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drawing>
          <wp:inline distT="0" distB="0" distL="114300" distR="114300">
            <wp:extent cx="5260340" cy="7200265"/>
            <wp:effectExtent l="0" t="0" r="16510" b="635"/>
            <wp:docPr id="3" name="图片 3" descr="bf69458fd79df2d76fac28243973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69458fd79df2d76fac282439736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一、总则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．本技术规格书适用于进贤县医科园污水处理厂设计、采购、施工总承包（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EPC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）项 目设备设计、供货、安装及调试。本技术规格书提出 了污水处理系统、污泥系统和除臭系统成套设备的功能设计、设备制造、性能检验、安装和调试等方面的 技术要求。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．本技术规格书提出了最低限度的技术要求，并未规定所有的技术要求和适用的标 准，并未对一切技术细节做出规定，也未充分引述有关标准和规范的条文，供方应提供一 套满足本技术规范和所列标准要求的高质量的产品及相应的服务。对国家有关安全、环保等强制性标准，所供产品必须满足其要求。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．合同签订后，各方应按时交换资料，以满足设计和制造进度的要求。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．供方所提供的设备、部件、零件，应符合或高于本技术规格书中提出的技术要求。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．供方对其供货范围内的污泥系统和除臭系统成套设备（包括附属系统和设备）负有全责，即包括供方采购的产品，采购的产品制造商应事先征得需方的认可。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．本技术规格书所使用的标准若与供方所执行的标准发生矛盾时，按较高标准执行。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．在合同签订后，需方有权因规范、标准、规程发生变化而提出一些补充要求，具 体内容双方共同商定。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如对本技术规格书的条款有异议，应以书面形式明确提出。在征得需方同意后，可对有关条款进行修改。如需方不同意修改，仍以本技术规格书为准。如供方没有以书面形式明确提出异议，那么需方认为供方提供的产品完全符合本技术规格书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．在合同签订过程当中，需方保留对其提供的技术资料作补充和修改的权力，供方应承诺予以配合。如提出修改，具体项目和条件由需方与供方商定。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在投标和执行合同的过程中发生侵犯专利权的行为时，其侵权责任与需方无关，应由供方承担相应的法律责任和费用，不得损害需方的利益。发生诉讼时，供方应予以积极有效的应对，保证需方可以使用所采购的技术和设备，需方则提供相应的协助和配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．供方提供的文件，包括图纸、计算书、说明书、使用手册等，均应使用国际单位制。所有文件、工程图纸及相互通讯，如为国产设备，均应使用中文；如进口设备为英文版本，则需提供相应中文翻译版本。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．本次招标为污水处理系统、污泥系统和除臭系统成套设备设计、采购、安装及调试。 供方负责工艺设备、就地电气控制柜、按钮箱、自控设备、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PLC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控制柜及程序、电磁阀箱、仪表及管道（含安装材料）供货，包含低压柜至动力设备进线电缆，不包含土建工程、暖通、给水排水、消防工程，不包含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MCC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柜、高压柜及之间电缆。但不限于系统内部工艺流程设计、优化与细化、安装、调试、验收、试运行、提供相关资料等工作，确保污泥系统和除臭系统能满足本技术规格书的要求且能正常运行。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highlight w:val="none"/>
        </w:rPr>
      </w:pPr>
      <w:r>
        <w:rPr>
          <w:rFonts w:hint="default" w:ascii="Calibri" w:hAnsi="Calibri" w:eastAsia="宋体" w:cs="Calibri"/>
          <w:color w:val="auto"/>
          <w:kern w:val="0"/>
          <w:sz w:val="24"/>
          <w:szCs w:val="24"/>
          <w:highlight w:val="none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．供方应对污泥系统和除臭系统基本工艺流程进行优化与细化，并交由需方审核，业主或需方的审核意见不能免除供方任何责任，供方对其整体负责，并确保系统能通过项目业主的验收。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二、标准规范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default" w:ascii="Calibri" w:hAnsi="Calibri" w:eastAsia="宋体" w:cs="Calibri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2.1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适用法规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．供方应充分遵守国家、江西省、南昌市相关法规、规范及导则。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．如果供方趋向使用其它法规或规范，供方应对这些法规的内容进行分析和比较。其它法规的使用必须经需方认可，任何需方的认可并不减轻供方的总体责任。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default" w:ascii="Calibri" w:hAnsi="Calibri" w:eastAsia="宋体" w:cs="Calibri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2.2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制造和设计规范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本系统的设计和制造均要符合但不仅限于如下标准和规范。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机械设备安装工程施工及验收通用规范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GB50231-2009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机械电气安全机械电气设备：通用技术条件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 5226.1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分离机械噪声测试方法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 10894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变频调速专用三相异步电动机 绝缘规范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 21707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工程机械焊接件通用技术条件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JB/T 5943-2018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YVF2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系列（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IP54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）变频调速专用三相异步电动机技术条件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JB/T 7118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水处理设备技术条件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JB/T 2932-1999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冷弯薄壁型钢结构技术规范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 50018-2002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钢结构工程施工质量验收标准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GB50205-2020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工程机械 焊接件通用技术条件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JB/T 5943-2018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轻工机械切削加工件通用技术条件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QB/T1588.2-2015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工程机械焊接件通用技术条件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JB/T 5943-2018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计量泵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 7782-2020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环境保护产品技术要求水处理用加药装置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HJ/T 369-2007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特种设备安全技术规范制定导则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TSG01-2014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16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特种设备事故报告和调查处理导则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TSG 03-2015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特种设备使用管理规则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TSG08-2017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生产过程安全卫生要求总则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GB/T12801-2008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工业企业设计卫生标准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GBZ1-2010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工业企业厂界环境噪声排放标准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GB12348-2008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工业建筑防腐蚀设计规范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GB50046-2008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化工设备、管道外防腐设计规定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HG/T20679-2014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橡胶衬里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设备防腐衬里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GB/T18241.1-2014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城镇污水处理厂臭气处理技术规程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CJJ∕T 243-2016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大气环境质量标准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GB3095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26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生产过程安全卫生要求总则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GB/T12801-2008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工业企业设计卫生标准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GBZ 1-2010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工业企业厂界环境噪声排放标准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GB12348-2008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城镇污水处理厂污染物排放标准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GB18918-2002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大气污染物综合排放标准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GB16297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－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1996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工作场所有害因素职业接触限值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GBZ2-2002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空气质量恶臭的测定、三点比较式臭袋法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／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T14675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空气质量硫化氢、甲硫醇、甲硫醚、二甲二硫的测定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气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色谱法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／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T14678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采暖通风与空气调节设计规范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GBJ19-87/(2001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版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生物除臭滤池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JB/T 12581-2015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注：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．如果上述规范或标准对某些专用材料不合适时，应采用相应国际、行业标准和企业标准。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．供方如采用上述建议以外的标准和规范，有责任说明所推荐的标准和规范相当于或优于以上的要求，并提供该标准和规范。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default" w:ascii="Calibri" w:hAnsi="Calibri" w:eastAsia="宋体" w:cs="Calibri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2.3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控制系统应符合下列规范和标准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低压开关和控制设备的外壳防护等级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可编程仪器的数字接口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过程运算的二进制逻辑图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过程操作的二进制逻辑图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仪表回路图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仪表和控制系统功能图表示法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工业控制设备及系统的端子板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工业控制装置及系统的外壳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网络通讯协议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0.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局域网标准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default" w:ascii="Calibri" w:hAnsi="Calibri" w:eastAsia="宋体" w:cs="Calibri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2.4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电气系统应遵循的标准和规范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所有设备、备品备件均应遵照最新版本的国家标准（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或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GB/T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）、国际电工委员会标准（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IEC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），这是对设备的最低要求。如果供方有自己的标准或规范，必须向需方提供复印件并获得需方同意后方可采用，但原则上均不能低于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GB/T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IEC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的有关规定。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供配电系统设计规范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GB50052-2009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20kV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及以下变电所设计规范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GB50053-2013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低压配电设计规范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GB50054-2011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交流电气装置的接地设计规范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GB/T50065-2011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电力工程电缆设计标准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GB50217-2018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建筑物防雷设计规范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GB50057-2010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交流电气装置的过电压保护和绝缘配合设计规范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GB/T50064-2014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建筑照明设计标准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GB50034-2013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建筑机电工程抗震设计规范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GB50981-2014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0.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建筑物电子信息系统防雷技术规范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GB50343-2012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建筑电气工程施工质量验收规范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GB50303-2015</w:t>
      </w:r>
    </w:p>
    <w:p>
      <w:pPr>
        <w:spacing w:line="360" w:lineRule="auto"/>
        <w:rPr>
          <w:rFonts w:ascii="宋体" w:hAnsi="宋体"/>
          <w:color w:val="auto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设备清单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乙方向甲方提供设备的安装基础资料，基础、平台、附属设备的安装要求（如有）。</w:t>
      </w:r>
    </w:p>
    <w:p>
      <w:pPr>
        <w:pStyle w:val="22"/>
        <w:ind w:left="350"/>
        <w:rPr>
          <w:color w:val="auto"/>
          <w:highlight w:val="none"/>
        </w:rPr>
      </w:pPr>
    </w:p>
    <w:p>
      <w:pPr>
        <w:pStyle w:val="12"/>
        <w:ind w:firstLine="0" w:firstLineChars="0"/>
        <w:rPr>
          <w:color w:val="auto"/>
          <w:highlight w:val="none"/>
        </w:rPr>
      </w:pPr>
    </w:p>
    <w:p>
      <w:pPr>
        <w:pStyle w:val="12"/>
        <w:ind w:firstLine="642"/>
        <w:jc w:val="center"/>
        <w:rPr>
          <w:color w:val="auto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污水处理工艺辅助设备</w:t>
      </w:r>
    </w:p>
    <w:p>
      <w:pPr>
        <w:rPr>
          <w:color w:val="auto"/>
          <w:highlight w:val="none"/>
        </w:rPr>
      </w:pPr>
    </w:p>
    <w:tbl>
      <w:tblPr>
        <w:tblStyle w:val="19"/>
        <w:tblpPr w:leftFromText="180" w:rightFromText="180" w:vertAnchor="page" w:horzAnchor="page" w:tblpX="1333" w:tblpY="212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插板闸门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B*H=1000*1350 机架高1200mm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厂家成套提供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1920" w:firstLineChars="8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闸板、机架碳钢防腐</w:t>
            </w:r>
          </w:p>
        </w:tc>
      </w:tr>
    </w:tbl>
    <w:tbl>
      <w:tblPr>
        <w:tblStyle w:val="19"/>
        <w:tblpPr w:leftFromText="180" w:rightFromText="180" w:vertAnchor="page" w:horzAnchor="page" w:tblpX="1348" w:tblpY="492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插板闸门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B*H=380*1500 机架高1200mm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厂家成套提供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1920" w:firstLineChars="8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闸板、机架碳钢防腐</w:t>
            </w:r>
          </w:p>
        </w:tc>
      </w:tr>
    </w:tbl>
    <w:tbl>
      <w:tblPr>
        <w:tblStyle w:val="19"/>
        <w:tblpPr w:leftFromText="180" w:rightFromText="180" w:vertAnchor="page" w:horzAnchor="page" w:tblpX="1378" w:tblpY="775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插板闸门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B*H=760*1550 机架高1200mm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厂家成套提供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1920" w:firstLineChars="8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闸板、机架碳钢防腐</w:t>
            </w:r>
          </w:p>
        </w:tc>
      </w:tr>
    </w:tbl>
    <w:tbl>
      <w:tblPr>
        <w:tblStyle w:val="19"/>
        <w:tblpPr w:leftFromText="180" w:rightFromText="180" w:vertAnchor="page" w:horzAnchor="page" w:tblpX="1378" w:tblpY="10687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手电两用方闸门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B*H=500*500 高度7.2m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启闭机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铸铁镶铜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07" w:tblpY="1743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手电两用方闸门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B*H=1200*1200  高度7.2m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启闭机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铸铁镶铜</w:t>
            </w:r>
          </w:p>
        </w:tc>
      </w:tr>
    </w:tbl>
    <w:tbl>
      <w:tblPr>
        <w:tblStyle w:val="19"/>
        <w:tblpPr w:leftFromText="180" w:rightFromText="180" w:vertAnchor="page" w:horzAnchor="page" w:tblpX="1177" w:tblpY="4630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手电两用方闸门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B*H=600*600 高度7.2m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启闭机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铸铁镶铜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147" w:tblpY="782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手电两用方闸门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B*H=800*800  高度4.85m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启闭机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铸铁镶铜</w:t>
            </w:r>
          </w:p>
        </w:tc>
      </w:tr>
    </w:tbl>
    <w:tbl>
      <w:tblPr>
        <w:tblStyle w:val="19"/>
        <w:tblpPr w:leftFromText="180" w:rightFromText="180" w:vertAnchor="page" w:horzAnchor="page" w:tblpX="1168" w:tblpY="1085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出口电磁流量计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0-500m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/h  1.0MPa  法兰连接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43" w:tblpY="161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DO在线检测仪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0-20mg/L 分体式 输出0-20ma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tbl>
      <w:tblPr>
        <w:tblStyle w:val="19"/>
        <w:tblpPr w:leftFromText="180" w:rightFromText="180" w:vertAnchor="page" w:horzAnchor="page" w:tblpX="1258" w:tblpY="468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MLSS在线检测仪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0-10000mg/L 分体式 输出4-20ma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43" w:tblpY="7783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MLSS在线检测仪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0-5000mg/L 分体式 输出0-20ma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58" w:tblpY="1147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ORP在线检测仪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2000mv 分体式  输出0-20ma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tbl>
      <w:tblPr>
        <w:tblStyle w:val="19"/>
        <w:tblpPr w:leftFromText="180" w:rightFromText="180" w:vertAnchor="page" w:horzAnchor="page" w:tblpX="1252" w:tblpY="178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电磁流量计（产水）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DN200  PN10 输出0-20ma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97" w:tblpY="5050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浊度仪（产水）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DN200  PN10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0-100NTU  输出0-20ma 精度0.1NTU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37" w:tblpY="823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超声波液位计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测量范围0-10m, 精度10mm 输出4--20ma 24vAD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192" w:tblpY="11680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COD 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量程0-1000mg/L  输出4--20ma  220vAC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88" w:tblpY="165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氨氮 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量程0-300mg/L  输出4--20ma 220vAC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9"/>
        <w:tblpPr w:leftFromText="180" w:rightFromText="180" w:vertAnchor="page" w:horzAnchor="page" w:tblpX="1303" w:tblpY="439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总磷 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量程0-50mg/L  输出4--20ma  220vAC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9"/>
        <w:tblpPr w:leftFromText="180" w:rightFromText="180" w:vertAnchor="page" w:horzAnchor="page" w:tblpX="1303" w:tblpY="720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总氮 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量程0-300mg/L  输出4--20ma  220vAC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9"/>
        <w:tblpPr w:leftFromText="180" w:rightFromText="180" w:vertAnchor="page" w:horzAnchor="page" w:tblpX="1288" w:tblpY="1028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PH 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量程0-14 输出4--20ma  220vAC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402" w:tblpY="168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SS 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量程0-5000mg/L  输出4--20ma 220vAC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9"/>
        <w:tblpPr w:leftFromText="180" w:rightFromText="180" w:vertAnchor="page" w:horzAnchor="page" w:tblpX="1387" w:tblpY="460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LAS 在线检测仪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量程0-10mg/L  输出4--20ma 220vAC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432" w:tblpY="751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水质自动采样器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厂家提供全部配套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402" w:tblpY="1062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水质采样过滤系统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厂家提供全部配套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9"/>
        <w:tblpPr w:leftFromText="180" w:rightFromText="180" w:vertAnchor="page" w:horzAnchor="page" w:tblpX="1402" w:tblpY="168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仪表保护箱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IP65  W*H*D=400*500*300  SPD信号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423" w:tblpY="7519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轴流风机（控制箱见文字列表）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Q=4800m3/h  P=310pa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408" w:tblpY="455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消音器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408" w:tblpY="10420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对夹式气动蝶阀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DN80  单作用气关阀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2位5通电磁阀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tbl>
      <w:tblPr>
        <w:tblStyle w:val="19"/>
        <w:tblpPr w:leftFromText="180" w:rightFromText="180" w:vertAnchor="page" w:horzAnchor="page" w:tblpX="1402" w:tblpY="173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对夹式气动蝶阀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DN150 单作用气关阀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2位5通电磁阀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tbl>
      <w:tblPr>
        <w:tblStyle w:val="19"/>
        <w:tblpPr w:leftFromText="180" w:rightFromText="180" w:vertAnchor="page" w:horzAnchor="page" w:tblpX="1357" w:tblpY="453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对夹式气动蝶阀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DN200  单作用气关阀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2位5通电磁阀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304</w:t>
            </w:r>
          </w:p>
        </w:tc>
      </w:tr>
    </w:tbl>
    <w:tbl>
      <w:tblPr>
        <w:tblStyle w:val="19"/>
        <w:tblpPr w:leftFromText="180" w:rightFromText="180" w:vertAnchor="page" w:horzAnchor="page" w:tblpX="1357" w:tblpY="7414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泵站连接管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DN600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PE</w:t>
            </w:r>
          </w:p>
        </w:tc>
      </w:tr>
    </w:tbl>
    <w:tbl>
      <w:tblPr>
        <w:tblStyle w:val="19"/>
        <w:tblpPr w:leftFromText="180" w:rightFromText="180" w:vertAnchor="page" w:horzAnchor="page" w:tblpX="1342" w:tblpY="10381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PLC机柜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风机房、配电间等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碳钢喷塑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303" w:tblpY="168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现地柜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远程控制、自动手动轮换、全继电器控制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160" w:firstLineChars="9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碳钢喷塑，防雨型</w:t>
            </w:r>
          </w:p>
        </w:tc>
      </w:tr>
    </w:tbl>
    <w:tbl>
      <w:tblPr>
        <w:tblStyle w:val="19"/>
        <w:tblpPr w:leftFromText="180" w:rightFromText="180" w:vertAnchor="page" w:horzAnchor="page" w:tblpX="1303" w:tblpY="442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高压中置柜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KYN28-12，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800*1500*2300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碳钢喷塑</w:t>
            </w:r>
          </w:p>
        </w:tc>
      </w:tr>
    </w:tbl>
    <w:tbl>
      <w:tblPr>
        <w:tblStyle w:val="19"/>
        <w:tblpPr w:leftFromText="180" w:rightFromText="180" w:vertAnchor="page" w:horzAnchor="page" w:tblpX="1258" w:tblpY="721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直流屏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600*800*2200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40AH  DC220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免维护密封铅酸电池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88" w:tblpY="9972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干式变压器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SCB15-630KVA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82" w:tblpY="166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进线柜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600*800*2200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碳钢喷塑</w:t>
            </w:r>
          </w:p>
        </w:tc>
      </w:tr>
    </w:tbl>
    <w:tbl>
      <w:tblPr>
        <w:tblStyle w:val="19"/>
        <w:tblpPr w:leftFromText="180" w:rightFromText="180" w:vertAnchor="page" w:horzAnchor="page" w:tblpX="1267" w:tblpY="4470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馈电柜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800*800*2200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碳钢喷塑</w:t>
            </w:r>
          </w:p>
        </w:tc>
      </w:tr>
    </w:tbl>
    <w:tbl>
      <w:tblPr>
        <w:tblStyle w:val="19"/>
        <w:tblpPr w:leftFromText="180" w:rightFromText="180" w:vertAnchor="page" w:horzAnchor="page" w:tblpX="1252" w:tblpY="7245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无功补偿柜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800*1000*2200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自动 手动可调, 补偿功率因素大于0.95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补偿容量210kVar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282" w:tblpY="10146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照明配电箱（见文字列表）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非标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碳钢喷塑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19"/>
        <w:tblpPr w:leftFromText="180" w:rightFromText="180" w:vertAnchor="page" w:horzAnchor="page" w:tblpX="1168" w:tblpY="1668"/>
        <w:tblOverlap w:val="never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74"/>
        <w:gridCol w:w="6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动力配电箱（见文字列表）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非标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处理能力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配套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045" w:type="dxa"/>
            <w:tcBorders>
              <w:tl2br w:val="nil"/>
              <w:tr2bl w:val="nil"/>
            </w:tcBorders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碳钢喷塑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轴流风机控制箱：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鼓风机及变配电间4台；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加药间及机修间2台；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接触消毒池1台；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4、污泥脱水机房3台；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动力配电箱：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鼓风机及变配电间1台；厂区充电桩配电箱1台+非机动车充电桩1台；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MBR膜生物反应池动力配电柜配电柜AP0601~0602共2台；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调节池及事故池AP0301箱1台；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反应沉淀池AP0401箱1台；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辅助用房ZAP1601、AP1601~1603共4台（其中AP1603为厨房配电箱）；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加药间及机修间AP1001共1台；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接触消毒池AP0701箱1台;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水解酸化池AP0501箱1台;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污泥脱水机房AP0801动力配电柜1台+AP0802动力配电箱1台；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细格栅及沉砂池AP0201动力配电箱1台；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照明配电箱：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1、鼓风机及变配电间AL0901箱1台+厂区照明箱AL0902箱1台；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2、辅助用房ZAL1602、AL1601~1602共2台、中控室配电箱ZAL1602；应急照明配电箱1台；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3、接触消毒池AL0701箱1台;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4、进水分析室AL0101箱1台;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5、门卫及大门AL1201箱1台;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6、污泥脱水机房AL0801箱1台;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p>
      <w:pPr>
        <w:pStyle w:val="12"/>
        <w:ind w:firstLine="0" w:firstLineChars="0"/>
        <w:rPr>
          <w:rFonts w:hint="eastAsia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5035C"/>
    <w:multiLevelType w:val="singleLevel"/>
    <w:tmpl w:val="CA1503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30"/>
      <w:lvlText w:val="%1.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2C6F9EDF"/>
    <w:multiLevelType w:val="singleLevel"/>
    <w:tmpl w:val="2C6F9E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jMjc0YWJjZjM1OTBkNmU2OTE0MGVhZjNlN2I4MzEifQ=="/>
  </w:docVars>
  <w:rsids>
    <w:rsidRoot w:val="007B50F0"/>
    <w:rsid w:val="002E5EA7"/>
    <w:rsid w:val="0057779B"/>
    <w:rsid w:val="00662288"/>
    <w:rsid w:val="007B50F0"/>
    <w:rsid w:val="00871468"/>
    <w:rsid w:val="009820FD"/>
    <w:rsid w:val="00A52E10"/>
    <w:rsid w:val="00BA223A"/>
    <w:rsid w:val="00E337CA"/>
    <w:rsid w:val="00E84451"/>
    <w:rsid w:val="040E27E3"/>
    <w:rsid w:val="069A42DA"/>
    <w:rsid w:val="0A3E7253"/>
    <w:rsid w:val="0EAF3DCD"/>
    <w:rsid w:val="0F576A52"/>
    <w:rsid w:val="100C41FD"/>
    <w:rsid w:val="10532FE1"/>
    <w:rsid w:val="18092C47"/>
    <w:rsid w:val="2591185E"/>
    <w:rsid w:val="2C2E657B"/>
    <w:rsid w:val="2E1F1583"/>
    <w:rsid w:val="2E99532C"/>
    <w:rsid w:val="2EB76A0E"/>
    <w:rsid w:val="302A1EA4"/>
    <w:rsid w:val="3039422C"/>
    <w:rsid w:val="35567012"/>
    <w:rsid w:val="40E86862"/>
    <w:rsid w:val="41A03D74"/>
    <w:rsid w:val="483767A9"/>
    <w:rsid w:val="48A44149"/>
    <w:rsid w:val="4AB05B0D"/>
    <w:rsid w:val="5371731E"/>
    <w:rsid w:val="545A37B8"/>
    <w:rsid w:val="582223DB"/>
    <w:rsid w:val="5F434357"/>
    <w:rsid w:val="61EA11E1"/>
    <w:rsid w:val="65E36765"/>
    <w:rsid w:val="6CF04454"/>
    <w:rsid w:val="6DC677CF"/>
    <w:rsid w:val="6EC16216"/>
    <w:rsid w:val="6FA10B33"/>
    <w:rsid w:val="73691968"/>
    <w:rsid w:val="74EC0AA3"/>
    <w:rsid w:val="7FD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eastAsia="楷体"/>
      <w:b/>
      <w:kern w:val="44"/>
      <w:sz w:val="28"/>
    </w:rPr>
  </w:style>
  <w:style w:type="paragraph" w:styleId="5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paragraph" w:styleId="6">
    <w:name w:val="heading 3"/>
    <w:basedOn w:val="5"/>
    <w:next w:val="1"/>
    <w:autoRedefine/>
    <w:qFormat/>
    <w:uiPriority w:val="9"/>
    <w:pPr>
      <w:spacing w:before="120" w:after="120"/>
      <w:outlineLvl w:val="2"/>
    </w:pPr>
    <w:rPr>
      <w:rFonts w:ascii="Times New Roman" w:hAnsi="Times New Roman" w:cs="Times New Roman"/>
      <w:color w:val="365F92"/>
      <w:sz w:val="30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annotation text"/>
    <w:basedOn w:val="1"/>
    <w:next w:val="8"/>
    <w:link w:val="28"/>
    <w:autoRedefine/>
    <w:qFormat/>
    <w:uiPriority w:val="99"/>
    <w:pPr>
      <w:jc w:val="left"/>
    </w:pPr>
  </w:style>
  <w:style w:type="paragraph" w:styleId="8">
    <w:name w:val="Salutation"/>
    <w:basedOn w:val="1"/>
    <w:next w:val="1"/>
    <w:autoRedefine/>
    <w:qFormat/>
    <w:uiPriority w:val="0"/>
    <w:rPr>
      <w:sz w:val="24"/>
      <w:szCs w:val="20"/>
    </w:rPr>
  </w:style>
  <w:style w:type="paragraph" w:styleId="9">
    <w:name w:val="Body Text"/>
    <w:basedOn w:val="1"/>
    <w:autoRedefine/>
    <w:qFormat/>
    <w:uiPriority w:val="0"/>
    <w:pPr>
      <w:spacing w:before="120" w:line="360" w:lineRule="auto"/>
    </w:pPr>
    <w:rPr>
      <w:bCs/>
      <w:sz w:val="28"/>
    </w:rPr>
  </w:style>
  <w:style w:type="paragraph" w:styleId="10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3"/>
    <w:next w:val="1"/>
    <w:autoRedefine/>
    <w:qFormat/>
    <w:uiPriority w:val="0"/>
    <w:pPr>
      <w:tabs>
        <w:tab w:val="left" w:pos="720"/>
        <w:tab w:val="left" w:pos="1417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</w:pPr>
  </w:style>
  <w:style w:type="paragraph" w:customStyle="1" w:styleId="13">
    <w:name w:val="样式1"/>
    <w:basedOn w:val="14"/>
    <w:next w:val="1"/>
    <w:autoRedefine/>
    <w:qFormat/>
    <w:uiPriority w:val="0"/>
    <w:pPr>
      <w:widowControl w:val="0"/>
      <w:tabs>
        <w:tab w:val="left" w:pos="720"/>
        <w:tab w:val="left" w:pos="1417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snapToGrid w:val="0"/>
      <w:spacing w:before="0" w:after="0" w:line="480" w:lineRule="exact"/>
      <w:ind w:firstLine="200" w:firstLineChars="200"/>
      <w:jc w:val="both"/>
    </w:pPr>
    <w:rPr>
      <w:rFonts w:ascii="Times New Roman" w:hAnsi="Times New Roman"/>
      <w:color w:val="000000"/>
      <w:sz w:val="28"/>
      <w:szCs w:val="28"/>
      <w:lang w:val="en-US"/>
    </w:rPr>
  </w:style>
  <w:style w:type="paragraph" w:styleId="14">
    <w:name w:val="Title"/>
    <w:basedOn w:val="1"/>
    <w:next w:val="1"/>
    <w:autoRedefine/>
    <w:qFormat/>
    <w:uiPriority w:val="0"/>
    <w:pPr>
      <w:widowControl/>
      <w:tabs>
        <w:tab w:val="left" w:pos="720"/>
        <w:tab w:val="left" w:pos="1417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spacing w:before="120" w:after="60" w:line="480" w:lineRule="auto"/>
      <w:jc w:val="center"/>
    </w:pPr>
    <w:rPr>
      <w:rFonts w:ascii="Arial" w:hAnsi="Arial"/>
      <w:b/>
      <w:spacing w:val="20"/>
      <w:kern w:val="0"/>
      <w:sz w:val="44"/>
      <w:lang w:val="en-GB"/>
    </w:rPr>
  </w:style>
  <w:style w:type="paragraph" w:styleId="15">
    <w:name w:val="Body Text 2"/>
    <w:basedOn w:val="1"/>
    <w:autoRedefine/>
    <w:qFormat/>
    <w:uiPriority w:val="0"/>
    <w:pPr>
      <w:spacing w:after="120" w:line="480" w:lineRule="auto"/>
    </w:pPr>
  </w:style>
  <w:style w:type="paragraph" w:styleId="16">
    <w:name w:val="HTML Preformatted"/>
    <w:basedOn w:val="1"/>
    <w:link w:val="2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29"/>
    <w:autoRedefine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autoRedefine/>
    <w:qFormat/>
    <w:uiPriority w:val="99"/>
    <w:rPr>
      <w:sz w:val="21"/>
      <w:szCs w:val="21"/>
    </w:rPr>
  </w:style>
  <w:style w:type="paragraph" w:customStyle="1" w:styleId="22">
    <w:name w:val="样式2"/>
    <w:basedOn w:val="13"/>
    <w:next w:val="12"/>
    <w:autoRedefine/>
    <w:qFormat/>
    <w:uiPriority w:val="0"/>
    <w:pPr>
      <w:widowControl/>
      <w:ind w:firstLine="0" w:firstLineChars="0"/>
    </w:pPr>
    <w:rPr>
      <w:sz w:val="26"/>
      <w:szCs w:val="26"/>
    </w:rPr>
  </w:style>
  <w:style w:type="character" w:customStyle="1" w:styleId="23">
    <w:name w:val="标题 1 字符"/>
    <w:link w:val="4"/>
    <w:autoRedefine/>
    <w:qFormat/>
    <w:uiPriority w:val="0"/>
    <w:rPr>
      <w:rFonts w:ascii="Times New Roman" w:hAnsi="Times New Roman" w:eastAsia="楷体"/>
      <w:b/>
      <w:kern w:val="44"/>
      <w:sz w:val="28"/>
    </w:rPr>
  </w:style>
  <w:style w:type="character" w:customStyle="1" w:styleId="24">
    <w:name w:val="HTML 预设格式 字符"/>
    <w:basedOn w:val="20"/>
    <w:link w:val="16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">
    <w:name w:val="页眉 字符"/>
    <w:basedOn w:val="20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basedOn w:val="20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文字 字符"/>
    <w:basedOn w:val="20"/>
    <w:link w:val="7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批注主题 字符"/>
    <w:basedOn w:val="28"/>
    <w:link w:val="17"/>
    <w:autoRedefine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0">
    <w:name w:val="标题2"/>
    <w:basedOn w:val="5"/>
    <w:next w:val="1"/>
    <w:autoRedefine/>
    <w:qFormat/>
    <w:uiPriority w:val="0"/>
    <w:pPr>
      <w:numPr>
        <w:ilvl w:val="0"/>
        <w:numId w:val="1"/>
      </w:numPr>
      <w:spacing w:before="240" w:after="240" w:line="360" w:lineRule="auto"/>
      <w:ind w:right="100" w:rightChars="100"/>
    </w:pPr>
    <w:rPr>
      <w:rFonts w:ascii="微软雅黑" w:hAnsi="微软雅黑" w:cs="微软雅黑"/>
      <w:color w:val="365F92"/>
      <w:sz w:val="36"/>
      <w:szCs w:val="24"/>
    </w:rPr>
  </w:style>
  <w:style w:type="paragraph" w:customStyle="1" w:styleId="31">
    <w:name w:val="无悬挂表格"/>
    <w:basedOn w:val="1"/>
    <w:autoRedefine/>
    <w:qFormat/>
    <w:uiPriority w:val="0"/>
  </w:style>
  <w:style w:type="paragraph" w:customStyle="1" w:styleId="32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9"/>
      <w:szCs w:val="19"/>
      <w:lang w:eastAsia="en-US"/>
    </w:rPr>
  </w:style>
  <w:style w:type="table" w:customStyle="1" w:styleId="3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687</Words>
  <Characters>3918</Characters>
  <Lines>32</Lines>
  <Paragraphs>9</Paragraphs>
  <TotalTime>2</TotalTime>
  <ScaleCrop>false</ScaleCrop>
  <LinksUpToDate>false</LinksUpToDate>
  <CharactersWithSpaces>4596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2018-04-16T08:05:00Z</dcterms:created>
  <dc:creator>PC-</dc:creator>
  <cp:lastModifiedBy>谢显伟</cp:lastModifiedBy>
  <dcterms:modified xsi:type="dcterms:W3CDTF">2024-02-01T03:40:46Z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F70CAE254CDF43E284B0DFCD76F92E40_13</vt:lpwstr>
  </property>
  <property fmtid="{D5CDD505-2E9C-101B-9397-08002B2CF9AE}" pid="4" name="commondata">
    <vt:lpwstr>eyJoZGlkIjoiZDBmNTYwY2VkN2Y1NGU5MDUxYTQ3YmI4NGNjNzkzYWIifQ==</vt:lpwstr>
  </property>
</Properties>
</file>