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（采购编号：</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b/>
          <w:bCs/>
          <w:color w:val="auto"/>
          <w:sz w:val="52"/>
          <w:szCs w:val="52"/>
          <w:lang w:eastAsia="zh-CN"/>
        </w:rPr>
        <w:t>混凝土（二）</w:t>
      </w:r>
      <w:r>
        <w:rPr>
          <w:rFonts w:hint="eastAsia" w:ascii="仿宋" w:hAnsi="仿宋" w:eastAsia="仿宋" w:cs="仿宋"/>
          <w:b/>
          <w:bCs/>
          <w:color w:val="auto"/>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采购人：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2026</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1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24</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sz w:val="52"/>
          <w:szCs w:val="52"/>
          <w:lang w:eastAsia="zh-CN"/>
        </w:rPr>
      </w:pPr>
      <w:r>
        <w:rPr>
          <w:rFonts w:hint="eastAsia" w:ascii="仿宋" w:hAnsi="仿宋" w:eastAsia="仿宋" w:cs="仿宋"/>
          <w:b/>
          <w:bCs/>
          <w:color w:val="auto"/>
          <w:kern w:val="2"/>
          <w:sz w:val="52"/>
          <w:szCs w:val="52"/>
          <w:lang w:val="en-US" w:eastAsia="zh-CN" w:bidi="ar-SA"/>
        </w:rPr>
        <w:t xml:space="preserve">第一章 </w:t>
      </w:r>
      <w:r>
        <w:rPr>
          <w:rFonts w:hint="eastAsia" w:ascii="仿宋" w:hAnsi="仿宋" w:eastAsia="仿宋" w:cs="仿宋"/>
          <w:b/>
          <w:bCs/>
          <w:color w:val="auto"/>
          <w:sz w:val="52"/>
          <w:szCs w:val="52"/>
        </w:rPr>
        <w:t>询比采购</w:t>
      </w:r>
      <w:r>
        <w:rPr>
          <w:rFonts w:hint="eastAsia" w:ascii="仿宋" w:hAnsi="仿宋" w:eastAsia="仿宋" w:cs="仿宋"/>
          <w:b/>
          <w:bCs/>
          <w:color w:val="auto"/>
          <w:sz w:val="52"/>
          <w:szCs w:val="52"/>
          <w:lang w:eastAsia="zh-CN"/>
        </w:rPr>
        <w:t>公告</w:t>
      </w:r>
    </w:p>
    <w:p w14:paraId="7D2E4632">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89A4523">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auto"/>
          <w:spacing w:val="-2"/>
          <w:sz w:val="32"/>
          <w:szCs w:val="32"/>
          <w:lang w:val="en-US" w:eastAsia="zh-CN"/>
        </w:rPr>
      </w:pPr>
      <w:r>
        <w:rPr>
          <w:rFonts w:hint="eastAsia" w:ascii="黑体" w:hAnsi="黑体" w:eastAsia="黑体" w:cs="黑体"/>
          <w:b w:val="0"/>
          <w:bCs w:val="0"/>
          <w:color w:val="auto"/>
          <w:spacing w:val="-2"/>
          <w:sz w:val="32"/>
          <w:szCs w:val="32"/>
        </w:rPr>
        <w:t>国联零碳科创园（华光环能科创中心）项目</w:t>
      </w:r>
      <w:r>
        <w:rPr>
          <w:rFonts w:hint="eastAsia" w:ascii="黑体" w:hAnsi="黑体" w:eastAsia="黑体" w:cs="黑体"/>
          <w:b w:val="0"/>
          <w:bCs w:val="0"/>
          <w:color w:val="auto"/>
          <w:spacing w:val="-2"/>
          <w:sz w:val="32"/>
          <w:szCs w:val="32"/>
          <w:lang w:eastAsia="zh-CN"/>
        </w:rPr>
        <w:t>混凝土（二）</w:t>
      </w:r>
      <w:r>
        <w:rPr>
          <w:rFonts w:hint="eastAsia" w:ascii="黑体" w:hAnsi="黑体" w:eastAsia="黑体" w:cs="黑体"/>
          <w:b w:val="0"/>
          <w:bCs w:val="0"/>
          <w:color w:val="auto"/>
          <w:spacing w:val="-2"/>
          <w:sz w:val="32"/>
          <w:szCs w:val="32"/>
        </w:rPr>
        <w:t>询比采购公告</w:t>
      </w:r>
    </w:p>
    <w:p w14:paraId="1F911FB7">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本采购项目</w:t>
      </w:r>
      <w:r>
        <w:rPr>
          <w:rFonts w:hint="eastAsia" w:ascii="仿宋" w:hAnsi="仿宋" w:eastAsia="仿宋" w:cs="仿宋"/>
          <w:color w:val="auto"/>
          <w:spacing w:val="-2"/>
          <w:sz w:val="32"/>
          <w:szCs w:val="32"/>
          <w:lang w:eastAsia="zh-CN"/>
        </w:rPr>
        <w:t>为</w:t>
      </w:r>
      <w:r>
        <w:rPr>
          <w:rFonts w:hint="eastAsia" w:ascii="仿宋" w:hAnsi="仿宋" w:eastAsia="仿宋" w:cs="仿宋"/>
          <w:color w:val="auto"/>
          <w:spacing w:val="-2"/>
          <w:sz w:val="32"/>
          <w:szCs w:val="32"/>
          <w:u w:val="single"/>
        </w:rPr>
        <w:t>（国联零碳科创园（华光环能科创中心）项目）</w:t>
      </w:r>
      <w:r>
        <w:rPr>
          <w:rFonts w:hint="eastAsia" w:ascii="仿宋" w:hAnsi="仿宋" w:eastAsia="仿宋" w:cs="仿宋"/>
          <w:color w:val="auto"/>
          <w:spacing w:val="-2"/>
          <w:sz w:val="32"/>
          <w:szCs w:val="32"/>
        </w:rPr>
        <w:t>，询价人为</w:t>
      </w:r>
      <w:r>
        <w:rPr>
          <w:rFonts w:hint="eastAsia" w:ascii="仿宋" w:hAnsi="仿宋" w:eastAsia="仿宋" w:cs="仿宋"/>
          <w:color w:val="auto"/>
          <w:spacing w:val="-2"/>
          <w:sz w:val="32"/>
          <w:szCs w:val="32"/>
          <w:u w:val="single"/>
          <w:lang w:val="en-US" w:eastAsia="zh-CN"/>
        </w:rPr>
        <w:t xml:space="preserve"> 中机国际工程设计研究院有限责任公司 </w:t>
      </w:r>
      <w:r>
        <w:rPr>
          <w:rFonts w:hint="eastAsia" w:ascii="仿宋" w:hAnsi="仿宋" w:eastAsia="仿宋" w:cs="仿宋"/>
          <w:color w:val="auto"/>
          <w:spacing w:val="-2"/>
          <w:sz w:val="32"/>
          <w:szCs w:val="32"/>
        </w:rPr>
        <w:t>。项目进度已具备</w:t>
      </w:r>
      <w:r>
        <w:rPr>
          <w:rFonts w:hint="eastAsia" w:ascii="仿宋" w:hAnsi="仿宋" w:eastAsia="仿宋" w:cs="仿宋"/>
          <w:color w:val="auto"/>
          <w:spacing w:val="-2"/>
          <w:sz w:val="32"/>
          <w:szCs w:val="32"/>
          <w:lang w:val="en-US" w:eastAsia="zh-CN"/>
        </w:rPr>
        <w:t>相关询价</w:t>
      </w:r>
      <w:r>
        <w:rPr>
          <w:rFonts w:hint="eastAsia" w:ascii="仿宋" w:hAnsi="仿宋" w:eastAsia="仿宋" w:cs="仿宋"/>
          <w:color w:val="auto"/>
          <w:spacing w:val="-2"/>
          <w:sz w:val="32"/>
          <w:szCs w:val="32"/>
        </w:rPr>
        <w:t>条件，现对</w:t>
      </w:r>
      <w:bookmarkStart w:id="0" w:name="_GoBack"/>
      <w:bookmarkEnd w:id="0"/>
      <w:r>
        <w:rPr>
          <w:rFonts w:hint="eastAsia" w:ascii="仿宋" w:hAnsi="仿宋" w:eastAsia="仿宋" w:cs="仿宋"/>
          <w:color w:val="auto"/>
          <w:spacing w:val="-2"/>
          <w:sz w:val="32"/>
          <w:szCs w:val="32"/>
        </w:rPr>
        <w:t>该项目的</w:t>
      </w:r>
      <w:r>
        <w:rPr>
          <w:rFonts w:hint="eastAsia" w:ascii="仿宋" w:hAnsi="仿宋" w:eastAsia="仿宋" w:cs="仿宋"/>
          <w:color w:val="auto"/>
          <w:spacing w:val="-2"/>
          <w:sz w:val="32"/>
          <w:szCs w:val="32"/>
          <w:u w:val="single"/>
          <w:lang w:val="en-US" w:eastAsia="zh-CN"/>
        </w:rPr>
        <w:t xml:space="preserve"> </w:t>
      </w:r>
      <w:r>
        <w:rPr>
          <w:rFonts w:hint="eastAsia" w:ascii="仿宋" w:hAnsi="仿宋" w:eastAsia="仿宋" w:cs="仿宋"/>
          <w:color w:val="auto"/>
          <w:spacing w:val="-2"/>
          <w:sz w:val="32"/>
          <w:szCs w:val="32"/>
          <w:u w:val="single"/>
          <w:lang w:eastAsia="zh-CN"/>
        </w:rPr>
        <w:t>混凝土（二）</w:t>
      </w:r>
      <w:r>
        <w:rPr>
          <w:rFonts w:hint="eastAsia" w:ascii="仿宋" w:hAnsi="仿宋" w:eastAsia="仿宋" w:cs="仿宋"/>
          <w:color w:val="auto"/>
          <w:spacing w:val="-2"/>
          <w:sz w:val="32"/>
          <w:szCs w:val="32"/>
          <w:u w:val="single"/>
          <w:lang w:val="en-US" w:eastAsia="zh-CN"/>
        </w:rPr>
        <w:t xml:space="preserve">采购 </w:t>
      </w:r>
      <w:r>
        <w:rPr>
          <w:rFonts w:hint="eastAsia" w:ascii="仿宋" w:hAnsi="仿宋" w:eastAsia="仿宋" w:cs="仿宋"/>
          <w:color w:val="auto"/>
          <w:spacing w:val="-2"/>
          <w:sz w:val="32"/>
          <w:szCs w:val="32"/>
          <w:u w:val="none"/>
          <w:lang w:val="en-US" w:eastAsia="zh-CN"/>
        </w:rPr>
        <w:t>进行询比,</w:t>
      </w:r>
      <w:r>
        <w:rPr>
          <w:rFonts w:hint="eastAsia" w:ascii="仿宋" w:hAnsi="仿宋" w:eastAsia="仿宋" w:cs="仿宋"/>
          <w:color w:val="auto"/>
          <w:spacing w:val="-2"/>
          <w:sz w:val="32"/>
          <w:szCs w:val="32"/>
          <w:lang w:eastAsia="zh-CN"/>
        </w:rPr>
        <w:t>邀请贵单位</w:t>
      </w:r>
      <w:r>
        <w:rPr>
          <w:rFonts w:hint="eastAsia" w:ascii="仿宋" w:hAnsi="仿宋" w:eastAsia="仿宋" w:cs="仿宋"/>
          <w:color w:val="auto"/>
          <w:spacing w:val="-2"/>
          <w:sz w:val="32"/>
          <w:szCs w:val="32"/>
        </w:rPr>
        <w:t>参加</w:t>
      </w:r>
      <w:r>
        <w:rPr>
          <w:rFonts w:hint="eastAsia" w:ascii="仿宋" w:hAnsi="仿宋" w:eastAsia="仿宋" w:cs="仿宋"/>
          <w:color w:val="auto"/>
          <w:spacing w:val="-2"/>
          <w:sz w:val="32"/>
          <w:szCs w:val="32"/>
          <w:lang w:eastAsia="zh-CN"/>
        </w:rPr>
        <w:t>本次</w:t>
      </w:r>
      <w:r>
        <w:rPr>
          <w:rFonts w:hint="eastAsia" w:ascii="仿宋" w:hAnsi="仿宋" w:eastAsia="仿宋" w:cs="仿宋"/>
          <w:color w:val="auto"/>
          <w:spacing w:val="-2"/>
          <w:sz w:val="32"/>
          <w:szCs w:val="32"/>
        </w:rPr>
        <w:t>询比采购活动。</w:t>
      </w:r>
    </w:p>
    <w:p w14:paraId="6D06F187">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8"/>
          <w:sz w:val="32"/>
          <w:szCs w:val="32"/>
          <w:lang w:eastAsia="zh-CN"/>
        </w:rPr>
        <w:t>　　</w:t>
      </w:r>
      <w:r>
        <w:rPr>
          <w:rFonts w:hint="eastAsia" w:ascii="仿宋" w:hAnsi="仿宋" w:eastAsia="仿宋" w:cs="仿宋"/>
          <w:b/>
          <w:bCs/>
          <w:color w:val="auto"/>
          <w:spacing w:val="-8"/>
          <w:sz w:val="32"/>
          <w:szCs w:val="32"/>
        </w:rPr>
        <w:t>1 采购项目简介</w:t>
      </w:r>
    </w:p>
    <w:p w14:paraId="2C59E049">
      <w:pPr>
        <w:pStyle w:val="2"/>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1.1 采购项目名称：</w:t>
      </w:r>
      <w:r>
        <w:rPr>
          <w:rFonts w:hint="eastAsia" w:ascii="仿宋" w:hAnsi="仿宋" w:eastAsia="仿宋" w:cs="仿宋"/>
          <w:color w:val="auto"/>
          <w:spacing w:val="-3"/>
          <w:sz w:val="32"/>
          <w:szCs w:val="32"/>
          <w:u w:val="single"/>
          <w:lang w:val="en-US" w:eastAsia="zh-CN"/>
        </w:rPr>
        <w:t xml:space="preserve">  国联零碳科创园(华光环能科创中心)项目</w:t>
      </w:r>
      <w:r>
        <w:rPr>
          <w:rFonts w:hint="eastAsia" w:ascii="仿宋" w:hAnsi="仿宋" w:eastAsia="仿宋" w:cs="仿宋"/>
          <w:color w:val="auto"/>
          <w:spacing w:val="-3"/>
          <w:sz w:val="32"/>
          <w:szCs w:val="32"/>
          <w:u w:val="single"/>
          <w:lang w:val="en-US" w:eastAsia="zh-CN"/>
        </w:rPr>
        <w:t>混凝土（二）</w:t>
      </w:r>
      <w:r>
        <w:rPr>
          <w:rFonts w:hint="eastAsia" w:ascii="仿宋" w:hAnsi="仿宋" w:eastAsia="仿宋" w:cs="仿宋"/>
          <w:color w:val="auto"/>
          <w:spacing w:val="-3"/>
          <w:sz w:val="32"/>
          <w:szCs w:val="32"/>
          <w:u w:val="single"/>
          <w:lang w:val="en-US" w:eastAsia="zh-CN"/>
        </w:rPr>
        <w:t xml:space="preserve">采购   </w:t>
      </w:r>
    </w:p>
    <w:p w14:paraId="760B3F89">
      <w:pPr>
        <w:pStyle w:val="2"/>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1.2 采购人：</w:t>
      </w:r>
      <w:r>
        <w:rPr>
          <w:rFonts w:hint="eastAsia" w:ascii="仿宋" w:hAnsi="仿宋" w:eastAsia="仿宋" w:cs="仿宋"/>
          <w:color w:val="auto"/>
          <w:spacing w:val="-3"/>
          <w:sz w:val="32"/>
          <w:szCs w:val="32"/>
          <w:u w:val="single"/>
          <w:lang w:val="en-US" w:eastAsia="zh-CN"/>
        </w:rPr>
        <w:t xml:space="preserve"> 中机国际工程设计研究院有限责任公司    </w:t>
      </w:r>
    </w:p>
    <w:p w14:paraId="7DC775D7">
      <w:pPr>
        <w:pStyle w:val="2"/>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1.3 采购代理机构：</w:t>
      </w:r>
      <w:r>
        <w:rPr>
          <w:rFonts w:hint="eastAsia" w:ascii="仿宋" w:hAnsi="仿宋" w:eastAsia="仿宋" w:cs="仿宋"/>
          <w:color w:val="auto"/>
          <w:spacing w:val="-3"/>
          <w:sz w:val="32"/>
          <w:szCs w:val="32"/>
          <w:u w:val="single"/>
          <w:lang w:val="en-US" w:eastAsia="zh-CN"/>
        </w:rPr>
        <w:t xml:space="preserve">   /    </w:t>
      </w:r>
    </w:p>
    <w:p w14:paraId="045904A2">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1.4 采购项目资金落实情况：</w:t>
      </w:r>
      <w:r>
        <w:rPr>
          <w:rFonts w:hint="eastAsia" w:ascii="仿宋" w:hAnsi="仿宋" w:eastAsia="仿宋" w:cs="仿宋"/>
          <w:color w:val="auto"/>
          <w:spacing w:val="-3"/>
          <w:sz w:val="32"/>
          <w:szCs w:val="32"/>
          <w:u w:val="single"/>
          <w:lang w:val="en-US" w:eastAsia="zh-CN"/>
        </w:rPr>
        <w:t xml:space="preserve">   企业自筹  </w:t>
      </w:r>
    </w:p>
    <w:p w14:paraId="76F9AEC8">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628"/>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3"/>
          <w:sz w:val="32"/>
          <w:szCs w:val="32"/>
        </w:rPr>
        <w:t>1.5 采购项目概况：</w:t>
      </w:r>
      <w:r>
        <w:rPr>
          <w:rFonts w:hint="eastAsia" w:ascii="仿宋" w:hAnsi="仿宋" w:eastAsia="仿宋" w:cs="仿宋"/>
          <w:color w:val="auto"/>
          <w:spacing w:val="-3"/>
          <w:sz w:val="32"/>
          <w:szCs w:val="32"/>
          <w:u w:val="single"/>
          <w:lang w:val="en-US" w:eastAsia="zh-CN"/>
        </w:rPr>
        <w:t>国联零碳科创园（华光环能科创中心）混凝土（二）采购项目，采购各标号泵送预拌混凝土及 P8、早强补偿剂等，清单下浮比例报价，参考无锡市 2025 年 9 月信息价，结算按供货当期信息价低价不含税下浮。混凝土（二）的质量必须符合《预拌混凝土》（GB/T14902－2012）及有关国家、行业和无锡市相关标准及规定；现场抽样检验强度的试验结果评定以《混凝土强度检验评定标准》（GB/T50107-2022）作为混凝土质量评定标准。履约期间若出现新的国家标准更新，则以更新后的国家标准为准。供方自行承担市场风险并配合检测资料相关工作。</w:t>
      </w:r>
    </w:p>
    <w:p w14:paraId="5313168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73" w:firstLine="0"/>
        <w:textAlignment w:val="baseline"/>
        <w:outlineLvl w:val="1"/>
        <w:rPr>
          <w:rFonts w:hint="eastAsia" w:ascii="仿宋" w:hAnsi="仿宋" w:eastAsia="仿宋" w:cs="仿宋"/>
          <w:b/>
          <w:bCs/>
          <w:color w:val="auto"/>
          <w:sz w:val="32"/>
          <w:szCs w:val="32"/>
        </w:rPr>
      </w:pPr>
      <w:r>
        <w:rPr>
          <w:rFonts w:hint="eastAsia" w:ascii="仿宋" w:hAnsi="仿宋" w:eastAsia="仿宋" w:cs="仿宋"/>
          <w:b/>
          <w:bCs/>
          <w:color w:val="auto"/>
          <w:spacing w:val="-2"/>
          <w:sz w:val="32"/>
          <w:szCs w:val="32"/>
          <w:lang w:eastAsia="zh-CN"/>
        </w:rPr>
        <w:t>　</w:t>
      </w:r>
      <w:r>
        <w:rPr>
          <w:rFonts w:hint="eastAsia" w:ascii="仿宋" w:hAnsi="仿宋" w:eastAsia="仿宋" w:cs="仿宋"/>
          <w:b/>
          <w:bCs/>
          <w:color w:val="auto"/>
          <w:spacing w:val="-2"/>
          <w:sz w:val="32"/>
          <w:szCs w:val="32"/>
        </w:rPr>
        <w:t>2 采购范围及相关要求（</w:t>
      </w:r>
      <w:r>
        <w:rPr>
          <w:rFonts w:hint="eastAsia" w:ascii="仿宋" w:hAnsi="仿宋" w:eastAsia="仿宋" w:cs="仿宋"/>
          <w:b/>
          <w:bCs/>
          <w:color w:val="auto"/>
          <w:spacing w:val="-2"/>
          <w:sz w:val="32"/>
          <w:szCs w:val="32"/>
          <w:lang w:eastAsia="zh-CN"/>
        </w:rPr>
        <w:t>物资</w:t>
      </w:r>
      <w:r>
        <w:rPr>
          <w:rFonts w:hint="eastAsia" w:ascii="仿宋" w:hAnsi="仿宋" w:eastAsia="仿宋" w:cs="仿宋"/>
          <w:b/>
          <w:bCs/>
          <w:color w:val="auto"/>
          <w:spacing w:val="-2"/>
          <w:sz w:val="32"/>
          <w:szCs w:val="32"/>
        </w:rPr>
        <w:t>）</w:t>
      </w:r>
    </w:p>
    <w:p w14:paraId="5D86BD43">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58" w:firstLine="0"/>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2"/>
          <w:sz w:val="32"/>
          <w:szCs w:val="32"/>
          <w:lang w:eastAsia="zh-CN"/>
        </w:rPr>
        <w:t>　　</w:t>
      </w:r>
      <w:r>
        <w:rPr>
          <w:rFonts w:hint="eastAsia" w:ascii="仿宋" w:hAnsi="仿宋" w:eastAsia="仿宋" w:cs="仿宋"/>
          <w:color w:val="auto"/>
          <w:spacing w:val="-2"/>
          <w:sz w:val="32"/>
          <w:szCs w:val="32"/>
        </w:rPr>
        <w:t>2.1 采购范围：</w:t>
      </w:r>
      <w:r>
        <w:rPr>
          <w:rFonts w:hint="eastAsia" w:ascii="仿宋" w:hAnsi="仿宋" w:eastAsia="仿宋" w:cs="仿宋"/>
          <w:color w:val="auto"/>
          <w:spacing w:val="-3"/>
          <w:sz w:val="32"/>
          <w:szCs w:val="32"/>
          <w:u w:val="single"/>
          <w:lang w:val="en-US" w:eastAsia="zh-CN"/>
        </w:rPr>
        <w:t>国联零碳科创园(华光环能科创中心)项目混凝土（二）采购部分，详见报价清单</w:t>
      </w:r>
      <w:r>
        <w:rPr>
          <w:rFonts w:hint="eastAsia" w:ascii="仿宋" w:hAnsi="仿宋" w:eastAsia="仿宋" w:cs="仿宋"/>
          <w:color w:val="auto"/>
          <w:spacing w:val="-3"/>
          <w:sz w:val="32"/>
          <w:szCs w:val="32"/>
          <w:u w:val="single"/>
          <w:lang w:val="en-US" w:eastAsia="zh-CN"/>
        </w:rPr>
        <w:t>。</w:t>
      </w:r>
    </w:p>
    <w:p w14:paraId="4CAC674B">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2.2</w:t>
      </w:r>
      <w:r>
        <w:rPr>
          <w:rFonts w:hint="eastAsia" w:ascii="仿宋" w:hAnsi="仿宋" w:eastAsia="仿宋" w:cs="仿宋"/>
          <w:color w:val="auto"/>
          <w:spacing w:val="14"/>
          <w:sz w:val="32"/>
          <w:szCs w:val="32"/>
        </w:rPr>
        <w:t xml:space="preserve"> </w:t>
      </w:r>
      <w:r>
        <w:rPr>
          <w:rFonts w:hint="eastAsia" w:ascii="仿宋" w:hAnsi="仿宋" w:eastAsia="仿宋" w:cs="仿宋"/>
          <w:color w:val="auto"/>
          <w:spacing w:val="-4"/>
          <w:sz w:val="32"/>
          <w:szCs w:val="32"/>
        </w:rPr>
        <w:t>交货期：</w:t>
      </w:r>
      <w:r>
        <w:rPr>
          <w:rFonts w:hint="eastAsia" w:ascii="仿宋" w:hAnsi="仿宋" w:eastAsia="仿宋" w:cs="仿宋"/>
          <w:color w:val="auto"/>
          <w:spacing w:val="-3"/>
          <w:sz w:val="32"/>
          <w:szCs w:val="32"/>
          <w:u w:val="single"/>
          <w:lang w:val="en-US" w:eastAsia="zh-CN"/>
        </w:rPr>
        <w:t xml:space="preserve">     \     </w:t>
      </w:r>
    </w:p>
    <w:p w14:paraId="052622D5">
      <w:pPr>
        <w:pStyle w:val="2"/>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2.3</w:t>
      </w:r>
      <w:r>
        <w:rPr>
          <w:rFonts w:hint="eastAsia" w:ascii="仿宋" w:hAnsi="仿宋" w:eastAsia="仿宋" w:cs="仿宋"/>
          <w:color w:val="auto"/>
          <w:spacing w:val="18"/>
          <w:sz w:val="32"/>
          <w:szCs w:val="32"/>
        </w:rPr>
        <w:t xml:space="preserve"> </w:t>
      </w:r>
      <w:r>
        <w:rPr>
          <w:rFonts w:hint="eastAsia" w:ascii="仿宋" w:hAnsi="仿宋" w:eastAsia="仿宋" w:cs="仿宋"/>
          <w:color w:val="auto"/>
          <w:spacing w:val="-4"/>
          <w:sz w:val="32"/>
          <w:szCs w:val="32"/>
        </w:rPr>
        <w:t>交货地点：</w:t>
      </w:r>
      <w:r>
        <w:rPr>
          <w:rFonts w:hint="eastAsia" w:ascii="仿宋" w:hAnsi="仿宋" w:eastAsia="仿宋" w:cs="仿宋"/>
          <w:color w:val="auto"/>
          <w:spacing w:val="-3"/>
          <w:sz w:val="32"/>
          <w:szCs w:val="32"/>
          <w:u w:val="single"/>
          <w:lang w:val="en-US" w:eastAsia="zh-CN"/>
        </w:rPr>
        <w:t xml:space="preserve">   江苏省无锡市新吴区旺庄街道城南路3号</w:t>
      </w:r>
    </w:p>
    <w:p w14:paraId="7E603B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36" w:firstLineChars="200"/>
        <w:jc w:val="both"/>
        <w:textAlignment w:val="auto"/>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1"/>
          <w:sz w:val="32"/>
          <w:szCs w:val="32"/>
        </w:rPr>
        <w:t>2.4 货物质量标准或主要技术性能指标：</w:t>
      </w:r>
      <w:r>
        <w:rPr>
          <w:rFonts w:hint="eastAsia" w:ascii="仿宋" w:hAnsi="仿宋" w:eastAsia="仿宋" w:cs="仿宋"/>
          <w:color w:val="auto"/>
          <w:spacing w:val="-3"/>
          <w:sz w:val="32"/>
          <w:szCs w:val="32"/>
          <w:u w:val="single"/>
          <w:lang w:val="en-US" w:eastAsia="zh-CN"/>
        </w:rPr>
        <w:t xml:space="preserve"> </w:t>
      </w:r>
      <w:r>
        <w:rPr>
          <w:rFonts w:hint="eastAsia" w:ascii="仿宋" w:hAnsi="仿宋" w:eastAsia="仿宋" w:cs="仿宋"/>
          <w:color w:val="auto"/>
          <w:spacing w:val="-3"/>
          <w:sz w:val="32"/>
          <w:szCs w:val="32"/>
          <w:u w:val="single"/>
          <w:lang w:val="en-US" w:eastAsia="zh-CN"/>
        </w:rPr>
        <w:t>①商品混凝土的质量必须符合《预拌混凝土》（GB/T14902－2012）及有关国家、行业和无锡市相关标准及规定；现场抽样检验强度的试验结果评定以《混凝土强度检验评定标准》（GB/T50107-2022）作为混凝土质量评定标准。履约期间若出现新的国家标准更新，则以更新后的国家标准为准。</w:t>
      </w:r>
      <w:r>
        <w:rPr>
          <w:rFonts w:hint="eastAsia" w:ascii="仿宋" w:hAnsi="仿宋" w:eastAsia="仿宋" w:cs="仿宋"/>
          <w:color w:val="auto"/>
          <w:spacing w:val="-3"/>
          <w:kern w:val="2"/>
          <w:sz w:val="32"/>
          <w:szCs w:val="32"/>
          <w:u w:val="single"/>
          <w:lang w:val="en-US" w:eastAsia="zh-CN" w:bidi="ar-SA"/>
        </w:rPr>
        <w:t>②</w:t>
      </w:r>
      <w:r>
        <w:rPr>
          <w:rFonts w:hint="eastAsia" w:ascii="仿宋" w:hAnsi="仿宋" w:eastAsia="仿宋" w:cs="仿宋"/>
          <w:color w:val="auto"/>
          <w:spacing w:val="-3"/>
          <w:sz w:val="32"/>
          <w:szCs w:val="32"/>
          <w:u w:val="single"/>
          <w:lang w:val="en-US" w:eastAsia="zh-CN"/>
        </w:rPr>
        <w:t>混凝土容重换算为：C15-2.36吨/m³；C20-2.37吨/m³；C25-2.38吨/m³；C30-2.38吨/m³；C35-2.39吨/m³；C40-2.40吨/m³；C45-2.41吨/m³；C50-2.42吨/m³。《混凝土质量控制标准》（GB50164-2011）③确保混凝土成型质量和强度达到设计图纸要求，混凝土浇筑后7天和28天强度进行摸排，存在问题及时解决。混凝土强度和商务结算进行挂钩，必须和质量部门一起复核现场强度没问题方可结算。④项目部会不定期对搅拌站进行检查，特别是原材料、外加剂、配合比和设施设备方面，确保全部符合要求。</w:t>
      </w:r>
    </w:p>
    <w:p w14:paraId="61FAEE07">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color w:val="auto"/>
          <w:sz w:val="32"/>
          <w:szCs w:val="32"/>
        </w:rPr>
      </w:pPr>
      <w:r>
        <w:rPr>
          <w:rFonts w:hint="eastAsia" w:ascii="仿宋" w:hAnsi="仿宋" w:eastAsia="仿宋" w:cs="仿宋"/>
          <w:b/>
          <w:bCs/>
          <w:color w:val="auto"/>
          <w:spacing w:val="-4"/>
          <w:sz w:val="32"/>
          <w:szCs w:val="32"/>
          <w:lang w:eastAsia="zh-CN"/>
        </w:rPr>
        <w:t>　　</w:t>
      </w:r>
      <w:r>
        <w:rPr>
          <w:rFonts w:hint="eastAsia" w:ascii="仿宋" w:hAnsi="仿宋" w:eastAsia="仿宋" w:cs="仿宋"/>
          <w:b/>
          <w:bCs/>
          <w:color w:val="auto"/>
          <w:spacing w:val="-4"/>
          <w:sz w:val="32"/>
          <w:szCs w:val="32"/>
        </w:rPr>
        <w:t>3 供应商资格要求</w:t>
      </w:r>
    </w:p>
    <w:p w14:paraId="5252A7EB">
      <w:pPr>
        <w:pStyle w:val="2"/>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3.1 供应商应依法设立且满足如下要求：</w:t>
      </w:r>
    </w:p>
    <w:p w14:paraId="17C4951F">
      <w:pPr>
        <w:pStyle w:val="2"/>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default" w:ascii="仿宋" w:hAnsi="仿宋" w:eastAsia="仿宋" w:cs="仿宋"/>
          <w:color w:val="auto"/>
          <w:spacing w:val="-3"/>
          <w:sz w:val="32"/>
          <w:szCs w:val="32"/>
          <w:u w:val="single"/>
          <w:lang w:val="en-US" w:eastAsia="zh-CN"/>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（1）资质要求：</w:t>
      </w:r>
      <w:r>
        <w:rPr>
          <w:rFonts w:hint="eastAsia" w:ascii="仿宋" w:hAnsi="仿宋" w:eastAsia="仿宋" w:cs="仿宋"/>
          <w:color w:val="auto"/>
          <w:spacing w:val="-3"/>
          <w:sz w:val="32"/>
          <w:szCs w:val="32"/>
          <w:u w:val="single"/>
          <w:lang w:val="en-US" w:eastAsia="zh-CN"/>
        </w:rPr>
        <w:t xml:space="preserve"> </w:t>
      </w:r>
      <w:r>
        <w:rPr>
          <w:rFonts w:hint="eastAsia" w:ascii="仿宋" w:hAnsi="仿宋" w:eastAsia="仿宋" w:cs="仿宋"/>
          <w:color w:val="auto"/>
          <w:spacing w:val="-3"/>
          <w:sz w:val="32"/>
          <w:szCs w:val="32"/>
          <w:u w:val="single"/>
          <w:lang w:val="en-US" w:eastAsia="zh-CN"/>
        </w:rPr>
        <w:t>供应商须具有独立法人资格且具备有效的企业法人营业执照。</w:t>
      </w:r>
    </w:p>
    <w:p w14:paraId="31430567">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color w:val="auto"/>
          <w:spacing w:val="-3"/>
          <w:sz w:val="32"/>
          <w:szCs w:val="32"/>
          <w:u w:val="single"/>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（2）财务要求：</w:t>
      </w:r>
      <w:r>
        <w:rPr>
          <w:rFonts w:hint="eastAsia" w:ascii="仿宋" w:hAnsi="仿宋" w:eastAsia="仿宋" w:cs="仿宋"/>
          <w:color w:val="auto"/>
          <w:spacing w:val="-3"/>
          <w:sz w:val="32"/>
          <w:szCs w:val="32"/>
          <w:u w:val="single"/>
        </w:rPr>
        <w:t>供应商需具备增值税一般纳税人资格，需随报价文件提交电子税务局一般纳税人查询截图(清晰显示纳税人名称、统一社会信用代码、资格状态及查询日期)或税务局出具的一般纳税人认定文书(盖公章且在有效期内</w:t>
      </w:r>
    </w:p>
    <w:p w14:paraId="3CEFBB9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color w:val="auto"/>
          <w:spacing w:val="-3"/>
          <w:sz w:val="32"/>
          <w:szCs w:val="32"/>
        </w:rPr>
        <w:t>（3）业绩要求：</w:t>
      </w:r>
      <w:r>
        <w:rPr>
          <w:rFonts w:hint="eastAsia" w:ascii="仿宋" w:hAnsi="仿宋" w:eastAsia="仿宋" w:cs="仿宋"/>
          <w:color w:val="auto"/>
          <w:spacing w:val="-3"/>
          <w:sz w:val="32"/>
          <w:szCs w:val="32"/>
          <w:u w:val="single"/>
          <w:lang w:val="en-US" w:eastAsia="zh-CN"/>
        </w:rPr>
        <w:t xml:space="preserve">  /  </w:t>
      </w:r>
    </w:p>
    <w:p w14:paraId="1ADCC86F">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pacing w:val="-3"/>
          <w:sz w:val="32"/>
          <w:szCs w:val="32"/>
          <w:u w:val="single"/>
          <w:lang w:val="en-US" w:eastAsia="zh-CN"/>
        </w:rPr>
      </w:pPr>
      <w:r>
        <w:rPr>
          <w:rFonts w:hint="eastAsia" w:ascii="仿宋" w:hAnsi="仿宋" w:eastAsia="仿宋" w:cs="仿宋"/>
          <w:color w:val="auto"/>
          <w:spacing w:val="-3"/>
          <w:sz w:val="32"/>
          <w:szCs w:val="32"/>
        </w:rPr>
        <w:t>（4）信誉要求：</w:t>
      </w:r>
      <w:r>
        <w:rPr>
          <w:rFonts w:hint="eastAsia" w:ascii="仿宋" w:hAnsi="仿宋" w:eastAsia="仿宋" w:cs="仿宋"/>
          <w:color w:val="auto"/>
          <w:spacing w:val="-3"/>
          <w:sz w:val="32"/>
          <w:szCs w:val="32"/>
          <w:u w:val="single"/>
          <w:lang w:val="en-US" w:eastAsia="zh-CN"/>
        </w:rPr>
        <w:t xml:space="preserve">  </w:t>
      </w:r>
      <w:r>
        <w:rPr>
          <w:rFonts w:hint="eastAsia" w:ascii="仿宋" w:hAnsi="仿宋" w:eastAsia="仿宋" w:cs="仿宋"/>
          <w:color w:val="auto"/>
          <w:spacing w:val="-3"/>
          <w:sz w:val="32"/>
          <w:szCs w:val="32"/>
          <w:u w:val="single"/>
          <w:lang w:val="en-US" w:eastAsia="zh-CN"/>
        </w:rPr>
        <w:t xml:space="preserve">未被列入失信被执行人名单、建筑市场黑名单，近 3 年无重大行政处罚、重大合同违约及重大安全 / 质量事故记录 </w:t>
      </w:r>
    </w:p>
    <w:p w14:paraId="0A8969B5">
      <w:pPr>
        <w:pStyle w:val="2"/>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auto"/>
          <w:sz w:val="32"/>
          <w:szCs w:val="32"/>
        </w:rPr>
      </w:pPr>
      <w:r>
        <w:rPr>
          <w:rFonts w:hint="eastAsia" w:ascii="仿宋" w:hAnsi="仿宋" w:eastAsia="仿宋" w:cs="仿宋"/>
          <w:color w:val="auto"/>
          <w:spacing w:val="-2"/>
          <w:sz w:val="32"/>
          <w:szCs w:val="32"/>
        </w:rPr>
        <w:t>（5）承担本项目的主要人员要求：</w:t>
      </w:r>
      <w:r>
        <w:rPr>
          <w:rFonts w:hint="eastAsia" w:ascii="仿宋" w:hAnsi="仿宋" w:eastAsia="仿宋" w:cs="仿宋"/>
          <w:color w:val="auto"/>
          <w:spacing w:val="-3"/>
          <w:sz w:val="32"/>
          <w:szCs w:val="32"/>
          <w:u w:val="single"/>
          <w:lang w:val="en-US" w:eastAsia="zh-CN"/>
        </w:rPr>
        <w:t xml:space="preserve">   /  </w:t>
      </w:r>
    </w:p>
    <w:p w14:paraId="443C542E">
      <w:pPr>
        <w:keepNext w:val="0"/>
        <w:keepLines w:val="0"/>
        <w:widowControl/>
        <w:suppressLineNumbers w:val="0"/>
        <w:ind w:firstLine="628" w:firstLineChars="200"/>
        <w:jc w:val="both"/>
        <w:textAlignment w:val="center"/>
        <w:rPr>
          <w:rFonts w:hint="eastAsia" w:ascii="仿宋" w:hAnsi="仿宋" w:eastAsia="仿宋" w:cs="仿宋"/>
          <w:color w:val="auto"/>
          <w:sz w:val="32"/>
          <w:szCs w:val="32"/>
        </w:rPr>
      </w:pPr>
      <w:r>
        <w:rPr>
          <w:rFonts w:hint="eastAsia" w:ascii="仿宋" w:hAnsi="仿宋" w:eastAsia="仿宋" w:cs="仿宋"/>
          <w:color w:val="auto"/>
          <w:spacing w:val="-3"/>
          <w:sz w:val="32"/>
          <w:szCs w:val="32"/>
        </w:rPr>
        <w:t>（6）其他要求：</w:t>
      </w:r>
      <w:r>
        <w:rPr>
          <w:rFonts w:hint="eastAsia" w:ascii="仿宋" w:hAnsi="仿宋" w:eastAsia="仿宋" w:cs="仿宋"/>
          <w:color w:val="auto"/>
          <w:spacing w:val="-3"/>
          <w:kern w:val="2"/>
          <w:sz w:val="32"/>
          <w:szCs w:val="32"/>
          <w:u w:val="single"/>
          <w:lang w:val="en-US" w:eastAsia="zh-CN" w:bidi="ar-SA"/>
        </w:rPr>
        <w:t>①商品混凝土（二）的基础单价，特殊混凝土增加费用、各类其他费用均不因付款方式变化而变化； ②混凝土（二）报送单价最多保留2位小数； ③特殊型号加价为普通混凝土基础上的加价,细石混凝土每立方含税单价增加17元,早强补偿收缩每立方含税单价在同等标号上加15元；④ 如出现当月信息价分几次的情况，按加权平均价计算。特殊加价部分不参与调价；⑤综合单价包含相关检测资料配合费用，具体为：乙方负责提供特殊混凝土的配合比报告、合格证和原材料，配合甲方送检复核，同时提供相应堆码场地、添加外加剂、试验试件制作、完善后续闭环资料等工作。</w:t>
      </w:r>
    </w:p>
    <w:p w14:paraId="60FE1ECB">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3.2 供应商不得存在下列情形之一：</w:t>
      </w:r>
    </w:p>
    <w:p w14:paraId="12680E23">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（1）处于被责令停产停业、暂扣或者吊销执照、暂扣或者吊销许可证、吊销资质证</w:t>
      </w:r>
      <w:r>
        <w:rPr>
          <w:rFonts w:hint="eastAsia" w:ascii="仿宋" w:hAnsi="仿宋" w:eastAsia="仿宋" w:cs="仿宋"/>
          <w:color w:val="auto"/>
          <w:spacing w:val="-4"/>
          <w:sz w:val="32"/>
          <w:szCs w:val="32"/>
        </w:rPr>
        <w:t>书状态；</w:t>
      </w:r>
    </w:p>
    <w:p w14:paraId="1FB42A2B">
      <w:pPr>
        <w:pStyle w:val="2"/>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（2）进入清算程序，或被宣告破产，或其他丧失履约能力的情形；</w:t>
      </w:r>
    </w:p>
    <w:p w14:paraId="558EDE28">
      <w:pPr>
        <w:pStyle w:val="2"/>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default" w:ascii="Times New Roman" w:hAnsi="Times New Roman" w:eastAsia="仿宋" w:cs="Times New Roman"/>
          <w:color w:val="auto"/>
          <w:spacing w:val="-3"/>
          <w:sz w:val="32"/>
          <w:szCs w:val="32"/>
          <w:u w:val="single"/>
          <w:lang w:val="en-US" w:eastAsia="zh-CN"/>
        </w:rPr>
      </w:pPr>
      <w:r>
        <w:rPr>
          <w:rFonts w:hint="eastAsia" w:ascii="仿宋" w:hAnsi="仿宋" w:eastAsia="仿宋" w:cs="仿宋"/>
          <w:color w:val="auto"/>
          <w:spacing w:val="-4"/>
          <w:sz w:val="32"/>
          <w:szCs w:val="32"/>
          <w:lang w:eastAsia="zh-CN"/>
        </w:rPr>
        <w:t>　　</w:t>
      </w:r>
      <w:r>
        <w:rPr>
          <w:rFonts w:hint="eastAsia" w:ascii="仿宋" w:hAnsi="仿宋" w:eastAsia="仿宋" w:cs="仿宋"/>
          <w:color w:val="auto"/>
          <w:spacing w:val="-4"/>
          <w:sz w:val="32"/>
          <w:szCs w:val="32"/>
        </w:rPr>
        <w:t>（3）其他：</w:t>
      </w:r>
      <w:r>
        <w:rPr>
          <w:rFonts w:hint="default" w:ascii="Times New Roman" w:hAnsi="Times New Roman" w:eastAsia="仿宋" w:cs="Times New Roman"/>
          <w:color w:val="auto"/>
          <w:spacing w:val="-3"/>
          <w:sz w:val="32"/>
          <w:szCs w:val="32"/>
          <w:u w:val="single"/>
          <w:lang w:val="en-US" w:eastAsia="zh-CN"/>
        </w:rPr>
        <w:t xml:space="preserve"> </w:t>
      </w:r>
      <w:r>
        <w:rPr>
          <w:rFonts w:hint="default" w:ascii="Times New Roman" w:hAnsi="Times New Roman" w:eastAsia="仿宋" w:cs="Times New Roman"/>
          <w:color w:val="auto"/>
          <w:spacing w:val="-3"/>
          <w:sz w:val="32"/>
          <w:szCs w:val="32"/>
          <w:u w:val="single"/>
          <w:lang w:val="en-US" w:eastAsia="zh-CN"/>
        </w:rPr>
        <w:t>① 报价采用清单下浮比例报价，上限价为无锡市信息价低价下浮 25%，特殊混凝土加价部分不参与调价，当月信息价分多次发布时按加权平均价计算；② 暂定工程量仅作参考，结算工程量以现场实际供货量为准，混凝土强度需经质量部门复核合格后方可办理结算；③ 供方需配合提供特殊混凝土配合比报告、合格证、原材料等资料，协助甲方送检复核，负责试验试件制作及后续闭环资料完善；④ 报价已包含全部材料费、运费、税费等费用，供方负责货物运输及保险，交付前货物灭失、损毁风险由供方自行承担；⑤ 运输车辆需符合环保要求，出工地前需清洗，确保车容整洁、轮胎无泥，因环保问题产生的罚款由供方承担；⑥ 付款前供方需开具 13% 税率等额增值税专用发票，否则需方有权拒绝付款且不承担逾期付款责任；⑦ 商品</w:t>
      </w:r>
      <w:r>
        <w:rPr>
          <w:rFonts w:hint="eastAsia" w:ascii="Times New Roman" w:hAnsi="Times New Roman" w:eastAsia="仿宋" w:cs="Times New Roman"/>
          <w:color w:val="auto"/>
          <w:spacing w:val="-3"/>
          <w:sz w:val="32"/>
          <w:szCs w:val="32"/>
          <w:u w:val="single"/>
          <w:lang w:val="en-US" w:eastAsia="zh-CN"/>
        </w:rPr>
        <w:t>混凝土（二）</w:t>
      </w:r>
      <w:r>
        <w:rPr>
          <w:rFonts w:hint="default" w:ascii="Times New Roman" w:hAnsi="Times New Roman" w:eastAsia="仿宋" w:cs="Times New Roman"/>
          <w:color w:val="auto"/>
          <w:spacing w:val="-3"/>
          <w:sz w:val="32"/>
          <w:szCs w:val="32"/>
          <w:u w:val="single"/>
          <w:lang w:val="en-US" w:eastAsia="zh-CN"/>
        </w:rPr>
        <w:t>基础单价及特殊混凝土增加费用不因付款方式变化而调整，价格最多保留 2 位小数；⑧ 供方需配合项目部不定期检查搅拌站原材料、外加剂、配合比及设施设备，确保符合相关要求；⑨ 因项目需求变更或政策调整导致供货内容、单价按约定调整的，供方需无条件配合，不得提出额外费用索赔；⑩ 供方不得将本项目供货义务转包或分包给第三方，否则需方有权解除合同并追究违约责任；⑪ 以上要求报价人需完全响应，如不响应则报价无效。</w:t>
      </w:r>
    </w:p>
    <w:p w14:paraId="09D50921">
      <w:pPr>
        <w:pStyle w:val="2"/>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 本次采购</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single"/>
          <w:lang w:val="en-US" w:eastAsia="zh-CN"/>
        </w:rPr>
        <w:t xml:space="preserve"> 不</w:t>
      </w:r>
      <w:r>
        <w:rPr>
          <w:rFonts w:hint="eastAsia" w:ascii="仿宋" w:hAnsi="仿宋" w:eastAsia="仿宋" w:cs="仿宋"/>
          <w:color w:val="auto"/>
          <w:sz w:val="32"/>
          <w:szCs w:val="32"/>
          <w:u w:val="single"/>
        </w:rPr>
        <w:t xml:space="preserve">接受 </w:t>
      </w:r>
      <w:r>
        <w:rPr>
          <w:rFonts w:hint="eastAsia" w:ascii="仿宋" w:hAnsi="仿宋" w:eastAsia="仿宋" w:cs="仿宋"/>
          <w:color w:val="auto"/>
          <w:spacing w:val="-1"/>
          <w:sz w:val="32"/>
          <w:szCs w:val="32"/>
          <w:u w:val="single"/>
        </w:rPr>
        <w:t xml:space="preserve"> </w:t>
      </w:r>
      <w:r>
        <w:rPr>
          <w:rFonts w:hint="eastAsia" w:ascii="仿宋" w:hAnsi="仿宋" w:eastAsia="仿宋" w:cs="仿宋"/>
          <w:color w:val="auto"/>
          <w:spacing w:val="-1"/>
          <w:sz w:val="32"/>
          <w:szCs w:val="32"/>
        </w:rPr>
        <w:t>（接受或不接受）联合体。</w:t>
      </w:r>
      <w:r>
        <w:rPr>
          <w:rFonts w:hint="eastAsia" w:ascii="仿宋" w:hAnsi="仿宋" w:eastAsia="仿宋" w:cs="仿宋"/>
          <w:color w:val="auto"/>
          <w:spacing w:val="-1"/>
          <w:sz w:val="32"/>
          <w:szCs w:val="32"/>
          <w:lang w:val="en-US" w:eastAsia="zh-CN"/>
        </w:rPr>
        <w:t xml:space="preserve">                                                                                                                                                                                                                                                                                                                                                                                                                                                                                                                     </w:t>
      </w:r>
    </w:p>
    <w:p w14:paraId="06263966">
      <w:pPr>
        <w:pStyle w:val="2"/>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联合体参加询比采购活动的，联合体应满足本条第3.1</w:t>
      </w:r>
      <w:r>
        <w:rPr>
          <w:rFonts w:hint="eastAsia" w:ascii="仿宋" w:hAnsi="仿宋" w:eastAsia="仿宋" w:cs="仿宋"/>
          <w:color w:val="auto"/>
          <w:spacing w:val="-1"/>
          <w:sz w:val="32"/>
          <w:szCs w:val="32"/>
        </w:rPr>
        <w:t>款规定的要求，且联合体各</w:t>
      </w:r>
      <w:r>
        <w:rPr>
          <w:rFonts w:hint="eastAsia" w:ascii="仿宋" w:hAnsi="仿宋" w:eastAsia="仿宋" w:cs="仿宋"/>
          <w:color w:val="auto"/>
          <w:sz w:val="32"/>
          <w:szCs w:val="32"/>
        </w:rPr>
        <w:t>方均不得存在本条第3.2款规定的情形。此外，联合体</w:t>
      </w:r>
      <w:r>
        <w:rPr>
          <w:rFonts w:hint="eastAsia" w:ascii="仿宋" w:hAnsi="仿宋" w:eastAsia="仿宋" w:cs="仿宋"/>
          <w:color w:val="auto"/>
          <w:spacing w:val="-1"/>
          <w:sz w:val="32"/>
          <w:szCs w:val="32"/>
        </w:rPr>
        <w:t>各方应分别满足如下条件：</w:t>
      </w:r>
      <w:r>
        <w:rPr>
          <w:rFonts w:hint="eastAsia" w:ascii="仿宋" w:hAnsi="仿宋" w:eastAsia="仿宋" w:cs="仿宋"/>
          <w:color w:val="auto"/>
          <w:spacing w:val="-3"/>
          <w:sz w:val="32"/>
          <w:szCs w:val="32"/>
          <w:u w:val="single"/>
          <w:lang w:val="en-US" w:eastAsia="zh-CN"/>
        </w:rPr>
        <w:t xml:space="preserve">  / </w:t>
      </w:r>
    </w:p>
    <w:p w14:paraId="75E2A794">
      <w:pPr>
        <w:pStyle w:val="2"/>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color w:val="auto"/>
          <w:sz w:val="32"/>
          <w:szCs w:val="32"/>
        </w:rPr>
      </w:pPr>
      <w:r>
        <w:rPr>
          <w:rFonts w:hint="eastAsia" w:ascii="仿宋" w:hAnsi="仿宋" w:eastAsia="仿宋" w:cs="仿宋"/>
          <w:color w:val="auto"/>
          <w:spacing w:val="-1"/>
          <w:sz w:val="32"/>
          <w:szCs w:val="32"/>
          <w:lang w:eastAsia="zh-CN"/>
        </w:rPr>
        <w:t>　　</w:t>
      </w:r>
      <w:r>
        <w:rPr>
          <w:rFonts w:hint="eastAsia" w:ascii="仿宋" w:hAnsi="仿宋" w:eastAsia="仿宋" w:cs="仿宋"/>
          <w:color w:val="auto"/>
          <w:spacing w:val="-1"/>
          <w:sz w:val="32"/>
          <w:szCs w:val="32"/>
        </w:rPr>
        <w:t>联合体的资格认定标准如下：</w:t>
      </w:r>
      <w:r>
        <w:rPr>
          <w:rFonts w:hint="eastAsia" w:ascii="仿宋" w:hAnsi="仿宋" w:eastAsia="仿宋" w:cs="仿宋"/>
          <w:color w:val="auto"/>
          <w:spacing w:val="-3"/>
          <w:sz w:val="32"/>
          <w:szCs w:val="32"/>
          <w:u w:val="single"/>
          <w:lang w:val="en-US" w:eastAsia="zh-CN"/>
        </w:rPr>
        <w:t xml:space="preserve">  /  </w:t>
      </w:r>
    </w:p>
    <w:p w14:paraId="4443BFAA">
      <w:pPr>
        <w:pStyle w:val="2"/>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（注：此部分应明确由同一专业或不同专业组成的联合体中各专业的资质、财务、业绩、信誉、主要人员等的认定方法，以最终认定联合体的资格。）</w:t>
      </w:r>
    </w:p>
    <w:p w14:paraId="696FB50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auto"/>
          <w:spacing w:val="-1"/>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联合体应递交联合体协议书，且联合体各方不得再以自己名义单独或参加其他联合体参与本询比采购项目，否则相关</w:t>
      </w:r>
      <w:r>
        <w:rPr>
          <w:rFonts w:hint="eastAsia" w:ascii="仿宋" w:hAnsi="仿宋" w:eastAsia="仿宋" w:cs="仿宋"/>
          <w:color w:val="auto"/>
          <w:sz w:val="32"/>
          <w:szCs w:val="32"/>
          <w:lang w:eastAsia="zh-CN"/>
        </w:rPr>
        <w:t>响应文件</w:t>
      </w:r>
      <w:r>
        <w:rPr>
          <w:rFonts w:hint="eastAsia" w:ascii="仿宋" w:hAnsi="仿宋" w:eastAsia="仿宋" w:cs="仿宋"/>
          <w:color w:val="auto"/>
          <w:spacing w:val="-1"/>
          <w:sz w:val="32"/>
          <w:szCs w:val="32"/>
        </w:rPr>
        <w:t>均无效。</w:t>
      </w:r>
    </w:p>
    <w:p w14:paraId="5275593E">
      <w:pPr>
        <w:pStyle w:val="2"/>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7"/>
          <w:sz w:val="32"/>
          <w:szCs w:val="32"/>
          <w:lang w:eastAsia="zh-CN"/>
        </w:rPr>
        <w:t>　　</w:t>
      </w:r>
      <w:r>
        <w:rPr>
          <w:rFonts w:hint="eastAsia" w:ascii="仿宋" w:hAnsi="仿宋" w:eastAsia="仿宋" w:cs="仿宋"/>
          <w:b/>
          <w:bCs/>
          <w:color w:val="auto"/>
          <w:spacing w:val="-7"/>
          <w:sz w:val="32"/>
          <w:szCs w:val="32"/>
          <w:lang w:val="en-US" w:eastAsia="zh-CN"/>
        </w:rPr>
        <w:t>4</w:t>
      </w:r>
      <w:r>
        <w:rPr>
          <w:rFonts w:hint="eastAsia" w:ascii="仿宋" w:hAnsi="仿宋" w:eastAsia="仿宋" w:cs="仿宋"/>
          <w:b/>
          <w:bCs/>
          <w:color w:val="auto"/>
          <w:spacing w:val="25"/>
          <w:sz w:val="32"/>
          <w:szCs w:val="32"/>
        </w:rPr>
        <w:t xml:space="preserve"> </w:t>
      </w:r>
      <w:r>
        <w:rPr>
          <w:rFonts w:hint="eastAsia" w:ascii="仿宋" w:hAnsi="仿宋" w:eastAsia="仿宋" w:cs="仿宋"/>
          <w:b/>
          <w:bCs/>
          <w:color w:val="auto"/>
          <w:spacing w:val="-7"/>
          <w:sz w:val="32"/>
          <w:szCs w:val="32"/>
          <w:lang w:eastAsia="zh-CN"/>
        </w:rPr>
        <w:t>响应文件</w:t>
      </w:r>
      <w:r>
        <w:rPr>
          <w:rFonts w:hint="eastAsia" w:ascii="仿宋" w:hAnsi="仿宋" w:eastAsia="仿宋" w:cs="仿宋"/>
          <w:b/>
          <w:bCs/>
          <w:color w:val="auto"/>
          <w:spacing w:val="-7"/>
          <w:sz w:val="32"/>
          <w:szCs w:val="32"/>
        </w:rPr>
        <w:t>的递交</w:t>
      </w:r>
    </w:p>
    <w:p w14:paraId="27AA943A">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color w:val="auto"/>
          <w:sz w:val="32"/>
          <w:szCs w:val="32"/>
          <w:lang w:eastAsia="zh-CN"/>
        </w:rPr>
      </w:pPr>
      <w:r>
        <w:rPr>
          <w:rFonts w:hint="eastAsia" w:ascii="仿宋" w:hAnsi="仿宋" w:eastAsia="仿宋" w:cs="仿宋"/>
          <w:color w:val="auto"/>
          <w:spacing w:val="-4"/>
          <w:sz w:val="32"/>
          <w:szCs w:val="32"/>
          <w:lang w:val="en-US" w:eastAsia="zh-CN"/>
        </w:rPr>
        <w:t>4</w:t>
      </w:r>
      <w:r>
        <w:rPr>
          <w:rFonts w:hint="eastAsia" w:ascii="仿宋" w:hAnsi="仿宋" w:eastAsia="仿宋" w:cs="仿宋"/>
          <w:color w:val="auto"/>
          <w:spacing w:val="-4"/>
          <w:sz w:val="32"/>
          <w:szCs w:val="32"/>
        </w:rPr>
        <w:t xml:space="preserve">.1 </w:t>
      </w:r>
      <w:r>
        <w:rPr>
          <w:rFonts w:hint="eastAsia" w:ascii="仿宋" w:hAnsi="仿宋" w:eastAsia="仿宋" w:cs="仿宋"/>
          <w:color w:val="auto"/>
          <w:spacing w:val="-4"/>
          <w:sz w:val="32"/>
          <w:szCs w:val="32"/>
          <w:lang w:eastAsia="zh-CN"/>
        </w:rPr>
        <w:t>响应文件</w:t>
      </w:r>
      <w:r>
        <w:rPr>
          <w:rFonts w:hint="eastAsia" w:ascii="仿宋" w:hAnsi="仿宋" w:eastAsia="仿宋" w:cs="仿宋"/>
          <w:color w:val="auto"/>
          <w:spacing w:val="-4"/>
          <w:sz w:val="32"/>
          <w:szCs w:val="32"/>
        </w:rPr>
        <w:t>递交的截止时间</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val="en-US" w:eastAsia="zh-CN"/>
        </w:rPr>
        <w:t>2026</w:t>
      </w:r>
      <w:r>
        <w:rPr>
          <w:rFonts w:hint="eastAsia" w:ascii="仿宋" w:hAnsi="仿宋" w:eastAsia="仿宋" w:cs="仿宋"/>
          <w:color w:val="auto"/>
          <w:spacing w:val="-4"/>
          <w:sz w:val="32"/>
          <w:szCs w:val="32"/>
        </w:rPr>
        <w:t>年</w:t>
      </w:r>
      <w:r>
        <w:rPr>
          <w:rFonts w:hint="eastAsia" w:ascii="仿宋" w:hAnsi="仿宋" w:eastAsia="仿宋" w:cs="仿宋"/>
          <w:color w:val="auto"/>
          <w:spacing w:val="-4"/>
          <w:sz w:val="32"/>
          <w:szCs w:val="32"/>
          <w:lang w:val="en-US" w:eastAsia="zh-CN"/>
        </w:rPr>
        <w:t xml:space="preserve"> 1 </w:t>
      </w:r>
      <w:r>
        <w:rPr>
          <w:rFonts w:hint="eastAsia" w:ascii="仿宋" w:hAnsi="仿宋" w:eastAsia="仿宋" w:cs="仿宋"/>
          <w:color w:val="auto"/>
          <w:spacing w:val="-4"/>
          <w:sz w:val="32"/>
          <w:szCs w:val="32"/>
        </w:rPr>
        <w:t>月</w:t>
      </w:r>
      <w:r>
        <w:rPr>
          <w:rFonts w:hint="eastAsia" w:ascii="仿宋" w:hAnsi="仿宋" w:eastAsia="仿宋" w:cs="仿宋"/>
          <w:color w:val="auto"/>
          <w:spacing w:val="-4"/>
          <w:sz w:val="32"/>
          <w:szCs w:val="32"/>
          <w:lang w:val="en-US" w:eastAsia="zh-CN"/>
        </w:rPr>
        <w:t xml:space="preserve"> 28 </w:t>
      </w:r>
      <w:r>
        <w:rPr>
          <w:rFonts w:hint="eastAsia" w:ascii="仿宋" w:hAnsi="仿宋" w:eastAsia="仿宋" w:cs="仿宋"/>
          <w:color w:val="auto"/>
          <w:spacing w:val="-4"/>
          <w:sz w:val="32"/>
          <w:szCs w:val="32"/>
        </w:rPr>
        <w:t>日</w:t>
      </w:r>
      <w:r>
        <w:rPr>
          <w:rFonts w:hint="eastAsia" w:ascii="仿宋" w:hAnsi="仿宋" w:eastAsia="仿宋" w:cs="仿宋"/>
          <w:color w:val="auto"/>
          <w:spacing w:val="-4"/>
          <w:sz w:val="32"/>
          <w:szCs w:val="32"/>
          <w:lang w:val="en-US" w:eastAsia="zh-CN"/>
        </w:rPr>
        <w:t xml:space="preserve"> 15:00</w:t>
      </w:r>
      <w:r>
        <w:rPr>
          <w:rFonts w:hint="eastAsia" w:ascii="仿宋" w:hAnsi="仿宋" w:eastAsia="仿宋" w:cs="仿宋"/>
          <w:color w:val="auto"/>
          <w:spacing w:val="-4"/>
          <w:sz w:val="32"/>
          <w:szCs w:val="32"/>
        </w:rPr>
        <w:t>。</w:t>
      </w:r>
      <w:r>
        <w:rPr>
          <w:rFonts w:hint="eastAsia" w:ascii="仿宋" w:hAnsi="仿宋" w:eastAsia="仿宋" w:cs="仿宋"/>
          <w:color w:val="auto"/>
          <w:spacing w:val="-4"/>
          <w:sz w:val="32"/>
          <w:szCs w:val="32"/>
          <w:lang w:eastAsia="zh-CN"/>
        </w:rPr>
        <w:t>各单位</w:t>
      </w:r>
      <w:r>
        <w:rPr>
          <w:rFonts w:hint="eastAsia" w:ascii="仿宋" w:hAnsi="仿宋" w:eastAsia="仿宋" w:cs="仿宋"/>
          <w:color w:val="auto"/>
          <w:spacing w:val="-4"/>
          <w:sz w:val="32"/>
          <w:szCs w:val="32"/>
        </w:rPr>
        <w:t>应在</w:t>
      </w:r>
      <w:r>
        <w:rPr>
          <w:rFonts w:hint="eastAsia" w:ascii="仿宋" w:hAnsi="仿宋" w:eastAsia="仿宋" w:cs="仿宋"/>
          <w:color w:val="auto"/>
          <w:spacing w:val="-4"/>
          <w:sz w:val="32"/>
          <w:szCs w:val="32"/>
          <w:lang w:eastAsia="zh-CN"/>
        </w:rPr>
        <w:t>中机国际电子采购平台上传</w:t>
      </w:r>
      <w:r>
        <w:rPr>
          <w:rFonts w:hint="eastAsia" w:ascii="仿宋" w:hAnsi="仿宋" w:eastAsia="仿宋" w:cs="仿宋"/>
          <w:color w:val="auto"/>
          <w:spacing w:val="-4"/>
          <w:sz w:val="32"/>
          <w:szCs w:val="32"/>
        </w:rPr>
        <w:t>电子版</w:t>
      </w:r>
      <w:r>
        <w:rPr>
          <w:rFonts w:hint="eastAsia" w:ascii="仿宋" w:hAnsi="仿宋" w:eastAsia="仿宋" w:cs="仿宋"/>
          <w:color w:val="auto"/>
          <w:spacing w:val="-4"/>
          <w:sz w:val="32"/>
          <w:szCs w:val="32"/>
          <w:lang w:eastAsia="zh-CN"/>
        </w:rPr>
        <w:t>响应文件或递交纸质版密封响应文件至</w:t>
      </w:r>
      <w:r>
        <w:rPr>
          <w:rFonts w:hint="eastAsia" w:ascii="仿宋" w:hAnsi="仿宋" w:eastAsia="仿宋" w:cs="仿宋"/>
          <w:color w:val="auto"/>
          <w:spacing w:val="-4"/>
          <w:sz w:val="32"/>
          <w:szCs w:val="32"/>
          <w:u w:val="single"/>
          <w:lang w:val="en-US" w:eastAsia="zh-CN"/>
        </w:rPr>
        <w:t xml:space="preserve">  湖南省长沙市雨花区韶山中路18号中机国际B座23楼  </w:t>
      </w:r>
      <w:r>
        <w:rPr>
          <w:rFonts w:hint="eastAsia" w:ascii="仿宋" w:hAnsi="仿宋" w:eastAsia="仿宋" w:cs="仿宋"/>
          <w:color w:val="auto"/>
          <w:spacing w:val="-4"/>
          <w:sz w:val="32"/>
          <w:szCs w:val="32"/>
          <w:lang w:eastAsia="zh-CN"/>
        </w:rPr>
        <w:t>。</w:t>
      </w:r>
    </w:p>
    <w:p w14:paraId="60921743">
      <w:pPr>
        <w:pStyle w:val="2"/>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color w:val="auto"/>
          <w:sz w:val="32"/>
          <w:szCs w:val="32"/>
        </w:rPr>
      </w:pPr>
      <w:r>
        <w:rPr>
          <w:rFonts w:hint="eastAsia" w:ascii="仿宋" w:hAnsi="仿宋" w:eastAsia="仿宋" w:cs="仿宋"/>
          <w:color w:val="auto"/>
          <w:spacing w:val="-3"/>
          <w:sz w:val="32"/>
          <w:szCs w:val="32"/>
          <w:lang w:eastAsia="zh-CN"/>
        </w:rPr>
        <w:t>　　</w:t>
      </w:r>
      <w:r>
        <w:rPr>
          <w:rFonts w:hint="eastAsia" w:ascii="仿宋" w:hAnsi="仿宋" w:eastAsia="仿宋" w:cs="仿宋"/>
          <w:b/>
          <w:bCs/>
          <w:color w:val="auto"/>
          <w:spacing w:val="-3"/>
          <w:sz w:val="32"/>
          <w:szCs w:val="32"/>
          <w:lang w:val="en-US" w:eastAsia="zh-CN"/>
        </w:rPr>
        <w:t>5</w:t>
      </w:r>
      <w:r>
        <w:rPr>
          <w:rFonts w:hint="eastAsia" w:ascii="仿宋" w:hAnsi="仿宋" w:eastAsia="仿宋" w:cs="仿宋"/>
          <w:b/>
          <w:bCs/>
          <w:color w:val="auto"/>
          <w:spacing w:val="-3"/>
          <w:sz w:val="32"/>
          <w:szCs w:val="32"/>
        </w:rPr>
        <w:t xml:space="preserve"> </w:t>
      </w:r>
      <w:r>
        <w:rPr>
          <w:rFonts w:hint="eastAsia" w:ascii="仿宋" w:hAnsi="仿宋" w:eastAsia="仿宋" w:cs="仿宋"/>
          <w:b/>
          <w:bCs/>
          <w:color w:val="auto"/>
          <w:spacing w:val="-3"/>
          <w:sz w:val="32"/>
          <w:szCs w:val="32"/>
          <w:lang w:eastAsia="zh-CN"/>
        </w:rPr>
        <w:t>响应文件</w:t>
      </w:r>
      <w:r>
        <w:rPr>
          <w:rFonts w:hint="eastAsia" w:ascii="仿宋" w:hAnsi="仿宋" w:eastAsia="仿宋" w:cs="仿宋"/>
          <w:b/>
          <w:bCs/>
          <w:color w:val="auto"/>
          <w:spacing w:val="-3"/>
          <w:sz w:val="32"/>
          <w:szCs w:val="32"/>
        </w:rPr>
        <w:t>开启时间和地点</w:t>
      </w:r>
    </w:p>
    <w:p w14:paraId="5CAA0DC3">
      <w:pPr>
        <w:pStyle w:val="2"/>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auto"/>
          <w:spacing w:val="-3"/>
          <w:sz w:val="32"/>
          <w:szCs w:val="32"/>
        </w:rPr>
      </w:pPr>
      <w:r>
        <w:rPr>
          <w:rFonts w:hint="eastAsia" w:ascii="仿宋" w:hAnsi="仿宋" w:eastAsia="仿宋" w:cs="仿宋"/>
          <w:color w:val="auto"/>
          <w:spacing w:val="-2"/>
          <w:sz w:val="32"/>
          <w:szCs w:val="32"/>
          <w:lang w:eastAsia="zh-CN"/>
        </w:rPr>
        <w:t>　　响应文件</w:t>
      </w:r>
      <w:r>
        <w:rPr>
          <w:rFonts w:hint="eastAsia" w:ascii="仿宋" w:hAnsi="仿宋" w:eastAsia="仿宋" w:cs="仿宋"/>
          <w:color w:val="auto"/>
          <w:spacing w:val="-2"/>
          <w:sz w:val="32"/>
          <w:szCs w:val="32"/>
        </w:rPr>
        <w:t>开启在</w:t>
      </w:r>
      <w:r>
        <w:rPr>
          <w:rFonts w:hint="eastAsia" w:ascii="仿宋" w:hAnsi="仿宋" w:eastAsia="仿宋" w:cs="仿宋"/>
          <w:color w:val="auto"/>
          <w:spacing w:val="-2"/>
          <w:sz w:val="32"/>
          <w:szCs w:val="32"/>
          <w:lang w:eastAsia="zh-CN"/>
        </w:rPr>
        <w:t>响应文件</w:t>
      </w:r>
      <w:r>
        <w:rPr>
          <w:rFonts w:hint="eastAsia" w:ascii="仿宋" w:hAnsi="仿宋" w:eastAsia="仿宋" w:cs="仿宋"/>
          <w:color w:val="auto"/>
          <w:spacing w:val="-2"/>
          <w:sz w:val="32"/>
          <w:szCs w:val="32"/>
        </w:rPr>
        <w:t>递交截止时间的同一时间进行，地点为</w:t>
      </w:r>
      <w:r>
        <w:rPr>
          <w:rFonts w:hint="eastAsia" w:ascii="仿宋" w:hAnsi="仿宋" w:eastAsia="仿宋" w:cs="仿宋"/>
          <w:color w:val="auto"/>
          <w:spacing w:val="-2"/>
          <w:sz w:val="32"/>
          <w:szCs w:val="32"/>
          <w:lang w:eastAsia="zh-CN"/>
        </w:rPr>
        <w:t>响应文件</w:t>
      </w:r>
      <w:r>
        <w:rPr>
          <w:rFonts w:hint="eastAsia" w:ascii="仿宋" w:hAnsi="仿宋" w:eastAsia="仿宋" w:cs="仿宋"/>
          <w:color w:val="auto"/>
          <w:spacing w:val="-2"/>
          <w:sz w:val="32"/>
          <w:szCs w:val="32"/>
        </w:rPr>
        <w:t>递交地点。</w:t>
      </w:r>
      <w:r>
        <w:rPr>
          <w:rFonts w:hint="eastAsia" w:ascii="仿宋" w:hAnsi="仿宋" w:eastAsia="仿宋" w:cs="仿宋"/>
          <w:color w:val="auto"/>
          <w:sz w:val="32"/>
          <w:szCs w:val="32"/>
        </w:rPr>
        <w:t>邀请所有供应商的法定代表人（单位负责人）或其授权的代理人参</w:t>
      </w:r>
      <w:r>
        <w:rPr>
          <w:rFonts w:hint="eastAsia" w:ascii="仿宋" w:hAnsi="仿宋" w:eastAsia="仿宋" w:cs="仿宋"/>
          <w:color w:val="auto"/>
          <w:spacing w:val="-1"/>
          <w:sz w:val="32"/>
          <w:szCs w:val="32"/>
        </w:rPr>
        <w:t>加开启会议，供应商未派代表参加开启会议的，视为默认开启结果。</w:t>
      </w:r>
    </w:p>
    <w:p w14:paraId="1AC3D64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auto"/>
          <w:spacing w:val="-10"/>
          <w:sz w:val="32"/>
          <w:szCs w:val="32"/>
        </w:rPr>
      </w:pPr>
      <w:r>
        <w:rPr>
          <w:rFonts w:hint="eastAsia" w:ascii="仿宋" w:hAnsi="仿宋" w:eastAsia="仿宋" w:cs="仿宋"/>
          <w:color w:val="auto"/>
          <w:spacing w:val="-14"/>
          <w:sz w:val="32"/>
          <w:szCs w:val="32"/>
          <w:lang w:eastAsia="zh-CN"/>
        </w:rPr>
        <w:t>　　</w:t>
      </w:r>
      <w:r>
        <w:rPr>
          <w:rFonts w:hint="eastAsia" w:ascii="仿宋" w:hAnsi="仿宋" w:eastAsia="仿宋" w:cs="仿宋"/>
          <w:b/>
          <w:bCs/>
          <w:color w:val="auto"/>
          <w:spacing w:val="-14"/>
          <w:sz w:val="32"/>
          <w:szCs w:val="32"/>
          <w:lang w:val="en-US" w:eastAsia="zh-CN"/>
        </w:rPr>
        <w:t>6</w:t>
      </w:r>
      <w:r>
        <w:rPr>
          <w:rFonts w:hint="eastAsia" w:ascii="仿宋" w:hAnsi="仿宋" w:eastAsia="仿宋" w:cs="仿宋"/>
          <w:b/>
          <w:bCs/>
          <w:color w:val="auto"/>
          <w:spacing w:val="12"/>
          <w:sz w:val="32"/>
          <w:szCs w:val="32"/>
        </w:rPr>
        <w:t xml:space="preserve"> </w:t>
      </w:r>
      <w:r>
        <w:rPr>
          <w:rFonts w:hint="eastAsia" w:ascii="仿宋" w:hAnsi="仿宋" w:eastAsia="仿宋" w:cs="仿宋"/>
          <w:b/>
          <w:bCs/>
          <w:color w:val="auto"/>
          <w:spacing w:val="11"/>
          <w:sz w:val="32"/>
          <w:szCs w:val="32"/>
        </w:rPr>
        <w:t xml:space="preserve"> </w:t>
      </w:r>
      <w:r>
        <w:rPr>
          <w:rFonts w:hint="eastAsia" w:ascii="仿宋" w:hAnsi="仿宋" w:eastAsia="仿宋" w:cs="仿宋"/>
          <w:b/>
          <w:bCs/>
          <w:color w:val="auto"/>
          <w:spacing w:val="-10"/>
          <w:sz w:val="32"/>
          <w:szCs w:val="32"/>
        </w:rPr>
        <w:t>联系方式</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520CD3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采购人：</w:t>
            </w:r>
          </w:p>
        </w:tc>
        <w:tc>
          <w:tcPr>
            <w:tcW w:w="4261" w:type="dxa"/>
            <w:tcBorders>
              <w:top w:val="nil"/>
              <w:left w:val="nil"/>
              <w:bottom w:val="nil"/>
              <w:right w:val="nil"/>
            </w:tcBorders>
            <w:shd w:val="clear" w:color="auto" w:fill="FFFFFF"/>
            <w:vAlign w:val="top"/>
          </w:tcPr>
          <w:p w14:paraId="14607D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auto"/>
                <w:spacing w:val="-10"/>
                <w:kern w:val="0"/>
                <w:sz w:val="32"/>
                <w:szCs w:val="32"/>
                <w:vertAlign w:val="baseline"/>
                <w:lang w:val="en-US" w:eastAsia="zh-CN" w:bidi="ar-SA"/>
              </w:rPr>
            </w:pPr>
            <w:r>
              <w:rPr>
                <w:rFonts w:hint="eastAsia" w:ascii="仿宋" w:hAnsi="仿宋" w:eastAsia="仿宋" w:cs="仿宋"/>
                <w:b w:val="0"/>
                <w:snapToGrid w:val="0"/>
                <w:color w:val="auto"/>
                <w:spacing w:val="-10"/>
                <w:kern w:val="0"/>
                <w:sz w:val="32"/>
                <w:szCs w:val="32"/>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地址：</w:t>
            </w:r>
          </w:p>
        </w:tc>
        <w:tc>
          <w:tcPr>
            <w:tcW w:w="4261" w:type="dxa"/>
            <w:tcBorders>
              <w:top w:val="nil"/>
              <w:left w:val="nil"/>
              <w:bottom w:val="nil"/>
              <w:right w:val="nil"/>
            </w:tcBorders>
            <w:shd w:val="clear" w:color="auto" w:fill="FFFFFF"/>
            <w:vAlign w:val="top"/>
          </w:tcPr>
          <w:p w14:paraId="00DABAA8">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eastAsia" w:ascii="仿宋" w:hAnsi="仿宋" w:eastAsia="仿宋" w:cs="仿宋"/>
                <w:b w:val="0"/>
                <w:snapToGrid w:val="0"/>
                <w:color w:val="auto"/>
                <w:spacing w:val="-10"/>
                <w:kern w:val="0"/>
                <w:sz w:val="32"/>
                <w:szCs w:val="32"/>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邮政编码：</w:t>
            </w:r>
          </w:p>
        </w:tc>
        <w:tc>
          <w:tcPr>
            <w:tcW w:w="4261" w:type="dxa"/>
            <w:tcBorders>
              <w:top w:val="nil"/>
              <w:left w:val="nil"/>
              <w:bottom w:val="nil"/>
              <w:right w:val="nil"/>
            </w:tcBorders>
            <w:shd w:val="clear" w:color="auto" w:fill="FFFFFF"/>
            <w:vAlign w:val="top"/>
          </w:tcPr>
          <w:p w14:paraId="567092EB">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eastAsia" w:ascii="仿宋" w:hAnsi="仿宋" w:eastAsia="仿宋" w:cs="仿宋"/>
                <w:b w:val="0"/>
                <w:snapToGrid w:val="0"/>
                <w:color w:val="auto"/>
                <w:spacing w:val="-10"/>
                <w:kern w:val="0"/>
                <w:sz w:val="32"/>
                <w:szCs w:val="32"/>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联系人：</w:t>
            </w:r>
          </w:p>
        </w:tc>
        <w:tc>
          <w:tcPr>
            <w:tcW w:w="4261" w:type="dxa"/>
            <w:tcBorders>
              <w:top w:val="nil"/>
              <w:left w:val="nil"/>
              <w:bottom w:val="nil"/>
              <w:right w:val="nil"/>
            </w:tcBorders>
            <w:shd w:val="clear" w:color="auto" w:fill="FFFFFF"/>
            <w:vAlign w:val="top"/>
          </w:tcPr>
          <w:p w14:paraId="65578ED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auto"/>
                <w:spacing w:val="-10"/>
                <w:kern w:val="0"/>
                <w:sz w:val="32"/>
                <w:szCs w:val="32"/>
                <w:vertAlign w:val="baseline"/>
                <w:lang w:val="en-US" w:eastAsia="zh-CN" w:bidi="ar-SA"/>
              </w:rPr>
            </w:pPr>
            <w:r>
              <w:rPr>
                <w:rFonts w:hint="eastAsia" w:ascii="仿宋" w:hAnsi="仿宋" w:eastAsia="仿宋" w:cs="仿宋"/>
                <w:b w:val="0"/>
                <w:snapToGrid w:val="0"/>
                <w:color w:val="auto"/>
                <w:spacing w:val="-10"/>
                <w:kern w:val="0"/>
                <w:sz w:val="32"/>
                <w:szCs w:val="32"/>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电话：</w:t>
            </w:r>
          </w:p>
        </w:tc>
        <w:tc>
          <w:tcPr>
            <w:tcW w:w="4261" w:type="dxa"/>
            <w:tcBorders>
              <w:top w:val="nil"/>
              <w:left w:val="nil"/>
              <w:bottom w:val="nil"/>
              <w:right w:val="nil"/>
            </w:tcBorders>
            <w:shd w:val="clear" w:color="auto" w:fill="FFFFFF"/>
            <w:vAlign w:val="top"/>
          </w:tcPr>
          <w:p w14:paraId="31427DEF">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default" w:ascii="Times New Roman" w:hAnsi="Times New Roman" w:eastAsia="仿宋" w:cs="Times New Roman"/>
                <w:b w:val="0"/>
                <w:snapToGrid w:val="0"/>
                <w:color w:val="auto"/>
                <w:spacing w:val="-10"/>
                <w:kern w:val="0"/>
                <w:sz w:val="32"/>
                <w:szCs w:val="32"/>
                <w:vertAlign w:val="baseline"/>
                <w:lang w:val="en-US" w:eastAsia="en-US" w:bidi="ar-SA"/>
              </w:rPr>
              <w:t>17798762000</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600394D">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auto"/>
                <w:spacing w:val="-10"/>
                <w:sz w:val="32"/>
                <w:szCs w:val="32"/>
                <w:vertAlign w:val="baseline"/>
              </w:rPr>
            </w:pPr>
            <w:r>
              <w:rPr>
                <w:rFonts w:hint="eastAsia" w:ascii="仿宋" w:hAnsi="仿宋" w:eastAsia="仿宋" w:cs="仿宋"/>
                <w:b w:val="0"/>
                <w:color w:val="auto"/>
                <w:spacing w:val="-10"/>
                <w:sz w:val="32"/>
                <w:szCs w:val="32"/>
                <w:lang w:eastAsia="zh-CN"/>
              </w:rPr>
              <w:t>电子邮箱：</w:t>
            </w:r>
          </w:p>
        </w:tc>
        <w:tc>
          <w:tcPr>
            <w:tcW w:w="4261" w:type="dxa"/>
            <w:tcBorders>
              <w:top w:val="nil"/>
              <w:left w:val="nil"/>
              <w:bottom w:val="nil"/>
              <w:right w:val="nil"/>
            </w:tcBorders>
            <w:shd w:val="clear" w:color="auto" w:fill="FFFFFF"/>
            <w:vAlign w:val="top"/>
          </w:tcPr>
          <w:p w14:paraId="5B8C71BE">
            <w:pPr>
              <w:pStyle w:val="2"/>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auto"/>
                <w:spacing w:val="-10"/>
                <w:kern w:val="0"/>
                <w:sz w:val="32"/>
                <w:szCs w:val="32"/>
                <w:vertAlign w:val="baseline"/>
                <w:lang w:val="en-US" w:eastAsia="en-US" w:bidi="ar-SA"/>
              </w:rPr>
            </w:pPr>
            <w:r>
              <w:rPr>
                <w:rFonts w:hint="default" w:ascii="Times New Roman" w:hAnsi="Times New Roman" w:eastAsia="仿宋" w:cs="Times New Roman"/>
                <w:b w:val="0"/>
                <w:snapToGrid w:val="0"/>
                <w:color w:val="auto"/>
                <w:spacing w:val="-10"/>
                <w:kern w:val="0"/>
                <w:sz w:val="32"/>
                <w:szCs w:val="32"/>
                <w:vertAlign w:val="baseline"/>
                <w:lang w:val="en-US" w:eastAsia="en-US" w:bidi="ar-SA"/>
              </w:rPr>
              <w:t>1285473834@qq.com</w:t>
            </w:r>
          </w:p>
        </w:tc>
      </w:tr>
    </w:tbl>
    <w:p w14:paraId="6CE53AA5">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color w:val="auto"/>
          <w:sz w:val="32"/>
          <w:szCs w:val="32"/>
        </w:rPr>
      </w:pPr>
    </w:p>
    <w:p w14:paraId="35C14600">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lang w:val="en-US" w:eastAsia="zh-CN"/>
        </w:rPr>
        <w:t>2025</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17"/>
          <w:sz w:val="32"/>
          <w:szCs w:val="32"/>
        </w:rPr>
        <w:t>年</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lang w:val="en-US" w:eastAsia="zh-CN"/>
        </w:rPr>
        <w:t>1</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17"/>
          <w:sz w:val="32"/>
          <w:szCs w:val="32"/>
        </w:rPr>
        <w:t>月</w:t>
      </w:r>
      <w:r>
        <w:rPr>
          <w:rFonts w:hint="eastAsia" w:ascii="仿宋" w:hAnsi="仿宋" w:eastAsia="仿宋" w:cs="仿宋"/>
          <w:color w:val="auto"/>
          <w:spacing w:val="-17"/>
          <w:sz w:val="32"/>
          <w:szCs w:val="32"/>
          <w:u w:val="single"/>
        </w:rPr>
        <w:t xml:space="preserve"> </w:t>
      </w:r>
      <w:r>
        <w:rPr>
          <w:rFonts w:hint="eastAsia" w:ascii="仿宋" w:hAnsi="仿宋" w:eastAsia="仿宋" w:cs="仿宋"/>
          <w:color w:val="auto"/>
          <w:spacing w:val="-17"/>
          <w:sz w:val="32"/>
          <w:szCs w:val="32"/>
          <w:u w:val="single"/>
          <w:lang w:val="en-US" w:eastAsia="zh-CN"/>
        </w:rPr>
        <w:t xml:space="preserve">24 </w:t>
      </w:r>
      <w:r>
        <w:rPr>
          <w:rFonts w:hint="eastAsia" w:ascii="仿宋" w:hAnsi="仿宋" w:eastAsia="仿宋" w:cs="仿宋"/>
          <w:color w:val="auto"/>
          <w:spacing w:val="-17"/>
          <w:sz w:val="32"/>
          <w:szCs w:val="32"/>
          <w:u w:val="single"/>
        </w:rPr>
        <w:t xml:space="preserve"> </w:t>
      </w:r>
      <w:r>
        <w:rPr>
          <w:rFonts w:hint="eastAsia" w:ascii="仿宋" w:hAnsi="仿宋" w:eastAsia="仿宋" w:cs="仿宋"/>
          <w:color w:val="auto"/>
          <w:spacing w:val="-17"/>
          <w:sz w:val="32"/>
          <w:szCs w:val="32"/>
        </w:rPr>
        <w:t>日</w:t>
      </w:r>
    </w:p>
    <w:p w14:paraId="5992871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32"/>
          <w:szCs w:val="3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1.9（</w:t>
            </w:r>
            <w:r>
              <w:rPr>
                <w:rFonts w:hint="eastAsia" w:ascii="仿宋" w:hAnsi="仿宋" w:eastAsia="仿宋" w:cs="仿宋"/>
                <w:color w:val="auto"/>
                <w:sz w:val="28"/>
                <w:szCs w:val="28"/>
                <w:lang w:eastAsia="zh-CN"/>
              </w:rPr>
              <w:t>工程</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混凝土（二）</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对分包供应商的要求：</w:t>
            </w:r>
            <w:r>
              <w:rPr>
                <w:rFonts w:hint="eastAsia" w:ascii="仿宋" w:hAnsi="仿宋" w:eastAsia="仿宋" w:cs="仿宋"/>
                <w:color w:val="auto"/>
                <w:sz w:val="28"/>
                <w:szCs w:val="28"/>
                <w:lang w:val="en-US" w:eastAsia="zh-CN"/>
              </w:rPr>
              <w:t>/</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允许偏差的项数：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资料名称：</w:t>
            </w:r>
            <w:r>
              <w:rPr>
                <w:rFonts w:hint="eastAsia" w:ascii="仿宋" w:hAnsi="仿宋" w:eastAsia="仿宋" w:cs="仿宋"/>
                <w:color w:val="auto"/>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截止时间：</w:t>
            </w:r>
            <w:r>
              <w:rPr>
                <w:rFonts w:hint="eastAsia" w:ascii="仿宋" w:hAnsi="仿宋" w:eastAsia="仿宋" w:cs="仿宋"/>
                <w:color w:val="auto"/>
                <w:sz w:val="28"/>
                <w:szCs w:val="28"/>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资料名称：</w:t>
            </w:r>
            <w:r>
              <w:rPr>
                <w:rFonts w:hint="eastAsia" w:ascii="仿宋" w:hAnsi="仿宋" w:eastAsia="仿宋" w:cs="仿宋"/>
                <w:color w:val="auto"/>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□有，最高限价或其计算方法：</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r>
              <w:rPr>
                <w:rFonts w:hint="eastAsia" w:ascii="仿宋" w:hAnsi="仿宋" w:eastAsia="仿宋" w:cs="仿宋"/>
                <w:color w:val="auto"/>
                <w:sz w:val="28"/>
                <w:szCs w:val="28"/>
                <w:lang w:eastAsia="zh-CN"/>
              </w:rPr>
              <w:t>。供应商需具备增值税一般纳税人资格，需随报价文件提交电子税务局一般纳税人查询截图(清晰显示纳税人名称、统一社会信用代码、资格状态及查询日期)或税务局出具的一般纳税人认定文书(盖公章且在有效期内。</w:t>
            </w:r>
          </w:p>
          <w:p w14:paraId="76D46370">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color w:val="auto"/>
                <w:sz w:val="28"/>
                <w:szCs w:val="28"/>
                <w:lang w:val="en-US" w:eastAsia="zh-CN"/>
              </w:rPr>
              <w:t xml:space="preserve">2023 </w:t>
            </w:r>
            <w:r>
              <w:rPr>
                <w:rFonts w:hint="eastAsia" w:ascii="仿宋" w:hAnsi="仿宋" w:eastAsia="仿宋" w:cs="仿宋"/>
                <w:color w:val="auto"/>
                <w:sz w:val="28"/>
                <w:szCs w:val="28"/>
              </w:rPr>
              <w:t xml:space="preserve">至 </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 xml:space="preserve"> 年（供应商的成立时间少于该规定年份的，应提供成立以来的财务会计报表）</w:t>
            </w:r>
          </w:p>
          <w:p w14:paraId="7F522BA0">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□适用。供应商应提供近年财务会计报表复印件，包括资产负债表、利润表。近年财务会计报表年份是指：    至     年（供应商的成立时间少于该规定年份的，应提供成立以来的财务会计报表）</w:t>
            </w:r>
          </w:p>
          <w:p w14:paraId="511DEF5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4"/>
                <w:szCs w:val="24"/>
              </w:rPr>
              <w:t>（注:有财务要求的，应选择两种财务会计报表中的一种作为财务证明资料。）</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适用。供应商应提供近年的类似项目情况表（格式见第六章“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格式”七、资格审查资料（三）近年的类似项目情况表），以证明供应商具有承担本项目要求的业绩。近年是指：</w:t>
            </w:r>
            <w:r>
              <w:rPr>
                <w:rFonts w:hint="eastAsia" w:ascii="仿宋" w:hAnsi="仿宋" w:eastAsia="仿宋" w:cs="仿宋"/>
                <w:color w:val="auto"/>
                <w:sz w:val="28"/>
                <w:szCs w:val="28"/>
                <w:lang w:val="en-US" w:eastAsia="zh-CN"/>
              </w:rPr>
              <w:t xml:space="preserve">2023 </w:t>
            </w:r>
            <w:r>
              <w:rPr>
                <w:rFonts w:hint="eastAsia" w:ascii="仿宋" w:hAnsi="仿宋" w:eastAsia="仿宋" w:cs="仿宋"/>
                <w:color w:val="auto"/>
                <w:sz w:val="28"/>
                <w:szCs w:val="28"/>
              </w:rPr>
              <w:t xml:space="preserve">至 </w:t>
            </w:r>
            <w:r>
              <w:rPr>
                <w:rFonts w:hint="eastAsia" w:ascii="仿宋" w:hAnsi="仿宋" w:eastAsia="仿宋" w:cs="仿宋"/>
                <w:color w:val="auto"/>
                <w:sz w:val="28"/>
                <w:szCs w:val="28"/>
                <w:lang w:val="en-US" w:eastAsia="zh-CN"/>
              </w:rPr>
              <w:t>2025</w:t>
            </w:r>
            <w:r>
              <w:rPr>
                <w:rFonts w:hint="eastAsia" w:ascii="仿宋" w:hAnsi="仿宋" w:eastAsia="仿宋" w:cs="仿宋"/>
                <w:color w:val="auto"/>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15C49D4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□适用。供应商应提供拟委任的主要人员汇总表和主要人员简历表（格式见第六章“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6BCB714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4"/>
                <w:szCs w:val="24"/>
              </w:rPr>
              <w:t>（注:一般工程和服务项目有本项要求。采购人可在此处明确对有关人员职称证书、执业证书、社保缴费证明及业绩证明等的具体要求。）</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供应商不存在第一章</w:t>
            </w:r>
            <w:r>
              <w:rPr>
                <w:rFonts w:hint="eastAsia" w:ascii="仿宋" w:hAnsi="仿宋" w:eastAsia="仿宋" w:cs="仿宋"/>
                <w:color w:val="auto"/>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□适用。供应商应按照采购文件提供的格式（格式见第六章“</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副本</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是否要求提供电子版</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要求，提供电子版</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的形式：</w:t>
            </w:r>
            <w:r>
              <w:rPr>
                <w:rFonts w:hint="eastAsia" w:ascii="仿宋" w:hAnsi="仿宋" w:eastAsia="仿宋" w:cs="仿宋"/>
                <w:color w:val="auto"/>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4.2.</w:t>
            </w:r>
            <w:r>
              <w:rPr>
                <w:rFonts w:hint="eastAsia" w:ascii="仿宋" w:hAnsi="仿宋" w:eastAsia="仿宋" w:cs="仿宋"/>
                <w:color w:val="auto"/>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r>
              <w:rPr>
                <w:rFonts w:hint="eastAsia" w:ascii="仿宋" w:hAnsi="仿宋" w:eastAsia="仿宋" w:cs="仿宋"/>
                <w:color w:val="auto"/>
                <w:sz w:val="28"/>
                <w:szCs w:val="28"/>
              </w:rPr>
              <w:t>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截止时间：2026年 1 月 </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 xml:space="preserve"> 日 15:</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w:t>
            </w:r>
          </w:p>
          <w:p w14:paraId="71EC1224">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28"/>
                <w:szCs w:val="28"/>
              </w:rPr>
              <w:t>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的地点：</w:t>
            </w:r>
            <w:r>
              <w:rPr>
                <w:rFonts w:hint="eastAsia" w:ascii="仿宋" w:hAnsi="仿宋" w:eastAsia="仿宋" w:cs="仿宋"/>
                <w:color w:val="auto"/>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自采购人收到供应商的书面通知之日起</w:t>
            </w:r>
            <w:r>
              <w:rPr>
                <w:rFonts w:hint="eastAsia" w:ascii="仿宋" w:hAnsi="仿宋" w:eastAsia="仿宋" w:cs="仿宋"/>
                <w:color w:val="auto"/>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w:t>
            </w:r>
          </w:p>
          <w:p w14:paraId="6A97CF08">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公示期限：</w:t>
            </w:r>
            <w:r>
              <w:rPr>
                <w:rFonts w:hint="eastAsia" w:ascii="仿宋" w:hAnsi="仿宋" w:eastAsia="仿宋" w:cs="仿宋"/>
                <w:color w:val="auto"/>
                <w:sz w:val="28"/>
                <w:szCs w:val="28"/>
                <w:lang w:val="en-US" w:eastAsia="zh-CN"/>
              </w:rPr>
              <w:t>/</w:t>
            </w:r>
          </w:p>
          <w:p w14:paraId="61E7CFC7">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w:t>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其他应公告的内容：</w:t>
            </w:r>
            <w:r>
              <w:rPr>
                <w:rFonts w:hint="eastAsia" w:ascii="仿宋" w:hAnsi="仿宋" w:eastAsia="仿宋" w:cs="仿宋"/>
                <w:color w:val="auto"/>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w:t>
            </w:r>
            <w:r>
              <w:rPr>
                <w:rFonts w:hint="default" w:ascii="仿宋" w:hAnsi="仿宋" w:eastAsia="仿宋" w:cs="仿宋"/>
                <w:color w:val="auto"/>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□要求递交</w:t>
            </w:r>
          </w:p>
          <w:p w14:paraId="31F0B079">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履约保证金金额：</w:t>
            </w:r>
          </w:p>
          <w:p w14:paraId="7EDB409F">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履约保证金形式：</w:t>
            </w:r>
          </w:p>
          <w:p w14:paraId="0A32CE6B">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履约保证金有效期限：</w:t>
            </w:r>
          </w:p>
          <w:p w14:paraId="0A967848">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default" w:ascii="仿宋" w:hAnsi="仿宋" w:eastAsia="仿宋" w:cs="仿宋"/>
                <w:color w:val="auto"/>
                <w:sz w:val="28"/>
                <w:szCs w:val="28"/>
                <w:lang w:val="en-US"/>
              </w:rPr>
              <w:t>递交时间：</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vertAlign w:val="baseline"/>
                <w:lang w:val="en-US" w:eastAsia="zh-CN"/>
              </w:rPr>
            </w:pPr>
            <w:r>
              <w:rPr>
                <w:rFonts w:hint="default" w:ascii="仿宋" w:hAnsi="仿宋" w:eastAsia="仿宋" w:cs="仿宋"/>
                <w:color w:val="auto"/>
                <w:sz w:val="28"/>
                <w:szCs w:val="28"/>
                <w:lang w:val="en-US"/>
              </w:rPr>
              <w:t>其他要求：</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联系人：</w:t>
            </w:r>
            <w:r>
              <w:rPr>
                <w:rFonts w:hint="eastAsia" w:ascii="仿宋" w:hAnsi="仿宋" w:eastAsia="仿宋" w:cs="仿宋"/>
                <w:color w:val="auto"/>
                <w:sz w:val="28"/>
                <w:szCs w:val="28"/>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w:t>
            </w:r>
          </w:p>
        </w:tc>
      </w:tr>
    </w:tbl>
    <w:p w14:paraId="3E05591F">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1 总则</w:t>
      </w:r>
    </w:p>
    <w:p w14:paraId="636931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本项目采用中国招标投标协会发布的《非招标方式采购代理服务规范》（T/CTB</w:t>
      </w:r>
      <w:r>
        <w:rPr>
          <w:rFonts w:hint="eastAsia" w:ascii="仿宋" w:hAnsi="仿宋" w:eastAsia="仿宋" w:cs="仿宋"/>
          <w:color w:val="auto"/>
          <w:sz w:val="32"/>
          <w:szCs w:val="32"/>
          <w:lang w:eastAsia="zh-CN"/>
        </w:rPr>
        <w:t>工程</w:t>
      </w:r>
      <w:r>
        <w:rPr>
          <w:rFonts w:hint="eastAsia" w:ascii="仿宋" w:hAnsi="仿宋" w:eastAsia="仿宋" w:cs="仿宋"/>
          <w:color w:val="auto"/>
          <w:sz w:val="32"/>
          <w:szCs w:val="32"/>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询比采购是指采购人组建评审小组对响应采购的供应商按照采购文件规定的规则和时间一次递交的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1.4 保密</w:t>
      </w:r>
    </w:p>
    <w:p w14:paraId="6C39F4E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参加询比采购活动的各方应对采购文件和</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采购文件和</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采购人在踏勘现场中介绍的工程场地和相关的周边环境情况，仅作为供应商编制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1.9 分包（</w:t>
      </w:r>
      <w:r>
        <w:rPr>
          <w:rFonts w:hint="eastAsia" w:ascii="仿宋" w:hAnsi="仿宋" w:eastAsia="仿宋" w:cs="仿宋"/>
          <w:color w:val="auto"/>
          <w:sz w:val="32"/>
          <w:szCs w:val="32"/>
          <w:lang w:eastAsia="zh-CN"/>
        </w:rPr>
        <w:t>工程、服务</w:t>
      </w:r>
      <w:r>
        <w:rPr>
          <w:rFonts w:hint="eastAsia" w:ascii="仿宋" w:hAnsi="仿宋" w:eastAsia="仿宋" w:cs="仿宋"/>
          <w:color w:val="auto"/>
          <w:sz w:val="32"/>
          <w:szCs w:val="32"/>
        </w:rPr>
        <w:t>）</w:t>
      </w:r>
    </w:p>
    <w:p w14:paraId="5FC93B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供应商拟在成交后将成交项目的部分工作进行分包的，应符合供应商须知前附表的规定，并在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1.9 主要材料和关键部件外购（</w:t>
      </w:r>
      <w:r>
        <w:rPr>
          <w:rFonts w:hint="eastAsia" w:ascii="仿宋" w:hAnsi="仿宋" w:eastAsia="仿宋" w:cs="仿宋"/>
          <w:color w:val="auto"/>
          <w:sz w:val="32"/>
          <w:szCs w:val="32"/>
          <w:lang w:eastAsia="zh-CN"/>
        </w:rPr>
        <w:t>物资</w:t>
      </w:r>
      <w:r>
        <w:rPr>
          <w:rFonts w:hint="eastAsia" w:ascii="仿宋" w:hAnsi="仿宋" w:eastAsia="仿宋" w:cs="仿宋"/>
          <w:color w:val="auto"/>
          <w:sz w:val="32"/>
          <w:szCs w:val="32"/>
        </w:rPr>
        <w:t>）</w:t>
      </w:r>
    </w:p>
    <w:p w14:paraId="086848F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供应商拟对主要材料和关键部件进行外购的，应符合第五章“采购需求”中提出的或允许外购的相关规定，并在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采购需求和合同条款及格式中的关键条款均以“*”符号标记。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应当对采购需求和合同条款及格式中的关键条款作出满足性或更有利于采购人的响应，否则，供应商的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1.10.2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供应商须知前附表规定了对非关键条款允许偏差的范围和可以偏差的项数的，如</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w:t>
      </w:r>
    </w:p>
    <w:p w14:paraId="07C06E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 xml:space="preserve">3 </w:t>
      </w:r>
      <w:r>
        <w:rPr>
          <w:rFonts w:hint="eastAsia" w:ascii="仿宋" w:hAnsi="仿宋" w:eastAsia="仿宋" w:cs="仿宋"/>
          <w:b/>
          <w:bCs/>
          <w:color w:val="auto"/>
          <w:sz w:val="32"/>
          <w:szCs w:val="32"/>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3.1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w:t>
      </w:r>
    </w:p>
    <w:p w14:paraId="7AFC7C5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（1）响应函；</w:t>
      </w:r>
    </w:p>
    <w:p w14:paraId="0E13FE4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（6）报价表；</w:t>
      </w:r>
    </w:p>
    <w:p w14:paraId="3F2EB1E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供应商在评审过程中作出的符合采购文件要求的澄清、说明和补正，构成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供应商的法定代表人（单位负责人）亲自签署</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、亲自参加询比的，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不包括第3.1.1（2）目所指的授权委托书。第一章“询比采购公告/询比采购邀请书”规定不接受联合体的，或供应商没有组成联合体的，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不包括第3.1.1（3）目所指的联合体协议书。供应商须知前附表未要求供应商递交响应保证金的，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 报价</w:t>
      </w:r>
    </w:p>
    <w:p w14:paraId="1B1C07D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供应商应按采购文件提供的格式（见第六章“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3.3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w:t>
      </w:r>
    </w:p>
    <w:p w14:paraId="44B7E33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有效期应为90日，从采购文件规定的递交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3.3.2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出现特殊情况需要延长</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有效期的，采购人以书面形式通知所有供应商延长</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有效期，供应商应予以书面答复。同意延长的，应相应延长其响应保证金的有效期，但不得修改其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；供应商拒绝延长的，其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供应商须知前附表规定要求递交响应保证金的，供应商在递交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的同时，应按供应商须知前附表规定的金额、形式和采购文件提供的格式（见第六章“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格式”四、响应保证金）递交响应保证金，并作为其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的组成部分。供应商不按要求递交响应保证金的，其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3.4.3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（1）供应商在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36E50A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供应商只能提出唯一的响应方案。供应商在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中提出多个响应方案的，其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3.6.3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对采购文件的全部偏差，均应在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的商务和技术偏差表中列明。</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偏差表中未列明的内容，将视为供应商响应采购文件的要求；但如发现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3.7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的编制</w:t>
      </w:r>
    </w:p>
    <w:p w14:paraId="701FB6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应按第六章“</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格式”进行编写，如有必要，可以增加附页，作为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响应函或联合体协议书（如有）由代理人签字的，应在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评审过程中供应商对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3.7.6</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的正本与副本应分别装订，并编制目录。</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 xml:space="preserve">4 </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的递交</w:t>
      </w:r>
    </w:p>
    <w:p w14:paraId="07AAD2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4.1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应密封包装，未密封的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4.2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的递交</w:t>
      </w:r>
    </w:p>
    <w:p w14:paraId="60416DB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供应商应在供应商须知前附表规定的递交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的截止时间前，将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递交到供应商须知前附表规定的地点。逾期送达的或者未送达指定地点的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，采购人将拒绝接收。采购人收到</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除供应商须知前附表另有规定外，供应商所递交的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 xml:space="preserve">4.3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在本章第4.2.1项规定的递交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的截止时间前，供应商可以修改或撤回已递交的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的修改文件或供应商撤回已递交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的书面通知应由供应商的法定代表人（单位负责人）或其授权的代理人签字并加盖单位章。采购人收到供应商修改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的书面文件后，向供应商出具接收凭证；采购人收到供应商撤回</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的书面通知后，退回供应商的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546C0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除供应商须知前附表另有规定外，供应商撤回</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4.3.4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修改的内容为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5 开启</w:t>
      </w:r>
      <w:r>
        <w:rPr>
          <w:rFonts w:hint="eastAsia" w:ascii="仿宋" w:hAnsi="仿宋" w:eastAsia="仿宋" w:cs="仿宋"/>
          <w:b/>
          <w:bCs/>
          <w:color w:val="auto"/>
          <w:sz w:val="32"/>
          <w:szCs w:val="32"/>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 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采购人在本章第4.2.1项规定的递交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的截止时间和地点公开开启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主持人按下列程序公开开启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F3D46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（3）供应商代表检查确认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（4）按照供应商须知前附表规定的开启顺序开启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，公布递交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（5）供应商代表及相关工作人员等在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5.3 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采购项目选择一家成交供应商时，递交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的供应商数量不足三家的，或采购项目选择多家成交供应商时，递交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采购项目不存在应该终止询比情形，且采购人也没有自行选择终止询比采购的，采购人应按照本章第5.2款规定的程序继续开启</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，并按第三章“评审办法”规定的 规则组织</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6 评审</w:t>
      </w:r>
    </w:p>
    <w:p w14:paraId="7FE967C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6.1.4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 评审</w:t>
      </w:r>
    </w:p>
    <w:p w14:paraId="389470E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评审小组按照第三章“评审办法”规定的评审标准和程序对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7</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采购人可对候选成交供应商的相关证明材料原件进行核验或组织现场考察，以确认候选成交供应商的生产经营、财务等实际状况与</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公示期结束后，在本章第3.3款规定的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F066EA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采购人和成交供应商应当在成交通知书规定的期限内，根据采购文件和成交供应商的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7.7.4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除供应商须知前附表另有规定外，按照第三章“评审办法”第2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3项规定对响应报价进行修正后，若修正后的响应报价小于按照第三章“评审办法”第2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8</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异议</w:t>
      </w:r>
    </w:p>
    <w:p w14:paraId="6B4D41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9</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评审小组成员不得收受他人的财物或者其他好处，不得向他人透露对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与询比活动有关的工作人员不得收受他人的财物或者其他好处，不得向他人透露对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32"/>
          <w:szCs w:val="32"/>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vertAlign w:val="baseline"/>
                <w:lang w:eastAsia="zh-CN"/>
              </w:rPr>
            </w:pPr>
            <w:r>
              <w:rPr>
                <w:rFonts w:hint="eastAsia" w:ascii="仿宋" w:hAnsi="仿宋" w:eastAsia="仿宋" w:cs="仿宋"/>
                <w:b/>
                <w:bCs/>
                <w:color w:val="auto"/>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响应文件</w:t>
            </w:r>
            <w:r>
              <w:rPr>
                <w:rFonts w:hint="eastAsia" w:ascii="仿宋" w:hAnsi="仿宋" w:eastAsia="仿宋" w:cs="仿宋"/>
                <w:b w:val="0"/>
                <w:bCs w:val="0"/>
                <w:color w:val="auto"/>
                <w:sz w:val="28"/>
                <w:szCs w:val="28"/>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r>
              <w:rPr>
                <w:rFonts w:hint="eastAsia" w:ascii="仿宋" w:hAnsi="仿宋" w:eastAsia="仿宋" w:cs="仿宋"/>
                <w:b w:val="0"/>
                <w:bCs w:val="0"/>
                <w:color w:val="auto"/>
                <w:sz w:val="28"/>
                <w:szCs w:val="28"/>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color w:val="auto"/>
                <w:sz w:val="28"/>
                <w:szCs w:val="28"/>
                <w:vertAlign w:val="baseline"/>
              </w:rPr>
            </w:pPr>
            <w:r>
              <w:rPr>
                <w:rFonts w:hint="eastAsia" w:ascii="仿宋" w:hAnsi="仿宋" w:eastAsia="仿宋" w:cs="仿宋"/>
                <w:color w:val="auto"/>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w:t>
            </w:r>
            <w:r>
              <w:rPr>
                <w:rFonts w:hint="eastAsia" w:ascii="仿宋" w:hAnsi="仿宋" w:eastAsia="仿宋" w:cs="仿宋"/>
                <w:color w:val="auto"/>
                <w:sz w:val="28"/>
                <w:szCs w:val="28"/>
                <w:lang w:eastAsia="zh-CN"/>
              </w:rPr>
              <w:t>抽签</w:t>
            </w:r>
            <w:r>
              <w:rPr>
                <w:rFonts w:hint="eastAsia" w:ascii="仿宋" w:hAnsi="仿宋" w:eastAsia="仿宋" w:cs="仿宋"/>
                <w:color w:val="auto"/>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（4）其他评分因素：</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color w:val="auto"/>
                <w:sz w:val="28"/>
                <w:szCs w:val="28"/>
              </w:rPr>
              <w:t>□方法四：具体方法为</w:t>
            </w:r>
            <w:r>
              <w:rPr>
                <w:rFonts w:hint="eastAsia" w:ascii="仿宋" w:hAnsi="仿宋" w:eastAsia="仿宋" w:cs="仿宋"/>
                <w:color w:val="auto"/>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bCs/>
                <w:color w:val="auto"/>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2"/>
                <w:sz w:val="28"/>
                <w:szCs w:val="28"/>
                <w:vertAlign w:val="baseline"/>
                <w:lang w:val="en-US" w:eastAsia="zh-CN" w:bidi="ar-SA"/>
              </w:rPr>
            </w:pPr>
            <w:r>
              <w:rPr>
                <w:rFonts w:hint="eastAsia" w:ascii="仿宋" w:hAnsi="仿宋" w:eastAsia="仿宋" w:cs="仿宋"/>
                <w:b/>
                <w:bCs/>
                <w:color w:val="auto"/>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2"/>
                <w:sz w:val="28"/>
                <w:szCs w:val="28"/>
                <w:vertAlign w:val="baseline"/>
                <w:lang w:val="en-US" w:eastAsia="zh-CN" w:bidi="ar-SA"/>
              </w:rPr>
            </w:pPr>
            <w:r>
              <w:rPr>
                <w:rFonts w:hint="eastAsia" w:ascii="仿宋" w:hAnsi="仿宋" w:eastAsia="仿宋" w:cs="仿宋"/>
                <w:b w:val="0"/>
                <w:bCs w:val="0"/>
                <w:color w:val="auto"/>
                <w:kern w:val="2"/>
                <w:sz w:val="28"/>
                <w:szCs w:val="28"/>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□由谈判小组</w:t>
            </w:r>
            <w:r>
              <w:rPr>
                <w:rFonts w:hint="eastAsia" w:ascii="仿宋" w:hAnsi="仿宋" w:eastAsia="仿宋" w:cs="仿宋"/>
                <w:color w:val="auto"/>
                <w:sz w:val="28"/>
                <w:szCs w:val="28"/>
                <w:lang w:eastAsia="zh-CN"/>
              </w:rPr>
              <w:t>抽签</w:t>
            </w:r>
            <w:r>
              <w:rPr>
                <w:rFonts w:hint="eastAsia" w:ascii="仿宋" w:hAnsi="仿宋" w:eastAsia="仿宋" w:cs="仿宋"/>
                <w:color w:val="auto"/>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其他方法：</w:t>
            </w:r>
          </w:p>
        </w:tc>
      </w:tr>
    </w:tbl>
    <w:p w14:paraId="6C42B4D3">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color w:val="auto"/>
          <w:sz w:val="28"/>
          <w:szCs w:val="28"/>
          <w:lang w:val="en-US"/>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本次评审采用最低价法。评审小组对满足采购文件实质性要求的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评审小组依据本章第2.1款规定的标准对供应商递交的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进行初步评审，判断</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的形式是否符合要求、供应商是否符合资格条件、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是否实质性响应采购文件的要求。只有以上评审合格的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评审价格若超过最高限价（如有），其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供应商有串通、弄虚作假、行贿等违法行为的，其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2.2.5</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初步评审后，如评审小组认为所有</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b/>
          <w:bCs/>
          <w:color w:val="auto"/>
          <w:sz w:val="32"/>
          <w:szCs w:val="32"/>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评审小组依据本章第2.1款规定的标准对供应商递交的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进行初步评审，判断</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的形式是否符合要求，供应商是否符合资格条件，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是否实质性响应采购文件的要求。只有以上评审合格的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的形式或供应商资格不符合采购文件的要求、</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未实质性响应采购文件的要求，或</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澄清、说明和补正的内容作为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5.1.3</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只有形式评审和资格评审合格且实质性响应采购文件要求的供应商才可通过初步评审。经供应商澄清、说明和补正后仍未通过初步评审的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5.1.4</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初步评审后，当所有</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5.2.1</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（1）谈判。</w:t>
      </w:r>
    </w:p>
    <w:p w14:paraId="5D8B7A3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1）评审小组应按照供应商递交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2）供应商的法定代表人（单位负责人）或其授权的代理人应参加谈判。供应商的法定代表人（单位负责人）或其授权的代理人在谈判中作出的承诺构成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评审小组将按本章第3条规定对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5.2.2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（1）谈判。</w:t>
      </w:r>
    </w:p>
    <w:p w14:paraId="34E40AD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 xml:space="preserve">   主要合同条款</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color w:val="auto"/>
          <w:kern w:val="2"/>
          <w:sz w:val="32"/>
          <w:szCs w:val="32"/>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sz w:val="32"/>
          <w:szCs w:val="32"/>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总包工程名称：</w:t>
      </w:r>
      <w:r>
        <w:rPr>
          <w:rFonts w:hint="eastAsia" w:ascii="仿宋" w:hAnsi="仿宋" w:eastAsia="仿宋" w:cs="仿宋"/>
          <w:color w:val="auto"/>
          <w:sz w:val="32"/>
          <w:szCs w:val="32"/>
          <w:u w:val="single"/>
          <w:lang w:eastAsia="zh-CN"/>
        </w:rPr>
        <w:t xml:space="preserve">国联零碳科创园（华光环能科创中心）项目 </w:t>
      </w:r>
      <w:r>
        <w:rPr>
          <w:rFonts w:hint="eastAsia" w:ascii="仿宋" w:hAnsi="仿宋" w:eastAsia="仿宋" w:cs="仿宋"/>
          <w:color w:val="auto"/>
          <w:sz w:val="32"/>
          <w:szCs w:val="32"/>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分包工程名称：</w:t>
      </w:r>
      <w:r>
        <w:rPr>
          <w:rFonts w:hint="eastAsia" w:ascii="仿宋" w:hAnsi="仿宋" w:eastAsia="仿宋" w:cs="仿宋"/>
          <w:color w:val="auto"/>
          <w:sz w:val="32"/>
          <w:szCs w:val="32"/>
          <w:u w:val="single"/>
          <w:lang w:eastAsia="zh-CN"/>
        </w:rPr>
        <w:t>混凝土（二）</w:t>
      </w:r>
      <w:r>
        <w:rPr>
          <w:rFonts w:hint="eastAsia" w:ascii="仿宋" w:hAnsi="仿宋" w:eastAsia="仿宋" w:cs="仿宋"/>
          <w:color w:val="auto"/>
          <w:sz w:val="32"/>
          <w:szCs w:val="32"/>
          <w:u w:val="single"/>
          <w:lang w:val="en-US" w:eastAsia="zh-CN"/>
        </w:rPr>
        <w:t>采购</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分包工程地点：</w:t>
      </w:r>
      <w:r>
        <w:rPr>
          <w:rFonts w:hint="eastAsia" w:ascii="仿宋" w:hAnsi="仿宋" w:eastAsia="仿宋" w:cs="仿宋"/>
          <w:color w:val="auto"/>
          <w:sz w:val="32"/>
          <w:szCs w:val="32"/>
          <w:u w:val="single"/>
          <w:lang w:eastAsia="zh-CN"/>
        </w:rPr>
        <w:t>无锡市新吴区旺庄街道城南路3号</w:t>
      </w:r>
      <w:r>
        <w:rPr>
          <w:rFonts w:hint="eastAsia" w:ascii="仿宋" w:hAnsi="仿宋" w:eastAsia="仿宋" w:cs="仿宋"/>
          <w:color w:val="auto"/>
          <w:sz w:val="32"/>
          <w:szCs w:val="32"/>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分包工程承包范围：</w:t>
      </w:r>
      <w:r>
        <w:rPr>
          <w:rFonts w:hint="eastAsia" w:ascii="仿宋" w:hAnsi="仿宋" w:eastAsia="仿宋" w:cs="仿宋"/>
          <w:color w:val="auto"/>
          <w:sz w:val="32"/>
          <w:szCs w:val="32"/>
          <w:u w:val="single"/>
          <w:lang w:eastAsia="zh-CN"/>
        </w:rPr>
        <w:t>本次招标范围为混凝土（二）采购部分，详情见报价清单</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计划2026年</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日至202</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日（根据现场情况动态调整）。</w:t>
      </w:r>
    </w:p>
    <w:p w14:paraId="3D554B1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（2）具体进场日期以承包方通知为准，作业总日历天数共计 </w:t>
      </w:r>
      <w:r>
        <w:rPr>
          <w:rFonts w:hint="eastAsia" w:ascii="仿宋" w:hAnsi="仿宋" w:eastAsia="仿宋" w:cs="仿宋"/>
          <w:color w:val="auto"/>
          <w:sz w:val="32"/>
          <w:szCs w:val="32"/>
          <w:lang w:val="en-US" w:eastAsia="zh-CN"/>
        </w:rPr>
        <w:t>665</w:t>
      </w:r>
      <w:r>
        <w:rPr>
          <w:rFonts w:hint="eastAsia" w:ascii="仿宋" w:hAnsi="仿宋" w:eastAsia="仿宋" w:cs="仿宋"/>
          <w:color w:val="auto"/>
          <w:sz w:val="32"/>
          <w:szCs w:val="32"/>
          <w:lang w:eastAsia="zh-CN"/>
        </w:rPr>
        <w:t xml:space="preserve"> 天。作业总日历天数与前述计划开工、完工计算的天数不一致的，以承包方通知进场日期为始计算后，作业总日历天数为准。</w:t>
      </w:r>
    </w:p>
    <w:p w14:paraId="57989A36">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（3）非因承包人原因或不可抗力导致工期延误的，每逾期 1 日，分包人按合同总价款 5‰支付违约金；逾期累计 10 日的，承包人有权单方面解除合同。</w:t>
      </w:r>
    </w:p>
    <w:p w14:paraId="2215107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（4）因不可抗力、不利作业条件（含不利物质条件、异常恶劣气候条件等）、劳务作业变化等合规情形导致工期延误的，按实际情况协商调整作业期限。</w:t>
      </w:r>
    </w:p>
    <w:p w14:paraId="7C0C3DEC">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（5）合同签订期限：自确定本项目中选供应商之日起 15 日内，双方需完成本合同签订工作；逾期未签订且无正当理由的，承包人有权另行选择供应商，由此产生的责任由未履约方承担。</w:t>
      </w:r>
    </w:p>
    <w:p w14:paraId="46212924">
      <w:pPr>
        <w:rPr>
          <w:rFonts w:hint="eastAsia"/>
          <w:color w:val="auto"/>
          <w:lang w:val="en-US" w:eastAsia="zh-CN"/>
        </w:rPr>
      </w:pPr>
    </w:p>
    <w:p w14:paraId="23DF94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质量标准</w:t>
      </w:r>
    </w:p>
    <w:p w14:paraId="22FACC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eastAsia" w:ascii="仿宋" w:hAnsi="仿宋" w:eastAsia="仿宋" w:cs="仿宋"/>
          <w:color w:val="auto"/>
          <w:kern w:val="2"/>
          <w:sz w:val="32"/>
          <w:szCs w:val="32"/>
          <w:lang w:val="en-US" w:eastAsia="zh-CN" w:bidi="ar-SA"/>
        </w:rPr>
        <w:t>（1）</w:t>
      </w:r>
      <w:r>
        <w:rPr>
          <w:rFonts w:hint="default" w:ascii="Times New Roman" w:hAnsi="Times New Roman" w:eastAsia="仿宋" w:cs="Times New Roman"/>
          <w:color w:val="auto"/>
          <w:sz w:val="32"/>
          <w:szCs w:val="32"/>
          <w:lang w:val="en-US" w:eastAsia="zh-CN"/>
        </w:rPr>
        <w:t>商品混凝土的质量必须符合《预拌混凝土》（GB/T14902－2012）及有关国家、行业和无锡市相关标准及规定；现场抽样检验强度的试验结果评定以《混凝土强度检验评定标准》（GB/T50107-2022）作为混凝土质量评定标准。履约期间若出现新的国家标准更新，则以更新后的国家标准为准。</w:t>
      </w:r>
    </w:p>
    <w:p w14:paraId="3DC270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default" w:ascii="Times New Roman" w:hAnsi="Times New Roman" w:eastAsia="仿宋" w:cs="Times New Roman"/>
          <w:color w:val="auto"/>
          <w:sz w:val="32"/>
          <w:szCs w:val="32"/>
          <w:lang w:val="en-US" w:eastAsia="zh-CN"/>
        </w:rPr>
        <w:t>混凝土容重换算为：C15-2.36吨/m³；C20-2.37吨/m³；C25-2.38吨/m³；C30-2.38吨/m³；C35-2.39吨/m³；C40-2.40吨/m³；C45-2.41吨/m³；C50-2.42吨/m³。《混凝土质量控制标准》（GB50164-2011）</w:t>
      </w:r>
    </w:p>
    <w:p w14:paraId="00F914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2"/>
          <w:sz w:val="32"/>
          <w:szCs w:val="32"/>
          <w:lang w:val="en-US" w:eastAsia="zh-CN" w:bidi="ar-SA"/>
        </w:rPr>
        <w:t>（3）</w:t>
      </w:r>
      <w:r>
        <w:rPr>
          <w:rFonts w:hint="default" w:ascii="Times New Roman" w:hAnsi="Times New Roman" w:eastAsia="仿宋" w:cs="Times New Roman"/>
          <w:color w:val="auto"/>
          <w:sz w:val="32"/>
          <w:szCs w:val="32"/>
          <w:lang w:val="en-US" w:eastAsia="zh-CN"/>
        </w:rPr>
        <w:t>确保混凝土成型质量和强度达到设计图纸要求，混凝土浇筑后7天和28天强度进行摸排，存在问题及时解决。混凝土强度和商务结算进行挂钩，必须和质量部门一起复核现场强度没问题方可结算。</w:t>
      </w:r>
    </w:p>
    <w:p w14:paraId="3C39A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2"/>
          <w:sz w:val="32"/>
          <w:szCs w:val="32"/>
          <w:lang w:val="en-US" w:eastAsia="zh-CN" w:bidi="ar-SA"/>
        </w:rPr>
        <w:t>（4）</w:t>
      </w:r>
      <w:r>
        <w:rPr>
          <w:rFonts w:hint="default" w:ascii="Times New Roman" w:hAnsi="Times New Roman" w:eastAsia="仿宋" w:cs="Times New Roman"/>
          <w:color w:val="auto"/>
          <w:sz w:val="32"/>
          <w:szCs w:val="32"/>
          <w:lang w:val="en-US" w:eastAsia="zh-CN"/>
        </w:rPr>
        <w:t>项目部会不定期对搅拌站进行检查，特别是原材料、外加剂、配合比和设施设备方面，确保全部符合要求。</w:t>
      </w:r>
      <w:r>
        <w:rPr>
          <w:rFonts w:hint="eastAsia" w:ascii="仿宋" w:hAnsi="仿宋" w:eastAsia="仿宋" w:cs="仿宋"/>
          <w:b/>
          <w:bCs/>
          <w:color w:val="auto"/>
          <w:sz w:val="32"/>
          <w:szCs w:val="32"/>
          <w:lang w:val="en-US" w:eastAsia="zh-CN"/>
        </w:rPr>
        <w:t>4、安全标准</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5、报价要求</w:t>
      </w:r>
    </w:p>
    <w:p w14:paraId="1A911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清单下浮比例报价，暂以无锡市2025年9月信息价作为参考下浮，单价可调，具体调价办法：以供货当期“无锡市建筑工程信息价”发布的同规格同标号混凝土低价的不含税价格下浮作为结算单价。</w:t>
      </w:r>
    </w:p>
    <w:p w14:paraId="0F51C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价格最多保留2位小数</w:t>
      </w:r>
      <w:r>
        <w:rPr>
          <w:rFonts w:hint="eastAsia" w:ascii="仿宋" w:hAnsi="仿宋" w:eastAsia="仿宋" w:cs="仿宋"/>
          <w:color w:val="auto"/>
          <w:kern w:val="2"/>
          <w:sz w:val="32"/>
          <w:szCs w:val="32"/>
          <w:lang w:val="en-US" w:eastAsia="zh-CN" w:bidi="ar-SA"/>
        </w:rPr>
        <w:t>。</w:t>
      </w:r>
    </w:p>
    <w:p w14:paraId="4724D0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w:t>
      </w:r>
      <w:r>
        <w:rPr>
          <w:rFonts w:hint="default" w:ascii="仿宋" w:hAnsi="仿宋" w:eastAsia="仿宋" w:cs="仿宋"/>
          <w:color w:val="auto"/>
          <w:kern w:val="2"/>
          <w:sz w:val="32"/>
          <w:szCs w:val="32"/>
          <w:lang w:val="en-US" w:eastAsia="zh-CN" w:bidi="ar-SA"/>
        </w:rPr>
        <w:t>综合单价包含</w:t>
      </w:r>
      <w:r>
        <w:rPr>
          <w:rFonts w:hint="eastAsia" w:ascii="仿宋" w:hAnsi="仿宋" w:eastAsia="仿宋" w:cs="仿宋"/>
          <w:color w:val="auto"/>
          <w:kern w:val="2"/>
          <w:sz w:val="32"/>
          <w:szCs w:val="32"/>
          <w:lang w:val="en-US" w:eastAsia="zh-CN" w:bidi="ar-SA"/>
        </w:rPr>
        <w:t>相关检测资料配合费用，具体为：乙方负责提供特殊混凝土的配合比报告、合格证和原材料，配合甲方送检复核，同时提供相应堆码场地、添加外加剂、试验试件制作、完善后续闭环资料等工作。</w:t>
      </w:r>
    </w:p>
    <w:p w14:paraId="7016B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工程量清单为暂定，因设计优化导致工作内容取消或减少的，按实际</w:t>
      </w:r>
      <w:r>
        <w:rPr>
          <w:rFonts w:hint="eastAsia" w:ascii="仿宋" w:hAnsi="仿宋" w:eastAsia="仿宋" w:cs="仿宋"/>
          <w:color w:val="auto"/>
          <w:kern w:val="2"/>
          <w:sz w:val="32"/>
          <w:szCs w:val="32"/>
          <w:lang w:val="en-US" w:eastAsia="zh-CN" w:bidi="ar-SA"/>
        </w:rPr>
        <w:t>结算清单</w:t>
      </w:r>
      <w:r>
        <w:rPr>
          <w:rFonts w:hint="default" w:ascii="仿宋" w:hAnsi="仿宋" w:eastAsia="仿宋" w:cs="仿宋"/>
          <w:color w:val="auto"/>
          <w:kern w:val="2"/>
          <w:sz w:val="32"/>
          <w:szCs w:val="32"/>
          <w:lang w:val="en-US" w:eastAsia="zh-CN" w:bidi="ar-SA"/>
        </w:rPr>
        <w:t>完成量结算，单价不变，分包人不得索赔。</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w:t>
      </w:r>
      <w:r>
        <w:rPr>
          <w:rFonts w:hint="default" w:ascii="仿宋" w:hAnsi="仿宋" w:eastAsia="仿宋" w:cs="仿宋"/>
          <w:color w:val="auto"/>
          <w:kern w:val="2"/>
          <w:sz w:val="32"/>
          <w:szCs w:val="32"/>
          <w:lang w:val="en-US" w:eastAsia="zh-CN" w:bidi="ar-SA"/>
        </w:rPr>
        <w:t>单项变更或签证金额不足 500 元的不予办理，超过 500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6、</w:t>
      </w:r>
      <w:r>
        <w:rPr>
          <w:rFonts w:hint="default" w:ascii="仿宋" w:hAnsi="仿宋" w:eastAsia="仿宋" w:cs="仿宋"/>
          <w:b/>
          <w:bCs/>
          <w:color w:val="auto"/>
          <w:sz w:val="32"/>
          <w:szCs w:val="32"/>
          <w:lang w:val="en-US" w:eastAsia="zh-CN"/>
        </w:rPr>
        <w:t>付款方式</w:t>
      </w:r>
    </w:p>
    <w:p w14:paraId="733577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（1）支付方式</w:t>
      </w:r>
      <w:r>
        <w:rPr>
          <w:rFonts w:hint="default" w:ascii="仿宋" w:hAnsi="仿宋" w:eastAsia="仿宋" w:cs="仿宋"/>
          <w:color w:val="auto"/>
          <w:kern w:val="2"/>
          <w:sz w:val="32"/>
          <w:szCs w:val="32"/>
          <w:lang w:val="en-US" w:eastAsia="zh-CN" w:bidi="ar-SA"/>
        </w:rPr>
        <w:t>：</w:t>
      </w:r>
      <w:r>
        <w:rPr>
          <w:rFonts w:hint="eastAsia" w:ascii="仿宋" w:hAnsi="仿宋" w:eastAsia="仿宋" w:cs="仿宋"/>
          <w:color w:val="auto"/>
          <w:kern w:val="2"/>
          <w:sz w:val="32"/>
          <w:szCs w:val="32"/>
          <w:lang w:val="en-US" w:eastAsia="zh-CN" w:bidi="ar-SA"/>
        </w:rPr>
        <w:t>无预付款，货到指定地点验收合格后次月25日按当月供货结算金额的70%向乙方支付货款，单个子项竣工验收后支付到累计供货产值的80%，最终结算后支付至结算金额的 100%。</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w:t>
      </w:r>
      <w:r>
        <w:rPr>
          <w:rFonts w:hint="default" w:ascii="仿宋" w:hAnsi="仿宋" w:eastAsia="仿宋" w:cs="仿宋"/>
          <w:color w:val="auto"/>
          <w:kern w:val="2"/>
          <w:sz w:val="32"/>
          <w:szCs w:val="32"/>
          <w:lang w:val="en-US" w:eastAsia="zh-CN" w:bidi="ar-SA"/>
        </w:rPr>
        <w:t>每次付款前，供方向需方开具13%税率等额增值税专用发票，否则需方有权拒绝付款，且不承担任何逾期付款等违约责任，由此造成的全部损失及责任由供方自行承担，供方不得以此为由拒绝履行其义务。</w:t>
      </w:r>
    </w:p>
    <w:p w14:paraId="30DB5F6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7、</w:t>
      </w:r>
      <w:r>
        <w:rPr>
          <w:rFonts w:hint="default" w:ascii="仿宋" w:hAnsi="仿宋" w:eastAsia="仿宋" w:cs="仿宋"/>
          <w:b/>
          <w:bCs/>
          <w:color w:val="auto"/>
          <w:sz w:val="32"/>
          <w:szCs w:val="32"/>
          <w:lang w:val="en-US" w:eastAsia="zh-CN"/>
        </w:rPr>
        <w:t>结算规则</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结算工程量以项目现场实际供货量为准，需方有权采用每车过磅或随机抽车过磅方式验收，送货量与送货单载明数量偏差超国家允许的 ±2%（以双方确认容重值为准）时，按实际过磅数量或抽磅平均容重结算，异议由第三方公磅复核，费用由过错方承担。</w:t>
      </w:r>
    </w:p>
    <w:p w14:paraId="28E21A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（2）商品混凝土（二）结算价=供货当期无锡市信息价低价（不含税）*（1±上浮/下浮百分比）+其他特殊商品混凝土（二）、外加剂增加费。</w:t>
      </w:r>
    </w:p>
    <w:p w14:paraId="3E7019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（3）当月信息价分多次发布时，按加权平均价核算，价格保留 2 位小数，商品混凝土（二）基础单价及相关增加费用不因付款方式变化调整。</w:t>
      </w:r>
    </w:p>
    <w:p w14:paraId="1ABD9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（4）双方按月办理结算，供方凭需方授权人员签字的收料单，于每月按约定时间在需方项目部核对数量、单价及金额并签字确认，结算单一式两份，供需双方各执一份。</w:t>
      </w:r>
    </w:p>
    <w:p w14:paraId="4FD21C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（5）混凝土强度需经质量部门复核合格后，方可办理对应批次结算，未达质量要求的不予结算，已支付款项由供方退回。</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lang w:val="en-US" w:eastAsia="zh-CN" w:bidi="ar-SA"/>
        </w:rPr>
        <w:t>（6）</w:t>
      </w:r>
      <w:r>
        <w:rPr>
          <w:rFonts w:hint="default" w:ascii="仿宋" w:hAnsi="仿宋" w:eastAsia="仿宋" w:cs="仿宋"/>
          <w:color w:val="auto"/>
          <w:kern w:val="2"/>
          <w:sz w:val="32"/>
          <w:szCs w:val="32"/>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国联零碳科创园(华光环能科创中心)项目混凝土（二）采购</w:t>
      </w:r>
    </w:p>
    <w:p w14:paraId="1226312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color w:val="auto"/>
          <w:kern w:val="2"/>
          <w:sz w:val="52"/>
          <w:szCs w:val="52"/>
          <w:lang w:val="en-US" w:eastAsia="zh-CN" w:bidi="ar-SA"/>
        </w:rPr>
      </w:pPr>
      <w:r>
        <w:rPr>
          <w:rFonts w:hint="eastAsia" w:ascii="仿宋" w:hAnsi="仿宋" w:eastAsia="仿宋" w:cs="仿宋"/>
          <w:b/>
          <w:bCs/>
          <w:color w:val="auto"/>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rPr>
      </w:pPr>
      <w:r>
        <w:rPr>
          <w:rFonts w:hint="eastAsia" w:ascii="仿宋" w:hAnsi="仿宋" w:eastAsia="仿宋" w:cs="仿宋"/>
          <w:color w:val="auto"/>
          <w:sz w:val="32"/>
          <w:szCs w:val="32"/>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color w:val="auto"/>
          <w:sz w:val="32"/>
          <w:szCs w:val="32"/>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87D3DC8">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color w:val="auto"/>
          <w:sz w:val="32"/>
          <w:szCs w:val="32"/>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四、混凝土（二）</w:t>
      </w:r>
      <w:r>
        <w:rPr>
          <w:rFonts w:hint="eastAsia" w:ascii="仿宋" w:hAnsi="仿宋" w:eastAsia="仿宋" w:cs="仿宋"/>
          <w:color w:val="auto"/>
          <w:sz w:val="32"/>
          <w:szCs w:val="32"/>
        </w:rPr>
        <w:t>报价单</w:t>
      </w:r>
    </w:p>
    <w:p w14:paraId="565635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b w:val="0"/>
          <w:bCs w:val="0"/>
          <w:color w:val="auto"/>
          <w:sz w:val="32"/>
          <w:szCs w:val="32"/>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（1）响应函；</w:t>
      </w:r>
    </w:p>
    <w:p w14:paraId="346FC8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（6）报价表；</w:t>
      </w:r>
    </w:p>
    <w:p w14:paraId="0BFFFD23">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w:t>
      </w:r>
    </w:p>
    <w:p w14:paraId="60D2B85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响应文件</w:t>
      </w:r>
      <w:r>
        <w:rPr>
          <w:rFonts w:hint="eastAsia" w:ascii="仿宋" w:hAnsi="仿宋" w:eastAsia="仿宋" w:cs="仿宋"/>
          <w:color w:val="auto"/>
          <w:sz w:val="32"/>
          <w:szCs w:val="32"/>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4．我方承诺在采购文件规定的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120DE5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6．我方在此声明，所递交的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27FA4C43">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地</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址：</w:t>
      </w:r>
    </w:p>
    <w:p w14:paraId="7AAB270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电</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话：</w:t>
      </w:r>
    </w:p>
    <w:p w14:paraId="649763E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传</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真：</w:t>
      </w:r>
    </w:p>
    <w:p w14:paraId="6DDD2FC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1C44E60B">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50B9FF4">
      <w:pPr>
        <w:keepNext w:val="0"/>
        <w:keepLines w:val="0"/>
        <w:pageBreakBefore w:val="0"/>
        <w:numPr>
          <w:ilvl w:val="0"/>
          <w:numId w:val="4"/>
        </w:numPr>
        <w:wordWrap/>
        <w:overflowPunct/>
        <w:topLinePunct w:val="0"/>
        <w:bidi w:val="0"/>
        <w:spacing w:line="360" w:lineRule="auto"/>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color w:val="auto"/>
          <w:sz w:val="32"/>
          <w:szCs w:val="32"/>
        </w:rPr>
      </w:pPr>
      <w:r>
        <w:rPr>
          <w:rFonts w:hint="eastAsia" w:ascii="仿宋" w:hAnsi="仿宋" w:eastAsia="仿宋" w:cs="仿宋"/>
          <w:color w:val="auto"/>
          <w:sz w:val="32"/>
          <w:szCs w:val="32"/>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委托期限：自本委托书签署之日起至              询比采购项目签订采购合同之日止。</w:t>
      </w:r>
      <w:r>
        <w:rPr>
          <w:rFonts w:hint="eastAsia" w:ascii="仿宋" w:hAnsi="仿宋" w:eastAsia="仿宋" w:cs="仿宋"/>
          <w:color w:val="auto"/>
          <w:sz w:val="32"/>
          <w:szCs w:val="32"/>
        </w:rPr>
        <w:tab/>
      </w:r>
    </w:p>
    <w:p w14:paraId="637548C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代理人无转委托权。</w:t>
      </w:r>
      <w:r>
        <w:rPr>
          <w:rFonts w:hint="eastAsia" w:ascii="仿宋" w:hAnsi="仿宋" w:eastAsia="仿宋" w:cs="仿宋"/>
          <w:color w:val="auto"/>
          <w:sz w:val="32"/>
          <w:szCs w:val="32"/>
        </w:rPr>
        <w:tab/>
      </w:r>
    </w:p>
    <w:p w14:paraId="65BCC4B9">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873A67F">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3CF31DA2">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p w14:paraId="6BC5C885">
      <w:pPr>
        <w:keepNext w:val="0"/>
        <w:keepLines w:val="0"/>
        <w:pageBreakBefore w:val="0"/>
        <w:wordWrap/>
        <w:overflowPunct/>
        <w:topLinePunct w:val="0"/>
        <w:bidi w:val="0"/>
        <w:spacing w:line="360" w:lineRule="auto"/>
        <w:jc w:val="right"/>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68F62F4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、商务和技术偏差表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color w:val="auto"/>
          <w:sz w:val="32"/>
          <w:szCs w:val="32"/>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numPr>
          <w:ilvl w:val="0"/>
          <w:numId w:val="0"/>
        </w:numPr>
        <w:wordWrap/>
        <w:overflowPunct/>
        <w:topLinePunct w:val="0"/>
        <w:bidi w:val="0"/>
        <w:spacing w:line="360" w:lineRule="auto"/>
        <w:ind w:leftChars="0"/>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四、混凝土（二）供货报价单</w:t>
      </w:r>
    </w:p>
    <w:p w14:paraId="6602D142">
      <w:pPr>
        <w:pStyle w:val="2"/>
        <w:numPr>
          <w:ilvl w:val="0"/>
          <w:numId w:val="0"/>
        </w:numPr>
        <w:ind w:leftChars="0"/>
        <w:rPr>
          <w:rFonts w:hint="eastAsia"/>
          <w:color w:val="auto"/>
          <w:lang w:val="en-US" w:eastAsia="zh-CN"/>
        </w:rPr>
      </w:pPr>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3901"/>
        <w:gridCol w:w="1013"/>
        <w:gridCol w:w="1688"/>
        <w:gridCol w:w="1583"/>
        <w:gridCol w:w="1406"/>
        <w:gridCol w:w="1707"/>
        <w:gridCol w:w="1556"/>
        <w:gridCol w:w="975"/>
      </w:tblGrid>
      <w:tr w14:paraId="0AE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627" w:type="dxa"/>
            <w:noWrap w:val="0"/>
            <w:vAlign w:val="center"/>
          </w:tcPr>
          <w:p w14:paraId="2ED54CA0">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cs="宋体"/>
                <w:i w:val="0"/>
                <w:iCs w:val="0"/>
                <w:color w:val="auto"/>
                <w:kern w:val="0"/>
                <w:sz w:val="20"/>
                <w:szCs w:val="20"/>
                <w:u w:val="none"/>
                <w:lang w:val="en-US" w:eastAsia="zh-CN" w:bidi="ar"/>
              </w:rPr>
              <w:t>序号</w:t>
            </w:r>
          </w:p>
        </w:tc>
        <w:tc>
          <w:tcPr>
            <w:tcW w:w="2600" w:type="dxa"/>
            <w:noWrap w:val="0"/>
            <w:vAlign w:val="center"/>
          </w:tcPr>
          <w:p w14:paraId="2BCACF2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20"/>
                <w:szCs w:val="20"/>
                <w:u w:val="none"/>
                <w:lang w:val="en-US" w:eastAsia="zh-CN" w:bidi="ar"/>
              </w:rPr>
              <w:t>名称</w:t>
            </w:r>
          </w:p>
        </w:tc>
        <w:tc>
          <w:tcPr>
            <w:tcW w:w="675" w:type="dxa"/>
            <w:noWrap w:val="0"/>
            <w:vAlign w:val="center"/>
          </w:tcPr>
          <w:p w14:paraId="58618A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21"/>
                <w:szCs w:val="21"/>
                <w:u w:val="none"/>
                <w:lang w:val="en-US" w:eastAsia="zh-CN" w:bidi="ar"/>
              </w:rPr>
              <w:t>单位</w:t>
            </w:r>
          </w:p>
        </w:tc>
        <w:tc>
          <w:tcPr>
            <w:tcW w:w="1125" w:type="dxa"/>
            <w:noWrap w:val="0"/>
            <w:vAlign w:val="center"/>
          </w:tcPr>
          <w:p w14:paraId="11DE36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20"/>
                <w:szCs w:val="20"/>
                <w:u w:val="none"/>
                <w:lang w:val="en-US" w:eastAsia="zh-CN" w:bidi="ar"/>
              </w:rPr>
              <w:t>暂定</w:t>
            </w:r>
            <w:r>
              <w:rPr>
                <w:rFonts w:hint="eastAsia" w:ascii="宋体" w:hAnsi="宋体" w:eastAsia="宋体" w:cs="宋体"/>
                <w:i w:val="0"/>
                <w:iCs w:val="0"/>
                <w:color w:val="auto"/>
                <w:kern w:val="0"/>
                <w:sz w:val="20"/>
                <w:szCs w:val="20"/>
                <w:u w:val="none"/>
                <w:lang w:val="en-US" w:eastAsia="zh-CN" w:bidi="ar"/>
              </w:rPr>
              <w:t>工程量</w:t>
            </w:r>
          </w:p>
        </w:tc>
        <w:tc>
          <w:tcPr>
            <w:tcW w:w="1055" w:type="dxa"/>
            <w:noWrap w:val="0"/>
            <w:vAlign w:val="center"/>
          </w:tcPr>
          <w:p w14:paraId="31E5250D">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20"/>
                <w:szCs w:val="20"/>
                <w:u w:val="none"/>
                <w:lang w:val="en-US" w:eastAsia="zh-CN" w:bidi="ar"/>
              </w:rPr>
              <w:t>信息价(不含税)</w:t>
            </w:r>
          </w:p>
        </w:tc>
        <w:tc>
          <w:tcPr>
            <w:tcW w:w="937" w:type="dxa"/>
            <w:noWrap w:val="0"/>
            <w:vAlign w:val="center"/>
          </w:tcPr>
          <w:p w14:paraId="439890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20"/>
                <w:szCs w:val="20"/>
                <w:u w:val="none"/>
                <w:lang w:val="en-US" w:eastAsia="zh-CN" w:bidi="ar"/>
              </w:rPr>
              <w:t>下浮百分比</w:t>
            </w:r>
          </w:p>
        </w:tc>
        <w:tc>
          <w:tcPr>
            <w:tcW w:w="1138" w:type="dxa"/>
            <w:noWrap w:val="0"/>
            <w:vAlign w:val="center"/>
          </w:tcPr>
          <w:p w14:paraId="64B406FD">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cs="Times New Roman"/>
                <w:color w:val="auto"/>
                <w:sz w:val="18"/>
                <w:szCs w:val="21"/>
                <w:lang w:val="en-US" w:eastAsia="zh-CN"/>
              </w:rPr>
              <w:t>下浮单价（不含税）</w:t>
            </w:r>
          </w:p>
        </w:tc>
        <w:tc>
          <w:tcPr>
            <w:tcW w:w="1037" w:type="dxa"/>
            <w:noWrap w:val="0"/>
            <w:vAlign w:val="center"/>
          </w:tcPr>
          <w:p w14:paraId="1A56BFA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合价（不含税）</w:t>
            </w:r>
          </w:p>
        </w:tc>
        <w:tc>
          <w:tcPr>
            <w:tcW w:w="650" w:type="dxa"/>
            <w:noWrap w:val="0"/>
            <w:vAlign w:val="center"/>
          </w:tcPr>
          <w:p w14:paraId="5D054FBA">
            <w:pPr>
              <w:keepNext w:val="0"/>
              <w:keepLines w:val="0"/>
              <w:widowControl/>
              <w:suppressLineNumbers w:val="0"/>
              <w:jc w:val="center"/>
              <w:textAlignment w:val="center"/>
              <w:rPr>
                <w:rFonts w:hint="eastAsia"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0"/>
                <w:szCs w:val="20"/>
                <w:u w:val="none"/>
                <w:lang w:val="en-US" w:eastAsia="zh-CN" w:bidi="ar"/>
              </w:rPr>
              <w:t>备注</w:t>
            </w:r>
          </w:p>
        </w:tc>
      </w:tr>
      <w:tr w14:paraId="7BD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73E8FF5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w:t>
            </w:r>
          </w:p>
        </w:tc>
        <w:tc>
          <w:tcPr>
            <w:tcW w:w="2600" w:type="dxa"/>
            <w:noWrap w:val="0"/>
            <w:vAlign w:val="center"/>
          </w:tcPr>
          <w:p w14:paraId="4D863B22">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C15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278F986F">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307018D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1382.54</w:t>
            </w:r>
          </w:p>
        </w:tc>
        <w:tc>
          <w:tcPr>
            <w:tcW w:w="1055" w:type="dxa"/>
            <w:noWrap w:val="0"/>
            <w:vAlign w:val="center"/>
          </w:tcPr>
          <w:p w14:paraId="7044E85D">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2"/>
                <w:szCs w:val="22"/>
                <w:u w:val="none"/>
                <w:lang w:val="en-US" w:eastAsia="zh-CN" w:bidi="ar"/>
              </w:rPr>
              <w:t>396.12</w:t>
            </w:r>
          </w:p>
        </w:tc>
        <w:tc>
          <w:tcPr>
            <w:tcW w:w="937" w:type="dxa"/>
            <w:noWrap w:val="0"/>
            <w:vAlign w:val="center"/>
          </w:tcPr>
          <w:p w14:paraId="1A46FF19">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51E29602">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30CE0CC1">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37C32B54">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35A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5CADC73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p>
        </w:tc>
        <w:tc>
          <w:tcPr>
            <w:tcW w:w="2600" w:type="dxa"/>
            <w:noWrap w:val="0"/>
            <w:vAlign w:val="center"/>
          </w:tcPr>
          <w:p w14:paraId="61D96C0D">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C20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3C280F7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78D729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778.02</w:t>
            </w:r>
          </w:p>
        </w:tc>
        <w:tc>
          <w:tcPr>
            <w:tcW w:w="1055" w:type="dxa"/>
            <w:noWrap w:val="0"/>
            <w:vAlign w:val="center"/>
          </w:tcPr>
          <w:p w14:paraId="1B913F5D">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410.68</w:t>
            </w:r>
          </w:p>
        </w:tc>
        <w:tc>
          <w:tcPr>
            <w:tcW w:w="937" w:type="dxa"/>
            <w:noWrap w:val="0"/>
            <w:vAlign w:val="center"/>
          </w:tcPr>
          <w:p w14:paraId="5C6C0F52">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5933D7CC">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737738CE">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695D00BB">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3D3B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199F32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w:t>
            </w:r>
          </w:p>
        </w:tc>
        <w:tc>
          <w:tcPr>
            <w:tcW w:w="2600" w:type="dxa"/>
            <w:noWrap w:val="0"/>
            <w:vAlign w:val="center"/>
          </w:tcPr>
          <w:p w14:paraId="3E477C8E">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C25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7A214B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357D90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1206.586</w:t>
            </w:r>
          </w:p>
        </w:tc>
        <w:tc>
          <w:tcPr>
            <w:tcW w:w="1055" w:type="dxa"/>
            <w:noWrap w:val="0"/>
            <w:vAlign w:val="center"/>
          </w:tcPr>
          <w:p w14:paraId="233EF01D">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425.24</w:t>
            </w:r>
          </w:p>
        </w:tc>
        <w:tc>
          <w:tcPr>
            <w:tcW w:w="937" w:type="dxa"/>
            <w:noWrap w:val="0"/>
            <w:vAlign w:val="center"/>
          </w:tcPr>
          <w:p w14:paraId="0604F83D">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63E33BB9">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7E848189">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2A5921B7">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0D1A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144036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4</w:t>
            </w:r>
          </w:p>
        </w:tc>
        <w:tc>
          <w:tcPr>
            <w:tcW w:w="2600" w:type="dxa"/>
            <w:noWrap w:val="0"/>
            <w:vAlign w:val="center"/>
          </w:tcPr>
          <w:p w14:paraId="061C5283">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C30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05C6E85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4FBDA0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333.72</w:t>
            </w:r>
          </w:p>
        </w:tc>
        <w:tc>
          <w:tcPr>
            <w:tcW w:w="1055" w:type="dxa"/>
            <w:noWrap w:val="0"/>
            <w:vAlign w:val="center"/>
          </w:tcPr>
          <w:p w14:paraId="775C4077">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444.66</w:t>
            </w:r>
          </w:p>
        </w:tc>
        <w:tc>
          <w:tcPr>
            <w:tcW w:w="937" w:type="dxa"/>
            <w:noWrap w:val="0"/>
            <w:vAlign w:val="center"/>
          </w:tcPr>
          <w:p w14:paraId="4D6F1BBE">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1E596614">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405CE1C6">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4FE7BD52">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4E84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0A1CA52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w:t>
            </w:r>
          </w:p>
        </w:tc>
        <w:tc>
          <w:tcPr>
            <w:tcW w:w="2600" w:type="dxa"/>
            <w:noWrap w:val="0"/>
            <w:vAlign w:val="center"/>
          </w:tcPr>
          <w:p w14:paraId="0721E54D">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C35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34EDDF6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287895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17834.56</w:t>
            </w:r>
          </w:p>
        </w:tc>
        <w:tc>
          <w:tcPr>
            <w:tcW w:w="1055" w:type="dxa"/>
            <w:noWrap w:val="0"/>
            <w:vAlign w:val="center"/>
          </w:tcPr>
          <w:p w14:paraId="6A1A4391">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2"/>
                <w:szCs w:val="22"/>
                <w:u w:val="none"/>
                <w:lang w:val="en-US" w:eastAsia="zh-CN" w:bidi="ar"/>
              </w:rPr>
              <w:t>464.08</w:t>
            </w:r>
          </w:p>
        </w:tc>
        <w:tc>
          <w:tcPr>
            <w:tcW w:w="937" w:type="dxa"/>
            <w:noWrap w:val="0"/>
            <w:vAlign w:val="center"/>
          </w:tcPr>
          <w:p w14:paraId="000EB815">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4CB65ACD">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37A0139A">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71636E71">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72B1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471A5E8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2600" w:type="dxa"/>
            <w:noWrap w:val="0"/>
            <w:vAlign w:val="center"/>
          </w:tcPr>
          <w:p w14:paraId="0FFA751A">
            <w:pPr>
              <w:keepNext w:val="0"/>
              <w:keepLines w:val="0"/>
              <w:widowControl/>
              <w:suppressLineNumbers w:val="0"/>
              <w:jc w:val="both"/>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 xml:space="preserve">普通预拌混凝土 </w:t>
            </w:r>
            <w:r>
              <w:rPr>
                <w:rFonts w:hint="default" w:ascii="Times New Roman" w:hAnsi="Times New Roman" w:eastAsia="宋体" w:cs="Times New Roman"/>
                <w:i w:val="0"/>
                <w:iCs w:val="0"/>
                <w:color w:val="auto"/>
                <w:kern w:val="0"/>
                <w:sz w:val="20"/>
                <w:szCs w:val="20"/>
                <w:u w:val="none"/>
                <w:lang w:val="en-US" w:eastAsia="zh-CN" w:bidi="ar"/>
              </w:rPr>
              <w:t xml:space="preserve">C40 </w:t>
            </w:r>
            <w:r>
              <w:rPr>
                <w:rFonts w:hint="eastAsia" w:ascii="宋体" w:hAnsi="宋体" w:eastAsia="宋体" w:cs="宋体"/>
                <w:i w:val="0"/>
                <w:iCs w:val="0"/>
                <w:color w:val="auto"/>
                <w:kern w:val="0"/>
                <w:sz w:val="20"/>
                <w:szCs w:val="20"/>
                <w:u w:val="none"/>
                <w:lang w:val="en-US" w:eastAsia="zh-CN" w:bidi="ar"/>
              </w:rPr>
              <w:t>泵送</w:t>
            </w:r>
          </w:p>
        </w:tc>
        <w:tc>
          <w:tcPr>
            <w:tcW w:w="675" w:type="dxa"/>
            <w:noWrap w:val="0"/>
            <w:vAlign w:val="center"/>
          </w:tcPr>
          <w:p w14:paraId="5FD0BFB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7DD36EB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866.22</w:t>
            </w:r>
          </w:p>
        </w:tc>
        <w:tc>
          <w:tcPr>
            <w:tcW w:w="1055" w:type="dxa"/>
            <w:noWrap w:val="0"/>
            <w:vAlign w:val="center"/>
          </w:tcPr>
          <w:p w14:paraId="25C76C6D">
            <w:pPr>
              <w:keepNext w:val="0"/>
              <w:keepLines w:val="0"/>
              <w:widowControl/>
              <w:suppressLineNumbers w:val="0"/>
              <w:jc w:val="center"/>
              <w:textAlignment w:val="center"/>
              <w:rPr>
                <w:rFonts w:hint="default"/>
                <w:color w:val="auto"/>
                <w:sz w:val="20"/>
                <w:szCs w:val="20"/>
                <w:lang w:val="en-US" w:eastAsia="zh-CN"/>
              </w:rPr>
            </w:pPr>
            <w:r>
              <w:rPr>
                <w:rFonts w:hint="eastAsia" w:ascii="宋体" w:hAnsi="宋体" w:eastAsia="宋体" w:cs="宋体"/>
                <w:i w:val="0"/>
                <w:iCs w:val="0"/>
                <w:color w:val="auto"/>
                <w:kern w:val="0"/>
                <w:sz w:val="22"/>
                <w:szCs w:val="22"/>
                <w:u w:val="none"/>
                <w:lang w:val="en-US" w:eastAsia="zh-CN" w:bidi="ar"/>
              </w:rPr>
              <w:t>483.50</w:t>
            </w:r>
          </w:p>
        </w:tc>
        <w:tc>
          <w:tcPr>
            <w:tcW w:w="937" w:type="dxa"/>
            <w:noWrap w:val="0"/>
            <w:vAlign w:val="center"/>
          </w:tcPr>
          <w:p w14:paraId="7C1FD0B8">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1EDA6DCD">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20E1A05A">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4088D78A">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328D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64C29FF8">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7</w:t>
            </w:r>
          </w:p>
        </w:tc>
        <w:tc>
          <w:tcPr>
            <w:tcW w:w="2600" w:type="dxa"/>
            <w:noWrap w:val="0"/>
            <w:vAlign w:val="center"/>
          </w:tcPr>
          <w:p w14:paraId="0B8251B2">
            <w:pPr>
              <w:keepNext w:val="0"/>
              <w:keepLines w:val="0"/>
              <w:widowControl/>
              <w:suppressLineNumbers w:val="0"/>
              <w:jc w:val="center"/>
              <w:textAlignment w:val="center"/>
              <w:rPr>
                <w:rFonts w:hint="eastAsia" w:ascii="Times New Roman" w:hAnsi="Times New Roman" w:cs="Times New Roman"/>
                <w:color w:val="auto"/>
                <w:sz w:val="20"/>
                <w:szCs w:val="22"/>
                <w:lang w:val="en-US" w:eastAsia="zh-CN"/>
              </w:rPr>
            </w:pPr>
            <w:r>
              <w:rPr>
                <w:rFonts w:hint="default" w:ascii="Times New Roman" w:hAnsi="Times New Roman" w:eastAsia="宋体" w:cs="Times New Roman"/>
                <w:i w:val="0"/>
                <w:iCs w:val="0"/>
                <w:color w:val="auto"/>
                <w:kern w:val="0"/>
                <w:sz w:val="20"/>
                <w:szCs w:val="20"/>
                <w:u w:val="none"/>
                <w:lang w:val="en-US" w:eastAsia="zh-CN" w:bidi="ar"/>
              </w:rPr>
              <w:t>P8</w:t>
            </w:r>
          </w:p>
        </w:tc>
        <w:tc>
          <w:tcPr>
            <w:tcW w:w="675" w:type="dxa"/>
            <w:noWrap w:val="0"/>
            <w:vAlign w:val="center"/>
          </w:tcPr>
          <w:p w14:paraId="2B19FF6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01B887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10796.67</w:t>
            </w:r>
          </w:p>
        </w:tc>
        <w:tc>
          <w:tcPr>
            <w:tcW w:w="1055" w:type="dxa"/>
            <w:noWrap w:val="0"/>
            <w:vAlign w:val="center"/>
          </w:tcPr>
          <w:p w14:paraId="4C5E0151">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2"/>
                <w:szCs w:val="22"/>
                <w:u w:val="none"/>
                <w:lang w:val="en-US" w:eastAsia="zh-CN" w:bidi="ar"/>
              </w:rPr>
              <w:t>8.85</w:t>
            </w:r>
          </w:p>
        </w:tc>
        <w:tc>
          <w:tcPr>
            <w:tcW w:w="937" w:type="dxa"/>
            <w:noWrap w:val="0"/>
            <w:vAlign w:val="center"/>
          </w:tcPr>
          <w:p w14:paraId="07A7CE20">
            <w:pPr>
              <w:jc w:val="center"/>
              <w:rPr>
                <w:rFonts w:hint="default" w:ascii="宋体" w:hAnsi="宋体" w:eastAsia="宋体" w:cs="宋体"/>
                <w:i w:val="0"/>
                <w:iCs w:val="0"/>
                <w:color w:val="auto"/>
                <w:sz w:val="18"/>
                <w:szCs w:val="18"/>
                <w:u w:val="none"/>
                <w:lang w:val="en-US" w:eastAsia="zh-CN"/>
              </w:rPr>
            </w:pPr>
          </w:p>
        </w:tc>
        <w:tc>
          <w:tcPr>
            <w:tcW w:w="1138" w:type="dxa"/>
            <w:noWrap w:val="0"/>
            <w:vAlign w:val="center"/>
          </w:tcPr>
          <w:p w14:paraId="3AAB0FA7">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75B5B76A">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1CD6BF99">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0C845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781EEFC5">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8</w:t>
            </w:r>
          </w:p>
        </w:tc>
        <w:tc>
          <w:tcPr>
            <w:tcW w:w="2600" w:type="dxa"/>
            <w:noWrap w:val="0"/>
            <w:vAlign w:val="center"/>
          </w:tcPr>
          <w:p w14:paraId="01468FBC">
            <w:pPr>
              <w:keepNext w:val="0"/>
              <w:keepLines w:val="0"/>
              <w:widowControl/>
              <w:suppressLineNumbers w:val="0"/>
              <w:jc w:val="center"/>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早强、补偿剂</w:t>
            </w:r>
          </w:p>
        </w:tc>
        <w:tc>
          <w:tcPr>
            <w:tcW w:w="675" w:type="dxa"/>
            <w:noWrap w:val="0"/>
            <w:vAlign w:val="center"/>
          </w:tcPr>
          <w:p w14:paraId="0857840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1F62B8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353.99</w:t>
            </w:r>
          </w:p>
        </w:tc>
        <w:tc>
          <w:tcPr>
            <w:tcW w:w="1055" w:type="dxa"/>
            <w:noWrap w:val="0"/>
            <w:vAlign w:val="center"/>
          </w:tcPr>
          <w:p w14:paraId="7EE74912">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2"/>
                <w:szCs w:val="22"/>
                <w:u w:val="none"/>
                <w:lang w:val="en-US" w:eastAsia="zh-CN" w:bidi="ar"/>
              </w:rPr>
              <w:t>13.27</w:t>
            </w:r>
          </w:p>
        </w:tc>
        <w:tc>
          <w:tcPr>
            <w:tcW w:w="937" w:type="dxa"/>
            <w:noWrap w:val="0"/>
            <w:vAlign w:val="center"/>
          </w:tcPr>
          <w:p w14:paraId="3C9E47B3">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kern w:val="0"/>
                <w:sz w:val="18"/>
                <w:szCs w:val="18"/>
                <w:u w:val="none"/>
                <w:lang w:val="en-US" w:eastAsia="zh-CN" w:bidi="ar"/>
              </w:rPr>
              <w:t>/</w:t>
            </w:r>
          </w:p>
        </w:tc>
        <w:tc>
          <w:tcPr>
            <w:tcW w:w="1138" w:type="dxa"/>
            <w:noWrap w:val="0"/>
            <w:vAlign w:val="center"/>
          </w:tcPr>
          <w:p w14:paraId="7B8EA80A">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2F40178B">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54253496">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61EC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27" w:type="dxa"/>
            <w:noWrap w:val="0"/>
            <w:vAlign w:val="center"/>
          </w:tcPr>
          <w:p w14:paraId="048EDAB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9</w:t>
            </w:r>
          </w:p>
        </w:tc>
        <w:tc>
          <w:tcPr>
            <w:tcW w:w="2600" w:type="dxa"/>
            <w:noWrap w:val="0"/>
            <w:vAlign w:val="center"/>
          </w:tcPr>
          <w:p w14:paraId="573A3AB5">
            <w:pPr>
              <w:keepNext w:val="0"/>
              <w:keepLines w:val="0"/>
              <w:widowControl/>
              <w:suppressLineNumbers w:val="0"/>
              <w:jc w:val="center"/>
              <w:textAlignment w:val="center"/>
              <w:rPr>
                <w:rFonts w:hint="eastAsia" w:ascii="Times New Roman" w:hAnsi="Times New Roman" w:cs="Times New Roman"/>
                <w:color w:val="auto"/>
                <w:sz w:val="20"/>
                <w:szCs w:val="22"/>
                <w:lang w:val="en-US" w:eastAsia="zh-CN"/>
              </w:rPr>
            </w:pPr>
            <w:r>
              <w:rPr>
                <w:rFonts w:hint="eastAsia" w:ascii="宋体" w:hAnsi="宋体" w:eastAsia="宋体" w:cs="宋体"/>
                <w:i w:val="0"/>
                <w:iCs w:val="0"/>
                <w:color w:val="auto"/>
                <w:kern w:val="0"/>
                <w:sz w:val="20"/>
                <w:szCs w:val="20"/>
                <w:u w:val="none"/>
                <w:lang w:val="en-US" w:eastAsia="zh-CN" w:bidi="ar"/>
              </w:rPr>
              <w:t>细石混凝土增加费</w:t>
            </w:r>
          </w:p>
        </w:tc>
        <w:tc>
          <w:tcPr>
            <w:tcW w:w="675" w:type="dxa"/>
            <w:noWrap w:val="0"/>
            <w:vAlign w:val="center"/>
          </w:tcPr>
          <w:p w14:paraId="4920F07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m3</w:t>
            </w:r>
          </w:p>
        </w:tc>
        <w:tc>
          <w:tcPr>
            <w:tcW w:w="1125" w:type="dxa"/>
            <w:noWrap w:val="0"/>
            <w:vAlign w:val="center"/>
          </w:tcPr>
          <w:p w14:paraId="5C86BD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2562.57</w:t>
            </w:r>
          </w:p>
        </w:tc>
        <w:tc>
          <w:tcPr>
            <w:tcW w:w="1055" w:type="dxa"/>
            <w:noWrap w:val="0"/>
            <w:vAlign w:val="center"/>
          </w:tcPr>
          <w:p w14:paraId="674C84EF">
            <w:pPr>
              <w:keepNext w:val="0"/>
              <w:keepLines w:val="0"/>
              <w:widowControl/>
              <w:suppressLineNumbers w:val="0"/>
              <w:jc w:val="center"/>
              <w:textAlignment w:val="center"/>
              <w:rPr>
                <w:rFonts w:hint="default" w:ascii="宋体" w:hAnsi="宋体" w:cs="宋体"/>
                <w:i w:val="0"/>
                <w:iCs w:val="0"/>
                <w:color w:val="auto"/>
                <w:kern w:val="0"/>
                <w:sz w:val="20"/>
                <w:szCs w:val="20"/>
                <w:u w:val="none"/>
                <w:lang w:val="en-US" w:eastAsia="zh-CN" w:bidi="ar"/>
              </w:rPr>
            </w:pPr>
            <w:r>
              <w:rPr>
                <w:rFonts w:hint="eastAsia" w:ascii="宋体" w:hAnsi="宋体" w:cs="宋体"/>
                <w:i w:val="0"/>
                <w:iCs w:val="0"/>
                <w:color w:val="auto"/>
                <w:kern w:val="0"/>
                <w:sz w:val="22"/>
                <w:szCs w:val="22"/>
                <w:u w:val="none"/>
                <w:lang w:val="en-US" w:eastAsia="zh-CN" w:bidi="ar"/>
              </w:rPr>
              <w:t>15.04</w:t>
            </w:r>
          </w:p>
        </w:tc>
        <w:tc>
          <w:tcPr>
            <w:tcW w:w="937" w:type="dxa"/>
            <w:noWrap w:val="0"/>
            <w:vAlign w:val="center"/>
          </w:tcPr>
          <w:p w14:paraId="48BFD720">
            <w:pPr>
              <w:jc w:val="center"/>
              <w:rPr>
                <w:rFonts w:hint="default" w:ascii="宋体" w:hAnsi="宋体" w:eastAsia="宋体" w:cs="宋体"/>
                <w:i w:val="0"/>
                <w:iCs w:val="0"/>
                <w:color w:val="auto"/>
                <w:sz w:val="18"/>
                <w:szCs w:val="18"/>
                <w:u w:val="none"/>
                <w:lang w:val="en-US" w:eastAsia="zh-CN"/>
              </w:rPr>
            </w:pPr>
            <w:r>
              <w:rPr>
                <w:rFonts w:hint="eastAsia" w:ascii="宋体" w:hAnsi="宋体" w:cs="宋体"/>
                <w:i w:val="0"/>
                <w:iCs w:val="0"/>
                <w:color w:val="auto"/>
                <w:sz w:val="18"/>
                <w:szCs w:val="18"/>
                <w:u w:val="none"/>
                <w:lang w:val="en-US" w:eastAsia="zh-CN"/>
              </w:rPr>
              <w:t>/</w:t>
            </w:r>
          </w:p>
        </w:tc>
        <w:tc>
          <w:tcPr>
            <w:tcW w:w="1138" w:type="dxa"/>
            <w:noWrap w:val="0"/>
            <w:vAlign w:val="center"/>
          </w:tcPr>
          <w:p w14:paraId="6CD70D7E">
            <w:pPr>
              <w:jc w:val="center"/>
              <w:rPr>
                <w:rFonts w:hint="default" w:ascii="宋体" w:hAnsi="宋体" w:eastAsia="宋体" w:cs="宋体"/>
                <w:i w:val="0"/>
                <w:iCs w:val="0"/>
                <w:color w:val="auto"/>
                <w:sz w:val="18"/>
                <w:szCs w:val="18"/>
                <w:u w:val="none"/>
                <w:lang w:val="en-US" w:eastAsia="zh-CN"/>
              </w:rPr>
            </w:pPr>
          </w:p>
        </w:tc>
        <w:tc>
          <w:tcPr>
            <w:tcW w:w="1037" w:type="dxa"/>
            <w:noWrap w:val="0"/>
            <w:vAlign w:val="center"/>
          </w:tcPr>
          <w:p w14:paraId="5074752D">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6E954069">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6C91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027" w:type="dxa"/>
            <w:gridSpan w:val="4"/>
            <w:noWrap w:val="0"/>
            <w:vAlign w:val="center"/>
          </w:tcPr>
          <w:p w14:paraId="185B77A0">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cs="Times New Roman"/>
                <w:color w:val="auto"/>
                <w:sz w:val="20"/>
                <w:szCs w:val="20"/>
                <w:lang w:val="en-US" w:eastAsia="zh-CN"/>
              </w:rPr>
              <w:t>不含税合计金额</w:t>
            </w:r>
          </w:p>
        </w:tc>
        <w:tc>
          <w:tcPr>
            <w:tcW w:w="4167" w:type="dxa"/>
            <w:gridSpan w:val="4"/>
            <w:noWrap w:val="0"/>
            <w:vAlign w:val="center"/>
          </w:tcPr>
          <w:p w14:paraId="2EA6370B">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713CAB32">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7CB7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027" w:type="dxa"/>
            <w:gridSpan w:val="4"/>
            <w:noWrap w:val="0"/>
            <w:vAlign w:val="center"/>
          </w:tcPr>
          <w:p w14:paraId="3BA0C1D3">
            <w:pPr>
              <w:keepNext w:val="0"/>
              <w:keepLines w:val="0"/>
              <w:widowControl/>
              <w:suppressLineNumbers w:val="0"/>
              <w:spacing w:line="240" w:lineRule="auto"/>
              <w:jc w:val="center"/>
              <w:textAlignment w:val="center"/>
              <w:rPr>
                <w:rFonts w:hint="eastAsia" w:ascii="Times New Roman" w:hAnsi="Times New Roman" w:cs="Times New Roman"/>
                <w:color w:val="auto"/>
                <w:sz w:val="20"/>
                <w:szCs w:val="20"/>
                <w:lang w:val="en-US" w:eastAsia="zh-CN"/>
              </w:rPr>
            </w:pPr>
            <w:r>
              <w:rPr>
                <w:rFonts w:hint="eastAsia" w:cs="Times New Roman"/>
                <w:color w:val="auto"/>
                <w:sz w:val="20"/>
                <w:szCs w:val="20"/>
                <w:lang w:val="en-US" w:eastAsia="zh-CN"/>
              </w:rPr>
              <w:t>合计金额（</w:t>
            </w:r>
            <w:r>
              <w:rPr>
                <w:rFonts w:hint="eastAsia" w:ascii="Times New Roman" w:hAnsi="Times New Roman" w:cs="Times New Roman"/>
                <w:color w:val="auto"/>
                <w:sz w:val="20"/>
                <w:szCs w:val="20"/>
                <w:lang w:val="en-US" w:eastAsia="zh-CN"/>
              </w:rPr>
              <w:t>含税</w:t>
            </w:r>
            <w:r>
              <w:rPr>
                <w:rFonts w:hint="eastAsia" w:ascii="Times New Roman" w:hAnsi="Times New Roman" w:cs="Times New Roman"/>
                <w:color w:val="auto"/>
                <w:sz w:val="20"/>
                <w:szCs w:val="20"/>
                <w:u w:val="single"/>
                <w:lang w:val="en-US" w:eastAsia="zh-CN"/>
              </w:rPr>
              <w:t xml:space="preserve"> </w:t>
            </w:r>
            <w:r>
              <w:rPr>
                <w:rFonts w:hint="eastAsia" w:cs="Times New Roman"/>
                <w:color w:val="auto"/>
                <w:sz w:val="20"/>
                <w:szCs w:val="20"/>
                <w:u w:val="single"/>
                <w:lang w:val="en-US" w:eastAsia="zh-CN"/>
              </w:rPr>
              <w:t xml:space="preserve"> 13  </w:t>
            </w:r>
            <w:r>
              <w:rPr>
                <w:rFonts w:hint="eastAsia" w:ascii="Times New Roman" w:hAnsi="Times New Roman" w:cs="Times New Roman"/>
                <w:color w:val="auto"/>
                <w:sz w:val="20"/>
                <w:szCs w:val="20"/>
                <w:u w:val="single"/>
                <w:lang w:val="en-US" w:eastAsia="zh-CN"/>
              </w:rPr>
              <w:t xml:space="preserve"> </w:t>
            </w:r>
            <w:r>
              <w:rPr>
                <w:rFonts w:hint="eastAsia" w:ascii="Times New Roman" w:hAnsi="Times New Roman" w:cs="Times New Roman"/>
                <w:color w:val="auto"/>
                <w:sz w:val="20"/>
                <w:szCs w:val="20"/>
                <w:lang w:val="en-US" w:eastAsia="zh-CN"/>
              </w:rPr>
              <w:t>%</w:t>
            </w:r>
            <w:r>
              <w:rPr>
                <w:rFonts w:hint="eastAsia" w:cs="Times New Roman"/>
                <w:color w:val="auto"/>
                <w:sz w:val="20"/>
                <w:szCs w:val="20"/>
                <w:lang w:val="en-US" w:eastAsia="zh-CN"/>
              </w:rPr>
              <w:t>）</w:t>
            </w:r>
          </w:p>
        </w:tc>
        <w:tc>
          <w:tcPr>
            <w:tcW w:w="4167" w:type="dxa"/>
            <w:gridSpan w:val="4"/>
            <w:noWrap w:val="0"/>
            <w:vAlign w:val="center"/>
          </w:tcPr>
          <w:p w14:paraId="75F7B2B5">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c>
          <w:tcPr>
            <w:tcW w:w="650" w:type="dxa"/>
            <w:noWrap w:val="0"/>
            <w:vAlign w:val="center"/>
          </w:tcPr>
          <w:p w14:paraId="66869471">
            <w:pPr>
              <w:keepNext w:val="0"/>
              <w:keepLines w:val="0"/>
              <w:widowControl/>
              <w:numPr>
                <w:ilvl w:val="0"/>
                <w:numId w:val="0"/>
              </w:numPr>
              <w:suppressLineNumbers w:val="0"/>
              <w:ind w:left="0" w:leftChars="0" w:firstLine="0" w:firstLineChars="0"/>
              <w:jc w:val="left"/>
              <w:textAlignment w:val="center"/>
              <w:rPr>
                <w:rFonts w:hint="default" w:ascii="宋体" w:hAnsi="宋体" w:eastAsia="宋体" w:cs="宋体"/>
                <w:i w:val="0"/>
                <w:iCs w:val="0"/>
                <w:color w:val="auto"/>
                <w:sz w:val="18"/>
                <w:szCs w:val="18"/>
                <w:u w:val="none"/>
                <w:lang w:val="en-US" w:eastAsia="zh-CN"/>
              </w:rPr>
            </w:pPr>
          </w:p>
        </w:tc>
      </w:tr>
      <w:tr w14:paraId="1422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9844" w:type="dxa"/>
            <w:gridSpan w:val="9"/>
            <w:noWrap w:val="0"/>
            <w:vAlign w:val="center"/>
          </w:tcPr>
          <w:p w14:paraId="54880521">
            <w:pPr>
              <w:keepNext w:val="0"/>
              <w:keepLines w:val="0"/>
              <w:widowControl/>
              <w:suppressLineNumbers w:val="0"/>
              <w:jc w:val="both"/>
              <w:textAlignment w:val="center"/>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 xml:space="preserve">1.商品混凝土（二）的基础单价，特殊混凝土增加费用、各类其他费用均不因付款方式变化而变化； </w:t>
            </w:r>
          </w:p>
          <w:p w14:paraId="6C691FF4">
            <w:pPr>
              <w:spacing w:line="240" w:lineRule="auto"/>
              <w:rPr>
                <w:rFonts w:hint="eastAsia" w:ascii="Times New Roman" w:hAnsi="Times New Roman" w:cs="Times New Roman"/>
                <w:color w:val="auto"/>
                <w:sz w:val="21"/>
                <w:lang w:val="en-US" w:eastAsia="zh-CN"/>
              </w:rPr>
            </w:pPr>
            <w:r>
              <w:rPr>
                <w:rFonts w:hint="eastAsia" w:ascii="Times New Roman" w:hAnsi="Times New Roman" w:cs="Times New Roman"/>
                <w:color w:val="auto"/>
                <w:sz w:val="21"/>
                <w:lang w:val="en-US" w:eastAsia="zh-CN"/>
              </w:rPr>
              <w:t xml:space="preserve">2.以上价格最多保留2位小数； </w:t>
            </w:r>
          </w:p>
          <w:p w14:paraId="188EEDAD">
            <w:pPr>
              <w:spacing w:line="240" w:lineRule="auto"/>
              <w:rPr>
                <w:rFonts w:hint="eastAsia" w:ascii="Times New Roman" w:hAnsi="Times New Roman" w:cs="Times New Roman"/>
                <w:color w:val="auto"/>
                <w:sz w:val="21"/>
                <w:lang w:val="en-US" w:eastAsia="zh-CN"/>
              </w:rPr>
            </w:pPr>
            <w:r>
              <w:rPr>
                <w:rFonts w:hint="eastAsia" w:cs="Times New Roman"/>
                <w:color w:val="auto"/>
                <w:sz w:val="21"/>
                <w:lang w:val="en-US" w:eastAsia="zh-CN"/>
              </w:rPr>
              <w:t>3</w:t>
            </w:r>
            <w:r>
              <w:rPr>
                <w:rFonts w:hint="eastAsia" w:ascii="Times New Roman" w:hAnsi="Times New Roman" w:cs="Times New Roman"/>
                <w:color w:val="auto"/>
                <w:sz w:val="21"/>
                <w:lang w:val="en-US" w:eastAsia="zh-CN"/>
              </w:rPr>
              <w:t>.特殊型号加价为普通混凝土基础上的加价</w:t>
            </w:r>
            <w:r>
              <w:rPr>
                <w:rFonts w:hint="eastAsia" w:cs="Times New Roman"/>
                <w:color w:val="auto"/>
                <w:sz w:val="21"/>
                <w:lang w:val="en-US" w:eastAsia="zh-CN"/>
              </w:rPr>
              <w:t>,细石混凝土每立方含税单价增加17元,早强补偿收缩每立方含税单价在同等标号上加15元</w:t>
            </w:r>
            <w:r>
              <w:rPr>
                <w:rFonts w:hint="eastAsia" w:ascii="Times New Roman" w:hAnsi="Times New Roman" w:cs="Times New Roman"/>
                <w:color w:val="auto"/>
                <w:sz w:val="21"/>
                <w:lang w:val="en-US" w:eastAsia="zh-CN"/>
              </w:rPr>
              <w:t>；</w:t>
            </w:r>
          </w:p>
          <w:p w14:paraId="55C5C927">
            <w:pPr>
              <w:spacing w:line="240" w:lineRule="auto"/>
              <w:rPr>
                <w:rFonts w:hint="eastAsia" w:ascii="Times New Roman" w:hAnsi="Times New Roman" w:cs="Times New Roman"/>
                <w:color w:val="auto"/>
                <w:sz w:val="21"/>
                <w:lang w:val="en-US" w:eastAsia="zh-CN"/>
              </w:rPr>
            </w:pPr>
            <w:r>
              <w:rPr>
                <w:rFonts w:hint="eastAsia" w:cs="Times New Roman"/>
                <w:color w:val="auto"/>
                <w:sz w:val="21"/>
                <w:lang w:val="en-US" w:eastAsia="zh-CN"/>
              </w:rPr>
              <w:t>4</w:t>
            </w:r>
            <w:r>
              <w:rPr>
                <w:rFonts w:hint="eastAsia" w:ascii="Times New Roman" w:hAnsi="Times New Roman" w:cs="Times New Roman"/>
                <w:color w:val="auto"/>
                <w:sz w:val="21"/>
                <w:lang w:val="en-US" w:eastAsia="zh-CN"/>
              </w:rPr>
              <w:t>.如出现当月信息价分几次的情况，按加权平均价计算。特殊加价部分不参与调价</w:t>
            </w:r>
            <w:r>
              <w:rPr>
                <w:rFonts w:hint="eastAsia" w:cs="Times New Roman"/>
                <w:color w:val="auto"/>
                <w:sz w:val="21"/>
                <w:lang w:val="en-US" w:eastAsia="zh-CN"/>
              </w:rPr>
              <w:t>；</w:t>
            </w:r>
          </w:p>
          <w:p w14:paraId="42B8E86A">
            <w:pPr>
              <w:spacing w:line="240" w:lineRule="auto"/>
              <w:rPr>
                <w:rFonts w:hint="eastAsia" w:ascii="Times New Roman" w:hAnsi="Times New Roman" w:cs="Times New Roman"/>
                <w:color w:val="auto"/>
                <w:sz w:val="21"/>
                <w:lang w:val="en-US" w:eastAsia="zh-CN"/>
              </w:rPr>
            </w:pPr>
            <w:r>
              <w:rPr>
                <w:rFonts w:hint="eastAsia" w:cs="Times New Roman"/>
                <w:color w:val="auto"/>
                <w:sz w:val="21"/>
                <w:lang w:val="en-US" w:eastAsia="zh-CN"/>
              </w:rPr>
              <w:t>5</w:t>
            </w:r>
            <w:r>
              <w:rPr>
                <w:rFonts w:hint="eastAsia" w:ascii="Times New Roman" w:hAnsi="Times New Roman" w:cs="Times New Roman"/>
                <w:color w:val="auto"/>
                <w:sz w:val="21"/>
                <w:lang w:val="en-US" w:eastAsia="zh-CN"/>
              </w:rPr>
              <w:t>.</w:t>
            </w:r>
            <w:r>
              <w:rPr>
                <w:rFonts w:hint="eastAsia" w:cs="Times New Roman"/>
                <w:color w:val="auto"/>
                <w:sz w:val="21"/>
                <w:lang w:val="en-US" w:eastAsia="zh-CN"/>
              </w:rPr>
              <w:t>综合单价</w:t>
            </w:r>
            <w:r>
              <w:rPr>
                <w:rFonts w:hint="eastAsia" w:ascii="Times New Roman" w:hAnsi="Times New Roman" w:cs="Times New Roman"/>
                <w:color w:val="auto"/>
                <w:sz w:val="21"/>
                <w:lang w:val="en-US" w:eastAsia="zh-CN"/>
              </w:rPr>
              <w:t>包含相关检测资料配合费用，具体为：乙方负责提供特殊混凝土的配合比报告、合格证和原材料，配合甲方送检复核，同时提供相应堆码场地、添加外加剂、试验试件制作、完善后续闭环资料等工作。</w:t>
            </w:r>
          </w:p>
        </w:tc>
      </w:tr>
    </w:tbl>
    <w:p w14:paraId="2D05C1AE">
      <w:pPr>
        <w:ind w:firstLine="4760" w:firstLineChars="1700"/>
        <w:jc w:val="center"/>
        <w:rPr>
          <w:rFonts w:hint="eastAsia"/>
          <w:color w:val="auto"/>
          <w:sz w:val="28"/>
          <w:szCs w:val="36"/>
        </w:rPr>
      </w:pPr>
      <w:r>
        <w:rPr>
          <w:rFonts w:hint="eastAsia"/>
          <w:color w:val="auto"/>
          <w:sz w:val="28"/>
          <w:szCs w:val="36"/>
        </w:rPr>
        <w:t>报价单位</w:t>
      </w:r>
      <w:r>
        <w:rPr>
          <w:color w:val="auto"/>
          <w:sz w:val="28"/>
          <w:szCs w:val="36"/>
        </w:rPr>
        <w:t>：</w:t>
      </w:r>
    </w:p>
    <w:p w14:paraId="149541F6">
      <w:pPr>
        <w:ind w:firstLine="4760" w:firstLineChars="1700"/>
        <w:jc w:val="center"/>
        <w:rPr>
          <w:rFonts w:hint="eastAsia"/>
          <w:color w:val="auto"/>
          <w:sz w:val="28"/>
          <w:szCs w:val="36"/>
        </w:rPr>
      </w:pPr>
      <w:r>
        <w:rPr>
          <w:rFonts w:hint="eastAsia"/>
          <w:color w:val="auto"/>
          <w:sz w:val="28"/>
          <w:szCs w:val="36"/>
        </w:rPr>
        <w:t>联系人</w:t>
      </w:r>
      <w:r>
        <w:rPr>
          <w:color w:val="auto"/>
          <w:sz w:val="28"/>
          <w:szCs w:val="36"/>
        </w:rPr>
        <w:t>：</w:t>
      </w:r>
    </w:p>
    <w:p w14:paraId="7F63D109">
      <w:pPr>
        <w:ind w:firstLine="4760" w:firstLineChars="1700"/>
        <w:jc w:val="center"/>
        <w:rPr>
          <w:color w:val="auto"/>
          <w:sz w:val="28"/>
          <w:szCs w:val="36"/>
        </w:rPr>
      </w:pPr>
      <w:r>
        <w:rPr>
          <w:rFonts w:hint="eastAsia"/>
          <w:color w:val="auto"/>
          <w:sz w:val="28"/>
          <w:szCs w:val="36"/>
        </w:rPr>
        <w:t>联系</w:t>
      </w:r>
      <w:r>
        <w:rPr>
          <w:color w:val="auto"/>
          <w:sz w:val="28"/>
          <w:szCs w:val="36"/>
        </w:rPr>
        <w:t>方式：</w:t>
      </w:r>
    </w:p>
    <w:p w14:paraId="4A8B9862">
      <w:pPr>
        <w:ind w:firstLine="4760" w:firstLineChars="1700"/>
        <w:jc w:val="center"/>
        <w:rPr>
          <w:color w:val="auto"/>
          <w:sz w:val="28"/>
          <w:szCs w:val="36"/>
        </w:rPr>
        <w:sectPr>
          <w:pgSz w:w="16840" w:h="11907" w:orient="landscape"/>
          <w:pgMar w:top="1134" w:right="1134" w:bottom="1134" w:left="1134" w:header="851" w:footer="992" w:gutter="0"/>
          <w:paperSrc w:first="257"/>
          <w:cols w:space="720" w:num="1"/>
          <w:docGrid w:type="linesAndChars" w:linePitch="326" w:charSpace="0"/>
        </w:sectPr>
      </w:pPr>
      <w:r>
        <w:rPr>
          <w:color w:val="auto"/>
          <w:sz w:val="28"/>
          <w:szCs w:val="36"/>
        </w:rPr>
        <w:t>年    月   日</w:t>
      </w:r>
    </w:p>
    <w:p w14:paraId="05AF8B73">
      <w:pPr>
        <w:keepNext w:val="0"/>
        <w:keepLines w:val="0"/>
        <w:pageBreakBefore w:val="0"/>
        <w:wordWrap/>
        <w:overflowPunct/>
        <w:topLinePunct w:val="0"/>
        <w:bidi w:val="0"/>
        <w:spacing w:line="360" w:lineRule="auto"/>
        <w:jc w:val="center"/>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lang w:eastAsia="zh-CN"/>
        </w:rPr>
        <w:t>　</w:t>
      </w:r>
      <w:r>
        <w:rPr>
          <w:rFonts w:hint="eastAsia" w:ascii="仿宋" w:hAnsi="仿宋" w:eastAsia="仿宋" w:cs="仿宋"/>
          <w:color w:val="auto"/>
          <w:sz w:val="32"/>
          <w:szCs w:val="32"/>
        </w:rPr>
        <w:t>供应商需具备增值税一般纳税人资格，需随报价文件提交电子税务局一般纳税人查询截图(清晰显示纳税人名称、统一社会信用代码、资格状态及查询日期)或税务局出具的一般纳税人认定文书(盖公章且在有效期内</w:t>
      </w:r>
      <w:r>
        <w:rPr>
          <w:rFonts w:hint="eastAsia" w:ascii="仿宋" w:hAnsi="仿宋" w:eastAsia="仿宋" w:cs="仿宋"/>
          <w:color w:val="auto"/>
          <w:sz w:val="32"/>
          <w:szCs w:val="32"/>
          <w:lang w:eastAsia="zh-CN"/>
        </w:rPr>
        <w:t>。</w:t>
      </w:r>
    </w:p>
    <w:p w14:paraId="1183FFAB">
      <w:pPr>
        <w:keepNext w:val="0"/>
        <w:keepLines w:val="0"/>
        <w:pageBreakBefore w:val="0"/>
        <w:wordWrap/>
        <w:overflowPunct/>
        <w:topLinePunct w:val="0"/>
        <w:bidi w:val="0"/>
        <w:spacing w:line="360" w:lineRule="auto"/>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（三）近年的类似项目情况表</w:t>
      </w:r>
      <w:r>
        <w:rPr>
          <w:rFonts w:hint="eastAsia" w:ascii="仿宋" w:hAnsi="仿宋" w:eastAsia="仿宋" w:cs="仿宋"/>
          <w:color w:val="auto"/>
          <w:sz w:val="32"/>
          <w:szCs w:val="32"/>
          <w:lang w:val="en-US" w:eastAsia="zh-CN"/>
        </w:rPr>
        <w:t>(如有)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color w:val="auto"/>
                <w:sz w:val="28"/>
                <w:szCs w:val="28"/>
                <w:vertAlign w:val="baseline"/>
              </w:rPr>
            </w:pPr>
            <w:r>
              <w:rPr>
                <w:rFonts w:hint="eastAsia" w:ascii="仿宋" w:hAnsi="仿宋" w:eastAsia="仿宋" w:cs="仿宋"/>
                <w:color w:val="auto"/>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color w:val="auto"/>
                <w:sz w:val="32"/>
                <w:szCs w:val="32"/>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注：供应商应根据供应商须知前附表第3.5（4）项的要求在本表后附相关证明材料。</w:t>
      </w:r>
    </w:p>
    <w:p w14:paraId="601AFB79">
      <w:pPr>
        <w:keepNext w:val="0"/>
        <w:keepLines w:val="0"/>
        <w:pageBreakBefore w:val="0"/>
        <w:wordWrap/>
        <w:overflowPunct/>
        <w:topLinePunct w:val="0"/>
        <w:bidi w:val="0"/>
        <w:spacing w:line="360" w:lineRule="auto"/>
        <w:rPr>
          <w:rFonts w:hint="eastAsia" w:ascii="仿宋" w:hAnsi="仿宋" w:eastAsia="仿宋" w:cs="仿宋"/>
          <w:color w:val="auto"/>
          <w:sz w:val="24"/>
          <w:szCs w:val="24"/>
        </w:rPr>
      </w:pPr>
    </w:p>
    <w:p w14:paraId="41C9827B">
      <w:pPr>
        <w:keepNext w:val="0"/>
        <w:keepLines w:val="0"/>
        <w:pageBreakBefore w:val="0"/>
        <w:wordWrap/>
        <w:overflowPunct/>
        <w:topLinePunct w:val="0"/>
        <w:bidi w:val="0"/>
        <w:spacing w:line="360" w:lineRule="auto"/>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240FA1D7"/>
    <w:multiLevelType w:val="singleLevel"/>
    <w:tmpl w:val="240FA1D7"/>
    <w:lvl w:ilvl="0" w:tentative="0">
      <w:start w:val="3"/>
      <w:numFmt w:val="decimal"/>
      <w:suff w:val="nothing"/>
      <w:lvlText w:val="%1、"/>
      <w:lvlJc w:val="left"/>
    </w:lvl>
  </w:abstractNum>
  <w:abstractNum w:abstractNumId="2">
    <w:nsid w:val="728FF0DC"/>
    <w:multiLevelType w:val="singleLevel"/>
    <w:tmpl w:val="728FF0DC"/>
    <w:lvl w:ilvl="0" w:tentative="0">
      <w:start w:val="4"/>
      <w:numFmt w:val="chineseCounting"/>
      <w:suff w:val="space"/>
      <w:lvlText w:val="第%1章"/>
      <w:lvlJc w:val="left"/>
      <w:rPr>
        <w:rFonts w:hint="eastAsia"/>
      </w:rPr>
    </w:lvl>
  </w:abstractNum>
  <w:abstractNum w:abstractNumId="3">
    <w:nsid w:val="7BA1169A"/>
    <w:multiLevelType w:val="singleLevel"/>
    <w:tmpl w:val="7BA1169A"/>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41C018D"/>
    <w:rsid w:val="046154E2"/>
    <w:rsid w:val="069D44D8"/>
    <w:rsid w:val="08BE3015"/>
    <w:rsid w:val="09325578"/>
    <w:rsid w:val="0C2D10BD"/>
    <w:rsid w:val="0C79108A"/>
    <w:rsid w:val="0CB60A5B"/>
    <w:rsid w:val="10442109"/>
    <w:rsid w:val="10C07025"/>
    <w:rsid w:val="115320F9"/>
    <w:rsid w:val="12552E37"/>
    <w:rsid w:val="12E758A2"/>
    <w:rsid w:val="13DA7FEC"/>
    <w:rsid w:val="1771145C"/>
    <w:rsid w:val="19B62BD6"/>
    <w:rsid w:val="1C3256A1"/>
    <w:rsid w:val="1E3A25BA"/>
    <w:rsid w:val="1E5005B6"/>
    <w:rsid w:val="1EA4474E"/>
    <w:rsid w:val="27E62FAC"/>
    <w:rsid w:val="281568C6"/>
    <w:rsid w:val="29BA16CF"/>
    <w:rsid w:val="306871A9"/>
    <w:rsid w:val="32013DC7"/>
    <w:rsid w:val="33B93BC7"/>
    <w:rsid w:val="36A069CA"/>
    <w:rsid w:val="36A6388B"/>
    <w:rsid w:val="3E28224C"/>
    <w:rsid w:val="3EC5358C"/>
    <w:rsid w:val="40BB4A38"/>
    <w:rsid w:val="40FC510A"/>
    <w:rsid w:val="44E6547E"/>
    <w:rsid w:val="471F2C66"/>
    <w:rsid w:val="479D5FDF"/>
    <w:rsid w:val="47F46C3F"/>
    <w:rsid w:val="484E4529"/>
    <w:rsid w:val="498F45C3"/>
    <w:rsid w:val="49953347"/>
    <w:rsid w:val="4ADB01AB"/>
    <w:rsid w:val="4D1B1248"/>
    <w:rsid w:val="50FD535B"/>
    <w:rsid w:val="51732634"/>
    <w:rsid w:val="520E2002"/>
    <w:rsid w:val="52CD0741"/>
    <w:rsid w:val="55A51B63"/>
    <w:rsid w:val="55C81229"/>
    <w:rsid w:val="57F725D5"/>
    <w:rsid w:val="5AD75716"/>
    <w:rsid w:val="5E9F56FC"/>
    <w:rsid w:val="5FBE11AC"/>
    <w:rsid w:val="5FE71247"/>
    <w:rsid w:val="60DB1C73"/>
    <w:rsid w:val="659D2AA6"/>
    <w:rsid w:val="66E0214B"/>
    <w:rsid w:val="69977773"/>
    <w:rsid w:val="69DE70ED"/>
    <w:rsid w:val="6DDD7BE1"/>
    <w:rsid w:val="6EB955BA"/>
    <w:rsid w:val="6F961AE8"/>
    <w:rsid w:val="719F32E4"/>
    <w:rsid w:val="71C86C3F"/>
    <w:rsid w:val="78641CB4"/>
    <w:rsid w:val="79990A0D"/>
    <w:rsid w:val="799F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2615</Words>
  <Characters>2841</Characters>
  <Lines>0</Lines>
  <Paragraphs>0</Paragraphs>
  <TotalTime>18</TotalTime>
  <ScaleCrop>false</ScaleCrop>
  <LinksUpToDate>false</LinksUpToDate>
  <CharactersWithSpaces>3557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2026-01-23T22:57:57Z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0473127CB9E241DCA84263AD8E68FEEF_13</vt:lpwstr>
  </property>
  <property fmtid="{D5CDD505-2E9C-101B-9397-08002B2CF9AE}" pid="4" name="KSOTemplateDocerSaveRecord">
    <vt:lpwstr>eyJoZGlkIjoiYzgzMTJhM2UxMGFhMmZjNjg4NTVhZjZlZTI0M2Y2YzQiLCJ1c2VySWQiOiI4OTE5Nzk2MzUifQ==</vt:lpwstr>
  </property>
</Properties>
</file>