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5"/>
        <w:tblpPr w:leftFromText="180" w:rightFromText="180" w:vertAnchor="text" w:horzAnchor="margin" w:tblpXSpec="right" w:tblpY="455"/>
        <w:tblW w:w="5382"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6" w:hRule="atLeast"/>
        </w:trPr>
        <w:tc>
          <w:tcPr>
            <w:tcW w:w="5382" w:type="dxa"/>
            <w:noWrap/>
          </w:tcPr>
          <w:p>
            <w:pPr>
              <w:spacing w:line="360" w:lineRule="auto"/>
              <w:jc w:val="left"/>
              <w:rPr>
                <w:rFonts w:eastAsia="仿宋_GB2312"/>
                <w:sz w:val="24"/>
                <w:szCs w:val="24"/>
              </w:rPr>
            </w:pPr>
            <w:r>
              <w:rPr>
                <w:rFonts w:hint="eastAsia" w:eastAsia="仿宋_GB2312"/>
                <w:sz w:val="24"/>
                <w:szCs w:val="24"/>
              </w:rPr>
              <w:t>甲方</w:t>
            </w:r>
            <w:r>
              <w:rPr>
                <w:rFonts w:eastAsia="仿宋_GB2312"/>
                <w:sz w:val="24"/>
                <w:szCs w:val="24"/>
              </w:rPr>
              <w:t>合同编号：</w:t>
            </w:r>
            <w:r>
              <w:rPr>
                <w:rFonts w:hint="eastAsia" w:asciiTheme="minorEastAsia" w:hAnsiTheme="minorEastAsia" w:eastAsiaTheme="minorEastAsia"/>
                <w:sz w:val="24"/>
                <w:szCs w:val="24"/>
                <w:lang w:eastAsia="zh-CN"/>
              </w:rPr>
              <w:t>CMIE-DP2022G102</w:t>
            </w:r>
            <w:r>
              <w:rPr>
                <w:rFonts w:hint="eastAsia" w:asciiTheme="minorEastAsia" w:hAnsiTheme="minorEastAsia" w:eastAsiaTheme="minorEastAsia"/>
                <w:sz w:val="24"/>
                <w:szCs w:val="24"/>
              </w:rPr>
              <w:t>-</w:t>
            </w:r>
            <w:r>
              <w:rPr>
                <w:rFonts w:asciiTheme="minorEastAsia" w:hAnsiTheme="minorEastAsia" w:eastAsiaTheme="minorEastAsia"/>
                <w:sz w:val="24"/>
                <w:szCs w:val="24"/>
                <w:highlight w:val="none"/>
              </w:rPr>
              <w:t>Sub</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202</w:t>
            </w:r>
            <w:r>
              <w:rPr>
                <w:rFonts w:hint="eastAsia" w:asciiTheme="minorEastAsia" w:hAnsiTheme="minorEastAsia" w:eastAsiaTheme="minorEastAsia"/>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8" w:hRule="atLeast"/>
        </w:trPr>
        <w:tc>
          <w:tcPr>
            <w:tcW w:w="5382" w:type="dxa"/>
            <w:noWrap/>
          </w:tcPr>
          <w:p>
            <w:pPr>
              <w:spacing w:line="360" w:lineRule="auto"/>
              <w:jc w:val="left"/>
              <w:rPr>
                <w:rFonts w:eastAsia="仿宋_GB2312"/>
                <w:sz w:val="24"/>
                <w:szCs w:val="24"/>
              </w:rPr>
            </w:pPr>
            <w:r>
              <w:rPr>
                <w:rFonts w:hint="eastAsia" w:eastAsia="仿宋_GB2312"/>
                <w:sz w:val="24"/>
                <w:szCs w:val="24"/>
              </w:rPr>
              <w:t>乙方</w:t>
            </w:r>
            <w:r>
              <w:rPr>
                <w:rFonts w:eastAsia="仿宋_GB2312"/>
                <w:sz w:val="24"/>
                <w:szCs w:val="24"/>
              </w:rPr>
              <w:t>合同编号：</w:t>
            </w:r>
          </w:p>
        </w:tc>
      </w:tr>
    </w:tbl>
    <w:p>
      <w:pPr>
        <w:spacing w:line="360" w:lineRule="auto"/>
        <w:jc w:val="center"/>
        <w:rPr>
          <w:rFonts w:eastAsia="黑体"/>
          <w:b/>
          <w:bCs/>
          <w:sz w:val="44"/>
          <w:szCs w:val="44"/>
        </w:rPr>
      </w:pPr>
    </w:p>
    <w:p>
      <w:pPr>
        <w:spacing w:line="360" w:lineRule="auto"/>
        <w:jc w:val="center"/>
        <w:rPr>
          <w:rFonts w:eastAsia="黑体"/>
          <w:b/>
          <w:bCs/>
          <w:sz w:val="44"/>
          <w:szCs w:val="44"/>
        </w:rPr>
      </w:pPr>
    </w:p>
    <w:p>
      <w:pPr>
        <w:spacing w:line="360" w:lineRule="auto"/>
        <w:jc w:val="center"/>
        <w:rPr>
          <w:rFonts w:eastAsia="黑体"/>
          <w:b/>
          <w:bCs/>
          <w:sz w:val="44"/>
          <w:szCs w:val="44"/>
        </w:rPr>
      </w:pPr>
    </w:p>
    <w:p>
      <w:pPr>
        <w:spacing w:line="360" w:lineRule="auto"/>
        <w:jc w:val="center"/>
        <w:rPr>
          <w:rFonts w:eastAsia="黑体"/>
          <w:b/>
          <w:bCs/>
          <w:sz w:val="44"/>
          <w:szCs w:val="44"/>
        </w:rPr>
      </w:pPr>
    </w:p>
    <w:p>
      <w:pPr>
        <w:spacing w:line="360" w:lineRule="auto"/>
        <w:rPr>
          <w:rFonts w:eastAsia="黑体"/>
          <w:b/>
          <w:sz w:val="48"/>
          <w:szCs w:val="48"/>
        </w:rPr>
      </w:pPr>
    </w:p>
    <w:p>
      <w:pPr>
        <w:spacing w:line="360" w:lineRule="auto"/>
        <w:rPr>
          <w:rFonts w:eastAsia="黑体"/>
          <w:b/>
          <w:sz w:val="48"/>
          <w:szCs w:val="48"/>
        </w:rPr>
      </w:pPr>
    </w:p>
    <w:p>
      <w:pPr>
        <w:spacing w:line="360" w:lineRule="auto"/>
        <w:jc w:val="center"/>
        <w:rPr>
          <w:rFonts w:hint="eastAsia" w:ascii="黑体" w:hAnsi="黑体" w:eastAsia="黑体"/>
          <w:b/>
          <w:sz w:val="40"/>
          <w:szCs w:val="40"/>
          <w:u w:val="none"/>
          <w:lang w:eastAsia="zh-CN"/>
        </w:rPr>
      </w:pPr>
    </w:p>
    <w:p>
      <w:pPr>
        <w:spacing w:line="360" w:lineRule="auto"/>
        <w:jc w:val="center"/>
        <w:rPr>
          <w:rFonts w:hint="eastAsia" w:ascii="黑体" w:hAnsi="黑体" w:eastAsia="黑体"/>
          <w:b/>
          <w:sz w:val="40"/>
          <w:szCs w:val="40"/>
          <w:u w:val="none"/>
          <w:lang w:eastAsia="zh-CN"/>
        </w:rPr>
      </w:pPr>
    </w:p>
    <w:p>
      <w:pPr>
        <w:spacing w:line="360" w:lineRule="auto"/>
        <w:jc w:val="center"/>
        <w:rPr>
          <w:rFonts w:hint="eastAsia" w:ascii="Times New Roman" w:hAnsi="Times New Roman" w:eastAsia="黑体" w:cs="Times New Roman"/>
          <w:b/>
          <w:bCs/>
          <w:sz w:val="44"/>
          <w:szCs w:val="44"/>
          <w:lang w:eastAsia="zh-CN"/>
        </w:rPr>
      </w:pPr>
      <w:r>
        <w:rPr>
          <w:rFonts w:hint="eastAsia" w:ascii="黑体" w:hAnsi="黑体" w:eastAsia="黑体"/>
          <w:b/>
          <w:sz w:val="40"/>
          <w:szCs w:val="40"/>
          <w:u w:val="none"/>
          <w:lang w:eastAsia="zh-CN"/>
        </w:rPr>
        <w:t>大埔峡能100MWp农光互补项目EPC总承包工程</w:t>
      </w:r>
    </w:p>
    <w:p>
      <w:pPr>
        <w:pStyle w:val="6"/>
        <w:rPr>
          <w:rFonts w:hint="default"/>
          <w:lang w:eastAsia="zh-CN"/>
        </w:rPr>
      </w:pPr>
    </w:p>
    <w:p>
      <w:pPr>
        <w:spacing w:line="360" w:lineRule="auto"/>
        <w:jc w:val="center"/>
        <w:rPr>
          <w:rFonts w:hint="eastAsia" w:ascii="黑体" w:hAnsi="黑体" w:eastAsia="黑体"/>
          <w:b/>
          <w:sz w:val="40"/>
          <w:szCs w:val="40"/>
          <w:u w:val="none"/>
        </w:rPr>
      </w:pPr>
      <w:r>
        <w:rPr>
          <w:rFonts w:hint="eastAsia" w:ascii="黑体" w:hAnsi="黑体" w:eastAsia="黑体"/>
          <w:b/>
          <w:sz w:val="40"/>
          <w:szCs w:val="40"/>
          <w:u w:val="none"/>
          <w:lang w:eastAsia="zh-CN"/>
        </w:rPr>
        <w:t>第四批60MWp光伏组件</w:t>
      </w:r>
    </w:p>
    <w:p>
      <w:pPr>
        <w:spacing w:line="360" w:lineRule="auto"/>
        <w:jc w:val="center"/>
        <w:rPr>
          <w:rFonts w:hint="eastAsia" w:ascii="黑体" w:hAnsi="黑体" w:eastAsia="黑体"/>
          <w:b/>
          <w:sz w:val="40"/>
          <w:szCs w:val="40"/>
          <w:u w:val="none"/>
        </w:rPr>
      </w:pPr>
    </w:p>
    <w:p>
      <w:pPr>
        <w:spacing w:line="360" w:lineRule="auto"/>
        <w:jc w:val="center"/>
        <w:rPr>
          <w:rFonts w:hint="eastAsia" w:ascii="黑体" w:hAnsi="黑体" w:eastAsia="黑体"/>
          <w:b/>
          <w:sz w:val="40"/>
          <w:szCs w:val="40"/>
          <w:u w:val="none"/>
        </w:rPr>
      </w:pPr>
      <w:r>
        <w:rPr>
          <w:rFonts w:hint="eastAsia" w:ascii="黑体" w:hAnsi="黑体" w:eastAsia="黑体"/>
          <w:b/>
          <w:sz w:val="40"/>
          <w:szCs w:val="40"/>
          <w:u w:val="none"/>
        </w:rPr>
        <w:t>采购合同</w:t>
      </w:r>
    </w:p>
    <w:p>
      <w:pPr>
        <w:widowControl/>
        <w:autoSpaceDE w:val="0"/>
        <w:autoSpaceDN w:val="0"/>
        <w:spacing w:line="500" w:lineRule="exact"/>
        <w:ind w:firstLine="2080" w:firstLineChars="740"/>
        <w:textAlignment w:val="bottom"/>
        <w:outlineLvl w:val="0"/>
        <w:rPr>
          <w:b/>
          <w:kern w:val="0"/>
          <w:sz w:val="28"/>
          <w:szCs w:val="20"/>
        </w:rPr>
      </w:pPr>
    </w:p>
    <w:p>
      <w:pPr>
        <w:pStyle w:val="6"/>
      </w:pPr>
    </w:p>
    <w:p>
      <w:pPr>
        <w:spacing w:line="360" w:lineRule="auto"/>
        <w:jc w:val="center"/>
        <w:rPr>
          <w:b/>
          <w:kern w:val="0"/>
          <w:sz w:val="28"/>
          <w:szCs w:val="20"/>
        </w:rPr>
      </w:pPr>
    </w:p>
    <w:p>
      <w:pPr>
        <w:widowControl/>
        <w:autoSpaceDE w:val="0"/>
        <w:autoSpaceDN w:val="0"/>
        <w:spacing w:line="500" w:lineRule="exact"/>
        <w:ind w:firstLine="1478" w:firstLineChars="528"/>
        <w:textAlignment w:val="bottom"/>
        <w:rPr>
          <w:kern w:val="0"/>
          <w:sz w:val="28"/>
          <w:szCs w:val="20"/>
        </w:rPr>
      </w:pPr>
      <w:r>
        <w:rPr>
          <w:kern w:val="0"/>
          <w:sz w:val="28"/>
          <w:szCs w:val="20"/>
        </w:rPr>
        <w:t>甲方：中机国际工程设计研究院有限责任公司</w:t>
      </w:r>
    </w:p>
    <w:p>
      <w:pPr>
        <w:spacing w:line="360" w:lineRule="auto"/>
        <w:ind w:firstLine="1900" w:firstLineChars="528"/>
        <w:jc w:val="center"/>
        <w:rPr>
          <w:sz w:val="36"/>
        </w:rPr>
      </w:pPr>
    </w:p>
    <w:p>
      <w:pPr>
        <w:widowControl/>
        <w:autoSpaceDE w:val="0"/>
        <w:autoSpaceDN w:val="0"/>
        <w:spacing w:line="500" w:lineRule="exact"/>
        <w:ind w:firstLine="1478" w:firstLineChars="528"/>
        <w:textAlignment w:val="bottom"/>
        <w:rPr>
          <w:rFonts w:hint="eastAsia" w:eastAsia="宋体"/>
          <w:kern w:val="0"/>
          <w:sz w:val="28"/>
          <w:szCs w:val="20"/>
          <w:lang w:eastAsia="zh-CN"/>
        </w:rPr>
      </w:pPr>
      <w:r>
        <w:rPr>
          <w:kern w:val="0"/>
          <w:sz w:val="28"/>
          <w:szCs w:val="20"/>
        </w:rPr>
        <w:t>乙方：</w:t>
      </w:r>
      <w:r>
        <w:rPr>
          <w:rFonts w:hint="eastAsia" w:ascii="宋体" w:hAnsi="宋体" w:cs="宋体"/>
          <w:sz w:val="28"/>
          <w:szCs w:val="28"/>
          <w:lang w:eastAsia="zh-CN"/>
        </w:rPr>
        <w:t>XXXX</w:t>
      </w:r>
    </w:p>
    <w:p>
      <w:pPr>
        <w:widowControl/>
        <w:autoSpaceDE w:val="0"/>
        <w:autoSpaceDN w:val="0"/>
        <w:spacing w:line="500" w:lineRule="exact"/>
        <w:ind w:firstLine="2072" w:firstLineChars="740"/>
        <w:textAlignment w:val="bottom"/>
        <w:rPr>
          <w:sz w:val="28"/>
        </w:rPr>
      </w:pPr>
    </w:p>
    <w:p>
      <w:pPr>
        <w:adjustRightInd w:val="0"/>
        <w:snapToGrid w:val="0"/>
        <w:spacing w:line="360" w:lineRule="auto"/>
        <w:jc w:val="center"/>
        <w:rPr>
          <w:sz w:val="28"/>
        </w:rPr>
      </w:pPr>
      <w:r>
        <w:rPr>
          <w:sz w:val="28"/>
        </w:rPr>
        <w:t>签订地点：中国•长沙•雨花区</w:t>
      </w:r>
    </w:p>
    <w:p>
      <w:pPr>
        <w:adjustRightInd w:val="0"/>
        <w:snapToGrid w:val="0"/>
        <w:spacing w:line="360" w:lineRule="auto"/>
        <w:jc w:val="center"/>
      </w:pPr>
    </w:p>
    <w:p>
      <w:pPr>
        <w:adjustRightInd w:val="0"/>
        <w:snapToGrid w:val="0"/>
        <w:spacing w:line="360" w:lineRule="auto"/>
        <w:jc w:val="center"/>
        <w:rPr>
          <w:sz w:val="28"/>
        </w:rPr>
        <w:sectPr>
          <w:headerReference r:id="rId3" w:type="default"/>
          <w:footerReference r:id="rId4" w:type="default"/>
          <w:pgSz w:w="11906" w:h="16838"/>
          <w:pgMar w:top="1452" w:right="1106" w:bottom="1452" w:left="1622"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rPr>
        <w:t>202</w:t>
      </w:r>
      <w:r>
        <w:rPr>
          <w:rFonts w:hint="eastAsia"/>
          <w:sz w:val="28"/>
          <w:lang w:val="en-US" w:eastAsia="zh-CN"/>
        </w:rPr>
        <w:t>4</w:t>
      </w:r>
      <w:r>
        <w:rPr>
          <w:rFonts w:hint="eastAsia"/>
          <w:sz w:val="28"/>
        </w:rPr>
        <w:t>年</w:t>
      </w:r>
      <w:r>
        <w:rPr>
          <w:rFonts w:hint="eastAsia"/>
          <w:sz w:val="28"/>
          <w:lang w:val="en-US" w:eastAsia="zh-CN"/>
        </w:rPr>
        <w:t>1</w:t>
      </w:r>
      <w:r>
        <w:rPr>
          <w:sz w:val="28"/>
        </w:rPr>
        <w:t>月</w:t>
      </w:r>
    </w:p>
    <w:p>
      <w:pPr>
        <w:ind w:firstLine="358"/>
        <w:jc w:val="center"/>
        <w:rPr>
          <w:b/>
          <w:bCs/>
          <w:sz w:val="32"/>
        </w:rPr>
      </w:pPr>
      <w:r>
        <w:rPr>
          <w:b/>
          <w:bCs/>
          <w:sz w:val="32"/>
        </w:rPr>
        <w:t>目　　录</w:t>
      </w:r>
    </w:p>
    <w:p>
      <w:pPr>
        <w:pStyle w:val="12"/>
        <w:tabs>
          <w:tab w:val="right" w:leader="dot" w:pos="9178"/>
        </w:tabs>
      </w:pPr>
      <w:r>
        <w:rPr>
          <w:bCs w:val="0"/>
          <w:caps w:val="0"/>
          <w:sz w:val="36"/>
        </w:rPr>
        <w:fldChar w:fldCharType="begin"/>
      </w:r>
      <w:r>
        <w:rPr>
          <w:bCs w:val="0"/>
          <w:caps w:val="0"/>
          <w:sz w:val="36"/>
        </w:rPr>
        <w:instrText xml:space="preserve"> TOC \o "1-3" \h \z </w:instrText>
      </w:r>
      <w:r>
        <w:rPr>
          <w:bCs w:val="0"/>
          <w:caps w:val="0"/>
          <w:sz w:val="36"/>
        </w:rPr>
        <w:fldChar w:fldCharType="separate"/>
      </w:r>
      <w:r>
        <w:rPr>
          <w:bCs w:val="0"/>
          <w:caps w:val="0"/>
        </w:rPr>
        <w:fldChar w:fldCharType="begin"/>
      </w:r>
      <w:r>
        <w:rPr>
          <w:bCs w:val="0"/>
          <w:caps w:val="0"/>
        </w:rPr>
        <w:instrText xml:space="preserve"> HYPERLINK \l _Toc6345 </w:instrText>
      </w:r>
      <w:r>
        <w:rPr>
          <w:bCs w:val="0"/>
          <w:caps w:val="0"/>
        </w:rPr>
        <w:fldChar w:fldCharType="separate"/>
      </w:r>
      <w:r>
        <w:rPr>
          <w:rFonts w:eastAsia="宋体"/>
        </w:rPr>
        <w:t>第一条　合同当事人</w:t>
      </w:r>
      <w:r>
        <w:tab/>
      </w:r>
      <w:r>
        <w:fldChar w:fldCharType="begin"/>
      </w:r>
      <w:r>
        <w:instrText xml:space="preserve"> PAGEREF _Toc6345 </w:instrText>
      </w:r>
      <w:r>
        <w:fldChar w:fldCharType="separate"/>
      </w:r>
      <w:r>
        <w:t>1</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_Toc16004 </w:instrText>
      </w:r>
      <w:r>
        <w:rPr>
          <w:bCs w:val="0"/>
          <w:caps w:val="0"/>
        </w:rPr>
        <w:fldChar w:fldCharType="separate"/>
      </w:r>
      <w:r>
        <w:rPr>
          <w:rFonts w:eastAsia="宋体"/>
        </w:rPr>
        <w:t>第二条　合同标的及价格</w:t>
      </w:r>
      <w:r>
        <w:tab/>
      </w:r>
      <w:r>
        <w:fldChar w:fldCharType="begin"/>
      </w:r>
      <w:r>
        <w:instrText xml:space="preserve"> PAGEREF _Toc16004 </w:instrText>
      </w:r>
      <w:r>
        <w:fldChar w:fldCharType="separate"/>
      </w:r>
      <w:r>
        <w:t>2</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_Toc31220 </w:instrText>
      </w:r>
      <w:r>
        <w:rPr>
          <w:bCs w:val="0"/>
          <w:caps w:val="0"/>
        </w:rPr>
        <w:fldChar w:fldCharType="separate"/>
      </w:r>
      <w:r>
        <w:rPr>
          <w:rFonts w:eastAsia="宋体"/>
        </w:rPr>
        <w:t>第三条　付款方式</w:t>
      </w:r>
      <w:r>
        <w:tab/>
      </w:r>
      <w:r>
        <w:fldChar w:fldCharType="begin"/>
      </w:r>
      <w:r>
        <w:instrText xml:space="preserve"> PAGEREF _Toc31220 </w:instrText>
      </w:r>
      <w:r>
        <w:fldChar w:fldCharType="separate"/>
      </w:r>
      <w:r>
        <w:t>3</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_Toc10161 </w:instrText>
      </w:r>
      <w:r>
        <w:rPr>
          <w:bCs w:val="0"/>
          <w:caps w:val="0"/>
        </w:rPr>
        <w:fldChar w:fldCharType="separate"/>
      </w:r>
      <w:r>
        <w:rPr>
          <w:rFonts w:eastAsia="宋体"/>
        </w:rPr>
        <w:t>第四条　交付时间、地点、联系人</w:t>
      </w:r>
      <w:r>
        <w:tab/>
      </w:r>
      <w:r>
        <w:fldChar w:fldCharType="begin"/>
      </w:r>
      <w:r>
        <w:instrText xml:space="preserve"> PAGEREF _Toc10161 </w:instrText>
      </w:r>
      <w:r>
        <w:fldChar w:fldCharType="separate"/>
      </w:r>
      <w:r>
        <w:t>4</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_Toc3200 </w:instrText>
      </w:r>
      <w:r>
        <w:rPr>
          <w:bCs w:val="0"/>
          <w:caps w:val="0"/>
        </w:rPr>
        <w:fldChar w:fldCharType="separate"/>
      </w:r>
      <w:r>
        <w:rPr>
          <w:rFonts w:eastAsia="宋体"/>
        </w:rPr>
        <w:t>第五条　包装及运输</w:t>
      </w:r>
      <w:r>
        <w:tab/>
      </w:r>
      <w:r>
        <w:fldChar w:fldCharType="begin"/>
      </w:r>
      <w:r>
        <w:instrText xml:space="preserve"> PAGEREF _Toc3200 </w:instrText>
      </w:r>
      <w:r>
        <w:fldChar w:fldCharType="separate"/>
      </w:r>
      <w:r>
        <w:t>5</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_Toc10607 </w:instrText>
      </w:r>
      <w:r>
        <w:rPr>
          <w:bCs w:val="0"/>
          <w:caps w:val="0"/>
        </w:rPr>
        <w:fldChar w:fldCharType="separate"/>
      </w:r>
      <w:r>
        <w:rPr>
          <w:rFonts w:eastAsia="宋体"/>
        </w:rPr>
        <w:t>第六条　产品标准</w:t>
      </w:r>
      <w:r>
        <w:tab/>
      </w:r>
      <w:r>
        <w:fldChar w:fldCharType="begin"/>
      </w:r>
      <w:r>
        <w:instrText xml:space="preserve"> PAGEREF _Toc10607 </w:instrText>
      </w:r>
      <w:r>
        <w:fldChar w:fldCharType="separate"/>
      </w:r>
      <w:r>
        <w:t>5</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_Toc28733 </w:instrText>
      </w:r>
      <w:r>
        <w:rPr>
          <w:bCs w:val="0"/>
          <w:caps w:val="0"/>
        </w:rPr>
        <w:fldChar w:fldCharType="separate"/>
      </w:r>
      <w:r>
        <w:rPr>
          <w:rFonts w:eastAsia="宋体"/>
        </w:rPr>
        <w:t>第七条　交货及初步检验</w:t>
      </w:r>
      <w:r>
        <w:tab/>
      </w:r>
      <w:r>
        <w:fldChar w:fldCharType="begin"/>
      </w:r>
      <w:r>
        <w:instrText xml:space="preserve"> PAGEREF _Toc28733 </w:instrText>
      </w:r>
      <w:r>
        <w:fldChar w:fldCharType="separate"/>
      </w:r>
      <w:r>
        <w:t>6</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_Toc1010 </w:instrText>
      </w:r>
      <w:r>
        <w:rPr>
          <w:bCs w:val="0"/>
          <w:caps w:val="0"/>
        </w:rPr>
        <w:fldChar w:fldCharType="separate"/>
      </w:r>
      <w:r>
        <w:rPr>
          <w:rFonts w:eastAsia="宋体"/>
        </w:rPr>
        <w:t>第八条　产品检验</w:t>
      </w:r>
      <w:r>
        <w:tab/>
      </w:r>
      <w:r>
        <w:fldChar w:fldCharType="begin"/>
      </w:r>
      <w:r>
        <w:instrText xml:space="preserve"> PAGEREF _Toc1010 </w:instrText>
      </w:r>
      <w:r>
        <w:fldChar w:fldCharType="separate"/>
      </w:r>
      <w:r>
        <w:t>6</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_Toc3498 </w:instrText>
      </w:r>
      <w:r>
        <w:rPr>
          <w:bCs w:val="0"/>
          <w:caps w:val="0"/>
        </w:rPr>
        <w:fldChar w:fldCharType="separate"/>
      </w:r>
      <w:r>
        <w:rPr>
          <w:rFonts w:eastAsia="宋体"/>
        </w:rPr>
        <w:t>第九条　乙方对产品的保证</w:t>
      </w:r>
      <w:r>
        <w:tab/>
      </w:r>
      <w:r>
        <w:fldChar w:fldCharType="begin"/>
      </w:r>
      <w:r>
        <w:instrText xml:space="preserve"> PAGEREF _Toc3498 </w:instrText>
      </w:r>
      <w:r>
        <w:fldChar w:fldCharType="separate"/>
      </w:r>
      <w:r>
        <w:t>7</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_Toc27244 </w:instrText>
      </w:r>
      <w:r>
        <w:rPr>
          <w:bCs w:val="0"/>
          <w:caps w:val="0"/>
        </w:rPr>
        <w:fldChar w:fldCharType="separate"/>
      </w:r>
      <w:r>
        <w:rPr>
          <w:rFonts w:eastAsia="宋体"/>
        </w:rPr>
        <w:t>第十条　产品质保期</w:t>
      </w:r>
      <w:r>
        <w:tab/>
      </w:r>
      <w:r>
        <w:fldChar w:fldCharType="begin"/>
      </w:r>
      <w:r>
        <w:instrText xml:space="preserve"> PAGEREF _Toc27244 </w:instrText>
      </w:r>
      <w:r>
        <w:fldChar w:fldCharType="separate"/>
      </w:r>
      <w:r>
        <w:t>7</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_Toc19734 </w:instrText>
      </w:r>
      <w:r>
        <w:rPr>
          <w:bCs w:val="0"/>
          <w:caps w:val="0"/>
        </w:rPr>
        <w:fldChar w:fldCharType="separate"/>
      </w:r>
      <w:r>
        <w:rPr>
          <w:rFonts w:eastAsia="宋体"/>
        </w:rPr>
        <w:t>第十一条　违约责任</w:t>
      </w:r>
      <w:r>
        <w:tab/>
      </w:r>
      <w:r>
        <w:fldChar w:fldCharType="begin"/>
      </w:r>
      <w:r>
        <w:instrText xml:space="preserve"> PAGEREF _Toc19734 </w:instrText>
      </w:r>
      <w:r>
        <w:fldChar w:fldCharType="separate"/>
      </w:r>
      <w:r>
        <w:t>8</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_Toc17970 </w:instrText>
      </w:r>
      <w:r>
        <w:rPr>
          <w:bCs w:val="0"/>
          <w:caps w:val="0"/>
        </w:rPr>
        <w:fldChar w:fldCharType="separate"/>
      </w:r>
      <w:r>
        <w:rPr>
          <w:rFonts w:eastAsia="宋体"/>
        </w:rPr>
        <w:t>第十二条　廉洁条款</w:t>
      </w:r>
      <w:r>
        <w:tab/>
      </w:r>
      <w:r>
        <w:fldChar w:fldCharType="begin"/>
      </w:r>
      <w:r>
        <w:instrText xml:space="preserve"> PAGEREF _Toc17970 </w:instrText>
      </w:r>
      <w:r>
        <w:fldChar w:fldCharType="separate"/>
      </w:r>
      <w:r>
        <w:t>9</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_Toc5060 </w:instrText>
      </w:r>
      <w:r>
        <w:rPr>
          <w:bCs w:val="0"/>
          <w:caps w:val="0"/>
        </w:rPr>
        <w:fldChar w:fldCharType="separate"/>
      </w:r>
      <w:r>
        <w:rPr>
          <w:rFonts w:eastAsia="宋体"/>
        </w:rPr>
        <w:t>第十三条　保密约定</w:t>
      </w:r>
      <w:r>
        <w:tab/>
      </w:r>
      <w:r>
        <w:fldChar w:fldCharType="begin"/>
      </w:r>
      <w:r>
        <w:instrText xml:space="preserve"> PAGEREF _Toc5060 </w:instrText>
      </w:r>
      <w:r>
        <w:fldChar w:fldCharType="separate"/>
      </w:r>
      <w:r>
        <w:t>10</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_Toc27601 </w:instrText>
      </w:r>
      <w:r>
        <w:rPr>
          <w:bCs w:val="0"/>
          <w:caps w:val="0"/>
        </w:rPr>
        <w:fldChar w:fldCharType="separate"/>
      </w:r>
      <w:r>
        <w:rPr>
          <w:rFonts w:eastAsia="宋体"/>
        </w:rPr>
        <w:t>第十四条　知识产权及其它合法权益</w:t>
      </w:r>
      <w:r>
        <w:tab/>
      </w:r>
      <w:r>
        <w:fldChar w:fldCharType="begin"/>
      </w:r>
      <w:r>
        <w:instrText xml:space="preserve"> PAGEREF _Toc27601 </w:instrText>
      </w:r>
      <w:r>
        <w:fldChar w:fldCharType="separate"/>
      </w:r>
      <w:r>
        <w:t>11</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_Toc7950 </w:instrText>
      </w:r>
      <w:r>
        <w:rPr>
          <w:bCs w:val="0"/>
          <w:caps w:val="0"/>
        </w:rPr>
        <w:fldChar w:fldCharType="separate"/>
      </w:r>
      <w:r>
        <w:rPr>
          <w:rFonts w:eastAsia="宋体"/>
        </w:rPr>
        <w:t>第十五条　权利保留</w:t>
      </w:r>
      <w:r>
        <w:tab/>
      </w:r>
      <w:r>
        <w:fldChar w:fldCharType="begin"/>
      </w:r>
      <w:r>
        <w:instrText xml:space="preserve"> PAGEREF _Toc7950 </w:instrText>
      </w:r>
      <w:r>
        <w:fldChar w:fldCharType="separate"/>
      </w:r>
      <w:r>
        <w:t>11</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_Toc6680 </w:instrText>
      </w:r>
      <w:r>
        <w:rPr>
          <w:bCs w:val="0"/>
          <w:caps w:val="0"/>
        </w:rPr>
        <w:fldChar w:fldCharType="separate"/>
      </w:r>
      <w:r>
        <w:rPr>
          <w:rFonts w:eastAsia="宋体"/>
        </w:rPr>
        <w:t>第十六条　不可抗力</w:t>
      </w:r>
      <w:r>
        <w:tab/>
      </w:r>
      <w:r>
        <w:fldChar w:fldCharType="begin"/>
      </w:r>
      <w:r>
        <w:instrText xml:space="preserve"> PAGEREF _Toc6680 </w:instrText>
      </w:r>
      <w:r>
        <w:fldChar w:fldCharType="separate"/>
      </w:r>
      <w:r>
        <w:t>12</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_Toc21993 </w:instrText>
      </w:r>
      <w:r>
        <w:rPr>
          <w:bCs w:val="0"/>
          <w:caps w:val="0"/>
        </w:rPr>
        <w:fldChar w:fldCharType="separate"/>
      </w:r>
      <w:r>
        <w:rPr>
          <w:rFonts w:eastAsia="宋体"/>
        </w:rPr>
        <w:t>第十七条　法律适用及争议解决</w:t>
      </w:r>
      <w:r>
        <w:tab/>
      </w:r>
      <w:r>
        <w:fldChar w:fldCharType="begin"/>
      </w:r>
      <w:r>
        <w:instrText xml:space="preserve"> PAGEREF _Toc21993 </w:instrText>
      </w:r>
      <w:r>
        <w:fldChar w:fldCharType="separate"/>
      </w:r>
      <w:r>
        <w:t>12</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_Toc6687 </w:instrText>
      </w:r>
      <w:r>
        <w:rPr>
          <w:bCs w:val="0"/>
          <w:caps w:val="0"/>
        </w:rPr>
        <w:fldChar w:fldCharType="separate"/>
      </w:r>
      <w:r>
        <w:rPr>
          <w:rFonts w:eastAsia="宋体"/>
        </w:rPr>
        <w:t>第十八条</w:t>
      </w:r>
      <w:r>
        <w:rPr>
          <w:rFonts w:hint="eastAsia"/>
          <w:lang w:val="en-US" w:eastAsia="zh-CN"/>
        </w:rPr>
        <w:t xml:space="preserve">  </w:t>
      </w:r>
      <w:r>
        <w:rPr>
          <w:rFonts w:eastAsia="宋体"/>
        </w:rPr>
        <w:t>通知与送达</w:t>
      </w:r>
      <w:r>
        <w:tab/>
      </w:r>
      <w:r>
        <w:fldChar w:fldCharType="begin"/>
      </w:r>
      <w:r>
        <w:instrText xml:space="preserve"> PAGEREF _Toc6687 </w:instrText>
      </w:r>
      <w:r>
        <w:fldChar w:fldCharType="separate"/>
      </w:r>
      <w:r>
        <w:t>13</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_Toc11056 </w:instrText>
      </w:r>
      <w:r>
        <w:rPr>
          <w:bCs w:val="0"/>
          <w:caps w:val="0"/>
        </w:rPr>
        <w:fldChar w:fldCharType="separate"/>
      </w:r>
      <w:r>
        <w:rPr>
          <w:rFonts w:eastAsia="宋体"/>
        </w:rPr>
        <w:t>第十九条　合同生效及其他</w:t>
      </w:r>
      <w:r>
        <w:tab/>
      </w:r>
      <w:r>
        <w:fldChar w:fldCharType="begin"/>
      </w:r>
      <w:r>
        <w:instrText xml:space="preserve"> PAGEREF _Toc11056 </w:instrText>
      </w:r>
      <w:r>
        <w:fldChar w:fldCharType="separate"/>
      </w:r>
      <w:r>
        <w:t>14</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_Toc20688 </w:instrText>
      </w:r>
      <w:r>
        <w:rPr>
          <w:bCs w:val="0"/>
          <w:caps w:val="0"/>
        </w:rPr>
        <w:fldChar w:fldCharType="separate"/>
      </w:r>
      <w:r>
        <w:rPr>
          <w:rFonts w:hint="eastAsia"/>
          <w:szCs w:val="24"/>
        </w:rPr>
        <w:t>附件一：</w:t>
      </w:r>
      <w:r>
        <w:tab/>
      </w:r>
      <w:r>
        <w:fldChar w:fldCharType="begin"/>
      </w:r>
      <w:r>
        <w:instrText xml:space="preserve"> PAGEREF _Toc20688 </w:instrText>
      </w:r>
      <w:r>
        <w:fldChar w:fldCharType="separate"/>
      </w:r>
      <w:r>
        <w:t>17</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_Toc16291 </w:instrText>
      </w:r>
      <w:r>
        <w:rPr>
          <w:bCs w:val="0"/>
          <w:caps w:val="0"/>
        </w:rPr>
        <w:fldChar w:fldCharType="separate"/>
      </w:r>
      <w:r>
        <w:rPr>
          <w:rFonts w:hint="eastAsia"/>
          <w:szCs w:val="24"/>
        </w:rPr>
        <w:t>附件二：</w:t>
      </w:r>
      <w:r>
        <w:tab/>
      </w:r>
      <w:r>
        <w:fldChar w:fldCharType="begin"/>
      </w:r>
      <w:r>
        <w:instrText xml:space="preserve"> PAGEREF _Toc16291 </w:instrText>
      </w:r>
      <w:r>
        <w:fldChar w:fldCharType="separate"/>
      </w:r>
      <w:r>
        <w:t>18</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_Toc21894 </w:instrText>
      </w:r>
      <w:r>
        <w:rPr>
          <w:bCs w:val="0"/>
          <w:caps w:val="0"/>
        </w:rPr>
        <w:fldChar w:fldCharType="separate"/>
      </w:r>
      <w:r>
        <w:rPr>
          <w:rFonts w:hint="eastAsia"/>
          <w:szCs w:val="24"/>
        </w:rPr>
        <w:t>附件三：</w:t>
      </w:r>
      <w:r>
        <w:tab/>
      </w:r>
      <w:r>
        <w:fldChar w:fldCharType="begin"/>
      </w:r>
      <w:r>
        <w:instrText xml:space="preserve"> PAGEREF _Toc21894 </w:instrText>
      </w:r>
      <w:r>
        <w:fldChar w:fldCharType="separate"/>
      </w:r>
      <w:r>
        <w:t>19</w:t>
      </w:r>
      <w:r>
        <w:fldChar w:fldCharType="end"/>
      </w:r>
      <w:r>
        <w:rPr>
          <w:bCs w:val="0"/>
          <w:caps w:val="0"/>
        </w:rPr>
        <w:fldChar w:fldCharType="end"/>
      </w:r>
    </w:p>
    <w:p>
      <w:pPr>
        <w:pStyle w:val="12"/>
        <w:tabs>
          <w:tab w:val="right" w:leader="dot" w:pos="9178"/>
        </w:tabs>
      </w:pPr>
      <w:r>
        <w:rPr>
          <w:bCs w:val="0"/>
          <w:caps w:val="0"/>
        </w:rPr>
        <w:fldChar w:fldCharType="begin"/>
      </w:r>
      <w:r>
        <w:rPr>
          <w:bCs w:val="0"/>
          <w:caps w:val="0"/>
        </w:rPr>
        <w:instrText xml:space="preserve"> HYPERLINK \l _Toc10363 </w:instrText>
      </w:r>
      <w:r>
        <w:rPr>
          <w:bCs w:val="0"/>
          <w:caps w:val="0"/>
        </w:rPr>
        <w:fldChar w:fldCharType="separate"/>
      </w:r>
      <w:r>
        <w:rPr>
          <w:rFonts w:hint="eastAsia"/>
          <w:szCs w:val="24"/>
        </w:rPr>
        <w:t>附件</w:t>
      </w:r>
      <w:r>
        <w:rPr>
          <w:rFonts w:hint="eastAsia"/>
          <w:szCs w:val="24"/>
          <w:lang w:eastAsia="zh-CN"/>
        </w:rPr>
        <w:t>四</w:t>
      </w:r>
      <w:r>
        <w:rPr>
          <w:rFonts w:hint="eastAsia"/>
          <w:szCs w:val="24"/>
        </w:rPr>
        <w:t>：</w:t>
      </w:r>
      <w:r>
        <w:tab/>
      </w:r>
      <w:r>
        <w:fldChar w:fldCharType="begin"/>
      </w:r>
      <w:r>
        <w:instrText xml:space="preserve"> PAGEREF _Toc10363 </w:instrText>
      </w:r>
      <w:r>
        <w:fldChar w:fldCharType="separate"/>
      </w:r>
      <w:r>
        <w:t>20</w:t>
      </w:r>
      <w:r>
        <w:fldChar w:fldCharType="end"/>
      </w:r>
      <w:r>
        <w:rPr>
          <w:bCs w:val="0"/>
          <w:caps w:val="0"/>
        </w:rPr>
        <w:fldChar w:fldCharType="end"/>
      </w:r>
    </w:p>
    <w:p>
      <w:pPr>
        <w:pStyle w:val="12"/>
        <w:tabs>
          <w:tab w:val="right" w:leader="dot" w:pos="9170"/>
        </w:tabs>
        <w:spacing w:line="360" w:lineRule="auto"/>
        <w:rPr>
          <w:bCs w:val="0"/>
          <w:caps w:val="0"/>
          <w:sz w:val="36"/>
        </w:rPr>
        <w:sectPr>
          <w:footerReference r:id="rId5" w:type="default"/>
          <w:pgSz w:w="11906" w:h="16838"/>
          <w:pgMar w:top="1452" w:right="1106" w:bottom="1452" w:left="1622" w:header="851" w:footer="992" w:gutter="0"/>
          <w:pgBorders>
            <w:top w:val="none" w:sz="0" w:space="0"/>
            <w:left w:val="none" w:sz="0" w:space="0"/>
            <w:bottom w:val="none" w:sz="0" w:space="0"/>
            <w:right w:val="none" w:sz="0" w:space="0"/>
          </w:pgBorders>
          <w:pgNumType w:start="1"/>
          <w:cols w:space="720" w:num="1"/>
          <w:docGrid w:type="lines" w:linePitch="312" w:charSpace="0"/>
        </w:sectPr>
      </w:pPr>
      <w:r>
        <w:rPr>
          <w:bCs w:val="0"/>
          <w:caps w:val="0"/>
        </w:rPr>
        <w:fldChar w:fldCharType="end"/>
      </w:r>
      <w:bookmarkStart w:id="0" w:name="_Toc68613768"/>
      <w:bookmarkStart w:id="1" w:name="_Toc398198953"/>
    </w:p>
    <w:p>
      <w:pPr>
        <w:pStyle w:val="4"/>
        <w:spacing w:before="340" w:after="330" w:line="500" w:lineRule="exact"/>
        <w:rPr>
          <w:rFonts w:eastAsia="宋体"/>
          <w:sz w:val="24"/>
        </w:rPr>
      </w:pPr>
      <w:bookmarkStart w:id="2" w:name="_Toc23178"/>
      <w:bookmarkStart w:id="3" w:name="_Toc6345"/>
      <w:r>
        <w:rPr>
          <w:rFonts w:eastAsia="宋体"/>
          <w:sz w:val="24"/>
        </w:rPr>
        <w:t>第一条　合同当事人</w:t>
      </w:r>
      <w:bookmarkEnd w:id="0"/>
      <w:bookmarkEnd w:id="1"/>
      <w:bookmarkEnd w:id="2"/>
      <w:bookmarkEnd w:id="3"/>
    </w:p>
    <w:p>
      <w:pPr>
        <w:spacing w:line="360" w:lineRule="auto"/>
        <w:ind w:firstLine="480" w:firstLineChars="200"/>
        <w:rPr>
          <w:sz w:val="24"/>
        </w:rPr>
      </w:pPr>
      <w:r>
        <w:rPr>
          <w:sz w:val="24"/>
        </w:rPr>
        <w:t>本合同由下列当事人于</w:t>
      </w:r>
      <w:r>
        <w:rPr>
          <w:sz w:val="22"/>
          <w:szCs w:val="22"/>
        </w:rPr>
        <w:t>20</w:t>
      </w:r>
      <w:r>
        <w:rPr>
          <w:rFonts w:hint="eastAsia"/>
          <w:sz w:val="22"/>
          <w:szCs w:val="22"/>
        </w:rPr>
        <w:t>2</w:t>
      </w:r>
      <w:r>
        <w:rPr>
          <w:rFonts w:hint="eastAsia"/>
          <w:sz w:val="22"/>
          <w:szCs w:val="22"/>
          <w:lang w:val="en-US" w:eastAsia="zh-CN"/>
        </w:rPr>
        <w:t>4</w:t>
      </w:r>
      <w:r>
        <w:rPr>
          <w:sz w:val="24"/>
        </w:rPr>
        <w:t>年</w:t>
      </w:r>
      <w:r>
        <w:rPr>
          <w:rFonts w:hint="eastAsia"/>
          <w:sz w:val="22"/>
          <w:szCs w:val="22"/>
          <w:lang w:val="en-US" w:eastAsia="zh-CN"/>
        </w:rPr>
        <w:t>1</w:t>
      </w:r>
      <w:r>
        <w:rPr>
          <w:sz w:val="24"/>
        </w:rPr>
        <w:t>月在湖南省长沙市雨花区中机国际工程设计研究院有限责任公司签订。</w:t>
      </w:r>
    </w:p>
    <w:p>
      <w:pPr>
        <w:spacing w:line="360" w:lineRule="auto"/>
        <w:ind w:firstLine="420"/>
        <w:rPr>
          <w:sz w:val="24"/>
        </w:rPr>
      </w:pPr>
    </w:p>
    <w:p>
      <w:pPr>
        <w:spacing w:line="360" w:lineRule="auto"/>
        <w:rPr>
          <w:sz w:val="24"/>
        </w:rPr>
      </w:pPr>
      <w:r>
        <w:rPr>
          <w:b/>
          <w:sz w:val="24"/>
        </w:rPr>
        <w:t>甲方</w:t>
      </w:r>
      <w:r>
        <w:rPr>
          <w:sz w:val="24"/>
        </w:rPr>
        <w:t>：中机国际工程设计研究院有限责任公司</w:t>
      </w:r>
      <w:r>
        <w:rPr>
          <w:b/>
          <w:sz w:val="24"/>
        </w:rPr>
        <w:t>（以下简称“甲方”）</w:t>
      </w:r>
    </w:p>
    <w:p>
      <w:pPr>
        <w:spacing w:line="360" w:lineRule="auto"/>
        <w:rPr>
          <w:sz w:val="24"/>
        </w:rPr>
      </w:pPr>
      <w:r>
        <w:rPr>
          <w:sz w:val="24"/>
        </w:rPr>
        <w:t>地址：</w:t>
      </w:r>
      <w:r>
        <w:rPr>
          <w:bCs/>
          <w:kern w:val="0"/>
          <w:sz w:val="24"/>
          <w:szCs w:val="24"/>
        </w:rPr>
        <w:t>湖南长沙市韶山中路18号</w:t>
      </w:r>
    </w:p>
    <w:p>
      <w:pPr>
        <w:widowControl/>
        <w:autoSpaceDE w:val="0"/>
        <w:autoSpaceDN w:val="0"/>
        <w:spacing w:line="360" w:lineRule="auto"/>
        <w:textAlignment w:val="bottom"/>
        <w:rPr>
          <w:rFonts w:hint="eastAsia" w:eastAsia="宋体"/>
          <w:sz w:val="24"/>
          <w:lang w:eastAsia="zh-CN"/>
        </w:rPr>
      </w:pPr>
      <w:r>
        <w:rPr>
          <w:sz w:val="24"/>
        </w:rPr>
        <w:t>法定代表人：</w:t>
      </w:r>
      <w:r>
        <w:rPr>
          <w:rFonts w:hint="eastAsia"/>
          <w:sz w:val="24"/>
          <w:lang w:eastAsia="zh-CN"/>
        </w:rPr>
        <w:t>陈蕃</w:t>
      </w:r>
    </w:p>
    <w:p>
      <w:pPr>
        <w:spacing w:line="360" w:lineRule="auto"/>
        <w:ind w:firstLine="422"/>
        <w:rPr>
          <w:b/>
          <w:sz w:val="24"/>
        </w:rPr>
      </w:pPr>
    </w:p>
    <w:p>
      <w:pPr>
        <w:spacing w:line="360" w:lineRule="auto"/>
        <w:rPr>
          <w:b/>
          <w:sz w:val="24"/>
        </w:rPr>
      </w:pPr>
      <w:r>
        <w:rPr>
          <w:b/>
          <w:sz w:val="24"/>
        </w:rPr>
        <w:t>乙方</w:t>
      </w:r>
      <w:r>
        <w:rPr>
          <w:sz w:val="24"/>
        </w:rPr>
        <w:t>：</w:t>
      </w:r>
      <w:r>
        <w:rPr>
          <w:rFonts w:hint="eastAsia"/>
          <w:sz w:val="24"/>
          <w:szCs w:val="24"/>
          <w:lang w:eastAsia="zh-CN"/>
        </w:rPr>
        <w:t>XXXX</w:t>
      </w:r>
      <w:r>
        <w:rPr>
          <w:b/>
          <w:sz w:val="24"/>
        </w:rPr>
        <w:t>（以下简称“乙方”）</w:t>
      </w:r>
    </w:p>
    <w:p>
      <w:pPr>
        <w:spacing w:line="360" w:lineRule="auto"/>
        <w:rPr>
          <w:sz w:val="24"/>
        </w:rPr>
      </w:pPr>
      <w:r>
        <w:rPr>
          <w:sz w:val="24"/>
        </w:rPr>
        <w:t>地址：</w:t>
      </w:r>
    </w:p>
    <w:p>
      <w:pPr>
        <w:spacing w:line="360" w:lineRule="auto"/>
        <w:rPr>
          <w:rFonts w:hint="eastAsia" w:eastAsia="宋体"/>
          <w:sz w:val="24"/>
          <w:szCs w:val="24"/>
          <w:lang w:eastAsia="zh-CN"/>
        </w:rPr>
      </w:pPr>
      <w:r>
        <w:rPr>
          <w:sz w:val="24"/>
        </w:rPr>
        <w:t>法定代表人：</w:t>
      </w:r>
    </w:p>
    <w:p>
      <w:pPr>
        <w:spacing w:line="360" w:lineRule="auto"/>
        <w:rPr>
          <w:sz w:val="24"/>
        </w:rPr>
      </w:pPr>
    </w:p>
    <w:p>
      <w:pPr>
        <w:pStyle w:val="21"/>
        <w:spacing w:line="360" w:lineRule="auto"/>
        <w:rPr>
          <w:b/>
          <w:kern w:val="2"/>
          <w:sz w:val="24"/>
          <w:szCs w:val="21"/>
        </w:rPr>
      </w:pPr>
      <w:r>
        <w:rPr>
          <w:b/>
          <w:kern w:val="2"/>
          <w:sz w:val="24"/>
          <w:szCs w:val="21"/>
        </w:rPr>
        <w:t>鉴于：</w:t>
      </w:r>
    </w:p>
    <w:p>
      <w:pPr>
        <w:pStyle w:val="21"/>
        <w:spacing w:line="360" w:lineRule="auto"/>
        <w:ind w:left="360" w:hanging="360" w:hangingChars="150"/>
        <w:rPr>
          <w:kern w:val="2"/>
          <w:sz w:val="24"/>
          <w:szCs w:val="21"/>
        </w:rPr>
      </w:pPr>
      <w:r>
        <w:rPr>
          <w:rFonts w:hint="eastAsia"/>
          <w:kern w:val="2"/>
          <w:sz w:val="24"/>
          <w:szCs w:val="21"/>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pPr>
        <w:pStyle w:val="21"/>
        <w:spacing w:line="360" w:lineRule="auto"/>
        <w:ind w:left="360" w:hanging="360" w:hangingChars="150"/>
        <w:rPr>
          <w:kern w:val="2"/>
          <w:sz w:val="24"/>
          <w:szCs w:val="21"/>
        </w:rPr>
      </w:pPr>
      <w:r>
        <w:rPr>
          <w:rFonts w:hint="eastAsia"/>
          <w:kern w:val="2"/>
          <w:sz w:val="24"/>
          <w:szCs w:val="21"/>
        </w:rPr>
        <w:t>2  乙方：</w:t>
      </w:r>
      <w:r>
        <w:rPr>
          <w:rFonts w:hint="eastAsia"/>
          <w:kern w:val="2"/>
          <w:sz w:val="24"/>
          <w:szCs w:val="24"/>
          <w:lang w:eastAsia="zh-CN"/>
        </w:rPr>
        <w:t>XXXX</w:t>
      </w:r>
      <w:r>
        <w:rPr>
          <w:rFonts w:hint="eastAsia"/>
          <w:kern w:val="2"/>
          <w:sz w:val="24"/>
          <w:szCs w:val="21"/>
        </w:rPr>
        <w:t>，一家依据中国法律成立并在中国合法注册、经营及有效存续的公司，具有签署本合同的合法主体资格，且在签署本合同时无任何法律障碍和重大事件影响乙方继续正常存续和履行本合同的能力；</w:t>
      </w:r>
    </w:p>
    <w:p>
      <w:pPr>
        <w:pStyle w:val="21"/>
        <w:spacing w:line="360" w:lineRule="auto"/>
        <w:ind w:left="360" w:hanging="360" w:hangingChars="150"/>
        <w:rPr>
          <w:kern w:val="2"/>
          <w:sz w:val="24"/>
          <w:szCs w:val="21"/>
        </w:rPr>
      </w:pPr>
      <w:r>
        <w:rPr>
          <w:rFonts w:hint="eastAsia"/>
          <w:kern w:val="2"/>
          <w:sz w:val="24"/>
          <w:szCs w:val="21"/>
        </w:rPr>
        <w:t>3  乙方拥有合法销售本合同标的物的全部政府许可、生产和/或使用许可和/或授权。乙方对本合同标的物的销售不会损害任何第三方的合法权益和社会公共利益。</w:t>
      </w:r>
    </w:p>
    <w:p>
      <w:pPr>
        <w:pStyle w:val="21"/>
        <w:spacing w:line="360" w:lineRule="auto"/>
        <w:ind w:left="958" w:hanging="957" w:hangingChars="399"/>
        <w:rPr>
          <w:kern w:val="2"/>
          <w:sz w:val="24"/>
          <w:szCs w:val="21"/>
        </w:rPr>
      </w:pPr>
      <w:r>
        <w:rPr>
          <w:rFonts w:hint="eastAsia"/>
          <w:kern w:val="2"/>
          <w:sz w:val="24"/>
          <w:szCs w:val="21"/>
        </w:rPr>
        <w:t>4  甲方拟购买乙方供应的本合同标的物，乙方予以同意。</w:t>
      </w:r>
    </w:p>
    <w:p>
      <w:pPr>
        <w:pStyle w:val="21"/>
        <w:spacing w:line="360" w:lineRule="auto"/>
        <w:ind w:firstLine="480"/>
        <w:rPr>
          <w:kern w:val="2"/>
          <w:sz w:val="24"/>
          <w:szCs w:val="21"/>
        </w:rPr>
      </w:pPr>
    </w:p>
    <w:p>
      <w:pPr>
        <w:adjustRightInd w:val="0"/>
        <w:spacing w:line="360" w:lineRule="auto"/>
        <w:ind w:firstLine="480" w:firstLineChars="200"/>
        <w:jc w:val="left"/>
        <w:textAlignment w:val="baseline"/>
        <w:rPr>
          <w:sz w:val="24"/>
        </w:rPr>
      </w:pPr>
      <w:r>
        <w:rPr>
          <w:rFonts w:hint="eastAsia"/>
          <w:sz w:val="24"/>
        </w:rPr>
        <w:t>依照《中华人民共和国民法典》及其他有关法律、行政法规，遵循平等、自愿、公平和诚实守信的原则，经甲、乙双方充分协商，就以下条款和条件达成协议，签署本购销合同，以便共同遵守。</w:t>
      </w:r>
    </w:p>
    <w:p>
      <w:pPr>
        <w:sectPr>
          <w:footerReference r:id="rId6" w:type="default"/>
          <w:pgSz w:w="11906" w:h="16838"/>
          <w:pgMar w:top="1452" w:right="1106" w:bottom="1452" w:left="1622"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4" w:name="_Toc68613769"/>
      <w:bookmarkStart w:id="5" w:name="_Toc398198954"/>
    </w:p>
    <w:p>
      <w:pPr>
        <w:pStyle w:val="4"/>
        <w:spacing w:before="340" w:after="330" w:line="500" w:lineRule="exact"/>
        <w:rPr>
          <w:rFonts w:eastAsia="宋体"/>
          <w:sz w:val="24"/>
        </w:rPr>
      </w:pPr>
      <w:bookmarkStart w:id="6" w:name="_Toc9900"/>
      <w:bookmarkStart w:id="7" w:name="_Toc16004"/>
      <w:r>
        <w:rPr>
          <w:rFonts w:eastAsia="宋体"/>
          <w:sz w:val="24"/>
        </w:rPr>
        <w:t>第二条　合同标的及价</w:t>
      </w:r>
      <w:bookmarkEnd w:id="4"/>
      <w:r>
        <w:rPr>
          <w:rFonts w:eastAsia="宋体"/>
          <w:sz w:val="24"/>
        </w:rPr>
        <w:t>格</w:t>
      </w:r>
      <w:bookmarkEnd w:id="5"/>
      <w:bookmarkEnd w:id="6"/>
      <w:bookmarkEnd w:id="7"/>
    </w:p>
    <w:p>
      <w:pPr>
        <w:spacing w:line="360" w:lineRule="auto"/>
        <w:ind w:left="480" w:hanging="480" w:hangingChars="200"/>
        <w:rPr>
          <w:sz w:val="24"/>
        </w:rPr>
      </w:pPr>
      <w:r>
        <w:rPr>
          <w:sz w:val="24"/>
        </w:rPr>
        <w:t>2.1 合同标的及价格</w:t>
      </w:r>
    </w:p>
    <w:tbl>
      <w:tblPr>
        <w:tblStyle w:val="15"/>
        <w:tblpPr w:leftFromText="180" w:rightFromText="180" w:vertAnchor="text" w:horzAnchor="page" w:tblpX="1476" w:tblpY="222"/>
        <w:tblOverlap w:val="never"/>
        <w:tblW w:w="14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551"/>
        <w:gridCol w:w="1148"/>
        <w:gridCol w:w="1721"/>
        <w:gridCol w:w="1829"/>
        <w:gridCol w:w="1696"/>
        <w:gridCol w:w="1030"/>
        <w:gridCol w:w="1800"/>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575" w:type="dxa"/>
            <w:noWrap/>
            <w:vAlign w:val="center"/>
          </w:tcPr>
          <w:p>
            <w:pPr>
              <w:widowControl/>
              <w:spacing w:line="360" w:lineRule="exact"/>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序号</w:t>
            </w:r>
          </w:p>
        </w:tc>
        <w:tc>
          <w:tcPr>
            <w:tcW w:w="1551" w:type="dxa"/>
            <w:noWrap/>
            <w:vAlign w:val="center"/>
          </w:tcPr>
          <w:p>
            <w:pPr>
              <w:widowControl/>
              <w:spacing w:line="360" w:lineRule="exact"/>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产品名称</w:t>
            </w:r>
          </w:p>
        </w:tc>
        <w:tc>
          <w:tcPr>
            <w:tcW w:w="1148" w:type="dxa"/>
            <w:noWrap/>
            <w:vAlign w:val="center"/>
          </w:tcPr>
          <w:p>
            <w:pPr>
              <w:widowControl/>
              <w:spacing w:line="360" w:lineRule="exact"/>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品牌</w:t>
            </w:r>
          </w:p>
        </w:tc>
        <w:tc>
          <w:tcPr>
            <w:tcW w:w="1721" w:type="dxa"/>
            <w:noWrap/>
            <w:vAlign w:val="center"/>
          </w:tcPr>
          <w:p>
            <w:pPr>
              <w:widowControl/>
              <w:spacing w:line="360" w:lineRule="exact"/>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规格型号</w:t>
            </w:r>
          </w:p>
        </w:tc>
        <w:tc>
          <w:tcPr>
            <w:tcW w:w="1829" w:type="dxa"/>
            <w:noWrap/>
            <w:vAlign w:val="center"/>
          </w:tcPr>
          <w:p>
            <w:pPr>
              <w:widowControl/>
              <w:spacing w:line="360" w:lineRule="exact"/>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数量</w:t>
            </w:r>
          </w:p>
          <w:p>
            <w:pPr>
              <w:widowControl/>
              <w:spacing w:line="360" w:lineRule="exact"/>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（块/套/根）</w:t>
            </w:r>
          </w:p>
        </w:tc>
        <w:tc>
          <w:tcPr>
            <w:tcW w:w="1696" w:type="dxa"/>
            <w:noWrap/>
            <w:vAlign w:val="center"/>
          </w:tcPr>
          <w:p>
            <w:pPr>
              <w:widowControl/>
              <w:spacing w:line="360" w:lineRule="exact"/>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含税单价</w:t>
            </w:r>
          </w:p>
          <w:p>
            <w:pPr>
              <w:widowControl/>
              <w:spacing w:line="360" w:lineRule="exact"/>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（元/块）</w:t>
            </w:r>
          </w:p>
        </w:tc>
        <w:tc>
          <w:tcPr>
            <w:tcW w:w="1030" w:type="dxa"/>
            <w:noWrap/>
            <w:vAlign w:val="center"/>
          </w:tcPr>
          <w:p>
            <w:pPr>
              <w:widowControl/>
              <w:spacing w:line="360" w:lineRule="exact"/>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税率</w:t>
            </w:r>
          </w:p>
        </w:tc>
        <w:tc>
          <w:tcPr>
            <w:tcW w:w="1800" w:type="dxa"/>
            <w:noWrap/>
            <w:vAlign w:val="center"/>
          </w:tcPr>
          <w:p>
            <w:pPr>
              <w:widowControl/>
              <w:spacing w:line="360" w:lineRule="exact"/>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含税总价</w:t>
            </w:r>
          </w:p>
          <w:p>
            <w:pPr>
              <w:widowControl/>
              <w:spacing w:line="360" w:lineRule="exact"/>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（元）</w:t>
            </w:r>
          </w:p>
        </w:tc>
        <w:tc>
          <w:tcPr>
            <w:tcW w:w="2800" w:type="dxa"/>
            <w:noWrap/>
            <w:vAlign w:val="center"/>
          </w:tcPr>
          <w:p>
            <w:pPr>
              <w:widowControl/>
              <w:spacing w:line="360" w:lineRule="exact"/>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575" w:type="dxa"/>
            <w:noWrap/>
            <w:vAlign w:val="center"/>
          </w:tcPr>
          <w:p>
            <w:pPr>
              <w:widowControl/>
              <w:spacing w:line="360" w:lineRule="exact"/>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1</w:t>
            </w:r>
          </w:p>
        </w:tc>
        <w:tc>
          <w:tcPr>
            <w:tcW w:w="1551" w:type="dxa"/>
            <w:noWrap/>
            <w:vAlign w:val="center"/>
          </w:tcPr>
          <w:p>
            <w:pPr>
              <w:spacing w:line="360" w:lineRule="exact"/>
              <w:jc w:val="center"/>
              <w:rPr>
                <w:rFonts w:hint="default" w:ascii="Times New Roman" w:hAnsi="Times New Roman" w:eastAsia="宋体" w:cs="Times New Roman"/>
                <w:color w:val="auto"/>
                <w:sz w:val="24"/>
                <w:szCs w:val="24"/>
                <w:highlight w:val="none"/>
                <w:lang w:eastAsia="zh-CN"/>
              </w:rPr>
            </w:pPr>
          </w:p>
        </w:tc>
        <w:tc>
          <w:tcPr>
            <w:tcW w:w="1148" w:type="dxa"/>
            <w:noWrap/>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p>
        </w:tc>
        <w:tc>
          <w:tcPr>
            <w:tcW w:w="1721" w:type="dxa"/>
            <w:noWrap/>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lang w:val="en-US"/>
              </w:rPr>
            </w:pPr>
          </w:p>
        </w:tc>
        <w:tc>
          <w:tcPr>
            <w:tcW w:w="1829" w:type="dxa"/>
            <w:noWrap/>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lang w:val="en-US"/>
              </w:rPr>
            </w:pPr>
          </w:p>
        </w:tc>
        <w:tc>
          <w:tcPr>
            <w:tcW w:w="1696" w:type="dxa"/>
            <w:noWrap/>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highlight w:val="none"/>
                <w:lang w:val="en-US" w:eastAsia="zh-CN"/>
              </w:rPr>
            </w:pPr>
          </w:p>
        </w:tc>
        <w:tc>
          <w:tcPr>
            <w:tcW w:w="1030" w:type="dxa"/>
            <w:noWrap/>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rPr>
            </w:pPr>
          </w:p>
        </w:tc>
        <w:tc>
          <w:tcPr>
            <w:tcW w:w="1800" w:type="dxa"/>
            <w:noWrap/>
            <w:vAlign w:val="center"/>
          </w:tcPr>
          <w:p>
            <w:pPr>
              <w:keepNext w:val="0"/>
              <w:keepLines w:val="0"/>
              <w:widowControl/>
              <w:suppressLineNumbers w:val="0"/>
              <w:jc w:val="center"/>
              <w:textAlignment w:val="center"/>
              <w:rPr>
                <w:rFonts w:hint="default" w:ascii="Times New Roman" w:hAnsi="Times New Roman" w:cs="Times New Roman"/>
                <w:color w:val="auto"/>
                <w:sz w:val="24"/>
                <w:szCs w:val="24"/>
                <w:highlight w:val="none"/>
                <w:lang w:val="en-US"/>
              </w:rPr>
            </w:pPr>
          </w:p>
        </w:tc>
        <w:tc>
          <w:tcPr>
            <w:tcW w:w="2800" w:type="dxa"/>
            <w:noWrap/>
            <w:vAlign w:val="center"/>
          </w:tcPr>
          <w:p>
            <w:pPr>
              <w:pStyle w:val="2"/>
              <w:ind w:firstLine="0" w:firstLineChars="0"/>
              <w:jc w:val="center"/>
              <w:rPr>
                <w:rFonts w:hint="eastAsia" w:ascii="Times New Roman" w:hAnsi="Times New Roman" w:eastAsia="宋体" w:cs="Times New Roman"/>
                <w:color w:val="auto"/>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575" w:type="dxa"/>
            <w:noWrap/>
            <w:vAlign w:val="center"/>
          </w:tcPr>
          <w:p>
            <w:pPr>
              <w:widowControl/>
              <w:spacing w:line="360" w:lineRule="exact"/>
              <w:jc w:val="center"/>
              <w:rPr>
                <w:rFonts w:hint="default" w:ascii="Times New Roman" w:hAnsi="Times New Roman" w:cs="Times New Roman"/>
                <w:color w:val="auto"/>
                <w:kern w:val="0"/>
                <w:sz w:val="24"/>
                <w:szCs w:val="24"/>
                <w:highlight w:val="none"/>
              </w:rPr>
            </w:pPr>
            <w:r>
              <w:rPr>
                <w:rFonts w:hint="eastAsia" w:cs="Times New Roman"/>
                <w:color w:val="auto"/>
                <w:kern w:val="0"/>
                <w:sz w:val="24"/>
                <w:szCs w:val="24"/>
                <w:highlight w:val="none"/>
                <w:lang w:val="en-US" w:eastAsia="zh-CN"/>
              </w:rPr>
              <w:t>2</w:t>
            </w:r>
          </w:p>
        </w:tc>
        <w:tc>
          <w:tcPr>
            <w:tcW w:w="1551" w:type="dxa"/>
            <w:noWrap/>
            <w:vAlign w:val="center"/>
          </w:tcPr>
          <w:p>
            <w:pPr>
              <w:spacing w:line="360" w:lineRule="exact"/>
              <w:jc w:val="center"/>
              <w:rPr>
                <w:rFonts w:hint="default" w:ascii="Times New Roman" w:hAnsi="Times New Roman" w:cs="Times New Roman"/>
                <w:color w:val="auto"/>
                <w:sz w:val="24"/>
                <w:szCs w:val="24"/>
                <w:highlight w:val="none"/>
                <w:lang w:eastAsia="zh-CN"/>
              </w:rPr>
            </w:pPr>
          </w:p>
        </w:tc>
        <w:tc>
          <w:tcPr>
            <w:tcW w:w="1148"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721" w:type="dxa"/>
            <w:noWrap/>
            <w:vAlign w:val="center"/>
          </w:tcPr>
          <w:p>
            <w:pPr>
              <w:keepNext w:val="0"/>
              <w:keepLines w:val="0"/>
              <w:widowControl/>
              <w:suppressLineNumbers w:val="0"/>
              <w:jc w:val="center"/>
              <w:textAlignment w:val="center"/>
              <w:rPr>
                <w:rFonts w:hint="eastAsia" w:cs="Times New Roman"/>
                <w:i w:val="0"/>
                <w:color w:val="000000"/>
                <w:kern w:val="0"/>
                <w:sz w:val="24"/>
                <w:szCs w:val="24"/>
                <w:u w:val="none"/>
                <w:lang w:val="en-US" w:eastAsia="zh-CN" w:bidi="ar"/>
              </w:rPr>
            </w:pPr>
          </w:p>
        </w:tc>
        <w:tc>
          <w:tcPr>
            <w:tcW w:w="1829" w:type="dxa"/>
            <w:noWrap/>
            <w:vAlign w:val="center"/>
          </w:tcPr>
          <w:p>
            <w:pPr>
              <w:keepNext w:val="0"/>
              <w:keepLines w:val="0"/>
              <w:widowControl/>
              <w:suppressLineNumbers w:val="0"/>
              <w:jc w:val="center"/>
              <w:textAlignment w:val="center"/>
              <w:rPr>
                <w:rFonts w:hint="eastAsia" w:cs="Times New Roman"/>
                <w:i w:val="0"/>
                <w:color w:val="000000"/>
                <w:kern w:val="0"/>
                <w:sz w:val="24"/>
                <w:szCs w:val="24"/>
                <w:u w:val="none"/>
                <w:lang w:val="en-US" w:eastAsia="zh-CN" w:bidi="ar"/>
              </w:rPr>
            </w:pPr>
          </w:p>
        </w:tc>
        <w:tc>
          <w:tcPr>
            <w:tcW w:w="1696" w:type="dxa"/>
            <w:noWrap/>
            <w:vAlign w:val="center"/>
          </w:tcPr>
          <w:p>
            <w:pPr>
              <w:keepNext w:val="0"/>
              <w:keepLines w:val="0"/>
              <w:widowControl/>
              <w:suppressLineNumbers w:val="0"/>
              <w:jc w:val="center"/>
              <w:textAlignment w:val="center"/>
              <w:rPr>
                <w:rFonts w:hint="default" w:cs="Times New Roman"/>
                <w:i w:val="0"/>
                <w:color w:val="000000"/>
                <w:kern w:val="0"/>
                <w:sz w:val="24"/>
                <w:szCs w:val="24"/>
                <w:u w:val="none"/>
                <w:lang w:val="en-US" w:eastAsia="zh-CN" w:bidi="ar"/>
              </w:rPr>
            </w:pPr>
          </w:p>
        </w:tc>
        <w:tc>
          <w:tcPr>
            <w:tcW w:w="1030"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800" w:type="dxa"/>
            <w:noWrap/>
            <w:vAlign w:val="center"/>
          </w:tcPr>
          <w:p>
            <w:pPr>
              <w:keepNext w:val="0"/>
              <w:keepLines w:val="0"/>
              <w:widowControl/>
              <w:suppressLineNumbers w:val="0"/>
              <w:jc w:val="center"/>
              <w:textAlignment w:val="center"/>
              <w:rPr>
                <w:rFonts w:hint="eastAsia" w:cs="Times New Roman"/>
                <w:i w:val="0"/>
                <w:color w:val="000000"/>
                <w:kern w:val="0"/>
                <w:sz w:val="24"/>
                <w:szCs w:val="24"/>
                <w:u w:val="none"/>
                <w:lang w:val="en-US" w:eastAsia="zh-CN" w:bidi="ar"/>
              </w:rPr>
            </w:pPr>
          </w:p>
        </w:tc>
        <w:tc>
          <w:tcPr>
            <w:tcW w:w="2800" w:type="dxa"/>
            <w:noWrap/>
            <w:vAlign w:val="center"/>
          </w:tcPr>
          <w:p>
            <w:pPr>
              <w:pStyle w:val="2"/>
              <w:ind w:firstLine="0" w:firstLineChars="0"/>
              <w:jc w:val="center"/>
              <w:rPr>
                <w:rFonts w:hint="default" w:ascii="Times New Roman" w:hAnsi="Times New Roman" w:cs="Times New Roman"/>
                <w:color w:val="auto"/>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575" w:type="dxa"/>
            <w:noWrap/>
            <w:vAlign w:val="center"/>
          </w:tcPr>
          <w:p>
            <w:pPr>
              <w:widowControl/>
              <w:spacing w:line="360" w:lineRule="exact"/>
              <w:jc w:val="center"/>
              <w:rPr>
                <w:rFonts w:hint="default" w:ascii="Times New Roman" w:hAnsi="Times New Roman" w:cs="Times New Roman"/>
                <w:color w:val="auto"/>
                <w:kern w:val="0"/>
                <w:sz w:val="24"/>
                <w:szCs w:val="24"/>
                <w:highlight w:val="none"/>
              </w:rPr>
            </w:pPr>
            <w:r>
              <w:rPr>
                <w:rFonts w:hint="eastAsia" w:cs="Times New Roman"/>
                <w:color w:val="auto"/>
                <w:kern w:val="0"/>
                <w:sz w:val="24"/>
                <w:szCs w:val="24"/>
                <w:highlight w:val="none"/>
                <w:lang w:val="en-US" w:eastAsia="zh-CN"/>
              </w:rPr>
              <w:t>3</w:t>
            </w:r>
          </w:p>
        </w:tc>
        <w:tc>
          <w:tcPr>
            <w:tcW w:w="1551" w:type="dxa"/>
            <w:noWrap/>
            <w:vAlign w:val="center"/>
          </w:tcPr>
          <w:p>
            <w:pPr>
              <w:spacing w:line="360" w:lineRule="exact"/>
              <w:jc w:val="center"/>
              <w:rPr>
                <w:rFonts w:hint="default" w:ascii="Times New Roman" w:hAnsi="Times New Roman" w:cs="Times New Roman"/>
                <w:color w:val="auto"/>
                <w:sz w:val="24"/>
                <w:szCs w:val="24"/>
                <w:highlight w:val="none"/>
                <w:lang w:eastAsia="zh-CN"/>
              </w:rPr>
            </w:pPr>
          </w:p>
        </w:tc>
        <w:tc>
          <w:tcPr>
            <w:tcW w:w="1148"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721" w:type="dxa"/>
            <w:noWrap/>
            <w:vAlign w:val="center"/>
          </w:tcPr>
          <w:p>
            <w:pPr>
              <w:keepNext w:val="0"/>
              <w:keepLines w:val="0"/>
              <w:widowControl/>
              <w:suppressLineNumbers w:val="0"/>
              <w:jc w:val="center"/>
              <w:textAlignment w:val="center"/>
              <w:rPr>
                <w:rFonts w:hint="eastAsia" w:cs="Times New Roman"/>
                <w:i w:val="0"/>
                <w:color w:val="000000"/>
                <w:kern w:val="0"/>
                <w:sz w:val="24"/>
                <w:szCs w:val="24"/>
                <w:u w:val="none"/>
                <w:lang w:val="en-US" w:eastAsia="zh-CN" w:bidi="ar"/>
              </w:rPr>
            </w:pPr>
          </w:p>
        </w:tc>
        <w:tc>
          <w:tcPr>
            <w:tcW w:w="1829" w:type="dxa"/>
            <w:noWrap/>
            <w:vAlign w:val="center"/>
          </w:tcPr>
          <w:p>
            <w:pPr>
              <w:keepNext w:val="0"/>
              <w:keepLines w:val="0"/>
              <w:widowControl/>
              <w:suppressLineNumbers w:val="0"/>
              <w:jc w:val="center"/>
              <w:textAlignment w:val="center"/>
              <w:rPr>
                <w:rFonts w:hint="eastAsia" w:cs="Times New Roman"/>
                <w:i w:val="0"/>
                <w:color w:val="000000"/>
                <w:kern w:val="0"/>
                <w:sz w:val="24"/>
                <w:szCs w:val="24"/>
                <w:u w:val="none"/>
                <w:lang w:val="en-US" w:eastAsia="zh-CN" w:bidi="ar"/>
              </w:rPr>
            </w:pPr>
          </w:p>
        </w:tc>
        <w:tc>
          <w:tcPr>
            <w:tcW w:w="1696" w:type="dxa"/>
            <w:noWrap/>
            <w:vAlign w:val="center"/>
          </w:tcPr>
          <w:p>
            <w:pPr>
              <w:keepNext w:val="0"/>
              <w:keepLines w:val="0"/>
              <w:widowControl/>
              <w:suppressLineNumbers w:val="0"/>
              <w:jc w:val="center"/>
              <w:textAlignment w:val="center"/>
              <w:rPr>
                <w:rFonts w:hint="eastAsia" w:cs="Times New Roman"/>
                <w:i w:val="0"/>
                <w:color w:val="000000"/>
                <w:kern w:val="0"/>
                <w:sz w:val="24"/>
                <w:szCs w:val="24"/>
                <w:u w:val="none"/>
                <w:lang w:val="en-US" w:eastAsia="zh-CN" w:bidi="ar"/>
              </w:rPr>
            </w:pPr>
          </w:p>
        </w:tc>
        <w:tc>
          <w:tcPr>
            <w:tcW w:w="1030"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800" w:type="dxa"/>
            <w:noWrap/>
            <w:vAlign w:val="center"/>
          </w:tcPr>
          <w:p>
            <w:pPr>
              <w:keepNext w:val="0"/>
              <w:keepLines w:val="0"/>
              <w:widowControl/>
              <w:suppressLineNumbers w:val="0"/>
              <w:jc w:val="center"/>
              <w:textAlignment w:val="center"/>
              <w:rPr>
                <w:rFonts w:hint="eastAsia" w:cs="Times New Roman"/>
                <w:i w:val="0"/>
                <w:color w:val="000000"/>
                <w:kern w:val="0"/>
                <w:sz w:val="24"/>
                <w:szCs w:val="24"/>
                <w:u w:val="none"/>
                <w:lang w:val="en-US" w:eastAsia="zh-CN" w:bidi="ar"/>
              </w:rPr>
            </w:pPr>
          </w:p>
        </w:tc>
        <w:tc>
          <w:tcPr>
            <w:tcW w:w="2800" w:type="dxa"/>
            <w:noWrap/>
            <w:vAlign w:val="center"/>
          </w:tcPr>
          <w:p>
            <w:pPr>
              <w:pStyle w:val="2"/>
              <w:ind w:firstLine="0" w:firstLineChars="0"/>
              <w:jc w:val="center"/>
              <w:rPr>
                <w:rFonts w:hint="default" w:ascii="Times New Roman" w:hAnsi="Times New Roman" w:cs="Times New Roman"/>
                <w:color w:val="auto"/>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575" w:type="dxa"/>
            <w:noWrap/>
            <w:vAlign w:val="center"/>
          </w:tcPr>
          <w:p>
            <w:pPr>
              <w:widowControl/>
              <w:spacing w:line="360" w:lineRule="exact"/>
              <w:jc w:val="center"/>
              <w:rPr>
                <w:rFonts w:hint="default" w:ascii="Times New Roman" w:hAnsi="Times New Roman" w:cs="Times New Roman"/>
                <w:color w:val="auto"/>
                <w:kern w:val="0"/>
                <w:sz w:val="24"/>
                <w:szCs w:val="24"/>
                <w:highlight w:val="none"/>
                <w:lang w:val="en-US" w:eastAsia="zh-CN"/>
              </w:rPr>
            </w:pPr>
            <w:r>
              <w:rPr>
                <w:rFonts w:hint="eastAsia" w:cs="Times New Roman"/>
                <w:color w:val="auto"/>
                <w:kern w:val="0"/>
                <w:sz w:val="24"/>
                <w:szCs w:val="24"/>
                <w:highlight w:val="none"/>
                <w:lang w:val="en-US" w:eastAsia="zh-CN"/>
              </w:rPr>
              <w:t>4</w:t>
            </w:r>
          </w:p>
        </w:tc>
        <w:tc>
          <w:tcPr>
            <w:tcW w:w="1551" w:type="dxa"/>
            <w:noWrap/>
            <w:vAlign w:val="center"/>
          </w:tcPr>
          <w:p>
            <w:pPr>
              <w:spacing w:line="360" w:lineRule="exact"/>
              <w:jc w:val="center"/>
              <w:rPr>
                <w:rFonts w:hint="default"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合计</w:t>
            </w:r>
          </w:p>
        </w:tc>
        <w:tc>
          <w:tcPr>
            <w:tcW w:w="1148"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721"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829"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696"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030"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800"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2800" w:type="dxa"/>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50" w:type="dxa"/>
            <w:gridSpan w:val="9"/>
            <w:noWrap/>
            <w:vAlign w:val="center"/>
          </w:tcPr>
          <w:p>
            <w:pPr>
              <w:spacing w:line="360" w:lineRule="auto"/>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含税合同暂定总价：</w:t>
            </w:r>
            <w:r>
              <w:rPr>
                <w:rFonts w:hint="eastAsia" w:ascii="Times New Roman" w:hAnsi="Times New Roman" w:cs="Times New Roman"/>
                <w:color w:val="auto"/>
                <w:sz w:val="24"/>
                <w:szCs w:val="24"/>
                <w:highlight w:val="none"/>
                <w:lang w:eastAsia="zh-CN"/>
              </w:rPr>
              <w:t>人民币</w:t>
            </w:r>
            <w:r>
              <w:rPr>
                <w:rFonts w:hint="eastAsia" w:cs="Times New Roman"/>
                <w:i w:val="0"/>
                <w:color w:val="000000"/>
                <w:kern w:val="0"/>
                <w:sz w:val="24"/>
                <w:szCs w:val="24"/>
                <w:u w:val="none"/>
                <w:lang w:val="en-US" w:eastAsia="zh-CN" w:bidi="ar"/>
              </w:rPr>
              <w:t xml:space="preserve"> </w:t>
            </w:r>
            <w:r>
              <w:rPr>
                <w:rFonts w:hint="eastAsia" w:ascii="Times New Roman" w:hAnsi="Times New Roman" w:cs="Times New Roman"/>
                <w:color w:val="auto"/>
                <w:sz w:val="24"/>
                <w:szCs w:val="24"/>
                <w:highlight w:val="none"/>
                <w:lang w:val="en-US" w:eastAsia="zh-CN"/>
              </w:rPr>
              <w:t>元</w:t>
            </w:r>
            <w:r>
              <w:rPr>
                <w:rFonts w:hint="default" w:ascii="Times New Roman" w:hAnsi="Times New Roman" w:cs="Times New Roman"/>
                <w:color w:val="auto"/>
                <w:sz w:val="24"/>
                <w:szCs w:val="24"/>
                <w:highlight w:val="none"/>
                <w:lang w:eastAsia="zh-CN"/>
              </w:rPr>
              <w:t>，税率</w:t>
            </w:r>
            <w:r>
              <w:rPr>
                <w:rFonts w:hint="default" w:ascii="Times New Roman" w:hAnsi="Times New Roman" w:cs="Times New Roman"/>
                <w:color w:val="auto"/>
                <w:sz w:val="24"/>
                <w:szCs w:val="24"/>
                <w:highlight w:val="none"/>
                <w:lang w:val="en-US" w:eastAsia="zh-CN"/>
              </w:rPr>
              <w:t>13%</w:t>
            </w:r>
            <w:r>
              <w:rPr>
                <w:rFonts w:hint="eastAsia" w:ascii="Times New Roman" w:hAnsi="Times New Roman" w:cs="Times New Roman"/>
                <w:color w:val="auto"/>
                <w:sz w:val="24"/>
                <w:szCs w:val="24"/>
                <w:highlight w:val="none"/>
                <w:lang w:val="en-US" w:eastAsia="zh-CN"/>
              </w:rPr>
              <w:t>。</w:t>
            </w:r>
          </w:p>
        </w:tc>
      </w:tr>
    </w:tbl>
    <w:p>
      <w:pPr>
        <w:spacing w:line="360" w:lineRule="auto"/>
        <w:ind w:firstLine="227"/>
        <w:rPr>
          <w:sz w:val="24"/>
        </w:rPr>
      </w:pPr>
      <w:r>
        <w:rPr>
          <w:rFonts w:hint="eastAsia"/>
          <w:sz w:val="24"/>
        </w:rPr>
        <w:t>注：具体发货数量、型号由甲方书面通知为准。</w:t>
      </w:r>
    </w:p>
    <w:p>
      <w:pPr>
        <w:spacing w:line="360" w:lineRule="auto"/>
        <w:ind w:left="480" w:hanging="480" w:hangingChars="200"/>
        <w:rPr>
          <w:sz w:val="24"/>
          <w:szCs w:val="24"/>
        </w:rPr>
      </w:pPr>
      <w:r>
        <w:rPr>
          <w:sz w:val="24"/>
        </w:rPr>
        <w:t xml:space="preserve">2.2 </w:t>
      </w:r>
      <w:r>
        <w:rPr>
          <w:rFonts w:hAnsi="宋体"/>
          <w:bCs/>
          <w:sz w:val="24"/>
          <w:szCs w:val="24"/>
        </w:rPr>
        <w:t>所有提供的设备、备品备件等均必须由乙方公司本厂生产。</w:t>
      </w:r>
    </w:p>
    <w:p>
      <w:pPr>
        <w:spacing w:line="360" w:lineRule="auto"/>
        <w:ind w:left="480" w:hanging="480" w:hangingChars="200"/>
        <w:rPr>
          <w:rFonts w:hAnsi="宋体"/>
          <w:bCs/>
          <w:sz w:val="24"/>
          <w:szCs w:val="24"/>
        </w:rPr>
        <w:sectPr>
          <w:headerReference r:id="rId7" w:type="default"/>
          <w:pgSz w:w="16838" w:h="11906" w:orient="landscape"/>
          <w:pgMar w:top="1621" w:right="1452" w:bottom="1106" w:left="1452" w:header="851" w:footer="992" w:gutter="0"/>
          <w:pgBorders>
            <w:top w:val="none" w:sz="0" w:space="0"/>
            <w:left w:val="none" w:sz="0" w:space="0"/>
            <w:bottom w:val="none" w:sz="0" w:space="0"/>
            <w:right w:val="none" w:sz="0" w:space="0"/>
          </w:pgBorders>
          <w:cols w:space="720" w:num="1"/>
          <w:docGrid w:type="lines" w:linePitch="316" w:charSpace="0"/>
        </w:sectPr>
      </w:pPr>
      <w:r>
        <w:rPr>
          <w:sz w:val="24"/>
        </w:rPr>
        <w:t xml:space="preserve">2.3 </w:t>
      </w:r>
      <w:r>
        <w:rPr>
          <w:rFonts w:hAnsi="宋体"/>
          <w:bCs/>
          <w:sz w:val="24"/>
          <w:szCs w:val="24"/>
        </w:rPr>
        <w:t>本合同采用固定单价形式，不受任何调价因素的影响，在整个合同履行期间有效。</w:t>
      </w:r>
    </w:p>
    <w:p>
      <w:pPr>
        <w:spacing w:line="360" w:lineRule="auto"/>
        <w:ind w:left="480" w:hanging="480" w:hangingChars="200"/>
        <w:rPr>
          <w:sz w:val="24"/>
        </w:rPr>
      </w:pPr>
      <w:r>
        <w:rPr>
          <w:sz w:val="24"/>
        </w:rPr>
        <w:t>2.4 合同总价包含乙方将货物运送至甲方指定交货地点并交付给甲方指定收货人之前的所有费用，包括但不限于成本及利润、税金、包装费、运输费、保险费、仓储费、损耗费、备品备件费及后续的开箱检验、安装、调试、检验、产品培训、技术服务等</w:t>
      </w:r>
      <w:r>
        <w:rPr>
          <w:rFonts w:hAnsi="宋体"/>
          <w:bCs/>
          <w:sz w:val="24"/>
          <w:szCs w:val="24"/>
        </w:rPr>
        <w:t>伴随服务的</w:t>
      </w:r>
      <w:r>
        <w:rPr>
          <w:sz w:val="24"/>
        </w:rPr>
        <w:t>费用。</w:t>
      </w:r>
    </w:p>
    <w:p>
      <w:pPr>
        <w:spacing w:line="360" w:lineRule="auto"/>
        <w:ind w:left="360" w:hanging="360" w:hangingChars="150"/>
        <w:rPr>
          <w:rFonts w:ascii="宋体" w:hAnsi="宋体" w:cs="宋体"/>
          <w:sz w:val="24"/>
        </w:rPr>
      </w:pPr>
      <w:r>
        <w:rPr>
          <w:sz w:val="24"/>
        </w:rPr>
        <w:t xml:space="preserve">2.5 </w:t>
      </w:r>
      <w:r>
        <w:rPr>
          <w:rFonts w:hint="eastAsia" w:ascii="宋体" w:hAnsi="宋体" w:cs="宋体"/>
          <w:sz w:val="24"/>
        </w:rPr>
        <w:t>上述货物及相关配件、辅件、附件的技术和质量标准双方同意按附件一《</w:t>
      </w:r>
      <w:r>
        <w:rPr>
          <w:rFonts w:hint="eastAsia" w:cs="Times New Roman"/>
          <w:b w:val="0"/>
          <w:bCs w:val="0"/>
          <w:sz w:val="24"/>
          <w:szCs w:val="21"/>
          <w:lang w:eastAsia="zh-CN"/>
        </w:rPr>
        <w:t>大埔峡能100MWp农光互补项目EPC总承包工程第四批60MWp光伏组件技术协议</w:t>
      </w:r>
      <w:r>
        <w:rPr>
          <w:rFonts w:hint="eastAsia" w:ascii="宋体" w:hAnsi="宋体" w:cs="宋体"/>
          <w:sz w:val="24"/>
        </w:rPr>
        <w:t>》所约定标准执行。</w:t>
      </w:r>
    </w:p>
    <w:p>
      <w:pPr>
        <w:spacing w:after="316" w:afterLines="100" w:line="360" w:lineRule="auto"/>
        <w:ind w:left="480" w:hanging="480" w:hangingChars="200"/>
        <w:rPr>
          <w:rFonts w:hAnsi="宋体"/>
          <w:bCs/>
          <w:sz w:val="24"/>
          <w:szCs w:val="24"/>
        </w:rPr>
      </w:pPr>
      <w:r>
        <w:rPr>
          <w:sz w:val="24"/>
        </w:rPr>
        <w:t>2.</w:t>
      </w:r>
      <w:r>
        <w:rPr>
          <w:rFonts w:hint="eastAsia"/>
          <w:sz w:val="24"/>
        </w:rPr>
        <w:t>6</w:t>
      </w:r>
      <w:r>
        <w:rPr>
          <w:sz w:val="24"/>
        </w:rPr>
        <w:t xml:space="preserve"> </w:t>
      </w:r>
      <w:r>
        <w:rPr>
          <w:rFonts w:hAnsi="宋体"/>
          <w:bCs/>
          <w:sz w:val="24"/>
          <w:szCs w:val="24"/>
        </w:rPr>
        <w:t>乙方额外提供太阳能组件备品备件（详见下表），备品要求为本合同产品同批次同质量等级产品。</w:t>
      </w:r>
    </w:p>
    <w:tbl>
      <w:tblPr>
        <w:tblStyle w:val="15"/>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34"/>
        <w:gridCol w:w="2698"/>
        <w:gridCol w:w="632"/>
        <w:gridCol w:w="881"/>
        <w:gridCol w:w="792"/>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2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bookmarkStart w:id="8" w:name="_Toc398198955"/>
            <w:r>
              <w:rPr>
                <w:rFonts w:hint="default" w:ascii="Times New Roman" w:hAnsi="Times New Roman" w:eastAsia="宋体" w:cs="Times New Roman"/>
                <w:color w:val="auto"/>
                <w:kern w:val="0"/>
                <w:highlight w:val="none"/>
                <w:lang w:val="en-US" w:eastAsia="zh-CN"/>
              </w:rPr>
              <w:t>序号</w:t>
            </w:r>
          </w:p>
        </w:tc>
        <w:tc>
          <w:tcPr>
            <w:tcW w:w="1934"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设备及部件名称</w:t>
            </w:r>
          </w:p>
        </w:tc>
        <w:tc>
          <w:tcPr>
            <w:tcW w:w="2698"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型号规格及</w:t>
            </w:r>
          </w:p>
          <w:p>
            <w:pPr>
              <w:spacing w:line="240" w:lineRule="auto"/>
              <w:jc w:val="center"/>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主要技术参数</w:t>
            </w:r>
          </w:p>
        </w:tc>
        <w:tc>
          <w:tcPr>
            <w:tcW w:w="63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单位</w:t>
            </w:r>
          </w:p>
        </w:tc>
        <w:tc>
          <w:tcPr>
            <w:tcW w:w="881"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数量</w:t>
            </w:r>
          </w:p>
        </w:tc>
        <w:tc>
          <w:tcPr>
            <w:tcW w:w="79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产地</w:t>
            </w:r>
          </w:p>
        </w:tc>
        <w:tc>
          <w:tcPr>
            <w:tcW w:w="1736"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2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1</w:t>
            </w:r>
          </w:p>
        </w:tc>
        <w:tc>
          <w:tcPr>
            <w:tcW w:w="1934"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2698"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63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881"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79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1736"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2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eastAsia" w:cs="Times New Roman"/>
                <w:color w:val="auto"/>
                <w:kern w:val="0"/>
                <w:highlight w:val="none"/>
                <w:lang w:val="en-US" w:eastAsia="zh-CN"/>
              </w:rPr>
              <w:t>2</w:t>
            </w:r>
          </w:p>
        </w:tc>
        <w:tc>
          <w:tcPr>
            <w:tcW w:w="1934"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2698"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63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881"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79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1736"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2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eastAsia" w:cs="Times New Roman"/>
                <w:color w:val="auto"/>
                <w:kern w:val="0"/>
                <w:highlight w:val="none"/>
                <w:lang w:val="en-US" w:eastAsia="zh-CN"/>
              </w:rPr>
              <w:t>3</w:t>
            </w:r>
          </w:p>
        </w:tc>
        <w:tc>
          <w:tcPr>
            <w:tcW w:w="1934"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2698"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63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881"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79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1736"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2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eastAsia" w:cs="Times New Roman"/>
                <w:color w:val="auto"/>
                <w:kern w:val="0"/>
                <w:highlight w:val="none"/>
                <w:lang w:val="en-US" w:eastAsia="zh-CN"/>
              </w:rPr>
              <w:t>4</w:t>
            </w:r>
          </w:p>
        </w:tc>
        <w:tc>
          <w:tcPr>
            <w:tcW w:w="1934"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2698"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63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881"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79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1736"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2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r>
              <w:rPr>
                <w:rFonts w:hint="eastAsia" w:cs="Times New Roman"/>
                <w:color w:val="auto"/>
                <w:kern w:val="0"/>
                <w:highlight w:val="none"/>
                <w:lang w:val="en-US" w:eastAsia="zh-CN"/>
              </w:rPr>
              <w:t>5</w:t>
            </w:r>
          </w:p>
        </w:tc>
        <w:tc>
          <w:tcPr>
            <w:tcW w:w="1934"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2698"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63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881"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792"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c>
          <w:tcPr>
            <w:tcW w:w="1736" w:type="dxa"/>
            <w:noWrap/>
            <w:vAlign w:val="center"/>
          </w:tcPr>
          <w:p>
            <w:pPr>
              <w:spacing w:line="240" w:lineRule="auto"/>
              <w:jc w:val="center"/>
              <w:rPr>
                <w:rFonts w:hint="default" w:ascii="Times New Roman" w:hAnsi="Times New Roman" w:eastAsia="宋体" w:cs="Times New Roman"/>
                <w:color w:val="auto"/>
                <w:kern w:val="0"/>
                <w:highlight w:val="none"/>
                <w:lang w:val="en-US" w:eastAsia="zh-CN"/>
              </w:rPr>
            </w:pPr>
          </w:p>
        </w:tc>
      </w:tr>
    </w:tbl>
    <w:p>
      <w:pPr>
        <w:spacing w:before="158" w:beforeLines="50" w:line="360" w:lineRule="auto"/>
        <w:rPr>
          <w:rFonts w:hAnsi="宋体"/>
          <w:bCs/>
          <w:sz w:val="24"/>
          <w:szCs w:val="24"/>
        </w:rPr>
      </w:pPr>
      <w:r>
        <w:rPr>
          <w:rFonts w:hint="eastAsia" w:ascii="宋体" w:hAnsi="宋体" w:cs="宋体"/>
          <w:b/>
          <w:bCs/>
          <w:sz w:val="24"/>
          <w:szCs w:val="24"/>
        </w:rPr>
        <w:t>2.7如遇国家政策调整，增值税税率发生变化，合同总额按照不含税价及最新增值税税率计算得出。</w:t>
      </w:r>
    </w:p>
    <w:p>
      <w:pPr>
        <w:spacing w:after="316" w:afterLines="100" w:line="360" w:lineRule="auto"/>
        <w:ind w:left="480" w:hanging="480" w:hangingChars="200"/>
        <w:rPr>
          <w:rFonts w:hAnsi="宋体"/>
          <w:bCs/>
          <w:sz w:val="24"/>
          <w:szCs w:val="24"/>
        </w:rPr>
      </w:pPr>
      <w:r>
        <w:rPr>
          <w:rFonts w:hint="eastAsia" w:hAnsi="宋体"/>
          <w:bCs/>
          <w:sz w:val="24"/>
          <w:szCs w:val="24"/>
        </w:rPr>
        <w:t>2.8本合同总价为暂定价，具体金额以结算为准。</w:t>
      </w:r>
    </w:p>
    <w:p>
      <w:pPr>
        <w:pStyle w:val="4"/>
        <w:spacing w:before="340" w:after="330" w:line="500" w:lineRule="exact"/>
        <w:rPr>
          <w:rFonts w:eastAsia="宋体"/>
          <w:sz w:val="24"/>
        </w:rPr>
      </w:pPr>
      <w:bookmarkStart w:id="9" w:name="_Toc31220"/>
      <w:bookmarkStart w:id="10" w:name="_Toc1539"/>
      <w:r>
        <w:rPr>
          <w:rFonts w:eastAsia="宋体"/>
          <w:sz w:val="24"/>
        </w:rPr>
        <w:t>第三条　付款方式</w:t>
      </w:r>
      <w:bookmarkEnd w:id="8"/>
      <w:bookmarkEnd w:id="9"/>
      <w:bookmarkEnd w:id="10"/>
      <w:r>
        <w:rPr>
          <w:rFonts w:eastAsia="宋体"/>
          <w:sz w:val="24"/>
        </w:rPr>
        <w:tab/>
      </w:r>
    </w:p>
    <w:p>
      <w:pPr>
        <w:spacing w:line="360" w:lineRule="auto"/>
        <w:ind w:left="360" w:hanging="360" w:hangingChars="15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3.1 甲乙双方采用人民币进行结算，甲方不提供现金，乙方须提供结算专用账户，甲方采用银行承兑（综合折算不超过6个月）或电汇方式进行付款，甲方需在乙方开具发票前出具详细的开票资料函。甲方每笔付款乙方必须出具财务收款收据及附件二《设备材料采购合同价款支付申请（核准）表》。</w:t>
      </w:r>
    </w:p>
    <w:p>
      <w:pPr>
        <w:spacing w:line="360" w:lineRule="auto"/>
        <w:ind w:left="360" w:hanging="360" w:hangingChars="1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3.2合同（订单）签订生效后，乙方安排生产，并按甲方要求发货。</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3.3 付款方式：</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（1）正式采购合同签订且乙方提供相应金额《设备材料采购合同价款支付申请（核准）表》后五个工作日内，甲方向乙方支付合同总价款的</w:t>
      </w:r>
      <w:r>
        <w:rPr>
          <w:rFonts w:hint="eastAsia"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0%作为预付款，乙方在合同签订7日内提供合同总价10%的银行履约保函（保函有效期6个月）；</w:t>
      </w:r>
    </w:p>
    <w:p>
      <w:pPr>
        <w:keepNext w:val="0"/>
        <w:keepLines w:val="0"/>
        <w:pageBreakBefore w:val="0"/>
        <w:widowControl/>
        <w:kinsoku/>
        <w:wordWrap/>
        <w:overflowPunct/>
        <w:topLinePunct w:val="0"/>
        <w:autoSpaceDE/>
        <w:autoSpaceDN/>
        <w:bidi w:val="0"/>
        <w:adjustRightInd/>
        <w:snapToGrid/>
        <w:spacing w:line="360" w:lineRule="auto"/>
        <w:ind w:left="360" w:leftChars="0" w:hanging="360" w:hangingChars="150"/>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（2）甲方收到乙方开具的履约保函、相应金额《设备材料采购合同价款支付申请（核准）表》后，支付批次组件合同额的</w:t>
      </w:r>
      <w:r>
        <w:rPr>
          <w:rFonts w:hint="eastAsia" w:cs="Times New Roman"/>
          <w:color w:val="auto"/>
          <w:sz w:val="24"/>
          <w:highlight w:val="none"/>
          <w:lang w:val="en-US" w:eastAsia="zh-CN"/>
        </w:rPr>
        <w:t>9</w:t>
      </w:r>
      <w:r>
        <w:rPr>
          <w:rFonts w:hint="default" w:ascii="Times New Roman" w:hAnsi="Times New Roman" w:eastAsia="宋体" w:cs="Times New Roman"/>
          <w:color w:val="auto"/>
          <w:sz w:val="24"/>
          <w:highlight w:val="none"/>
          <w:lang w:eastAsia="zh-CN"/>
        </w:rPr>
        <w:t>0%作为发货款；</w:t>
      </w:r>
    </w:p>
    <w:p>
      <w:pPr>
        <w:keepNext w:val="0"/>
        <w:keepLines w:val="0"/>
        <w:pageBreakBefore w:val="0"/>
        <w:widowControl/>
        <w:kinsoku/>
        <w:wordWrap/>
        <w:overflowPunct/>
        <w:topLinePunct w:val="0"/>
        <w:autoSpaceDE/>
        <w:autoSpaceDN/>
        <w:bidi w:val="0"/>
        <w:adjustRightInd/>
        <w:snapToGrid/>
        <w:spacing w:line="360" w:lineRule="auto"/>
        <w:ind w:left="360" w:leftChars="0" w:hanging="360" w:hangingChars="150"/>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（3）批次货物供货完毕五日内，乙方向甲方提供该批次组件对应合同额合规的全额增值税专用发票（税率13%）。</w:t>
      </w:r>
    </w:p>
    <w:p>
      <w:pPr>
        <w:spacing w:line="360" w:lineRule="auto"/>
        <w:ind w:left="360" w:leftChars="0" w:hanging="360" w:hangingChars="1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（4）供货完毕十五日内，乙方向甲方提供合同总价款5%的银行质量保函，保函有效期为二年期。甲方收到乙方提供的合规的银行质量保函后五个工作日内，归还履约保函</w:t>
      </w:r>
      <w:r>
        <w:rPr>
          <w:rFonts w:hint="default" w:ascii="Times New Roman" w:hAnsi="Times New Roman" w:eastAsia="宋体" w:cs="Times New Roman"/>
          <w:color w:val="auto"/>
          <w:sz w:val="24"/>
          <w:szCs w:val="21"/>
          <w:highlight w:val="none"/>
        </w:rPr>
        <w:t>。</w:t>
      </w:r>
    </w:p>
    <w:p>
      <w:pPr>
        <w:spacing w:line="360" w:lineRule="auto"/>
        <w:ind w:left="480" w:hanging="480" w:hangingChars="200"/>
        <w:rPr>
          <w:sz w:val="24"/>
        </w:rPr>
      </w:pPr>
      <w:r>
        <w:rPr>
          <w:sz w:val="24"/>
        </w:rPr>
        <w:t>3.</w:t>
      </w:r>
      <w:r>
        <w:rPr>
          <w:rFonts w:hint="eastAsia"/>
          <w:sz w:val="24"/>
        </w:rPr>
        <w:t>4</w:t>
      </w:r>
      <w:r>
        <w:rPr>
          <w:sz w:val="24"/>
        </w:rPr>
        <w:t xml:space="preserve"> 甲方不得将本合同货款汇入乙方工作人员的私人（个人）账户。甲方应将本合同货款付至如下乙方指定</w:t>
      </w:r>
      <w:r>
        <w:rPr>
          <w:rFonts w:hint="eastAsia"/>
          <w:sz w:val="24"/>
        </w:rPr>
        <w:t>对公</w:t>
      </w:r>
      <w:r>
        <w:rPr>
          <w:sz w:val="24"/>
        </w:rPr>
        <w:t>银行账户：</w:t>
      </w:r>
    </w:p>
    <w:p>
      <w:pPr>
        <w:spacing w:line="360" w:lineRule="auto"/>
        <w:ind w:left="479" w:leftChars="228"/>
        <w:rPr>
          <w:rFonts w:hint="eastAsia" w:eastAsia="宋体"/>
          <w:sz w:val="24"/>
          <w:lang w:eastAsia="zh-CN"/>
        </w:rPr>
      </w:pPr>
      <w:r>
        <w:rPr>
          <w:rFonts w:hint="eastAsia"/>
          <w:sz w:val="24"/>
        </w:rPr>
        <w:t>户名：</w:t>
      </w:r>
      <w:r>
        <w:rPr>
          <w:rFonts w:hint="eastAsia"/>
          <w:sz w:val="24"/>
          <w:lang w:eastAsia="zh-CN"/>
        </w:rPr>
        <w:t>XXXX</w:t>
      </w:r>
    </w:p>
    <w:p>
      <w:pPr>
        <w:spacing w:line="360" w:lineRule="auto"/>
        <w:ind w:left="479" w:leftChars="228"/>
        <w:rPr>
          <w:sz w:val="24"/>
        </w:rPr>
      </w:pPr>
      <w:r>
        <w:rPr>
          <w:rFonts w:hint="eastAsia"/>
          <w:sz w:val="24"/>
        </w:rPr>
        <w:t>开户银行：</w:t>
      </w:r>
    </w:p>
    <w:p>
      <w:pPr>
        <w:spacing w:line="360" w:lineRule="auto"/>
        <w:ind w:left="479" w:leftChars="228"/>
        <w:rPr>
          <w:sz w:val="24"/>
        </w:rPr>
      </w:pPr>
      <w:r>
        <w:rPr>
          <w:rFonts w:hint="eastAsia"/>
          <w:sz w:val="24"/>
        </w:rPr>
        <w:t>帐    号：</w:t>
      </w:r>
    </w:p>
    <w:p>
      <w:pPr>
        <w:spacing w:line="360" w:lineRule="auto"/>
        <w:ind w:left="479" w:leftChars="228"/>
        <w:rPr>
          <w:sz w:val="24"/>
        </w:rPr>
      </w:pPr>
      <w:r>
        <w:rPr>
          <w:rFonts w:hint="eastAsia"/>
          <w:sz w:val="24"/>
        </w:rPr>
        <w:t>税    号：</w:t>
      </w:r>
    </w:p>
    <w:p>
      <w:pPr>
        <w:spacing w:line="360" w:lineRule="auto"/>
        <w:ind w:left="480" w:hanging="480" w:hangingChars="200"/>
        <w:rPr>
          <w:sz w:val="24"/>
          <w:szCs w:val="24"/>
        </w:rPr>
      </w:pPr>
      <w:r>
        <w:rPr>
          <w:sz w:val="24"/>
        </w:rPr>
        <w:t>3.</w:t>
      </w:r>
      <w:r>
        <w:rPr>
          <w:rFonts w:hint="eastAsia"/>
          <w:sz w:val="24"/>
        </w:rPr>
        <w:t>5</w:t>
      </w:r>
      <w:r>
        <w:rPr>
          <w:sz w:val="24"/>
        </w:rPr>
        <w:t>乙方必须提供增值税专用发票，标明甲方名称（以合同具体名称为准），且在备注中注明合同编号</w:t>
      </w:r>
      <w:r>
        <w:rPr>
          <w:sz w:val="24"/>
          <w:szCs w:val="24"/>
        </w:rPr>
        <w:t>按下列要求以邮寄快递方式送达：</w:t>
      </w:r>
    </w:p>
    <w:p>
      <w:pPr>
        <w:spacing w:line="360" w:lineRule="auto"/>
        <w:ind w:firstLine="480" w:firstLineChars="200"/>
        <w:rPr>
          <w:kern w:val="0"/>
          <w:sz w:val="24"/>
        </w:rPr>
      </w:pPr>
      <w:r>
        <w:rPr>
          <w:sz w:val="24"/>
          <w:szCs w:val="24"/>
        </w:rPr>
        <w:t>邮寄地址：</w:t>
      </w:r>
      <w:r>
        <w:rPr>
          <w:kern w:val="0"/>
          <w:sz w:val="24"/>
        </w:rPr>
        <w:t>长沙市雨花区韶山</w:t>
      </w:r>
      <w:r>
        <w:rPr>
          <w:rFonts w:hint="eastAsia"/>
          <w:kern w:val="0"/>
          <w:sz w:val="24"/>
        </w:rPr>
        <w:t>中</w:t>
      </w:r>
      <w:r>
        <w:rPr>
          <w:kern w:val="0"/>
          <w:sz w:val="24"/>
        </w:rPr>
        <w:t>路18号</w:t>
      </w:r>
    </w:p>
    <w:p>
      <w:pPr>
        <w:spacing w:line="360" w:lineRule="auto"/>
        <w:ind w:firstLine="480" w:firstLineChars="200"/>
        <w:rPr>
          <w:kern w:val="0"/>
          <w:sz w:val="24"/>
        </w:rPr>
      </w:pPr>
      <w:r>
        <w:rPr>
          <w:kern w:val="0"/>
          <w:sz w:val="24"/>
        </w:rPr>
        <w:t>单位名称：中机</w:t>
      </w:r>
      <w:r>
        <w:rPr>
          <w:sz w:val="24"/>
          <w:szCs w:val="24"/>
        </w:rPr>
        <w:t>国际</w:t>
      </w:r>
      <w:r>
        <w:rPr>
          <w:kern w:val="0"/>
          <w:sz w:val="24"/>
        </w:rPr>
        <w:t>工程设计研究院有限责任公司</w:t>
      </w:r>
    </w:p>
    <w:p>
      <w:pPr>
        <w:spacing w:line="360" w:lineRule="auto"/>
        <w:ind w:firstLine="480" w:firstLineChars="200"/>
        <w:rPr>
          <w:rFonts w:hint="default" w:ascii="Times New Roman" w:hAnsi="Times New Roman" w:cs="Times New Roman"/>
          <w:color w:val="auto"/>
          <w:kern w:val="0"/>
          <w:sz w:val="24"/>
          <w:highlight w:val="none"/>
        </w:rPr>
      </w:pPr>
      <w:r>
        <w:rPr>
          <w:kern w:val="0"/>
          <w:sz w:val="24"/>
        </w:rPr>
        <w:t>收 件 人：</w:t>
      </w:r>
      <w:r>
        <w:rPr>
          <w:rFonts w:hint="default" w:ascii="Times New Roman" w:hAnsi="Times New Roman" w:cs="Times New Roman"/>
          <w:color w:val="auto"/>
          <w:kern w:val="0"/>
          <w:sz w:val="24"/>
          <w:highlight w:val="none"/>
        </w:rPr>
        <w:t>熊琳娜</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highlight w:val="none"/>
        </w:rPr>
        <w:t>联系电话：</w:t>
      </w:r>
      <w:r>
        <w:rPr>
          <w:rFonts w:hint="default" w:ascii="Times New Roman" w:hAnsi="Times New Roman" w:cs="Times New Roman"/>
          <w:color w:val="auto"/>
          <w:sz w:val="24"/>
          <w:szCs w:val="24"/>
          <w:highlight w:val="none"/>
        </w:rPr>
        <w:t>13755186100</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邮    编：</w:t>
      </w:r>
      <w:r>
        <w:rPr>
          <w:rFonts w:hint="default" w:ascii="Times New Roman" w:hAnsi="Times New Roman" w:cs="Times New Roman"/>
          <w:color w:val="auto"/>
          <w:sz w:val="24"/>
          <w:szCs w:val="24"/>
          <w:highlight w:val="none"/>
        </w:rPr>
        <w:t>410007</w:t>
      </w:r>
    </w:p>
    <w:p>
      <w:pPr>
        <w:pStyle w:val="4"/>
        <w:spacing w:before="340" w:after="330" w:line="500" w:lineRule="exact"/>
        <w:rPr>
          <w:rFonts w:eastAsia="宋体"/>
          <w:sz w:val="24"/>
        </w:rPr>
      </w:pPr>
      <w:bookmarkStart w:id="11" w:name="_Toc398198956"/>
      <w:bookmarkStart w:id="12" w:name="_Toc10161"/>
      <w:bookmarkStart w:id="13" w:name="_Toc3960"/>
      <w:r>
        <w:rPr>
          <w:rFonts w:eastAsia="宋体"/>
          <w:sz w:val="24"/>
        </w:rPr>
        <w:t>第四条　交付时间、地点、联系人</w:t>
      </w:r>
      <w:bookmarkEnd w:id="11"/>
      <w:bookmarkEnd w:id="12"/>
      <w:bookmarkEnd w:id="13"/>
    </w:p>
    <w:p>
      <w:pPr>
        <w:spacing w:line="360" w:lineRule="auto"/>
        <w:ind w:left="360" w:hanging="360" w:hangingChars="150"/>
        <w:rPr>
          <w:sz w:val="24"/>
        </w:rPr>
      </w:pPr>
      <w:r>
        <w:rPr>
          <w:sz w:val="24"/>
        </w:rPr>
        <w:t>4.1乙方每批产品在交付前须将</w:t>
      </w:r>
      <w:r>
        <w:fldChar w:fldCharType="begin"/>
      </w:r>
      <w:r>
        <w:instrText xml:space="preserve"> HYPERLINK "mailto:成品出厂检验报发送甲方邮箱zhiliangxinxi@zkenergy.com," </w:instrText>
      </w:r>
      <w:r>
        <w:fldChar w:fldCharType="separate"/>
      </w:r>
      <w:r>
        <w:rPr>
          <w:sz w:val="24"/>
        </w:rPr>
        <w:t>出厂检验报告发送甲方邮箱【</w:t>
      </w:r>
      <w:r>
        <w:rPr>
          <w:rFonts w:hint="eastAsia" w:cs="Times New Roman"/>
          <w:sz w:val="24"/>
          <w:lang w:val="en-US" w:eastAsia="zh-CN"/>
        </w:rPr>
        <w:t xml:space="preserve">    </w:t>
      </w:r>
      <w:r>
        <w:rPr>
          <w:rFonts w:hint="eastAsia" w:cs="Times New Roman"/>
          <w:sz w:val="24"/>
          <w:lang w:eastAsia="zh-CN"/>
        </w:rPr>
        <w:t>@qq.com</w:t>
      </w:r>
      <w:r>
        <w:rPr>
          <w:rFonts w:hint="default" w:ascii="Times New Roman" w:hAnsi="Times New Roman" w:cs="Times New Roman"/>
          <w:color w:val="auto"/>
          <w:sz w:val="24"/>
          <w:highlight w:val="none"/>
        </w:rPr>
        <w:t>】</w:t>
      </w:r>
      <w:r>
        <w:rPr>
          <w:sz w:val="24"/>
        </w:rPr>
        <w:fldChar w:fldCharType="end"/>
      </w:r>
      <w:r>
        <w:rPr>
          <w:rFonts w:hint="eastAsia"/>
          <w:sz w:val="24"/>
          <w:lang w:eastAsia="zh-CN"/>
        </w:rPr>
        <w:t>，</w:t>
      </w:r>
      <w:r>
        <w:rPr>
          <w:sz w:val="24"/>
        </w:rPr>
        <w:t>获得甲方邮件回复同意后方可供货，甲方在发货前7日内以电子邮件形式通知乙方到货时间，乙方接受</w:t>
      </w:r>
      <w:r>
        <w:rPr>
          <w:sz w:val="24"/>
          <w:szCs w:val="24"/>
        </w:rPr>
        <w:t>邮</w:t>
      </w:r>
      <w:r>
        <w:rPr>
          <w:sz w:val="24"/>
          <w:szCs w:val="24"/>
          <w:highlight w:val="none"/>
        </w:rPr>
        <w:t>箱为【</w:t>
      </w:r>
      <w:r>
        <w:rPr>
          <w:rFonts w:hint="eastAsia"/>
          <w:sz w:val="24"/>
          <w:szCs w:val="24"/>
          <w:highlight w:val="none"/>
          <w:lang w:val="en-US" w:eastAsia="zh-CN"/>
        </w:rPr>
        <w:t xml:space="preserve">   </w:t>
      </w:r>
      <w:r>
        <w:rPr>
          <w:sz w:val="24"/>
          <w:szCs w:val="24"/>
          <w:highlight w:val="none"/>
        </w:rPr>
        <w:t>】</w:t>
      </w:r>
      <w:r>
        <w:rPr>
          <w:sz w:val="24"/>
          <w:szCs w:val="24"/>
        </w:rPr>
        <w:t>。</w:t>
      </w:r>
    </w:p>
    <w:p>
      <w:pPr>
        <w:spacing w:line="360" w:lineRule="auto"/>
        <w:rPr>
          <w:sz w:val="24"/>
        </w:rPr>
      </w:pPr>
      <w:r>
        <w:rPr>
          <w:sz w:val="24"/>
        </w:rPr>
        <w:t>4.2 具体安排如下：</w:t>
      </w:r>
    </w:p>
    <w:p>
      <w:pPr>
        <w:spacing w:line="360" w:lineRule="auto"/>
        <w:ind w:firstLine="360" w:firstLineChars="150"/>
        <w:rPr>
          <w:sz w:val="24"/>
          <w:szCs w:val="24"/>
        </w:rPr>
      </w:pPr>
      <w:r>
        <w:rPr>
          <w:sz w:val="24"/>
          <w:szCs w:val="24"/>
        </w:rPr>
        <w:t>1）到货时间：</w:t>
      </w:r>
    </w:p>
    <w:tbl>
      <w:tblPr>
        <w:tblStyle w:val="15"/>
        <w:tblW w:w="100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28"/>
        <w:gridCol w:w="1755"/>
        <w:gridCol w:w="1161"/>
        <w:gridCol w:w="2910"/>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724" w:type="dxa"/>
            <w:noWrap/>
            <w:vAlign w:val="center"/>
          </w:tcPr>
          <w:p>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1528" w:type="dxa"/>
            <w:noWrap/>
            <w:vAlign w:val="center"/>
          </w:tcPr>
          <w:p>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设备名称</w:t>
            </w:r>
          </w:p>
        </w:tc>
        <w:tc>
          <w:tcPr>
            <w:tcW w:w="1755" w:type="dxa"/>
            <w:noWrap/>
            <w:vAlign w:val="center"/>
          </w:tcPr>
          <w:p>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数量</w:t>
            </w:r>
          </w:p>
        </w:tc>
        <w:tc>
          <w:tcPr>
            <w:tcW w:w="1161" w:type="dxa"/>
            <w:noWrap/>
            <w:vAlign w:val="center"/>
          </w:tcPr>
          <w:p>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发运地点</w:t>
            </w:r>
          </w:p>
        </w:tc>
        <w:tc>
          <w:tcPr>
            <w:tcW w:w="2910" w:type="dxa"/>
            <w:noWrap/>
            <w:vAlign w:val="center"/>
          </w:tcPr>
          <w:p>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交货时间</w:t>
            </w:r>
          </w:p>
        </w:tc>
        <w:tc>
          <w:tcPr>
            <w:tcW w:w="1977" w:type="dxa"/>
            <w:noWrap/>
            <w:vAlign w:val="center"/>
          </w:tcPr>
          <w:p>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24" w:type="dxa"/>
            <w:noWrap/>
            <w:vAlign w:val="center"/>
          </w:tcPr>
          <w:p>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528" w:type="dxa"/>
            <w:noWrap/>
            <w:vAlign w:val="center"/>
          </w:tcPr>
          <w:p>
            <w:pPr>
              <w:spacing w:line="240" w:lineRule="auto"/>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第四批60MWp光伏组件</w:t>
            </w:r>
          </w:p>
        </w:tc>
        <w:tc>
          <w:tcPr>
            <w:tcW w:w="1755" w:type="dxa"/>
            <w:noWrap/>
            <w:vAlign w:val="center"/>
          </w:tcPr>
          <w:p>
            <w:pPr>
              <w:spacing w:line="240" w:lineRule="auto"/>
              <w:jc w:val="center"/>
              <w:rPr>
                <w:rFonts w:hint="default" w:ascii="Times New Roman" w:hAnsi="Times New Roman" w:eastAsia="宋体" w:cs="Times New Roman"/>
                <w:color w:val="auto"/>
                <w:highlight w:val="none"/>
                <w:lang w:val="en-US" w:eastAsia="zh-CN"/>
              </w:rPr>
            </w:pPr>
            <w:ins w:id="0" w:author="Judy" w:date="2023-12-15T10:59:06Z">
              <w:r>
                <w:rPr>
                  <w:rFonts w:hint="eastAsia" w:cs="Times New Roman"/>
                  <w:color w:val="auto"/>
                  <w:highlight w:val="none"/>
                  <w:lang w:val="en-US" w:eastAsia="zh-CN"/>
                </w:rPr>
                <w:t>60</w:t>
              </w:r>
            </w:ins>
          </w:p>
        </w:tc>
        <w:tc>
          <w:tcPr>
            <w:tcW w:w="1161" w:type="dxa"/>
            <w:noWrap/>
            <w:vAlign w:val="center"/>
          </w:tcPr>
          <w:p>
            <w:pPr>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项目现场</w:t>
            </w:r>
          </w:p>
        </w:tc>
        <w:tc>
          <w:tcPr>
            <w:tcW w:w="2910" w:type="dxa"/>
            <w:noWrap/>
            <w:vAlign w:val="center"/>
          </w:tcPr>
          <w:p>
            <w:pPr>
              <w:spacing w:line="240" w:lineRule="auto"/>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sz w:val="24"/>
                <w:szCs w:val="24"/>
                <w:highlight w:val="yellow"/>
                <w:lang w:val="en-US" w:eastAsia="zh-CN"/>
              </w:rPr>
              <w:t>202</w:t>
            </w:r>
            <w:r>
              <w:rPr>
                <w:rFonts w:hint="eastAsia" w:cs="Times New Roman"/>
                <w:sz w:val="24"/>
                <w:szCs w:val="24"/>
                <w:highlight w:val="yellow"/>
                <w:lang w:val="en-US" w:eastAsia="zh-CN"/>
              </w:rPr>
              <w:t>4</w:t>
            </w:r>
            <w:r>
              <w:rPr>
                <w:rFonts w:hint="eastAsia" w:ascii="Times New Roman" w:hAnsi="Times New Roman" w:cs="Times New Roman"/>
                <w:sz w:val="24"/>
                <w:szCs w:val="24"/>
                <w:highlight w:val="yellow"/>
                <w:lang w:val="en-US" w:eastAsia="zh-CN"/>
              </w:rPr>
              <w:t>年</w:t>
            </w:r>
            <w:r>
              <w:rPr>
                <w:rFonts w:hint="eastAsia" w:cs="Times New Roman"/>
                <w:sz w:val="24"/>
                <w:szCs w:val="24"/>
                <w:highlight w:val="yellow"/>
                <w:lang w:val="en-US" w:eastAsia="zh-CN"/>
              </w:rPr>
              <w:t>1月20日前交货20MWp，剩余2024年2季度交货</w:t>
            </w:r>
            <w:r>
              <w:rPr>
                <w:rFonts w:hint="eastAsia" w:ascii="Times New Roman" w:hAnsi="Times New Roman" w:cs="Times New Roman"/>
                <w:sz w:val="24"/>
                <w:szCs w:val="24"/>
                <w:highlight w:val="yellow"/>
                <w:lang w:val="en-US" w:eastAsia="zh-CN"/>
              </w:rPr>
              <w:t>，具体以采购单位下发的排产通知函为准</w:t>
            </w:r>
            <w:r>
              <w:rPr>
                <w:rFonts w:hint="eastAsia" w:cs="Times New Roman"/>
                <w:sz w:val="24"/>
                <w:szCs w:val="24"/>
                <w:highlight w:val="yellow"/>
                <w:lang w:val="en-US" w:eastAsia="zh-CN"/>
              </w:rPr>
              <w:t>，排产通知函发出后20日内到货</w:t>
            </w:r>
          </w:p>
        </w:tc>
        <w:tc>
          <w:tcPr>
            <w:tcW w:w="1977" w:type="dxa"/>
            <w:noWrap/>
            <w:vAlign w:val="center"/>
          </w:tcPr>
          <w:p>
            <w:pPr>
              <w:spacing w:line="240" w:lineRule="auto"/>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724" w:type="dxa"/>
            <w:noWrap/>
            <w:vAlign w:val="center"/>
          </w:tcPr>
          <w:p>
            <w:pPr>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2</w:t>
            </w:r>
          </w:p>
        </w:tc>
        <w:tc>
          <w:tcPr>
            <w:tcW w:w="1528" w:type="dxa"/>
            <w:noWrap/>
            <w:vAlign w:val="center"/>
          </w:tcPr>
          <w:p>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备品备件</w:t>
            </w:r>
          </w:p>
        </w:tc>
        <w:tc>
          <w:tcPr>
            <w:tcW w:w="1755" w:type="dxa"/>
            <w:noWrap/>
            <w:vAlign w:val="center"/>
          </w:tcPr>
          <w:p>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详见备品备件表</w:t>
            </w:r>
          </w:p>
        </w:tc>
        <w:tc>
          <w:tcPr>
            <w:tcW w:w="1161" w:type="dxa"/>
            <w:noWrap/>
            <w:vAlign w:val="center"/>
          </w:tcPr>
          <w:p>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项目现场</w:t>
            </w:r>
          </w:p>
        </w:tc>
        <w:tc>
          <w:tcPr>
            <w:tcW w:w="2910" w:type="dxa"/>
            <w:noWrap/>
            <w:vAlign w:val="center"/>
          </w:tcPr>
          <w:p>
            <w:pPr>
              <w:spacing w:line="360" w:lineRule="auto"/>
              <w:jc w:val="center"/>
              <w:rPr>
                <w:rFonts w:hint="default" w:ascii="Times New Roman" w:hAnsi="Times New Roman" w:cs="Times New Roman"/>
                <w:color w:val="auto"/>
                <w:highlight w:val="none"/>
              </w:rPr>
            </w:pPr>
          </w:p>
        </w:tc>
        <w:tc>
          <w:tcPr>
            <w:tcW w:w="1977" w:type="dxa"/>
            <w:noWrap/>
            <w:vAlign w:val="center"/>
          </w:tcPr>
          <w:p>
            <w:pPr>
              <w:spacing w:line="360" w:lineRule="auto"/>
              <w:jc w:val="center"/>
              <w:rPr>
                <w:rFonts w:hint="default" w:ascii="Times New Roman" w:hAnsi="Times New Roman" w:cs="Times New Roman"/>
                <w:color w:val="auto"/>
                <w:highlight w:val="none"/>
              </w:rPr>
            </w:pPr>
          </w:p>
        </w:tc>
      </w:tr>
    </w:tbl>
    <w:p>
      <w:pPr>
        <w:spacing w:line="360" w:lineRule="auto"/>
        <w:ind w:firstLine="480" w:firstLineChars="200"/>
        <w:rPr>
          <w:sz w:val="24"/>
          <w:szCs w:val="24"/>
        </w:rPr>
      </w:pPr>
      <w:r>
        <w:rPr>
          <w:sz w:val="24"/>
          <w:szCs w:val="24"/>
        </w:rPr>
        <w:t>注：以上到货时间为预计时间，具体以甲方通知为准</w:t>
      </w:r>
      <w:r>
        <w:rPr>
          <w:rFonts w:hint="eastAsia"/>
          <w:sz w:val="24"/>
          <w:szCs w:val="24"/>
        </w:rPr>
        <w:t>，若甲方没有另行通知，则按上述约定执行</w:t>
      </w:r>
      <w:r>
        <w:rPr>
          <w:sz w:val="24"/>
          <w:szCs w:val="24"/>
        </w:rPr>
        <w:t>。</w:t>
      </w:r>
    </w:p>
    <w:p>
      <w:pPr>
        <w:spacing w:line="360" w:lineRule="auto"/>
        <w:ind w:left="780" w:leftChars="200" w:hanging="360" w:hangingChars="150"/>
        <w:rPr>
          <w:rFonts w:hint="default" w:ascii="Times New Roman" w:hAnsi="Times New Roman" w:cs="Times New Roman"/>
          <w:sz w:val="24"/>
          <w:szCs w:val="24"/>
        </w:rPr>
      </w:pPr>
      <w:r>
        <w:rPr>
          <w:sz w:val="24"/>
          <w:szCs w:val="24"/>
        </w:rPr>
        <w:t>2）</w:t>
      </w:r>
      <w:r>
        <w:rPr>
          <w:rFonts w:hint="default" w:ascii="Times New Roman" w:hAnsi="Times New Roman" w:cs="Times New Roman"/>
          <w:sz w:val="24"/>
          <w:szCs w:val="24"/>
        </w:rPr>
        <w:t>交货地点：</w:t>
      </w:r>
    </w:p>
    <w:p>
      <w:pPr>
        <w:spacing w:line="360" w:lineRule="auto"/>
        <w:ind w:left="780" w:leftChars="200" w:hanging="360" w:hangingChars="150"/>
        <w:rPr>
          <w:rFonts w:hint="default" w:ascii="Times New Roman" w:hAnsi="Times New Roman" w:cs="Times New Roman"/>
          <w:sz w:val="24"/>
          <w:szCs w:val="24"/>
        </w:rPr>
      </w:pPr>
      <w:r>
        <w:rPr>
          <w:rFonts w:hint="default" w:ascii="Times New Roman" w:hAnsi="Times New Roman" w:cs="Times New Roman"/>
          <w:sz w:val="24"/>
          <w:szCs w:val="24"/>
        </w:rPr>
        <w:t xml:space="preserve">3）收货联系人： </w:t>
      </w:r>
    </w:p>
    <w:p>
      <w:pPr>
        <w:snapToGrid w:val="0"/>
        <w:spacing w:line="360" w:lineRule="auto"/>
        <w:ind w:left="480" w:hanging="480" w:hangingChars="200"/>
        <w:rPr>
          <w:sz w:val="24"/>
          <w:szCs w:val="24"/>
        </w:rPr>
      </w:pPr>
      <w:r>
        <w:rPr>
          <w:sz w:val="24"/>
          <w:szCs w:val="24"/>
        </w:rPr>
        <w:t>4.3 因甲方要求或特殊情况交货延期的，须经双方书面同意。如甲方不具备交货或安装条件时可延迟交货，对此乙方不承担任何责任且付款时间不顺延。</w:t>
      </w:r>
    </w:p>
    <w:p>
      <w:pPr>
        <w:pStyle w:val="4"/>
        <w:spacing w:before="340" w:after="330" w:line="500" w:lineRule="exact"/>
        <w:rPr>
          <w:rFonts w:eastAsia="宋体"/>
          <w:sz w:val="24"/>
        </w:rPr>
      </w:pPr>
      <w:bookmarkStart w:id="14" w:name="_Toc25757"/>
      <w:bookmarkStart w:id="15" w:name="_Toc3200"/>
      <w:bookmarkStart w:id="16" w:name="_Toc398198957"/>
      <w:r>
        <w:rPr>
          <w:rFonts w:eastAsia="宋体"/>
          <w:sz w:val="24"/>
        </w:rPr>
        <w:t>第五条　包装及运输</w:t>
      </w:r>
      <w:bookmarkEnd w:id="14"/>
      <w:bookmarkEnd w:id="15"/>
      <w:bookmarkEnd w:id="16"/>
    </w:p>
    <w:p>
      <w:pPr>
        <w:spacing w:line="360" w:lineRule="auto"/>
        <w:ind w:left="480" w:hanging="480" w:hangingChars="200"/>
        <w:rPr>
          <w:sz w:val="24"/>
        </w:rPr>
      </w:pPr>
      <w:r>
        <w:rPr>
          <w:sz w:val="24"/>
        </w:rPr>
        <w:t>5.1 将货物运送至甲方指定交货地点并交付给甲方指定收货人之前的货物运输由乙方负责，</w:t>
      </w:r>
      <w:r>
        <w:rPr>
          <w:rFonts w:hint="eastAsia"/>
          <w:sz w:val="24"/>
        </w:rPr>
        <w:t>交付前</w:t>
      </w:r>
      <w:r>
        <w:rPr>
          <w:sz w:val="24"/>
        </w:rPr>
        <w:t>相关的运输费用、保险、保管、货物灭失及毁损的风险亦由乙方承担。</w:t>
      </w:r>
    </w:p>
    <w:p>
      <w:pPr>
        <w:spacing w:line="360" w:lineRule="auto"/>
        <w:ind w:left="480" w:hanging="480" w:hangingChars="200"/>
        <w:rPr>
          <w:sz w:val="24"/>
        </w:rPr>
      </w:pPr>
      <w:r>
        <w:rPr>
          <w:sz w:val="24"/>
        </w:rPr>
        <w:t>5.2 乙方应提供货物运至合同规定的最终目的地所需要的包装，以防止货物在转运中损</w:t>
      </w:r>
      <w:r>
        <w:rPr>
          <w:rFonts w:hAnsi="宋体"/>
          <w:sz w:val="24"/>
          <w:szCs w:val="24"/>
        </w:rPr>
        <w:t>坏或变质。乙方应根据货物特点进行坚固包装使其防水、防潮、防腐、防锈、防震及防止其他损坏的必要保护措施，并在正常情况下适于水运、空运和长途内陆运输及反复装卸和搬运的要求。</w:t>
      </w:r>
      <w:r>
        <w:rPr>
          <w:sz w:val="24"/>
        </w:rPr>
        <w:t>乙方需在每一包装箱/物表面显著位置以显著方式标明合同号、箱号、收货人、目的地、内件品名、尺寸规格、数量、重量等内容。并对每一包装箱内货物附以标签，标明其在安装图纸中的编号。另外乙方应根据货物的特点及其对装卸操作的要求在包装箱显著位置以英文或中文标明“保持干燥”，“小心轻放”，“此面向上”等国际惯用图示。产品合格证、成品出厂检验报告、操作及维护手册和</w:t>
      </w:r>
      <w:r>
        <w:rPr>
          <w:rFonts w:hint="eastAsia"/>
          <w:sz w:val="24"/>
          <w:lang w:val="en-US" w:eastAsia="zh-CN"/>
        </w:rPr>
        <w:t>质保书</w:t>
      </w:r>
      <w:r>
        <w:rPr>
          <w:sz w:val="24"/>
        </w:rPr>
        <w:t>等</w:t>
      </w:r>
      <w:r>
        <w:rPr>
          <w:rFonts w:hint="eastAsia"/>
          <w:sz w:val="24"/>
          <w:lang w:val="en-US" w:eastAsia="zh-CN"/>
        </w:rPr>
        <w:t>随车派送</w:t>
      </w:r>
      <w:r>
        <w:rPr>
          <w:sz w:val="24"/>
        </w:rPr>
        <w:t>。</w:t>
      </w:r>
    </w:p>
    <w:p>
      <w:pPr>
        <w:pStyle w:val="4"/>
        <w:spacing w:before="340" w:after="330" w:line="500" w:lineRule="exact"/>
        <w:rPr>
          <w:rFonts w:eastAsia="宋体"/>
          <w:sz w:val="24"/>
        </w:rPr>
      </w:pPr>
      <w:bookmarkStart w:id="17" w:name="_Toc398198958"/>
      <w:bookmarkStart w:id="18" w:name="_Toc10607"/>
      <w:bookmarkStart w:id="19" w:name="_Toc6353"/>
      <w:bookmarkStart w:id="20" w:name="_Toc396988389"/>
      <w:r>
        <w:rPr>
          <w:rFonts w:eastAsia="宋体"/>
          <w:sz w:val="24"/>
        </w:rPr>
        <w:t>第六条　产品标准</w:t>
      </w:r>
      <w:bookmarkEnd w:id="17"/>
      <w:bookmarkEnd w:id="18"/>
      <w:bookmarkEnd w:id="19"/>
      <w:bookmarkEnd w:id="20"/>
    </w:p>
    <w:p>
      <w:pPr>
        <w:spacing w:line="360" w:lineRule="auto"/>
        <w:ind w:firstLine="360" w:firstLineChars="150"/>
        <w:rPr>
          <w:sz w:val="24"/>
          <w:szCs w:val="24"/>
        </w:rPr>
      </w:pPr>
      <w:r>
        <w:rPr>
          <w:sz w:val="24"/>
          <w:szCs w:val="24"/>
        </w:rPr>
        <w:t>详见附件一《</w:t>
      </w:r>
      <w:r>
        <w:rPr>
          <w:rFonts w:hint="eastAsia" w:cs="Times New Roman"/>
          <w:b w:val="0"/>
          <w:bCs w:val="0"/>
          <w:color w:val="auto"/>
          <w:sz w:val="24"/>
          <w:szCs w:val="24"/>
          <w:highlight w:val="none"/>
          <w:u w:val="none"/>
          <w:lang w:eastAsia="zh-CN"/>
        </w:rPr>
        <w:t>大埔峡能100MWp农光互补项目EPC总承包工程</w:t>
      </w:r>
      <w:r>
        <w:rPr>
          <w:rFonts w:hint="eastAsia" w:cs="Times New Roman"/>
          <w:b w:val="0"/>
          <w:bCs w:val="0"/>
          <w:sz w:val="24"/>
          <w:szCs w:val="21"/>
          <w:lang w:eastAsia="zh-CN"/>
        </w:rPr>
        <w:t>第四批60MWp光伏组件技术协议</w:t>
      </w:r>
      <w:r>
        <w:rPr>
          <w:sz w:val="24"/>
          <w:szCs w:val="24"/>
        </w:rPr>
        <w:t>》。</w:t>
      </w:r>
    </w:p>
    <w:p>
      <w:pPr>
        <w:pStyle w:val="4"/>
        <w:spacing w:before="340" w:after="330" w:line="500" w:lineRule="exact"/>
        <w:rPr>
          <w:rFonts w:eastAsia="宋体"/>
          <w:sz w:val="24"/>
        </w:rPr>
      </w:pPr>
      <w:bookmarkStart w:id="21" w:name="_Toc398198959"/>
      <w:bookmarkStart w:id="22" w:name="_Toc2235"/>
      <w:bookmarkStart w:id="23" w:name="_Toc28733"/>
      <w:r>
        <w:rPr>
          <w:rFonts w:eastAsia="宋体"/>
          <w:sz w:val="24"/>
        </w:rPr>
        <w:t>第七条　交货及初步检验</w:t>
      </w:r>
      <w:bookmarkEnd w:id="21"/>
      <w:bookmarkEnd w:id="22"/>
      <w:bookmarkEnd w:id="23"/>
    </w:p>
    <w:p>
      <w:pPr>
        <w:tabs>
          <w:tab w:val="left" w:pos="3060"/>
        </w:tabs>
        <w:spacing w:line="360" w:lineRule="auto"/>
        <w:ind w:left="480" w:hanging="480" w:hangingChars="200"/>
        <w:rPr>
          <w:sz w:val="24"/>
          <w:szCs w:val="24"/>
        </w:rPr>
      </w:pPr>
      <w:r>
        <w:rPr>
          <w:sz w:val="24"/>
          <w:szCs w:val="24"/>
        </w:rPr>
        <w:t>7.1本合同第七条所述的初步检验系指在不采用任何仪器设备检验的情况下以目测的方式对货物进检验，仅包括对产品包装、外观、型号、数量、重量、</w:t>
      </w:r>
      <w:r>
        <w:rPr>
          <w:sz w:val="24"/>
        </w:rPr>
        <w:t>完整、无损、清洁度</w:t>
      </w:r>
      <w:r>
        <w:rPr>
          <w:sz w:val="24"/>
          <w:szCs w:val="24"/>
        </w:rPr>
        <w:t>的检验。</w:t>
      </w:r>
    </w:p>
    <w:p>
      <w:pPr>
        <w:tabs>
          <w:tab w:val="left" w:pos="3060"/>
        </w:tabs>
        <w:spacing w:line="360" w:lineRule="auto"/>
        <w:ind w:left="480" w:hanging="480" w:hangingChars="200"/>
        <w:rPr>
          <w:sz w:val="24"/>
          <w:szCs w:val="24"/>
        </w:rPr>
      </w:pPr>
      <w:r>
        <w:rPr>
          <w:sz w:val="24"/>
          <w:szCs w:val="24"/>
        </w:rPr>
        <w:t>7.2 交货前，乙方应对货物的质量、规格、性能、数量和重量等进行详细而全面的检验，但不能作为有关质量、规格、性能、数量或重量的最终检验。交货时须向甲方提交产品出厂检验合格证、交货检验记录、《产品合格证明》、《质量检验报告》、《产品质量保证书》和其他相关检验证书等。</w:t>
      </w:r>
    </w:p>
    <w:p>
      <w:pPr>
        <w:spacing w:line="360" w:lineRule="auto"/>
        <w:ind w:left="480" w:hanging="480" w:hangingChars="200"/>
        <w:rPr>
          <w:sz w:val="24"/>
          <w:szCs w:val="24"/>
        </w:rPr>
      </w:pPr>
      <w:r>
        <w:rPr>
          <w:sz w:val="24"/>
          <w:szCs w:val="24"/>
        </w:rPr>
        <w:t>7.3货物到达甲方指定现场后10日内为初步检验期，由甲方代表对产品进行初步检验。如存在数量不足、短缺、毁损等问题，乙方应根据甲方要求采取补足、折价、更换或退货等处理措施，乙方应在交货同时向甲方书面告知货物仓储和再次物流的注意事项。如甲方对初步验收无异议应在送货单回</w:t>
      </w:r>
      <w:r>
        <w:rPr>
          <w:rFonts w:hint="eastAsia"/>
          <w:sz w:val="24"/>
          <w:szCs w:val="24"/>
        </w:rPr>
        <w:t>执</w:t>
      </w:r>
      <w:r>
        <w:rPr>
          <w:sz w:val="24"/>
          <w:szCs w:val="24"/>
        </w:rPr>
        <w:t>单上签收。</w:t>
      </w:r>
    </w:p>
    <w:p>
      <w:pPr>
        <w:tabs>
          <w:tab w:val="left" w:pos="3060"/>
        </w:tabs>
        <w:spacing w:line="360" w:lineRule="auto"/>
        <w:ind w:left="480" w:hanging="480" w:hangingChars="200"/>
        <w:rPr>
          <w:sz w:val="24"/>
          <w:szCs w:val="24"/>
        </w:rPr>
      </w:pPr>
      <w:r>
        <w:rPr>
          <w:sz w:val="24"/>
          <w:szCs w:val="24"/>
        </w:rPr>
        <w:t>7.4 甲方在初步检验期限届满后10日内未对初步检验提出书面异议，视为已交付的产品在包装、外观、型号、数量、重量、完整、无损、清洁度符合合同约定。乙方在接到甲方的书面通知之日起10日内未作答复，视为乙方已接受或认可。</w:t>
      </w:r>
    </w:p>
    <w:p>
      <w:pPr>
        <w:tabs>
          <w:tab w:val="left" w:pos="3060"/>
        </w:tabs>
        <w:spacing w:line="360" w:lineRule="auto"/>
        <w:ind w:left="480" w:hanging="480" w:hangingChars="200"/>
        <w:rPr>
          <w:sz w:val="24"/>
          <w:szCs w:val="24"/>
        </w:rPr>
      </w:pPr>
      <w:r>
        <w:rPr>
          <w:sz w:val="24"/>
          <w:szCs w:val="24"/>
        </w:rPr>
        <w:t>7.5 本合同第七条所述的合格、视为合格及送货单回</w:t>
      </w:r>
      <w:r>
        <w:rPr>
          <w:rFonts w:hint="eastAsia"/>
          <w:sz w:val="24"/>
          <w:szCs w:val="24"/>
        </w:rPr>
        <w:t>执</w:t>
      </w:r>
      <w:r>
        <w:rPr>
          <w:sz w:val="24"/>
          <w:szCs w:val="24"/>
        </w:rPr>
        <w:t>单上的签收，仅证明包装、外观、型号、数量、重量、完整、无损、清洁度等目测指标符合合同约定，不免除乙方的产品质量责任及在质保期内的保修责任。</w:t>
      </w:r>
    </w:p>
    <w:p>
      <w:pPr>
        <w:pStyle w:val="4"/>
        <w:spacing w:before="340" w:after="330" w:line="500" w:lineRule="exact"/>
        <w:rPr>
          <w:rFonts w:eastAsia="宋体"/>
          <w:sz w:val="24"/>
        </w:rPr>
      </w:pPr>
      <w:bookmarkStart w:id="24" w:name="_Toc1010"/>
      <w:bookmarkStart w:id="25" w:name="_Toc398198960"/>
      <w:bookmarkStart w:id="26" w:name="_Toc23833"/>
      <w:r>
        <w:rPr>
          <w:rFonts w:eastAsia="宋体"/>
          <w:sz w:val="24"/>
        </w:rPr>
        <w:t>第八条　产品检验</w:t>
      </w:r>
      <w:bookmarkEnd w:id="24"/>
      <w:bookmarkEnd w:id="25"/>
      <w:bookmarkEnd w:id="26"/>
    </w:p>
    <w:p>
      <w:pPr>
        <w:snapToGrid w:val="0"/>
        <w:spacing w:line="360" w:lineRule="auto"/>
        <w:ind w:left="480" w:hanging="480" w:hangingChars="200"/>
        <w:rPr>
          <w:sz w:val="24"/>
          <w:szCs w:val="24"/>
        </w:rPr>
      </w:pPr>
      <w:r>
        <w:rPr>
          <w:sz w:val="24"/>
          <w:szCs w:val="24"/>
        </w:rPr>
        <w:t>8.1 产品出厂前，甲方可以在产品交付前进行驻厂检验，乙方提供场所、仪器设备供甲方驻厂检验时使用。甲方负责对产品进行抽检，发现产品有不符合本合同第六条的约定时，甲方可以通知乙方重新</w:t>
      </w:r>
      <w:r>
        <w:rPr>
          <w:rFonts w:hint="eastAsia"/>
          <w:sz w:val="24"/>
          <w:szCs w:val="24"/>
        </w:rPr>
        <w:t>生产</w:t>
      </w:r>
      <w:r>
        <w:rPr>
          <w:sz w:val="24"/>
          <w:szCs w:val="24"/>
        </w:rPr>
        <w:t>，交货时间不顺延。</w:t>
      </w:r>
    </w:p>
    <w:p>
      <w:pPr>
        <w:spacing w:line="360" w:lineRule="auto"/>
        <w:ind w:left="480" w:hanging="480" w:hangingChars="200"/>
        <w:rPr>
          <w:sz w:val="24"/>
          <w:szCs w:val="24"/>
        </w:rPr>
      </w:pPr>
      <w:r>
        <w:rPr>
          <w:sz w:val="24"/>
          <w:szCs w:val="24"/>
        </w:rPr>
        <w:t>8.2 产品交付过程中，甲方可以在产品交付时按本合同第七条的约定对产品进行初步检验。</w:t>
      </w:r>
    </w:p>
    <w:p>
      <w:pPr>
        <w:spacing w:line="360" w:lineRule="auto"/>
        <w:ind w:left="480" w:hanging="480" w:hangingChars="200"/>
        <w:rPr>
          <w:sz w:val="24"/>
          <w:szCs w:val="24"/>
        </w:rPr>
      </w:pPr>
      <w:r>
        <w:rPr>
          <w:sz w:val="24"/>
          <w:szCs w:val="24"/>
        </w:rPr>
        <w:t>8.3 产品安装调试程中及质保期内，甲方可以对产品进行质量检验（包括系统兼容性问题）。</w:t>
      </w:r>
    </w:p>
    <w:p>
      <w:pPr>
        <w:snapToGrid w:val="0"/>
        <w:spacing w:line="360" w:lineRule="auto"/>
        <w:ind w:left="480" w:hanging="480" w:hangingChars="200"/>
        <w:rPr>
          <w:sz w:val="24"/>
          <w:szCs w:val="24"/>
        </w:rPr>
      </w:pPr>
      <w:r>
        <w:rPr>
          <w:sz w:val="24"/>
          <w:szCs w:val="24"/>
        </w:rPr>
        <w:t>8.4 产品的衰减率的检测不受质保期的约束。</w:t>
      </w:r>
    </w:p>
    <w:p>
      <w:pPr>
        <w:snapToGrid w:val="0"/>
        <w:spacing w:line="360" w:lineRule="auto"/>
        <w:ind w:left="480" w:hanging="480" w:hangingChars="200"/>
        <w:rPr>
          <w:sz w:val="24"/>
          <w:szCs w:val="24"/>
        </w:rPr>
      </w:pPr>
      <w:r>
        <w:rPr>
          <w:sz w:val="24"/>
          <w:szCs w:val="24"/>
        </w:rPr>
        <w:t>8.5 甲</w:t>
      </w:r>
      <w:r>
        <w:rPr>
          <w:rFonts w:hint="eastAsia"/>
          <w:sz w:val="24"/>
          <w:szCs w:val="24"/>
        </w:rPr>
        <w:t>方委托有资质的第三方厂家对组件进行全过程监造、检测，</w:t>
      </w:r>
      <w:r>
        <w:rPr>
          <w:sz w:val="24"/>
          <w:szCs w:val="24"/>
        </w:rPr>
        <w:t>乙方</w:t>
      </w:r>
      <w:r>
        <w:rPr>
          <w:rFonts w:hint="eastAsia"/>
          <w:sz w:val="24"/>
          <w:szCs w:val="24"/>
        </w:rPr>
        <w:t>需配合</w:t>
      </w:r>
      <w:r>
        <w:rPr>
          <w:rFonts w:hAnsi="宋体"/>
          <w:sz w:val="24"/>
          <w:szCs w:val="24"/>
        </w:rPr>
        <w:t>。</w:t>
      </w:r>
    </w:p>
    <w:p>
      <w:pPr>
        <w:snapToGrid w:val="0"/>
        <w:spacing w:line="360" w:lineRule="auto"/>
        <w:ind w:left="480" w:hanging="480" w:hangingChars="200"/>
        <w:rPr>
          <w:sz w:val="24"/>
          <w:szCs w:val="24"/>
        </w:rPr>
      </w:pPr>
      <w:r>
        <w:rPr>
          <w:sz w:val="24"/>
          <w:szCs w:val="24"/>
        </w:rPr>
        <w:t>8.6 上述检验并不代替或</w:t>
      </w:r>
      <w:r>
        <w:rPr>
          <w:rFonts w:hint="eastAsia"/>
          <w:sz w:val="24"/>
          <w:szCs w:val="24"/>
        </w:rPr>
        <w:t>免除</w:t>
      </w:r>
      <w:r>
        <w:rPr>
          <w:sz w:val="24"/>
          <w:szCs w:val="24"/>
        </w:rPr>
        <w:t>乙方对产品质量的责任。</w:t>
      </w:r>
    </w:p>
    <w:p>
      <w:pPr>
        <w:pStyle w:val="4"/>
        <w:spacing w:before="340" w:after="330" w:line="500" w:lineRule="exact"/>
        <w:rPr>
          <w:rFonts w:eastAsia="宋体"/>
          <w:sz w:val="24"/>
        </w:rPr>
      </w:pPr>
      <w:bookmarkStart w:id="27" w:name="_Toc22171"/>
      <w:bookmarkStart w:id="28" w:name="_Toc3498"/>
      <w:bookmarkStart w:id="29" w:name="_Toc398198961"/>
      <w:r>
        <w:rPr>
          <w:rFonts w:eastAsia="宋体"/>
          <w:sz w:val="24"/>
        </w:rPr>
        <w:t>第九条　乙方对产品的保证</w:t>
      </w:r>
      <w:bookmarkEnd w:id="27"/>
      <w:bookmarkEnd w:id="28"/>
      <w:bookmarkEnd w:id="29"/>
    </w:p>
    <w:p>
      <w:pPr>
        <w:tabs>
          <w:tab w:val="left" w:pos="3060"/>
        </w:tabs>
        <w:spacing w:line="360" w:lineRule="auto"/>
        <w:ind w:left="480" w:hanging="480" w:hangingChars="200"/>
        <w:rPr>
          <w:bCs/>
          <w:sz w:val="24"/>
          <w:szCs w:val="24"/>
        </w:rPr>
      </w:pPr>
      <w:r>
        <w:rPr>
          <w:bCs/>
          <w:sz w:val="24"/>
          <w:szCs w:val="24"/>
        </w:rPr>
        <w:t>9.1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pPr>
        <w:spacing w:line="360" w:lineRule="auto"/>
        <w:ind w:left="480" w:hanging="480" w:hangingChars="200"/>
        <w:rPr>
          <w:sz w:val="24"/>
          <w:szCs w:val="24"/>
        </w:rPr>
      </w:pPr>
      <w:r>
        <w:rPr>
          <w:sz w:val="24"/>
          <w:szCs w:val="24"/>
        </w:rPr>
        <w:t>9.2如交付的产品不符合本合同的约定，乙方保证按合同的约定采取补救措施；如乙方不采取、不按甲方要求采取上述措施，或采取上述补救措施后产品仍然不符合合同约定，按11.2条第2）、3）、4）款的相应约定承担违约责任。</w:t>
      </w:r>
    </w:p>
    <w:p>
      <w:pPr>
        <w:tabs>
          <w:tab w:val="left" w:pos="3060"/>
        </w:tabs>
        <w:spacing w:line="360" w:lineRule="auto"/>
        <w:ind w:left="480" w:hanging="480" w:hangingChars="200"/>
        <w:rPr>
          <w:bCs/>
          <w:sz w:val="24"/>
          <w:szCs w:val="24"/>
        </w:rPr>
      </w:pPr>
      <w:r>
        <w:rPr>
          <w:bCs/>
          <w:sz w:val="24"/>
          <w:szCs w:val="24"/>
        </w:rPr>
        <w:t>9.3 质保期内乙方将按本合同第十条的约定履行质保义务。</w:t>
      </w:r>
    </w:p>
    <w:p>
      <w:pPr>
        <w:tabs>
          <w:tab w:val="left" w:pos="3060"/>
        </w:tabs>
        <w:spacing w:line="360" w:lineRule="auto"/>
        <w:ind w:left="480" w:hanging="480" w:hangingChars="200"/>
        <w:rPr>
          <w:bCs/>
          <w:sz w:val="24"/>
          <w:szCs w:val="24"/>
        </w:rPr>
      </w:pPr>
      <w:r>
        <w:rPr>
          <w:bCs/>
          <w:sz w:val="24"/>
          <w:szCs w:val="24"/>
        </w:rPr>
        <w:t>9.4乙方保证交付的太阳能电池板功率衰减率、功率等满足本合同要求，其中，功率公差保证为正公差，衰减率为：</w:t>
      </w:r>
      <w:r>
        <w:rPr>
          <w:rFonts w:hint="eastAsia"/>
          <w:bCs/>
          <w:sz w:val="24"/>
          <w:szCs w:val="24"/>
        </w:rPr>
        <w:t>第一年衰减≤2%，两年内累计输出功率衰减不超过</w:t>
      </w:r>
      <w:r>
        <w:rPr>
          <w:rFonts w:hint="eastAsia"/>
          <w:bCs/>
          <w:sz w:val="24"/>
          <w:szCs w:val="24"/>
          <w:highlight w:val="none"/>
          <w:lang w:eastAsia="zh-CN"/>
        </w:rPr>
        <w:t>2</w:t>
      </w:r>
      <w:r>
        <w:rPr>
          <w:rFonts w:hint="eastAsia"/>
          <w:bCs/>
          <w:sz w:val="24"/>
          <w:szCs w:val="24"/>
          <w:highlight w:val="none"/>
          <w:lang w:val="en-US" w:eastAsia="zh-CN"/>
        </w:rPr>
        <w:t>.55</w:t>
      </w:r>
      <w:r>
        <w:rPr>
          <w:rFonts w:hint="eastAsia"/>
          <w:bCs/>
          <w:sz w:val="24"/>
          <w:szCs w:val="24"/>
        </w:rPr>
        <w:t>%，前三年内累计输出功率衰减不超过</w:t>
      </w:r>
      <w:r>
        <w:rPr>
          <w:rFonts w:hint="eastAsia"/>
          <w:bCs/>
          <w:sz w:val="24"/>
          <w:szCs w:val="24"/>
          <w:highlight w:val="none"/>
          <w:lang w:eastAsia="zh-CN"/>
        </w:rPr>
        <w:t>3</w:t>
      </w:r>
      <w:r>
        <w:rPr>
          <w:rFonts w:hint="eastAsia"/>
          <w:bCs/>
          <w:sz w:val="24"/>
          <w:szCs w:val="24"/>
          <w:highlight w:val="none"/>
          <w:lang w:val="en-US" w:eastAsia="zh-CN"/>
        </w:rPr>
        <w:t>.1</w:t>
      </w:r>
      <w:r>
        <w:rPr>
          <w:rFonts w:hint="eastAsia"/>
          <w:bCs/>
          <w:sz w:val="24"/>
          <w:szCs w:val="24"/>
        </w:rPr>
        <w:t>%，在10年运行使用期限内输出功率衰减不超过峰值功率得</w:t>
      </w:r>
      <w:r>
        <w:rPr>
          <w:rFonts w:hint="eastAsia"/>
          <w:bCs/>
          <w:sz w:val="24"/>
          <w:szCs w:val="24"/>
          <w:highlight w:val="none"/>
          <w:lang w:eastAsia="zh-CN"/>
        </w:rPr>
        <w:t>6</w:t>
      </w:r>
      <w:r>
        <w:rPr>
          <w:rFonts w:hint="eastAsia"/>
          <w:bCs/>
          <w:sz w:val="24"/>
          <w:szCs w:val="24"/>
          <w:highlight w:val="none"/>
          <w:lang w:val="en-US" w:eastAsia="zh-CN"/>
        </w:rPr>
        <w:t>.95</w:t>
      </w:r>
      <w:r>
        <w:rPr>
          <w:rFonts w:hint="eastAsia"/>
          <w:bCs/>
          <w:sz w:val="24"/>
          <w:szCs w:val="24"/>
        </w:rPr>
        <w:t>%，在25年运行使用期限内输出功率衰减不超过峰值功率的</w:t>
      </w:r>
      <w:r>
        <w:rPr>
          <w:rFonts w:hint="eastAsia"/>
          <w:bCs/>
          <w:sz w:val="24"/>
          <w:szCs w:val="24"/>
          <w:highlight w:val="none"/>
          <w:lang w:eastAsia="zh-CN"/>
        </w:rPr>
        <w:t>1</w:t>
      </w:r>
      <w:r>
        <w:rPr>
          <w:rFonts w:hint="eastAsia"/>
          <w:bCs/>
          <w:sz w:val="24"/>
          <w:szCs w:val="24"/>
          <w:highlight w:val="none"/>
          <w:lang w:val="en-US" w:eastAsia="zh-CN"/>
        </w:rPr>
        <w:t>5.2</w:t>
      </w:r>
      <w:r>
        <w:rPr>
          <w:rFonts w:hint="eastAsia"/>
          <w:bCs/>
          <w:sz w:val="24"/>
          <w:szCs w:val="24"/>
        </w:rPr>
        <w:t>%</w:t>
      </w:r>
      <w:r>
        <w:rPr>
          <w:rFonts w:hint="eastAsia"/>
          <w:bCs/>
          <w:sz w:val="24"/>
          <w:szCs w:val="24"/>
          <w:highlight w:val="none"/>
        </w:rPr>
        <w:t>（如“附件一”中有相关规定的，以“附件一”中的条款为准）</w:t>
      </w:r>
      <w:r>
        <w:rPr>
          <w:rFonts w:hint="eastAsia"/>
          <w:bCs/>
          <w:sz w:val="24"/>
          <w:szCs w:val="24"/>
        </w:rPr>
        <w:t>。</w:t>
      </w:r>
    </w:p>
    <w:p>
      <w:pPr>
        <w:tabs>
          <w:tab w:val="left" w:pos="3060"/>
        </w:tabs>
        <w:spacing w:line="360" w:lineRule="auto"/>
        <w:ind w:left="480" w:hanging="480" w:hangingChars="200"/>
        <w:rPr>
          <w:bCs/>
          <w:sz w:val="24"/>
          <w:szCs w:val="24"/>
        </w:rPr>
      </w:pPr>
      <w:r>
        <w:rPr>
          <w:bCs/>
          <w:sz w:val="24"/>
          <w:szCs w:val="24"/>
        </w:rPr>
        <w:t>9.5 乙方产品需满足项目所在地的环境要求，满足项目使用寿命要求</w:t>
      </w:r>
      <w:r>
        <w:rPr>
          <w:rFonts w:hint="eastAsia"/>
          <w:bCs/>
          <w:sz w:val="24"/>
          <w:szCs w:val="24"/>
        </w:rPr>
        <w:t>。</w:t>
      </w:r>
    </w:p>
    <w:p>
      <w:pPr>
        <w:pStyle w:val="4"/>
        <w:spacing w:before="340" w:after="330" w:line="500" w:lineRule="exact"/>
        <w:rPr>
          <w:rFonts w:eastAsia="宋体"/>
          <w:sz w:val="24"/>
        </w:rPr>
      </w:pPr>
      <w:bookmarkStart w:id="30" w:name="_Toc27244"/>
      <w:bookmarkStart w:id="31" w:name="_Toc7537"/>
      <w:bookmarkStart w:id="32" w:name="_Toc398198962"/>
      <w:r>
        <w:rPr>
          <w:rFonts w:eastAsia="宋体"/>
          <w:sz w:val="24"/>
        </w:rPr>
        <w:t>第十条　产品质保期</w:t>
      </w:r>
      <w:bookmarkEnd w:id="30"/>
      <w:bookmarkEnd w:id="31"/>
      <w:bookmarkEnd w:id="32"/>
    </w:p>
    <w:p>
      <w:pPr>
        <w:spacing w:line="500" w:lineRule="exact"/>
        <w:ind w:left="480" w:hanging="480" w:hangingChars="200"/>
        <w:rPr>
          <w:sz w:val="24"/>
          <w:u w:val="single"/>
        </w:rPr>
      </w:pPr>
      <w:r>
        <w:rPr>
          <w:bCs/>
          <w:sz w:val="24"/>
          <w:szCs w:val="24"/>
        </w:rPr>
        <w:t>10.1</w:t>
      </w:r>
      <w:r>
        <w:rPr>
          <w:sz w:val="24"/>
        </w:rPr>
        <w:t>自</w:t>
      </w:r>
      <w:r>
        <w:rPr>
          <w:rFonts w:hAnsi="宋体"/>
          <w:sz w:val="24"/>
          <w:szCs w:val="24"/>
        </w:rPr>
        <w:t>全部货到现场且项目竣工验收合格之日起进入</w:t>
      </w:r>
      <w:r>
        <w:rPr>
          <w:sz w:val="24"/>
        </w:rPr>
        <w:t>质保期，质保期为</w:t>
      </w:r>
      <w:r>
        <w:rPr>
          <w:sz w:val="22"/>
          <w:szCs w:val="22"/>
        </w:rPr>
        <w:t>【</w:t>
      </w:r>
      <w:r>
        <w:rPr>
          <w:b/>
          <w:sz w:val="22"/>
          <w:szCs w:val="22"/>
        </w:rPr>
        <w:t>10</w:t>
      </w:r>
      <w:r>
        <w:rPr>
          <w:sz w:val="22"/>
          <w:szCs w:val="22"/>
        </w:rPr>
        <w:t>】</w:t>
      </w:r>
      <w:r>
        <w:rPr>
          <w:sz w:val="24"/>
        </w:rPr>
        <w:t>年，若货物在质保期</w:t>
      </w:r>
      <w:r>
        <w:rPr>
          <w:rFonts w:hint="eastAsia"/>
          <w:sz w:val="24"/>
          <w:lang w:val="en-US" w:eastAsia="zh-CN"/>
        </w:rPr>
        <w:t>2</w:t>
      </w:r>
      <w:r>
        <w:rPr>
          <w:sz w:val="24"/>
        </w:rPr>
        <w:t>年内的运行状况满足本合同要求，则甲方将按合同约定</w:t>
      </w:r>
      <w:r>
        <w:rPr>
          <w:rFonts w:hint="eastAsia"/>
          <w:sz w:val="24"/>
        </w:rPr>
        <w:t>返回</w:t>
      </w:r>
      <w:r>
        <w:rPr>
          <w:sz w:val="24"/>
        </w:rPr>
        <w:t>质保</w:t>
      </w:r>
      <w:r>
        <w:rPr>
          <w:rFonts w:hint="eastAsia"/>
          <w:sz w:val="24"/>
        </w:rPr>
        <w:t>函</w:t>
      </w:r>
      <w:r>
        <w:rPr>
          <w:sz w:val="24"/>
        </w:rPr>
        <w:t>；若货物在质保期内的运行状况未能满足本合</w:t>
      </w:r>
      <w:r>
        <w:rPr>
          <w:rFonts w:hint="eastAsia"/>
          <w:sz w:val="24"/>
        </w:rPr>
        <w:t>同</w:t>
      </w:r>
      <w:r>
        <w:rPr>
          <w:sz w:val="24"/>
        </w:rPr>
        <w:t>要求，则乙方应及时按甲方要求采取调换、修理或其他补救措施以使</w:t>
      </w:r>
      <w:bookmarkStart w:id="76" w:name="_GoBack"/>
      <w:bookmarkEnd w:id="76"/>
      <w:r>
        <w:rPr>
          <w:sz w:val="24"/>
        </w:rPr>
        <w:t>货物满足要求。修理的部分顺延质保期，更换的部分重新进入质保期。</w:t>
      </w:r>
    </w:p>
    <w:p>
      <w:pPr>
        <w:tabs>
          <w:tab w:val="left" w:pos="3060"/>
        </w:tabs>
        <w:spacing w:line="360" w:lineRule="auto"/>
        <w:rPr>
          <w:bCs/>
          <w:sz w:val="24"/>
          <w:szCs w:val="24"/>
        </w:rPr>
      </w:pPr>
      <w:r>
        <w:rPr>
          <w:bCs/>
          <w:sz w:val="24"/>
          <w:szCs w:val="24"/>
        </w:rPr>
        <w:t>10.2 产品设计使用寿命</w:t>
      </w:r>
      <w:r>
        <w:rPr>
          <w:sz w:val="22"/>
          <w:szCs w:val="22"/>
        </w:rPr>
        <w:t>【25】</w:t>
      </w:r>
      <w:r>
        <w:rPr>
          <w:bCs/>
          <w:sz w:val="24"/>
          <w:szCs w:val="24"/>
        </w:rPr>
        <w:t>年。</w:t>
      </w:r>
    </w:p>
    <w:p>
      <w:pPr>
        <w:widowControl/>
        <w:autoSpaceDE w:val="0"/>
        <w:autoSpaceDN w:val="0"/>
        <w:spacing w:line="500" w:lineRule="exact"/>
        <w:ind w:left="480" w:hanging="480" w:hangingChars="200"/>
        <w:textAlignment w:val="bottom"/>
        <w:rPr>
          <w:bCs/>
          <w:sz w:val="24"/>
          <w:szCs w:val="24"/>
        </w:rPr>
      </w:pPr>
      <w:r>
        <w:rPr>
          <w:bCs/>
          <w:sz w:val="24"/>
          <w:szCs w:val="24"/>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w:t>
      </w:r>
      <w:r>
        <w:rPr>
          <w:sz w:val="24"/>
          <w:szCs w:val="24"/>
        </w:rPr>
        <w:t>48小时内赶到现场</w:t>
      </w:r>
      <w:r>
        <w:rPr>
          <w:bCs/>
          <w:sz w:val="24"/>
          <w:szCs w:val="24"/>
        </w:rPr>
        <w:t>对货物进行维修。</w:t>
      </w:r>
      <w:r>
        <w:rPr>
          <w:sz w:val="24"/>
        </w:rPr>
        <w:t>在质保期内经乙方修理或替换的部件、元件或零件的质保期应重新计算。</w:t>
      </w:r>
    </w:p>
    <w:p>
      <w:pPr>
        <w:tabs>
          <w:tab w:val="left" w:pos="3060"/>
        </w:tabs>
        <w:spacing w:line="360" w:lineRule="auto"/>
        <w:ind w:left="480" w:hanging="480" w:hangingChars="200"/>
        <w:rPr>
          <w:sz w:val="24"/>
          <w:szCs w:val="24"/>
        </w:rPr>
      </w:pPr>
      <w:r>
        <w:rPr>
          <w:bCs/>
          <w:sz w:val="24"/>
          <w:szCs w:val="24"/>
        </w:rPr>
        <w:t>10</w:t>
      </w:r>
      <w:r>
        <w:rPr>
          <w:sz w:val="24"/>
          <w:szCs w:val="24"/>
        </w:rPr>
        <w:t>.4 乙方保证提供必要的伴随服务，服务费用已包括在合同价中：</w:t>
      </w:r>
    </w:p>
    <w:p>
      <w:pPr>
        <w:tabs>
          <w:tab w:val="left" w:pos="3060"/>
        </w:tabs>
        <w:spacing w:line="360" w:lineRule="auto"/>
        <w:ind w:left="476" w:leftChars="202" w:hanging="52" w:hangingChars="22"/>
        <w:rPr>
          <w:sz w:val="24"/>
          <w:szCs w:val="24"/>
        </w:rPr>
      </w:pPr>
      <w:r>
        <w:rPr>
          <w:sz w:val="24"/>
          <w:szCs w:val="24"/>
        </w:rPr>
        <w:t>1）提供货物现场组装、调试和启动指导，直至设备运作正常；</w:t>
      </w:r>
    </w:p>
    <w:p>
      <w:pPr>
        <w:tabs>
          <w:tab w:val="left" w:pos="3060"/>
        </w:tabs>
        <w:spacing w:line="360" w:lineRule="auto"/>
        <w:ind w:left="476" w:leftChars="202" w:hanging="52" w:hangingChars="22"/>
        <w:rPr>
          <w:sz w:val="24"/>
          <w:szCs w:val="24"/>
        </w:rPr>
      </w:pPr>
      <w:r>
        <w:rPr>
          <w:sz w:val="24"/>
          <w:szCs w:val="24"/>
        </w:rPr>
        <w:t>2）提供货物组装或维修所需的工具；</w:t>
      </w:r>
    </w:p>
    <w:p>
      <w:pPr>
        <w:tabs>
          <w:tab w:val="left" w:pos="3060"/>
        </w:tabs>
        <w:spacing w:line="360" w:lineRule="auto"/>
        <w:ind w:left="476" w:leftChars="202" w:hanging="52" w:hangingChars="22"/>
        <w:rPr>
          <w:sz w:val="24"/>
          <w:szCs w:val="24"/>
        </w:rPr>
      </w:pPr>
      <w:r>
        <w:rPr>
          <w:sz w:val="24"/>
          <w:szCs w:val="24"/>
        </w:rPr>
        <w:t>3）提供货物或设备详细的操作和维护手册；</w:t>
      </w:r>
    </w:p>
    <w:p>
      <w:pPr>
        <w:tabs>
          <w:tab w:val="left" w:pos="3060"/>
        </w:tabs>
        <w:spacing w:line="360" w:lineRule="auto"/>
        <w:ind w:left="476" w:leftChars="202" w:hanging="52" w:hangingChars="22"/>
        <w:rPr>
          <w:sz w:val="24"/>
          <w:szCs w:val="24"/>
        </w:rPr>
      </w:pPr>
      <w:r>
        <w:rPr>
          <w:sz w:val="24"/>
          <w:szCs w:val="24"/>
        </w:rPr>
        <w:t>4）在项目现场就所供货物的组装、试运行、运行、维护或修理对甲方人员培训；</w:t>
      </w:r>
    </w:p>
    <w:p>
      <w:pPr>
        <w:tabs>
          <w:tab w:val="left" w:pos="3060"/>
        </w:tabs>
        <w:spacing w:line="360" w:lineRule="auto"/>
        <w:ind w:left="476" w:leftChars="202" w:hanging="52" w:hangingChars="22"/>
        <w:rPr>
          <w:sz w:val="24"/>
          <w:szCs w:val="24"/>
        </w:rPr>
      </w:pPr>
      <w:r>
        <w:rPr>
          <w:sz w:val="24"/>
          <w:szCs w:val="24"/>
        </w:rPr>
        <w:t>5）设备出现故障，接通知后72小时内解除故障，并低价（与市场价相比）提供终身维护服务所需的零部件。</w:t>
      </w:r>
    </w:p>
    <w:p>
      <w:pPr>
        <w:tabs>
          <w:tab w:val="left" w:pos="3060"/>
        </w:tabs>
        <w:spacing w:line="360" w:lineRule="auto"/>
        <w:ind w:left="507" w:leftChars="13" w:hanging="480" w:hangingChars="200"/>
        <w:rPr>
          <w:sz w:val="24"/>
          <w:szCs w:val="24"/>
          <w:highlight w:val="yellow"/>
        </w:rPr>
      </w:pPr>
      <w:r>
        <w:rPr>
          <w:bCs/>
          <w:sz w:val="24"/>
          <w:szCs w:val="24"/>
        </w:rPr>
        <w:t>10</w:t>
      </w:r>
      <w:r>
        <w:rPr>
          <w:sz w:val="24"/>
          <w:szCs w:val="24"/>
        </w:rPr>
        <w:t>.5 质保期内所发生的</w:t>
      </w:r>
      <w:r>
        <w:rPr>
          <w:rFonts w:hint="eastAsia" w:eastAsia="宋体"/>
          <w:sz w:val="24"/>
          <w:szCs w:val="24"/>
          <w:lang w:eastAsia="zh-CN"/>
        </w:rPr>
        <w:t>本合同范围内的</w:t>
      </w:r>
      <w:r>
        <w:rPr>
          <w:sz w:val="24"/>
          <w:szCs w:val="24"/>
          <w:highlight w:val="none"/>
        </w:rPr>
        <w:t>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w:t>
      </w:r>
      <w:r>
        <w:rPr>
          <w:rFonts w:hint="eastAsia"/>
          <w:sz w:val="24"/>
          <w:szCs w:val="24"/>
          <w:highlight w:val="none"/>
        </w:rPr>
        <w:t>银行质量保函</w:t>
      </w:r>
      <w:r>
        <w:rPr>
          <w:sz w:val="24"/>
          <w:szCs w:val="24"/>
          <w:highlight w:val="none"/>
        </w:rPr>
        <w:t>中予以直接扣除，不足部分，甲方有权继续追索。因乙方产品存在质量、缺陷或瑕疵等问题，甲方和/或第三方实际购买人和/或第三方实际使用者可直接向乙方主张权利，包括但不限于要求赔偿损失、承担本合同约定或法律规定的产品质量责任。非乙方原因，造成货物质量问题或者是甲方和/或第三人财产和/或人身损失，乙方不承担责任。</w:t>
      </w:r>
    </w:p>
    <w:p>
      <w:pPr>
        <w:pStyle w:val="4"/>
        <w:spacing w:before="340" w:after="330" w:line="500" w:lineRule="exact"/>
        <w:rPr>
          <w:rFonts w:eastAsia="宋体"/>
          <w:sz w:val="24"/>
        </w:rPr>
      </w:pPr>
      <w:bookmarkStart w:id="33" w:name="_Toc19734"/>
      <w:bookmarkStart w:id="34" w:name="_Toc398198963"/>
      <w:bookmarkStart w:id="35" w:name="_Toc10572"/>
      <w:r>
        <w:rPr>
          <w:rFonts w:eastAsia="宋体"/>
          <w:sz w:val="24"/>
        </w:rPr>
        <w:t>第十一条　违约责任</w:t>
      </w:r>
      <w:bookmarkEnd w:id="33"/>
      <w:bookmarkEnd w:id="34"/>
      <w:bookmarkEnd w:id="35"/>
    </w:p>
    <w:p>
      <w:pPr>
        <w:adjustRightInd w:val="0"/>
        <w:snapToGrid w:val="0"/>
        <w:spacing w:line="360" w:lineRule="auto"/>
        <w:ind w:left="600" w:hanging="600" w:hangingChars="250"/>
        <w:rPr>
          <w:sz w:val="24"/>
          <w:szCs w:val="24"/>
        </w:rPr>
      </w:pPr>
      <w:r>
        <w:rPr>
          <w:sz w:val="24"/>
          <w:szCs w:val="24"/>
        </w:rPr>
        <w:t>11.1 甲方的违约责任。</w:t>
      </w:r>
    </w:p>
    <w:p>
      <w:pPr>
        <w:spacing w:line="360" w:lineRule="auto"/>
        <w:ind w:left="479" w:leftChars="228"/>
        <w:rPr>
          <w:rFonts w:hint="default" w:ascii="Times New Roman" w:hAnsi="Times New Roman" w:cs="Times New Roman"/>
          <w:sz w:val="24"/>
          <w:szCs w:val="24"/>
        </w:rPr>
      </w:pPr>
      <w:r>
        <w:rPr>
          <w:rFonts w:hint="default" w:ascii="Times New Roman" w:hAnsi="Times New Roman" w:cs="Times New Roman"/>
          <w:sz w:val="24"/>
          <w:szCs w:val="24"/>
        </w:rPr>
        <w:t>甲方逾期付款，每逾期一日按逾期付款额的万分之二支付违约金</w:t>
      </w:r>
      <w:r>
        <w:rPr>
          <w:rFonts w:hint="eastAsia" w:cs="Times New Roman"/>
          <w:sz w:val="24"/>
          <w:szCs w:val="24"/>
          <w:lang w:eastAsia="zh-CN"/>
        </w:rPr>
        <w:t>，</w:t>
      </w:r>
      <w:r>
        <w:rPr>
          <w:rFonts w:hint="default" w:ascii="Times New Roman" w:hAnsi="Times New Roman" w:cs="Times New Roman"/>
          <w:sz w:val="24"/>
          <w:szCs w:val="24"/>
        </w:rPr>
        <w:t>违约金总额不得超过总价款的百分之二十。</w:t>
      </w:r>
    </w:p>
    <w:p>
      <w:pPr>
        <w:adjustRightInd w:val="0"/>
        <w:snapToGrid w:val="0"/>
        <w:spacing w:line="360" w:lineRule="auto"/>
        <w:ind w:left="600" w:hanging="600" w:hangingChars="250"/>
        <w:rPr>
          <w:sz w:val="24"/>
          <w:szCs w:val="24"/>
        </w:rPr>
      </w:pPr>
      <w:r>
        <w:rPr>
          <w:sz w:val="24"/>
          <w:szCs w:val="24"/>
        </w:rPr>
        <w:t>11.2 乙方的违约责任。</w:t>
      </w:r>
    </w:p>
    <w:p>
      <w:pPr>
        <w:spacing w:line="360" w:lineRule="auto"/>
        <w:ind w:left="885" w:leftChars="250" w:hanging="360" w:hangingChars="150"/>
        <w:rPr>
          <w:rFonts w:hint="default" w:ascii="Times New Roman" w:hAnsi="Times New Roman" w:cs="Times New Roman"/>
          <w:sz w:val="24"/>
          <w:szCs w:val="24"/>
        </w:rPr>
      </w:pPr>
      <w:bookmarkStart w:id="36" w:name="_Toc13653"/>
      <w:bookmarkStart w:id="37" w:name="_Toc398198964"/>
      <w:r>
        <w:rPr>
          <w:rFonts w:hint="default" w:ascii="Times New Roman" w:hAnsi="Times New Roman" w:cs="Times New Roman"/>
          <w:sz w:val="24"/>
          <w:szCs w:val="24"/>
        </w:rPr>
        <w:t>1）乙方逾期交货、怠于履行保证义务、怠于履行质保责任，每逾期或怠于履行一日按合同总价款的千分之三向甲方支付违约金，甲方可以从合同总价款中优先扣除违约金。乙方明示不履行交货、保证等义务，或不履行质保责任或逾期交货超过15天、怠于履行保证义务的时间超过15天时，甲方可以单方行使合同解除权，同时乙方需退还已经支付的合同款，并支付本合同总价款百分之二十的违约金。</w:t>
      </w:r>
    </w:p>
    <w:p>
      <w:pPr>
        <w:spacing w:line="360" w:lineRule="auto"/>
        <w:ind w:left="885" w:leftChars="250" w:hanging="360" w:hangingChars="150"/>
        <w:rPr>
          <w:rFonts w:hint="default" w:ascii="Times New Roman" w:hAnsi="Times New Roman" w:cs="Times New Roman"/>
          <w:sz w:val="24"/>
          <w:szCs w:val="24"/>
        </w:rPr>
      </w:pPr>
      <w:r>
        <w:rPr>
          <w:rFonts w:hint="default" w:ascii="Times New Roman" w:hAnsi="Times New Roman" w:cs="Times New Roman"/>
          <w:sz w:val="24"/>
          <w:szCs w:val="24"/>
        </w:rPr>
        <w:t>2）乙方交付的货物违反本合同第九条约定，甲方有权要求乙方采取更换、退货、折价等补救措施，若甲方基于不影响工程工期原因未要求乙方更换、退货的，乙方应折价补偿甲方，折价金额为本合同总价款百分之二十，且在此期间甲方的损失（系指11.2条第3）款所述的）及采取补救措施发生的费用由乙方承担。不按甲方要求采取补救措施或补救后仍不符合合同约定的，甲方可以单方行使合同解除权，同时乙方需退还已经支付的合同款，并支付本合同总价款百分之二十的违约金。</w:t>
      </w:r>
    </w:p>
    <w:p>
      <w:pPr>
        <w:spacing w:line="360" w:lineRule="auto"/>
        <w:ind w:left="885" w:leftChars="250" w:hanging="360" w:hangingChars="150"/>
        <w:rPr>
          <w:rFonts w:hint="default" w:ascii="Times New Roman" w:hAnsi="Times New Roman" w:cs="Times New Roman"/>
          <w:sz w:val="24"/>
          <w:szCs w:val="24"/>
        </w:rPr>
      </w:pPr>
      <w:r>
        <w:rPr>
          <w:rFonts w:hint="default" w:ascii="Times New Roman" w:hAnsi="Times New Roman" w:cs="Times New Roman"/>
          <w:sz w:val="24"/>
          <w:szCs w:val="24"/>
        </w:rPr>
        <w:t>3）乙方按11.2条第1）、2）款支付违约金后仍不足以弥补甲方的损失时，乙方须补足甲方的经济损失。甲方的经济损失包括乙方违约导致甲方向业主或第三方承担违约责任而支付的违约金、发电量损失索赔金等。</w:t>
      </w:r>
    </w:p>
    <w:p>
      <w:pPr>
        <w:spacing w:line="360" w:lineRule="auto"/>
        <w:ind w:left="885" w:leftChars="250" w:hanging="360" w:hangingChars="1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4）乙方提交的产品若因乙方产品质量原因发生锈蚀、腐蚀等，由此引起的所有责任、损失等由乙方承担。</w:t>
      </w:r>
    </w:p>
    <w:p>
      <w:pPr>
        <w:spacing w:line="360" w:lineRule="auto"/>
        <w:ind w:left="885" w:leftChars="250" w:hanging="360" w:hangingChars="15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5）乙方提交的产品若因乙方知识产权原因导致甲方产生损失时，由此引起的所有责任、损失等由乙方承担。</w:t>
      </w:r>
    </w:p>
    <w:p>
      <w:pPr>
        <w:spacing w:line="360" w:lineRule="auto"/>
        <w:ind w:left="480" w:hanging="480" w:hangingChars="200"/>
        <w:rPr>
          <w:rFonts w:hint="default" w:ascii="Times New Roman" w:hAnsi="Times New Roman" w:cs="Times New Roman"/>
          <w:sz w:val="24"/>
        </w:rPr>
      </w:pPr>
      <w:r>
        <w:rPr>
          <w:rFonts w:hint="default" w:ascii="Times New Roman" w:hAnsi="Times New Roman" w:cs="Times New Roman"/>
          <w:sz w:val="24"/>
        </w:rPr>
        <w:t>11.3 违约金的支付并不免除违约方的合同义务。经守约方书面同意，可以免除违约方的违约责任。守约方依据本合同第十七条实现权利救济过程中产生的诉讼费、律师费、复印费、交通费、通讯费等可向违约方主张。</w:t>
      </w:r>
    </w:p>
    <w:p>
      <w:pPr>
        <w:pStyle w:val="4"/>
        <w:spacing w:before="340" w:after="330" w:line="500" w:lineRule="exact"/>
        <w:rPr>
          <w:rFonts w:eastAsia="宋体"/>
          <w:sz w:val="24"/>
        </w:rPr>
      </w:pPr>
      <w:bookmarkStart w:id="38" w:name="_Toc17970"/>
      <w:r>
        <w:rPr>
          <w:rFonts w:eastAsia="宋体"/>
          <w:sz w:val="24"/>
        </w:rPr>
        <w:t>第十二条　廉洁条款</w:t>
      </w:r>
      <w:bookmarkEnd w:id="36"/>
      <w:bookmarkEnd w:id="37"/>
      <w:bookmarkEnd w:id="38"/>
    </w:p>
    <w:p>
      <w:pPr>
        <w:widowControl/>
        <w:tabs>
          <w:tab w:val="left" w:pos="540"/>
        </w:tabs>
        <w:spacing w:line="500" w:lineRule="atLeast"/>
        <w:ind w:left="600" w:hanging="600" w:hangingChars="250"/>
        <w:jc w:val="left"/>
        <w:rPr>
          <w:rFonts w:eastAsia="宋体"/>
          <w:sz w:val="24"/>
          <w:lang w:val="en-US" w:eastAsia="zh-CN"/>
        </w:rPr>
      </w:pPr>
      <w:r>
        <w:rPr>
          <w:rFonts w:eastAsia="宋体"/>
          <w:sz w:val="24"/>
          <w:lang w:val="en-US" w:eastAsia="zh-CN"/>
        </w:rPr>
        <w:t>12.1乙方如存在违背廉洁承诺的行为，甲方有权拒付全部货款（含本年度内），所供货物不予退还，给甲方造成经济损失的，予以损失五倍以上的赔偿，构成犯罪的移送司法机关追究刑事责任。</w:t>
      </w:r>
    </w:p>
    <w:p>
      <w:pPr>
        <w:widowControl/>
        <w:tabs>
          <w:tab w:val="left" w:pos="540"/>
        </w:tabs>
        <w:spacing w:line="500" w:lineRule="atLeast"/>
        <w:ind w:left="600" w:hanging="600" w:hangingChars="250"/>
        <w:jc w:val="left"/>
        <w:rPr>
          <w:rFonts w:eastAsia="宋体"/>
          <w:sz w:val="24"/>
          <w:lang w:val="en-US" w:eastAsia="zh-CN"/>
        </w:rPr>
      </w:pPr>
      <w:r>
        <w:rPr>
          <w:rFonts w:eastAsia="宋体"/>
          <w:sz w:val="24"/>
          <w:lang w:val="en-US" w:eastAsia="zh-CN"/>
        </w:rPr>
        <w:t>12.2</w:t>
      </w:r>
      <w:r>
        <w:rPr>
          <w:sz w:val="24"/>
          <w:u w:val="none"/>
        </w:rPr>
        <w:t>如甲方工作人员有向乙方索贿及为个人谋取不正当利益的行为，乙方应当通知甲方，甲方接收邮箱为【</w:t>
      </w:r>
      <w:r>
        <w:rPr>
          <w:rFonts w:hint="eastAsia" w:ascii="宋体" w:hAnsi="宋体" w:cs="宋体"/>
          <w:sz w:val="24"/>
          <w:u w:val="none"/>
        </w:rPr>
        <w:t>jwbgs@cmie.cn</w:t>
      </w:r>
      <w:r>
        <w:rPr>
          <w:sz w:val="24"/>
          <w:u w:val="none"/>
        </w:rPr>
        <w:t>】。</w:t>
      </w:r>
    </w:p>
    <w:p>
      <w:pPr>
        <w:pStyle w:val="4"/>
        <w:spacing w:before="340" w:after="330" w:line="500" w:lineRule="exact"/>
        <w:rPr>
          <w:rFonts w:eastAsia="宋体"/>
          <w:sz w:val="24"/>
        </w:rPr>
      </w:pPr>
      <w:bookmarkStart w:id="39" w:name="_Toc398198965"/>
      <w:bookmarkStart w:id="40" w:name="_Toc20570"/>
      <w:bookmarkStart w:id="41" w:name="_Toc5060"/>
      <w:r>
        <w:rPr>
          <w:rFonts w:eastAsia="宋体"/>
          <w:sz w:val="24"/>
        </w:rPr>
        <w:t>第十三条　保密约定</w:t>
      </w:r>
      <w:bookmarkEnd w:id="39"/>
      <w:bookmarkEnd w:id="40"/>
      <w:bookmarkEnd w:id="41"/>
    </w:p>
    <w:p>
      <w:pPr>
        <w:widowControl/>
        <w:tabs>
          <w:tab w:val="left" w:pos="540"/>
        </w:tabs>
        <w:spacing w:line="500" w:lineRule="atLeast"/>
        <w:ind w:left="600" w:hanging="600" w:hangingChars="250"/>
        <w:jc w:val="left"/>
        <w:rPr>
          <w:sz w:val="24"/>
        </w:rPr>
      </w:pPr>
      <w:r>
        <w:rPr>
          <w:sz w:val="24"/>
        </w:rPr>
        <w:t>13.1 本合同拥有信息的一方（“</w:t>
      </w:r>
      <w:r>
        <w:rPr>
          <w:rFonts w:hint="eastAsia"/>
          <w:sz w:val="24"/>
        </w:rPr>
        <w:t>乙方</w:t>
      </w:r>
      <w:r>
        <w:rPr>
          <w:sz w:val="24"/>
        </w:rPr>
        <w:t>”）根据本合同向另一方（“</w:t>
      </w:r>
      <w:r>
        <w:rPr>
          <w:rFonts w:hint="eastAsia"/>
          <w:sz w:val="24"/>
        </w:rPr>
        <w:t>甲方</w:t>
      </w:r>
      <w:r>
        <w:rPr>
          <w:sz w:val="24"/>
        </w:rPr>
        <w:t>”）提供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w:t>
      </w:r>
      <w:r>
        <w:rPr>
          <w:rFonts w:hint="eastAsia"/>
          <w:sz w:val="24"/>
        </w:rPr>
        <w:t>甲方</w:t>
      </w:r>
      <w:r>
        <w:rPr>
          <w:sz w:val="24"/>
        </w:rPr>
        <w:t>及其人员为本合同目的而使用。除本合同另有规定外，对于</w:t>
      </w:r>
      <w:r>
        <w:rPr>
          <w:rFonts w:hint="eastAsia"/>
          <w:sz w:val="24"/>
        </w:rPr>
        <w:t>乙方</w:t>
      </w:r>
      <w:r>
        <w:rPr>
          <w:sz w:val="24"/>
        </w:rPr>
        <w:t>提供的任何保密信息，未经</w:t>
      </w:r>
      <w:r>
        <w:rPr>
          <w:rFonts w:hint="eastAsia"/>
          <w:sz w:val="24"/>
        </w:rPr>
        <w:t>乙方</w:t>
      </w:r>
      <w:r>
        <w:rPr>
          <w:sz w:val="24"/>
        </w:rPr>
        <w:t>的书面同意，</w:t>
      </w:r>
      <w:r>
        <w:rPr>
          <w:rFonts w:hint="eastAsia"/>
          <w:sz w:val="24"/>
        </w:rPr>
        <w:t>甲方</w:t>
      </w:r>
      <w:r>
        <w:rPr>
          <w:sz w:val="24"/>
        </w:rPr>
        <w:t>及其知悉保密信息的人员均不得直接或间接地以任何方式提供或披露给任何“第三方”。在本条中，“第三方”是指任何自然人、企业或其分支机构、代理、组织或其他实体，但不包括甲乙方关联公司。</w:t>
      </w:r>
    </w:p>
    <w:p>
      <w:pPr>
        <w:widowControl/>
        <w:tabs>
          <w:tab w:val="left" w:pos="540"/>
        </w:tabs>
        <w:spacing w:line="500" w:lineRule="atLeast"/>
        <w:ind w:left="598" w:leftChars="285"/>
        <w:jc w:val="left"/>
        <w:rPr>
          <w:sz w:val="24"/>
        </w:rPr>
      </w:pPr>
      <w:r>
        <w:rPr>
          <w:sz w:val="24"/>
        </w:rPr>
        <w:t>甲乙方关联公司是指甲乙方的子公司、分公司、代表处及甲乙方的股东方（含最终）和直接或间接控股的公司，以及上述公司的合法继承人。</w:t>
      </w:r>
    </w:p>
    <w:p>
      <w:pPr>
        <w:widowControl/>
        <w:tabs>
          <w:tab w:val="left" w:pos="540"/>
        </w:tabs>
        <w:spacing w:line="500" w:lineRule="atLeast"/>
        <w:ind w:left="600" w:hanging="600" w:hangingChars="250"/>
        <w:jc w:val="left"/>
        <w:rPr>
          <w:sz w:val="24"/>
        </w:rPr>
      </w:pPr>
      <w:r>
        <w:rPr>
          <w:sz w:val="24"/>
        </w:rPr>
        <w:t xml:space="preserve">13.2 </w:t>
      </w:r>
      <w:r>
        <w:rPr>
          <w:rFonts w:hint="eastAsia"/>
          <w:sz w:val="24"/>
        </w:rPr>
        <w:t>乙方</w:t>
      </w:r>
      <w:r>
        <w:rPr>
          <w:sz w:val="24"/>
        </w:rPr>
        <w:t>向</w:t>
      </w:r>
      <w:r>
        <w:rPr>
          <w:rFonts w:hint="eastAsia"/>
          <w:sz w:val="24"/>
        </w:rPr>
        <w:t>甲方</w:t>
      </w:r>
      <w:r>
        <w:rPr>
          <w:sz w:val="24"/>
        </w:rPr>
        <w:t>提供或披露的保密信息，仅可由</w:t>
      </w:r>
      <w:r>
        <w:rPr>
          <w:rFonts w:hint="eastAsia"/>
          <w:sz w:val="24"/>
        </w:rPr>
        <w:t>甲方</w:t>
      </w:r>
      <w:r>
        <w:rPr>
          <w:sz w:val="24"/>
        </w:rPr>
        <w:t>为执行本合同需要披露给指定的雇员，并且仅在为执行本合同所需的范围内进行该等披露；但是，</w:t>
      </w:r>
      <w:r>
        <w:rPr>
          <w:rFonts w:hint="eastAsia"/>
          <w:sz w:val="24"/>
        </w:rPr>
        <w:t>甲方</w:t>
      </w:r>
      <w:r>
        <w:rPr>
          <w:sz w:val="24"/>
        </w:rPr>
        <w:t>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p>
    <w:p>
      <w:pPr>
        <w:spacing w:line="500" w:lineRule="exact"/>
        <w:ind w:left="600" w:hanging="600" w:hangingChars="250"/>
        <w:rPr>
          <w:sz w:val="24"/>
        </w:rPr>
      </w:pPr>
      <w:r>
        <w:rPr>
          <w:sz w:val="24"/>
        </w:rPr>
        <w:t>13.3</w:t>
      </w:r>
      <w:r>
        <w:rPr>
          <w:rFonts w:hint="eastAsia"/>
          <w:sz w:val="24"/>
        </w:rPr>
        <w:t>甲方</w:t>
      </w:r>
      <w:r>
        <w:rPr>
          <w:sz w:val="24"/>
        </w:rPr>
        <w:t>的律师、会计师、承包商和顾问为提供专业协助而需要了解保密信息时，</w:t>
      </w:r>
      <w:r>
        <w:rPr>
          <w:rFonts w:hint="eastAsia"/>
          <w:sz w:val="24"/>
        </w:rPr>
        <w:t>甲方</w:t>
      </w:r>
      <w:r>
        <w:rPr>
          <w:sz w:val="24"/>
        </w:rPr>
        <w:t>可向其披露保密信息，但是，其应要求上述人员签订保密协议或按照有关职业道德标准履行保密义务。</w:t>
      </w:r>
    </w:p>
    <w:p>
      <w:pPr>
        <w:spacing w:line="500" w:lineRule="exact"/>
        <w:ind w:left="600" w:hanging="600" w:hangingChars="250"/>
        <w:rPr>
          <w:sz w:val="24"/>
        </w:rPr>
      </w:pPr>
      <w:r>
        <w:rPr>
          <w:sz w:val="24"/>
        </w:rPr>
        <w:t>13.4如相关政府部门、监管机构、证交所或联交所（以上含香港特别行政区）要求</w:t>
      </w:r>
      <w:r>
        <w:rPr>
          <w:rFonts w:hint="eastAsia"/>
          <w:sz w:val="24"/>
        </w:rPr>
        <w:t>甲方</w:t>
      </w:r>
      <w:r>
        <w:rPr>
          <w:sz w:val="24"/>
        </w:rPr>
        <w:t>披露任何保密信息，</w:t>
      </w:r>
      <w:r>
        <w:rPr>
          <w:rFonts w:hint="eastAsia"/>
          <w:sz w:val="24"/>
        </w:rPr>
        <w:t>甲方</w:t>
      </w:r>
      <w:r>
        <w:rPr>
          <w:sz w:val="24"/>
        </w:rPr>
        <w:t>可做出披露而无需承担本合同项下的责任。但前提是，该</w:t>
      </w:r>
      <w:r>
        <w:rPr>
          <w:rFonts w:hint="eastAsia"/>
          <w:sz w:val="24"/>
        </w:rPr>
        <w:t>甲方</w:t>
      </w:r>
      <w:r>
        <w:rPr>
          <w:sz w:val="24"/>
        </w:rPr>
        <w:t>应立即将需披露的信息书面通知</w:t>
      </w:r>
      <w:r>
        <w:rPr>
          <w:rFonts w:hint="eastAsia"/>
          <w:sz w:val="24"/>
        </w:rPr>
        <w:t>乙方</w:t>
      </w:r>
      <w:r>
        <w:rPr>
          <w:sz w:val="24"/>
        </w:rPr>
        <w:t>，以便</w:t>
      </w:r>
      <w:r>
        <w:rPr>
          <w:rFonts w:hint="eastAsia"/>
          <w:sz w:val="24"/>
        </w:rPr>
        <w:t>乙方</w:t>
      </w:r>
      <w:r>
        <w:rPr>
          <w:sz w:val="24"/>
        </w:rPr>
        <w:t>采取必要的保护措施，且该等通知应尽可能在信息披露前做出。</w:t>
      </w:r>
    </w:p>
    <w:p>
      <w:pPr>
        <w:spacing w:line="500" w:lineRule="exact"/>
        <w:rPr>
          <w:sz w:val="24"/>
        </w:rPr>
      </w:pPr>
      <w:r>
        <w:rPr>
          <w:sz w:val="24"/>
        </w:rPr>
        <w:t>13.5 在任何情形下，本条所规定的保密义务应永久持续有效。</w:t>
      </w:r>
    </w:p>
    <w:p>
      <w:pPr>
        <w:spacing w:line="500" w:lineRule="exact"/>
        <w:rPr>
          <w:sz w:val="24"/>
        </w:rPr>
      </w:pPr>
      <w:r>
        <w:rPr>
          <w:sz w:val="24"/>
        </w:rPr>
        <w:t>13.6 本条规定的保密义务对以下信息不适用：</w:t>
      </w:r>
    </w:p>
    <w:p>
      <w:pPr>
        <w:spacing w:line="500" w:lineRule="exact"/>
        <w:ind w:left="479" w:leftChars="171" w:hanging="120" w:hangingChars="50"/>
        <w:rPr>
          <w:sz w:val="24"/>
        </w:rPr>
      </w:pPr>
      <w:r>
        <w:rPr>
          <w:sz w:val="24"/>
        </w:rPr>
        <w:t>1）在一方披露时，已经是公众所知的信息，或者在披露后，并非由于</w:t>
      </w:r>
      <w:r>
        <w:rPr>
          <w:rFonts w:hint="eastAsia"/>
          <w:sz w:val="24"/>
        </w:rPr>
        <w:t>甲方</w:t>
      </w:r>
      <w:r>
        <w:rPr>
          <w:sz w:val="24"/>
        </w:rPr>
        <w:t>或其雇员、律师、会计师、承包商、顾问或者其他人员的过失而成为公众所知的信息；</w:t>
      </w:r>
    </w:p>
    <w:p>
      <w:pPr>
        <w:spacing w:line="500" w:lineRule="exact"/>
        <w:ind w:left="479" w:leftChars="171" w:hanging="120" w:hangingChars="50"/>
        <w:rPr>
          <w:sz w:val="24"/>
        </w:rPr>
      </w:pPr>
      <w:r>
        <w:rPr>
          <w:sz w:val="24"/>
        </w:rPr>
        <w:t>2）有书面证据证明在披露时已经由</w:t>
      </w:r>
      <w:r>
        <w:rPr>
          <w:rFonts w:hint="eastAsia"/>
          <w:sz w:val="24"/>
        </w:rPr>
        <w:t>甲方</w:t>
      </w:r>
      <w:r>
        <w:rPr>
          <w:sz w:val="24"/>
        </w:rPr>
        <w:t>掌握的信息，而且信息并非直接或间接来自</w:t>
      </w:r>
      <w:r>
        <w:rPr>
          <w:rFonts w:hint="eastAsia"/>
          <w:sz w:val="24"/>
        </w:rPr>
        <w:t>乙方</w:t>
      </w:r>
      <w:r>
        <w:rPr>
          <w:sz w:val="24"/>
        </w:rPr>
        <w:t>；</w:t>
      </w:r>
    </w:p>
    <w:p>
      <w:pPr>
        <w:spacing w:line="500" w:lineRule="exact"/>
        <w:ind w:left="479" w:leftChars="171" w:hanging="120" w:hangingChars="50"/>
        <w:rPr>
          <w:sz w:val="24"/>
        </w:rPr>
      </w:pPr>
      <w:r>
        <w:rPr>
          <w:sz w:val="24"/>
        </w:rPr>
        <w:t>3）有书面证据证明第三方已向</w:t>
      </w:r>
      <w:r>
        <w:rPr>
          <w:rFonts w:hint="eastAsia"/>
          <w:sz w:val="24"/>
        </w:rPr>
        <w:t>甲方</w:t>
      </w:r>
      <w:r>
        <w:rPr>
          <w:sz w:val="24"/>
        </w:rPr>
        <w:t>披露的信息，而该第三方并不负有保密义务，并且有权做出披露。</w:t>
      </w:r>
    </w:p>
    <w:p>
      <w:pPr>
        <w:spacing w:line="500" w:lineRule="atLeast"/>
        <w:ind w:left="600" w:hanging="600" w:hangingChars="250"/>
        <w:rPr>
          <w:sz w:val="24"/>
        </w:rPr>
      </w:pPr>
      <w:r>
        <w:rPr>
          <w:sz w:val="24"/>
        </w:rPr>
        <w:t>13.7当本合同解除或终止时，</w:t>
      </w:r>
      <w:r>
        <w:rPr>
          <w:rFonts w:hint="eastAsia"/>
          <w:sz w:val="24"/>
        </w:rPr>
        <w:t>甲方</w:t>
      </w:r>
      <w:r>
        <w:rPr>
          <w:sz w:val="24"/>
        </w:rPr>
        <w:t>应立即停止使用且不得许可第三方使用</w:t>
      </w:r>
      <w:r>
        <w:rPr>
          <w:rFonts w:hint="eastAsia"/>
          <w:sz w:val="24"/>
        </w:rPr>
        <w:t>乙方</w:t>
      </w:r>
      <w:r>
        <w:rPr>
          <w:sz w:val="24"/>
        </w:rPr>
        <w:t>的保密信息，同时，</w:t>
      </w:r>
      <w:r>
        <w:rPr>
          <w:rFonts w:hint="eastAsia"/>
          <w:sz w:val="24"/>
        </w:rPr>
        <w:t>甲方</w:t>
      </w:r>
      <w:r>
        <w:rPr>
          <w:sz w:val="24"/>
        </w:rPr>
        <w:t>应按照</w:t>
      </w:r>
      <w:r>
        <w:rPr>
          <w:rFonts w:hint="eastAsia"/>
          <w:sz w:val="24"/>
        </w:rPr>
        <w:t>乙方</w:t>
      </w:r>
      <w:r>
        <w:rPr>
          <w:sz w:val="24"/>
        </w:rPr>
        <w:t>的书面要求，将</w:t>
      </w:r>
      <w:r>
        <w:rPr>
          <w:rFonts w:hint="eastAsia"/>
          <w:sz w:val="24"/>
        </w:rPr>
        <w:t>乙方</w:t>
      </w:r>
      <w:r>
        <w:rPr>
          <w:sz w:val="24"/>
        </w:rPr>
        <w:t>提供的保密信息退还</w:t>
      </w:r>
      <w:r>
        <w:rPr>
          <w:rFonts w:hint="eastAsia"/>
          <w:sz w:val="24"/>
        </w:rPr>
        <w:t>乙方</w:t>
      </w:r>
      <w:r>
        <w:rPr>
          <w:sz w:val="24"/>
        </w:rPr>
        <w:t>或予以删除或销毁。</w:t>
      </w:r>
    </w:p>
    <w:p>
      <w:pPr>
        <w:pStyle w:val="4"/>
        <w:spacing w:before="340" w:after="330" w:line="500" w:lineRule="exact"/>
        <w:rPr>
          <w:rFonts w:eastAsia="宋体"/>
          <w:sz w:val="24"/>
        </w:rPr>
      </w:pPr>
      <w:bookmarkStart w:id="42" w:name="_Toc27601"/>
      <w:bookmarkStart w:id="43" w:name="_Toc6171"/>
      <w:bookmarkStart w:id="44" w:name="_Toc398198966"/>
      <w:r>
        <w:rPr>
          <w:rFonts w:eastAsia="宋体"/>
          <w:sz w:val="24"/>
        </w:rPr>
        <w:t>第十四条　知识产权及其它合法权益</w:t>
      </w:r>
      <w:bookmarkEnd w:id="42"/>
      <w:bookmarkEnd w:id="43"/>
      <w:bookmarkEnd w:id="44"/>
    </w:p>
    <w:p>
      <w:pPr>
        <w:spacing w:line="360" w:lineRule="auto"/>
        <w:ind w:left="600" w:hanging="600" w:hangingChars="250"/>
        <w:rPr>
          <w:bCs/>
          <w:sz w:val="24"/>
          <w:szCs w:val="24"/>
        </w:rPr>
      </w:pPr>
      <w:r>
        <w:rPr>
          <w:bCs/>
          <w:sz w:val="24"/>
          <w:szCs w:val="24"/>
        </w:rPr>
        <w:t>14.1 甲方同意并保证尊重乙方对其提供产品的知识产权及其它合法权益，承诺其所采购的产品使用目的合法，且不会因为采购产品的使用而使乙方受到第三方的法律追索。</w:t>
      </w:r>
    </w:p>
    <w:p>
      <w:pPr>
        <w:spacing w:line="360" w:lineRule="auto"/>
        <w:ind w:left="600" w:hanging="600" w:hangingChars="250"/>
        <w:rPr>
          <w:bCs/>
          <w:sz w:val="24"/>
          <w:szCs w:val="24"/>
        </w:rPr>
      </w:pPr>
      <w:r>
        <w:rPr>
          <w:bCs/>
          <w:sz w:val="24"/>
          <w:szCs w:val="24"/>
        </w:rPr>
        <w:t>14.2 乙方同意并保证尊重任何他方的知识产权及其它合法权益，承诺其提供的产品或服务均为有合法权利的、甲方对其提供产品的使用或接受服务不会受到其他任何第三方的法律追索。</w:t>
      </w:r>
    </w:p>
    <w:p>
      <w:pPr>
        <w:pStyle w:val="4"/>
        <w:spacing w:before="340" w:after="330" w:line="500" w:lineRule="exact"/>
        <w:rPr>
          <w:rFonts w:eastAsia="宋体"/>
          <w:sz w:val="24"/>
        </w:rPr>
      </w:pPr>
      <w:bookmarkStart w:id="45" w:name="_Toc13272"/>
      <w:bookmarkStart w:id="46" w:name="_Toc7950"/>
      <w:bookmarkStart w:id="47" w:name="_Toc398198967"/>
      <w:r>
        <w:rPr>
          <w:rFonts w:eastAsia="宋体"/>
          <w:sz w:val="24"/>
        </w:rPr>
        <w:t>第十五条　权利保留</w:t>
      </w:r>
      <w:bookmarkEnd w:id="45"/>
      <w:bookmarkEnd w:id="46"/>
      <w:bookmarkEnd w:id="47"/>
    </w:p>
    <w:p>
      <w:pPr>
        <w:snapToGrid w:val="0"/>
        <w:spacing w:line="360" w:lineRule="auto"/>
        <w:ind w:left="600" w:hanging="600" w:hangingChars="250"/>
        <w:rPr>
          <w:bCs/>
          <w:kern w:val="0"/>
          <w:sz w:val="24"/>
          <w:szCs w:val="24"/>
        </w:rPr>
      </w:pPr>
      <w:r>
        <w:rPr>
          <w:bCs/>
          <w:kern w:val="0"/>
          <w:sz w:val="24"/>
          <w:szCs w:val="24"/>
        </w:rPr>
        <w:t>15.1 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pStyle w:val="4"/>
        <w:spacing w:before="340" w:after="330" w:line="500" w:lineRule="exact"/>
        <w:rPr>
          <w:rFonts w:eastAsia="宋体"/>
          <w:sz w:val="24"/>
        </w:rPr>
      </w:pPr>
      <w:bookmarkStart w:id="48" w:name="_Toc6680"/>
      <w:bookmarkStart w:id="49" w:name="_Toc3927"/>
      <w:bookmarkStart w:id="50" w:name="_Toc398198968"/>
      <w:r>
        <w:rPr>
          <w:rFonts w:eastAsia="宋体"/>
          <w:sz w:val="24"/>
        </w:rPr>
        <w:t>第十六条　不可抗力</w:t>
      </w:r>
      <w:bookmarkEnd w:id="48"/>
      <w:bookmarkEnd w:id="49"/>
      <w:bookmarkEnd w:id="50"/>
    </w:p>
    <w:p>
      <w:pPr>
        <w:snapToGrid w:val="0"/>
        <w:spacing w:line="360" w:lineRule="auto"/>
        <w:ind w:left="600" w:hanging="600" w:hangingChars="250"/>
        <w:rPr>
          <w:bCs/>
          <w:kern w:val="0"/>
          <w:sz w:val="24"/>
          <w:szCs w:val="24"/>
        </w:rPr>
      </w:pPr>
      <w:r>
        <w:rPr>
          <w:bCs/>
          <w:kern w:val="0"/>
          <w:sz w:val="24"/>
          <w:szCs w:val="24"/>
        </w:rPr>
        <w:t>16.1 本合同所指不可抗力，是自然灾害、如台风、冰雹、地震、海啸、洪水、火山爆发、山体滑坡和政府行为及社会异常事件（如战争、武装冲突、罢工、骚乱、暴动等）。</w:t>
      </w:r>
    </w:p>
    <w:p>
      <w:pPr>
        <w:snapToGrid w:val="0"/>
        <w:spacing w:line="360" w:lineRule="auto"/>
        <w:ind w:left="600" w:hanging="600" w:hangingChars="250"/>
        <w:rPr>
          <w:bCs/>
          <w:kern w:val="0"/>
          <w:sz w:val="24"/>
          <w:szCs w:val="24"/>
        </w:rPr>
      </w:pPr>
      <w:r>
        <w:rPr>
          <w:bCs/>
          <w:kern w:val="0"/>
          <w:sz w:val="24"/>
          <w:szCs w:val="24"/>
        </w:rPr>
        <w:t>16.2 由于不可抗力事件，致使一方在履行其在本合同项下的义务过程中遇到障碍或延误，不能按约定的条款全部或部分履行其义务的，遇到不可抗力事件的一方（“受阻方”），只要满足下列所有条件，不应视为违反本合同：</w:t>
      </w:r>
    </w:p>
    <w:p>
      <w:pPr>
        <w:snapToGrid w:val="0"/>
        <w:spacing w:line="360" w:lineRule="auto"/>
        <w:ind w:left="1076" w:leftChars="269" w:hanging="511" w:hangingChars="213"/>
        <w:rPr>
          <w:bCs/>
          <w:kern w:val="0"/>
          <w:sz w:val="24"/>
          <w:szCs w:val="24"/>
        </w:rPr>
      </w:pPr>
      <w:r>
        <w:rPr>
          <w:bCs/>
          <w:kern w:val="0"/>
          <w:sz w:val="24"/>
          <w:szCs w:val="24"/>
        </w:rPr>
        <w:t>1）受阻方不能全部或部分履行其义务，是由于不可抗力事件直接造成的，且在不可抗力发生前受阻方不存在迟延履行相关义务的情形；</w:t>
      </w:r>
    </w:p>
    <w:p>
      <w:pPr>
        <w:snapToGrid w:val="0"/>
        <w:spacing w:line="360" w:lineRule="auto"/>
        <w:ind w:left="1076" w:leftChars="269" w:hanging="511" w:hangingChars="213"/>
        <w:rPr>
          <w:bCs/>
          <w:kern w:val="0"/>
          <w:sz w:val="24"/>
          <w:szCs w:val="24"/>
        </w:rPr>
      </w:pPr>
      <w:r>
        <w:rPr>
          <w:bCs/>
          <w:kern w:val="0"/>
          <w:sz w:val="24"/>
          <w:szCs w:val="24"/>
        </w:rPr>
        <w:t>2）受阻方已尽最大努力履行义务并减少由于不可抗力事件给另一方造成的损失；</w:t>
      </w:r>
    </w:p>
    <w:p>
      <w:pPr>
        <w:snapToGrid w:val="0"/>
        <w:spacing w:line="360" w:lineRule="auto"/>
        <w:ind w:left="1076" w:leftChars="269" w:hanging="511" w:hangingChars="213"/>
        <w:rPr>
          <w:bCs/>
          <w:kern w:val="0"/>
          <w:sz w:val="24"/>
          <w:szCs w:val="24"/>
        </w:rPr>
      </w:pPr>
      <w:r>
        <w:rPr>
          <w:bCs/>
          <w:kern w:val="0"/>
          <w:sz w:val="24"/>
          <w:szCs w:val="24"/>
        </w:rPr>
        <w:t>3）不可抗力事件发生，受阻方已立即通知了对方，并在不可抗力事件发生后的十天内提供有关该事件的公证文书和书面说明，书面说明中应包括对延迟履行或部分履行本合同的原因说明。</w:t>
      </w:r>
    </w:p>
    <w:p>
      <w:pPr>
        <w:snapToGrid w:val="0"/>
        <w:spacing w:line="360" w:lineRule="auto"/>
        <w:ind w:left="600" w:hanging="600" w:hangingChars="250"/>
        <w:rPr>
          <w:bCs/>
          <w:kern w:val="0"/>
          <w:sz w:val="24"/>
          <w:szCs w:val="24"/>
        </w:rPr>
      </w:pPr>
      <w:r>
        <w:rPr>
          <w:bCs/>
          <w:kern w:val="0"/>
          <w:sz w:val="24"/>
          <w:szCs w:val="24"/>
        </w:rPr>
        <w:t>16.3 不可抗力事件终止或被排除后，受阻方应继续履行本合同，并应尽快通知另一方。受阻方应可延长履行义务的时间，延长期应相当于不可抗力事件实际造成延误的时间。</w:t>
      </w:r>
    </w:p>
    <w:p>
      <w:pPr>
        <w:snapToGrid w:val="0"/>
        <w:spacing w:line="360" w:lineRule="auto"/>
        <w:ind w:left="600" w:hanging="600" w:hangingChars="250"/>
        <w:rPr>
          <w:bCs/>
          <w:kern w:val="0"/>
          <w:sz w:val="24"/>
          <w:szCs w:val="24"/>
        </w:rPr>
      </w:pPr>
      <w:r>
        <w:rPr>
          <w:bCs/>
          <w:kern w:val="0"/>
          <w:sz w:val="24"/>
          <w:szCs w:val="24"/>
        </w:rPr>
        <w:t>16.4 如果不可抗力事件的影响持续达三十（30）日或以上时，双方应根据该事件对本合同履行的影响程度协商对本合同的修改或终止。如在一方发出协商书面通知之日起十（10）日内双方无法就此达成一致，任何一方均有权解除本合同而无需承担违约责任。</w:t>
      </w:r>
    </w:p>
    <w:p>
      <w:pPr>
        <w:adjustRightInd w:val="0"/>
        <w:snapToGrid w:val="0"/>
        <w:spacing w:line="360" w:lineRule="auto"/>
        <w:rPr>
          <w:bCs/>
          <w:kern w:val="0"/>
          <w:sz w:val="24"/>
          <w:szCs w:val="24"/>
        </w:rPr>
      </w:pPr>
      <w:r>
        <w:rPr>
          <w:bCs/>
          <w:kern w:val="0"/>
          <w:sz w:val="24"/>
          <w:szCs w:val="24"/>
        </w:rPr>
        <w:t>16.5 当事人迟延履行后发生不可抗力的，不能免除责任。</w:t>
      </w:r>
    </w:p>
    <w:p>
      <w:pPr>
        <w:pStyle w:val="4"/>
        <w:spacing w:before="340" w:after="330" w:line="500" w:lineRule="exact"/>
        <w:rPr>
          <w:rFonts w:eastAsia="宋体"/>
          <w:sz w:val="24"/>
        </w:rPr>
      </w:pPr>
      <w:bookmarkStart w:id="51" w:name="_Toc6569"/>
      <w:bookmarkStart w:id="52" w:name="_Toc398198969"/>
      <w:bookmarkStart w:id="53" w:name="_Toc21993"/>
      <w:r>
        <w:rPr>
          <w:rFonts w:eastAsia="宋体"/>
          <w:sz w:val="24"/>
        </w:rPr>
        <w:t>第十七条　法律适用及争议解决</w:t>
      </w:r>
      <w:bookmarkEnd w:id="51"/>
      <w:bookmarkEnd w:id="52"/>
      <w:bookmarkEnd w:id="53"/>
    </w:p>
    <w:p>
      <w:pPr>
        <w:snapToGrid w:val="0"/>
        <w:spacing w:line="360" w:lineRule="auto"/>
        <w:ind w:left="600" w:hanging="600" w:hangingChars="250"/>
        <w:rPr>
          <w:bCs/>
          <w:kern w:val="0"/>
          <w:sz w:val="24"/>
          <w:szCs w:val="24"/>
        </w:rPr>
      </w:pPr>
      <w:bookmarkStart w:id="54" w:name="_Toc398198970"/>
      <w:bookmarkStart w:id="55" w:name="_Toc49001500"/>
      <w:bookmarkStart w:id="56" w:name="_Toc68613779"/>
      <w:bookmarkStart w:id="57" w:name="_Toc49080816"/>
      <w:r>
        <w:rPr>
          <w:bCs/>
          <w:kern w:val="0"/>
          <w:sz w:val="24"/>
          <w:szCs w:val="24"/>
        </w:rPr>
        <w:t>17.1 本合同的成立、有效性、解释、履行、签署、修订和终止以及争议的解决均应适用中华人民共和国法律。</w:t>
      </w:r>
    </w:p>
    <w:p>
      <w:pPr>
        <w:snapToGrid w:val="0"/>
        <w:spacing w:line="360" w:lineRule="auto"/>
        <w:ind w:left="600" w:hanging="600" w:hangingChars="250"/>
        <w:rPr>
          <w:bCs/>
          <w:kern w:val="0"/>
          <w:sz w:val="24"/>
          <w:szCs w:val="24"/>
        </w:rPr>
      </w:pPr>
      <w:r>
        <w:rPr>
          <w:bCs/>
          <w:kern w:val="0"/>
          <w:sz w:val="24"/>
          <w:szCs w:val="24"/>
        </w:rPr>
        <w:t>17.2 如果任何争议或权利要求起因于本合同或与本合同有关或与本合同的解释、违约、终止或效力有关，都应由双方通过友好协商解决。协商应在一方向另一方送达关于协商的书面要求后立即开始。</w:t>
      </w:r>
    </w:p>
    <w:p>
      <w:pPr>
        <w:snapToGrid w:val="0"/>
        <w:spacing w:line="360" w:lineRule="auto"/>
        <w:ind w:left="600" w:hanging="600" w:hangingChars="250"/>
        <w:rPr>
          <w:bCs/>
          <w:kern w:val="0"/>
          <w:sz w:val="24"/>
          <w:szCs w:val="24"/>
        </w:rPr>
      </w:pPr>
      <w:r>
        <w:rPr>
          <w:bCs/>
          <w:kern w:val="0"/>
          <w:sz w:val="24"/>
          <w:szCs w:val="24"/>
        </w:rPr>
        <w:t>17.3 如果在一方提出协商要求后的十天内，双方通过协商不能解决争议，则各方同意</w:t>
      </w:r>
    </w:p>
    <w:p>
      <w:pPr>
        <w:snapToGrid w:val="0"/>
        <w:spacing w:line="360" w:lineRule="auto"/>
        <w:ind w:left="598" w:leftChars="285"/>
        <w:rPr>
          <w:bCs/>
          <w:kern w:val="0"/>
          <w:sz w:val="24"/>
          <w:szCs w:val="24"/>
        </w:rPr>
      </w:pPr>
      <w:r>
        <w:rPr>
          <w:rFonts w:hint="eastAsia"/>
          <w:bCs/>
          <w:kern w:val="0"/>
          <w:sz w:val="24"/>
          <w:szCs w:val="24"/>
        </w:rPr>
        <w:t>将该争议提交至本合同签订地有管辖权的人民法院诉讼解决。</w:t>
      </w:r>
    </w:p>
    <w:p>
      <w:pPr>
        <w:snapToGrid w:val="0"/>
        <w:spacing w:line="360" w:lineRule="auto"/>
        <w:ind w:left="600" w:hanging="600" w:hangingChars="250"/>
        <w:rPr>
          <w:bCs/>
          <w:kern w:val="0"/>
          <w:sz w:val="24"/>
          <w:szCs w:val="24"/>
        </w:rPr>
      </w:pPr>
      <w:r>
        <w:rPr>
          <w:bCs/>
          <w:kern w:val="0"/>
          <w:sz w:val="24"/>
          <w:szCs w:val="24"/>
        </w:rPr>
        <w:t>17.4 诉讼进行过程中，除双方有争议的部分外，本合同其他部分仍然有效，各方应继续履行。</w:t>
      </w:r>
    </w:p>
    <w:p>
      <w:pPr>
        <w:snapToGrid w:val="0"/>
        <w:spacing w:line="360" w:lineRule="auto"/>
        <w:ind w:left="600" w:hanging="600" w:hangingChars="250"/>
        <w:rPr>
          <w:bCs/>
          <w:kern w:val="0"/>
          <w:sz w:val="24"/>
          <w:szCs w:val="24"/>
        </w:rPr>
      </w:pPr>
      <w:r>
        <w:rPr>
          <w:bCs/>
          <w:kern w:val="0"/>
          <w:sz w:val="24"/>
          <w:szCs w:val="24"/>
        </w:rPr>
        <w:t>17.5 每一方同意使用本合同通知与送达条款规定的方式送达与诉讼或强制执行有关的传票、通知或其他文件。本合同通知与送达条款中的任何规定均不应影响一方以法律允许的其他方式送达上述传票、通知或其他文件的权利。</w:t>
      </w:r>
    </w:p>
    <w:p>
      <w:pPr>
        <w:snapToGrid w:val="0"/>
        <w:spacing w:line="360" w:lineRule="auto"/>
        <w:ind w:left="600" w:hanging="600" w:hangingChars="250"/>
        <w:rPr>
          <w:bCs/>
          <w:kern w:val="0"/>
          <w:sz w:val="24"/>
          <w:szCs w:val="24"/>
        </w:rPr>
      </w:pPr>
      <w:r>
        <w:rPr>
          <w:bCs/>
          <w:kern w:val="0"/>
          <w:sz w:val="24"/>
          <w:szCs w:val="24"/>
        </w:rPr>
        <w:t>17.6  本合同全部或部分无效的，本条依然有效。</w:t>
      </w:r>
    </w:p>
    <w:p>
      <w:pPr>
        <w:pStyle w:val="4"/>
        <w:spacing w:before="340" w:after="330" w:line="500" w:lineRule="exact"/>
        <w:rPr>
          <w:rFonts w:eastAsia="宋体"/>
          <w:sz w:val="24"/>
        </w:rPr>
      </w:pPr>
      <w:bookmarkStart w:id="58" w:name="_Toc6687"/>
      <w:bookmarkStart w:id="59" w:name="_Toc26995"/>
      <w:r>
        <w:rPr>
          <w:rFonts w:eastAsia="宋体"/>
          <w:sz w:val="24"/>
        </w:rPr>
        <w:t>第十八条</w:t>
      </w:r>
      <w:r>
        <w:rPr>
          <w:rFonts w:hint="eastAsia"/>
          <w:sz w:val="24"/>
          <w:lang w:val="en-US" w:eastAsia="zh-CN"/>
        </w:rPr>
        <w:t xml:space="preserve">  </w:t>
      </w:r>
      <w:r>
        <w:rPr>
          <w:rFonts w:eastAsia="宋体"/>
          <w:sz w:val="24"/>
        </w:rPr>
        <w:t>通知与送达</w:t>
      </w:r>
      <w:bookmarkEnd w:id="54"/>
      <w:bookmarkEnd w:id="55"/>
      <w:bookmarkEnd w:id="56"/>
      <w:bookmarkEnd w:id="57"/>
      <w:bookmarkEnd w:id="58"/>
      <w:bookmarkEnd w:id="59"/>
    </w:p>
    <w:p>
      <w:pPr>
        <w:snapToGrid w:val="0"/>
        <w:spacing w:line="360" w:lineRule="auto"/>
        <w:ind w:left="600" w:hanging="600" w:hangingChars="250"/>
        <w:rPr>
          <w:bCs/>
          <w:kern w:val="0"/>
          <w:sz w:val="24"/>
          <w:szCs w:val="24"/>
        </w:rPr>
      </w:pPr>
      <w:r>
        <w:rPr>
          <w:bCs/>
          <w:kern w:val="0"/>
          <w:sz w:val="24"/>
          <w:szCs w:val="24"/>
        </w:rPr>
        <w:t>18.1 甲乙双方根据本合同需要，以特快专递形式发出通知的，发往本市内的，发出后第2日视为送达。发往国内其他地区的，发出后第5日视为送达。发往港、澳、台地区的，发出后第8日视为送达。发往境外其他国家或地区的，发出后第10日视为送达。</w:t>
      </w:r>
    </w:p>
    <w:p>
      <w:pPr>
        <w:snapToGrid w:val="0"/>
        <w:spacing w:line="360" w:lineRule="auto"/>
        <w:ind w:left="598" w:leftChars="285"/>
        <w:rPr>
          <w:bCs/>
          <w:kern w:val="0"/>
          <w:sz w:val="24"/>
          <w:szCs w:val="24"/>
        </w:rPr>
      </w:pPr>
      <w:r>
        <w:rPr>
          <w:bCs/>
          <w:kern w:val="0"/>
          <w:sz w:val="24"/>
          <w:szCs w:val="24"/>
        </w:rPr>
        <w:t>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pPr>
        <w:snapToGrid w:val="0"/>
        <w:spacing w:line="360" w:lineRule="auto"/>
        <w:ind w:left="600" w:hanging="600" w:hangingChars="250"/>
        <w:rPr>
          <w:bCs/>
          <w:kern w:val="0"/>
          <w:sz w:val="24"/>
          <w:szCs w:val="24"/>
        </w:rPr>
      </w:pPr>
      <w:r>
        <w:rPr>
          <w:bCs/>
          <w:kern w:val="0"/>
          <w:sz w:val="24"/>
          <w:szCs w:val="24"/>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pPr>
        <w:spacing w:line="360" w:lineRule="auto"/>
        <w:rPr>
          <w:bCs/>
          <w:kern w:val="0"/>
          <w:sz w:val="24"/>
          <w:szCs w:val="24"/>
        </w:rPr>
      </w:pPr>
      <w:r>
        <w:rPr>
          <w:bCs/>
          <w:kern w:val="0"/>
          <w:sz w:val="24"/>
          <w:szCs w:val="24"/>
        </w:rPr>
        <w:t>18.3 各方地址与联系方式如下：</w:t>
      </w:r>
    </w:p>
    <w:p>
      <w:pPr>
        <w:spacing w:line="360" w:lineRule="auto"/>
        <w:ind w:firstLine="480" w:firstLineChars="200"/>
        <w:rPr>
          <w:bCs/>
          <w:kern w:val="0"/>
          <w:sz w:val="24"/>
          <w:szCs w:val="24"/>
        </w:rPr>
      </w:pPr>
      <w:r>
        <w:rPr>
          <w:bCs/>
          <w:kern w:val="0"/>
          <w:sz w:val="24"/>
          <w:szCs w:val="24"/>
        </w:rPr>
        <w:t>如致甲方：</w:t>
      </w:r>
      <w:r>
        <w:rPr>
          <w:sz w:val="24"/>
        </w:rPr>
        <w:t>中机国际工程设计研究院有限责任公司</w:t>
      </w:r>
    </w:p>
    <w:p>
      <w:pPr>
        <w:spacing w:line="360" w:lineRule="auto"/>
        <w:ind w:firstLine="480" w:firstLineChars="200"/>
        <w:rPr>
          <w:bCs/>
          <w:kern w:val="0"/>
          <w:sz w:val="24"/>
          <w:szCs w:val="24"/>
        </w:rPr>
      </w:pPr>
      <w:r>
        <w:rPr>
          <w:bCs/>
          <w:kern w:val="0"/>
          <w:sz w:val="24"/>
          <w:szCs w:val="24"/>
        </w:rPr>
        <w:t>地    址：</w:t>
      </w:r>
      <w:r>
        <w:rPr>
          <w:sz w:val="24"/>
        </w:rPr>
        <w:t>长沙市</w:t>
      </w:r>
      <w:r>
        <w:rPr>
          <w:sz w:val="24"/>
          <w:szCs w:val="24"/>
        </w:rPr>
        <w:t>雨花区</w:t>
      </w:r>
      <w:r>
        <w:rPr>
          <w:sz w:val="24"/>
        </w:rPr>
        <w:t>韶山</w:t>
      </w:r>
      <w:r>
        <w:rPr>
          <w:rFonts w:hint="eastAsia"/>
          <w:sz w:val="24"/>
        </w:rPr>
        <w:t>中</w:t>
      </w:r>
      <w:r>
        <w:rPr>
          <w:sz w:val="24"/>
        </w:rPr>
        <w:t>路18号</w:t>
      </w:r>
    </w:p>
    <w:p>
      <w:pPr>
        <w:spacing w:line="360" w:lineRule="auto"/>
        <w:ind w:firstLine="480" w:firstLineChars="200"/>
        <w:rPr>
          <w:rFonts w:hint="default" w:ascii="Times New Roman" w:hAnsi="Times New Roman" w:cs="Times New Roman"/>
          <w:color w:val="auto"/>
          <w:sz w:val="24"/>
          <w:szCs w:val="24"/>
          <w:highlight w:val="none"/>
        </w:rPr>
      </w:pPr>
      <w:r>
        <w:rPr>
          <w:bCs/>
          <w:kern w:val="0"/>
          <w:sz w:val="24"/>
          <w:szCs w:val="24"/>
        </w:rPr>
        <w:t>电</w:t>
      </w:r>
      <w:r>
        <w:rPr>
          <w:rFonts w:hint="eastAsia"/>
          <w:bCs/>
          <w:kern w:val="0"/>
          <w:sz w:val="24"/>
          <w:szCs w:val="24"/>
          <w:lang w:val="en-US" w:eastAsia="zh-CN"/>
        </w:rPr>
        <w:t xml:space="preserve">    </w:t>
      </w:r>
      <w:r>
        <w:rPr>
          <w:bCs/>
          <w:kern w:val="0"/>
          <w:sz w:val="24"/>
          <w:szCs w:val="24"/>
        </w:rPr>
        <w:t>话</w:t>
      </w:r>
      <w:r>
        <w:rPr>
          <w:rFonts w:hint="default" w:ascii="Times New Roman" w:hAnsi="Times New Roman" w:cs="Times New Roman"/>
          <w:bCs/>
          <w:color w:val="auto"/>
          <w:kern w:val="0"/>
          <w:sz w:val="24"/>
          <w:szCs w:val="24"/>
          <w:highlight w:val="none"/>
        </w:rPr>
        <w:t>：</w:t>
      </w:r>
      <w:r>
        <w:rPr>
          <w:rFonts w:hint="default" w:ascii="Times New Roman" w:hAnsi="Times New Roman" w:cs="Times New Roman"/>
          <w:color w:val="auto"/>
          <w:sz w:val="24"/>
          <w:szCs w:val="24"/>
          <w:highlight w:val="none"/>
        </w:rPr>
        <w:t>17788911781</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bCs/>
          <w:color w:val="auto"/>
          <w:kern w:val="0"/>
          <w:sz w:val="24"/>
          <w:szCs w:val="24"/>
          <w:highlight w:val="none"/>
        </w:rPr>
        <w:t>邮政编码：</w:t>
      </w:r>
      <w:r>
        <w:rPr>
          <w:rFonts w:hint="default" w:ascii="Times New Roman" w:hAnsi="Times New Roman" w:cs="Times New Roman"/>
          <w:color w:val="auto"/>
          <w:sz w:val="24"/>
          <w:szCs w:val="24"/>
          <w:highlight w:val="none"/>
        </w:rPr>
        <w:t>410007</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bCs/>
          <w:color w:val="auto"/>
          <w:kern w:val="0"/>
          <w:sz w:val="24"/>
          <w:szCs w:val="24"/>
          <w:highlight w:val="none"/>
        </w:rPr>
        <w:t>电子邮箱：</w:t>
      </w:r>
      <w:r>
        <w:rPr>
          <w:rFonts w:hint="default" w:ascii="Times New Roman" w:hAnsi="Times New Roman" w:cs="Times New Roman" w:eastAsiaTheme="minorEastAsia"/>
          <w:bCs/>
          <w:color w:val="auto"/>
          <w:kern w:val="0"/>
          <w:sz w:val="24"/>
          <w:szCs w:val="24"/>
          <w:highlight w:val="none"/>
          <w:lang w:val="en-US" w:eastAsia="zh-CN"/>
        </w:rPr>
        <w:t>zhoulu</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cmie.cn</w:t>
      </w:r>
    </w:p>
    <w:p>
      <w:pPr>
        <w:spacing w:line="360" w:lineRule="auto"/>
        <w:ind w:firstLine="480" w:firstLineChars="200"/>
        <w:rPr>
          <w:bCs/>
          <w:kern w:val="0"/>
          <w:sz w:val="24"/>
          <w:szCs w:val="24"/>
        </w:rPr>
      </w:pPr>
    </w:p>
    <w:p>
      <w:pPr>
        <w:spacing w:line="360" w:lineRule="auto"/>
        <w:ind w:firstLine="480" w:firstLineChars="200"/>
        <w:rPr>
          <w:rFonts w:hint="eastAsia" w:eastAsia="宋体"/>
          <w:sz w:val="24"/>
          <w:szCs w:val="24"/>
          <w:highlight w:val="none"/>
          <w:lang w:eastAsia="zh-CN"/>
        </w:rPr>
      </w:pPr>
      <w:r>
        <w:rPr>
          <w:bCs/>
          <w:kern w:val="0"/>
          <w:sz w:val="24"/>
          <w:szCs w:val="24"/>
        </w:rPr>
        <w:t>如致</w:t>
      </w:r>
      <w:r>
        <w:rPr>
          <w:rFonts w:hint="eastAsia"/>
          <w:sz w:val="24"/>
          <w:szCs w:val="24"/>
          <w:highlight w:val="none"/>
        </w:rPr>
        <w:t>乙方：</w:t>
      </w:r>
      <w:r>
        <w:rPr>
          <w:rFonts w:hint="eastAsia"/>
          <w:sz w:val="24"/>
          <w:szCs w:val="24"/>
          <w:highlight w:val="none"/>
          <w:lang w:eastAsia="zh-CN"/>
        </w:rPr>
        <w:t>XXXX</w:t>
      </w:r>
    </w:p>
    <w:p>
      <w:pPr>
        <w:spacing w:line="360" w:lineRule="auto"/>
        <w:ind w:firstLine="480" w:firstLineChars="200"/>
        <w:rPr>
          <w:sz w:val="24"/>
          <w:szCs w:val="24"/>
          <w:highlight w:val="none"/>
        </w:rPr>
      </w:pPr>
      <w:r>
        <w:rPr>
          <w:rFonts w:hint="eastAsia"/>
          <w:sz w:val="24"/>
          <w:szCs w:val="24"/>
          <w:highlight w:val="none"/>
        </w:rPr>
        <w:t>姓    名：</w:t>
      </w:r>
    </w:p>
    <w:p>
      <w:pPr>
        <w:spacing w:line="360" w:lineRule="auto"/>
        <w:ind w:firstLine="480" w:firstLineChars="200"/>
        <w:jc w:val="left"/>
        <w:rPr>
          <w:sz w:val="24"/>
          <w:szCs w:val="24"/>
          <w:highlight w:val="none"/>
        </w:rPr>
      </w:pPr>
      <w:r>
        <w:rPr>
          <w:rFonts w:hint="eastAsia"/>
          <w:sz w:val="24"/>
          <w:szCs w:val="24"/>
          <w:highlight w:val="none"/>
        </w:rPr>
        <w:t>地    址：</w:t>
      </w:r>
    </w:p>
    <w:p>
      <w:pPr>
        <w:spacing w:line="360" w:lineRule="auto"/>
        <w:ind w:firstLine="480" w:firstLineChars="200"/>
        <w:rPr>
          <w:sz w:val="24"/>
          <w:szCs w:val="24"/>
          <w:highlight w:val="none"/>
        </w:rPr>
      </w:pPr>
      <w:r>
        <w:rPr>
          <w:rFonts w:hint="eastAsia"/>
          <w:sz w:val="24"/>
          <w:szCs w:val="24"/>
          <w:highlight w:val="none"/>
        </w:rPr>
        <w:t>电    话：</w:t>
      </w:r>
    </w:p>
    <w:p>
      <w:pPr>
        <w:spacing w:line="360" w:lineRule="auto"/>
        <w:ind w:firstLine="480" w:firstLineChars="200"/>
        <w:rPr>
          <w:sz w:val="24"/>
          <w:szCs w:val="24"/>
          <w:highlight w:val="none"/>
        </w:rPr>
      </w:pPr>
      <w:r>
        <w:rPr>
          <w:rFonts w:hint="eastAsia"/>
          <w:sz w:val="24"/>
          <w:szCs w:val="24"/>
          <w:highlight w:val="none"/>
        </w:rPr>
        <w:t>邮政编码：</w:t>
      </w:r>
    </w:p>
    <w:p>
      <w:pPr>
        <w:spacing w:line="360" w:lineRule="auto"/>
        <w:ind w:firstLine="480" w:firstLineChars="200"/>
        <w:rPr>
          <w:sz w:val="24"/>
          <w:szCs w:val="24"/>
          <w:highlight w:val="none"/>
        </w:rPr>
      </w:pPr>
      <w:r>
        <w:rPr>
          <w:rFonts w:hint="eastAsia"/>
          <w:sz w:val="24"/>
          <w:szCs w:val="24"/>
          <w:highlight w:val="none"/>
        </w:rPr>
        <w:t>电子邮箱：</w:t>
      </w:r>
    </w:p>
    <w:p>
      <w:pPr>
        <w:pStyle w:val="4"/>
        <w:spacing w:before="340" w:after="330" w:line="500" w:lineRule="exact"/>
        <w:rPr>
          <w:rFonts w:eastAsia="宋体"/>
          <w:sz w:val="24"/>
        </w:rPr>
      </w:pPr>
      <w:bookmarkStart w:id="60" w:name="_Toc7747"/>
      <w:bookmarkStart w:id="61" w:name="_Toc398198971"/>
      <w:bookmarkStart w:id="62" w:name="_Toc11056"/>
      <w:r>
        <w:rPr>
          <w:rFonts w:eastAsia="宋体"/>
          <w:sz w:val="24"/>
        </w:rPr>
        <w:t>第十九条　合同生效及其他</w:t>
      </w:r>
      <w:bookmarkEnd w:id="60"/>
      <w:bookmarkEnd w:id="61"/>
      <w:bookmarkEnd w:id="62"/>
    </w:p>
    <w:p>
      <w:pPr>
        <w:spacing w:line="500" w:lineRule="exact"/>
        <w:ind w:left="600" w:hanging="600" w:hangingChars="250"/>
        <w:rPr>
          <w:sz w:val="24"/>
        </w:rPr>
      </w:pPr>
      <w:r>
        <w:rPr>
          <w:sz w:val="24"/>
        </w:rPr>
        <w:t>19.1 整体合同。</w:t>
      </w:r>
      <w:r>
        <w:rPr>
          <w:snapToGrid w:val="0"/>
          <w:sz w:val="24"/>
        </w:rPr>
        <w:t>本合同及其附件构成各方就本合同标的达成的完整协议，取代以前各方就本合同标的所达成的所有书面的协议、协商、意向书以及其他协议和文件。</w:t>
      </w:r>
    </w:p>
    <w:p>
      <w:pPr>
        <w:spacing w:line="500" w:lineRule="exact"/>
        <w:ind w:left="480" w:hanging="480" w:hangingChars="200"/>
        <w:rPr>
          <w:sz w:val="24"/>
        </w:rPr>
      </w:pPr>
      <w:r>
        <w:rPr>
          <w:sz w:val="24"/>
        </w:rPr>
        <w:t>19.2 语言和文本。本合同以中文签署，一式</w:t>
      </w:r>
      <w:r>
        <w:rPr>
          <w:sz w:val="22"/>
          <w:szCs w:val="22"/>
        </w:rPr>
        <w:t>【</w:t>
      </w:r>
      <w:r>
        <w:rPr>
          <w:rFonts w:hint="eastAsia"/>
          <w:sz w:val="22"/>
          <w:szCs w:val="22"/>
          <w:lang w:val="en-US" w:eastAsia="zh-CN"/>
        </w:rPr>
        <w:t>4</w:t>
      </w:r>
      <w:r>
        <w:rPr>
          <w:sz w:val="22"/>
          <w:szCs w:val="22"/>
        </w:rPr>
        <w:t>】</w:t>
      </w:r>
      <w:r>
        <w:rPr>
          <w:sz w:val="24"/>
        </w:rPr>
        <w:t>份，</w:t>
      </w:r>
      <w:r>
        <w:rPr>
          <w:sz w:val="24"/>
          <w:szCs w:val="24"/>
        </w:rPr>
        <w:t>甲乙双方各执</w:t>
      </w:r>
      <w:r>
        <w:rPr>
          <w:sz w:val="22"/>
          <w:szCs w:val="22"/>
        </w:rPr>
        <w:t>【</w:t>
      </w:r>
      <w:r>
        <w:rPr>
          <w:rFonts w:hint="eastAsia"/>
          <w:sz w:val="22"/>
          <w:szCs w:val="22"/>
          <w:lang w:val="en-US" w:eastAsia="zh-CN"/>
        </w:rPr>
        <w:t>2</w:t>
      </w:r>
      <w:r>
        <w:rPr>
          <w:sz w:val="22"/>
          <w:szCs w:val="22"/>
        </w:rPr>
        <w:t>】</w:t>
      </w:r>
      <w:r>
        <w:rPr>
          <w:sz w:val="24"/>
          <w:szCs w:val="24"/>
        </w:rPr>
        <w:t>份,</w:t>
      </w:r>
      <w:r>
        <w:rPr>
          <w:sz w:val="24"/>
        </w:rPr>
        <w:t>具有相同法律效力。</w:t>
      </w:r>
      <w:r>
        <w:rPr>
          <w:snapToGrid w:val="0"/>
          <w:sz w:val="24"/>
        </w:rPr>
        <w:t>合同中</w:t>
      </w:r>
      <w:r>
        <w:rPr>
          <w:sz w:val="24"/>
        </w:rPr>
        <w:t>手写体与印刷体具有同等法律效力。</w:t>
      </w:r>
    </w:p>
    <w:p>
      <w:pPr>
        <w:spacing w:line="500" w:lineRule="exact"/>
        <w:ind w:left="600" w:hanging="600" w:hangingChars="250"/>
        <w:rPr>
          <w:sz w:val="24"/>
        </w:rPr>
      </w:pPr>
      <w:r>
        <w:rPr>
          <w:sz w:val="24"/>
        </w:rPr>
        <w:t>19.3 标题。本合同中加入的各章、条、款、项的标题仅为方便阅读而设，不应对本合同的含义或解释</w:t>
      </w:r>
      <w:r>
        <w:rPr>
          <w:rStyle w:val="34"/>
        </w:rPr>
        <w:t>有任何影响</w:t>
      </w:r>
      <w:r>
        <w:rPr>
          <w:sz w:val="24"/>
        </w:rPr>
        <w:t>。</w:t>
      </w:r>
    </w:p>
    <w:p>
      <w:pPr>
        <w:spacing w:line="500" w:lineRule="exact"/>
        <w:ind w:left="540" w:hanging="540" w:hangingChars="225"/>
        <w:rPr>
          <w:sz w:val="24"/>
        </w:rPr>
      </w:pPr>
      <w:r>
        <w:rPr>
          <w:sz w:val="24"/>
        </w:rPr>
        <w:t>19.4 可分割性。本合同的任何条款或规定，如被有</w:t>
      </w:r>
      <w:r>
        <w:rPr>
          <w:rFonts w:hint="eastAsia"/>
          <w:sz w:val="24"/>
        </w:rPr>
        <w:t>关</w:t>
      </w:r>
      <w:r>
        <w:rPr>
          <w:sz w:val="24"/>
        </w:rPr>
        <w:t>机构判定为无效或不可执行，不应影响本合同其他条款或规定的效力或可执行性，也不应影响该条款或规定在其他情形下的效力或可执行性。</w:t>
      </w:r>
    </w:p>
    <w:p>
      <w:pPr>
        <w:spacing w:line="500" w:lineRule="exact"/>
        <w:ind w:left="600" w:hanging="600" w:hangingChars="250"/>
        <w:rPr>
          <w:sz w:val="24"/>
        </w:rPr>
      </w:pPr>
      <w:r>
        <w:rPr>
          <w:sz w:val="24"/>
        </w:rPr>
        <w:t>19.5 费用。本合同各方应各自承担其自身与本合同及本合同项下的交易有关的所有开支和费用（包括法律费用），本合同另有规定的除外。</w:t>
      </w:r>
    </w:p>
    <w:p>
      <w:pPr>
        <w:spacing w:line="500" w:lineRule="exact"/>
        <w:ind w:left="600" w:hanging="600" w:hangingChars="250"/>
        <w:rPr>
          <w:sz w:val="24"/>
        </w:rPr>
      </w:pPr>
      <w:r>
        <w:rPr>
          <w:sz w:val="24"/>
        </w:rPr>
        <w:t>19.6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pPr>
        <w:spacing w:line="500" w:lineRule="exact"/>
        <w:ind w:left="600" w:hanging="600" w:hangingChars="250"/>
        <w:rPr>
          <w:sz w:val="24"/>
        </w:rPr>
      </w:pPr>
      <w:r>
        <w:rPr>
          <w:snapToGrid w:val="0"/>
          <w:sz w:val="24"/>
        </w:rPr>
        <w:t>19.7 合同修改和补充。</w:t>
      </w:r>
      <w:r>
        <w:rPr>
          <w:sz w:val="24"/>
        </w:rPr>
        <w:t>本合同未尽事宜，应由双方友好协商解决。如需</w:t>
      </w:r>
      <w:r>
        <w:rPr>
          <w:snapToGrid w:val="0"/>
          <w:sz w:val="24"/>
        </w:rPr>
        <w:t>对本合同及其附件作</w:t>
      </w:r>
      <w:r>
        <w:rPr>
          <w:sz w:val="24"/>
        </w:rPr>
        <w:t>任何修改或补充，</w:t>
      </w:r>
      <w:r>
        <w:rPr>
          <w:snapToGrid w:val="0"/>
          <w:sz w:val="24"/>
        </w:rPr>
        <w:t>须由双方以书面做出方为有效。修改或</w:t>
      </w:r>
      <w:r>
        <w:rPr>
          <w:sz w:val="24"/>
        </w:rPr>
        <w:t>补充文件与本合同有不一致的，以修改或补充文件为准。</w:t>
      </w:r>
    </w:p>
    <w:p>
      <w:pPr>
        <w:spacing w:line="500" w:lineRule="exact"/>
        <w:ind w:left="600" w:hanging="600" w:hangingChars="250"/>
        <w:rPr>
          <w:snapToGrid w:val="0"/>
          <w:sz w:val="24"/>
        </w:rPr>
      </w:pPr>
      <w:r>
        <w:rPr>
          <w:sz w:val="24"/>
        </w:rPr>
        <w:t>19.8 合同生效及效力。本合同已由双方授权代表签字并加盖公司印章，自双方签字盖章之日起生效。合同将保持其效力直至各方已完全履行合同项下的所有义务并且各方之间的</w:t>
      </w:r>
      <w:r>
        <w:rPr>
          <w:snapToGrid w:val="0"/>
          <w:sz w:val="24"/>
        </w:rPr>
        <w:t>所有付款和索赔已结清。</w:t>
      </w:r>
    </w:p>
    <w:p>
      <w:pPr>
        <w:spacing w:line="500" w:lineRule="exact"/>
        <w:ind w:left="600" w:hanging="600" w:hangingChars="250"/>
        <w:rPr>
          <w:snapToGrid w:val="0"/>
          <w:sz w:val="24"/>
        </w:rPr>
      </w:pPr>
      <w:r>
        <w:rPr>
          <w:snapToGrid w:val="0"/>
          <w:sz w:val="24"/>
        </w:rPr>
        <w:t>19.9 合同附件。合同附件为本合同的组成部分，与本合同正文具有同等法律效力。若合同附件与合同正文有任何冲突，以合同正文为准。</w:t>
      </w:r>
    </w:p>
    <w:p>
      <w:pPr>
        <w:spacing w:line="500" w:lineRule="exact"/>
        <w:ind w:left="600" w:hanging="600" w:hangingChars="250"/>
        <w:rPr>
          <w:rFonts w:hint="default"/>
          <w:snapToGrid w:val="0"/>
          <w:sz w:val="24"/>
        </w:rPr>
      </w:pPr>
      <w:r>
        <w:rPr>
          <w:rFonts w:hint="default"/>
          <w:snapToGrid w:val="0"/>
          <w:sz w:val="24"/>
        </w:rPr>
        <w:t>附件一《</w:t>
      </w:r>
      <w:r>
        <w:rPr>
          <w:rFonts w:hint="eastAsia"/>
          <w:snapToGrid w:val="0"/>
          <w:sz w:val="24"/>
          <w:lang w:val="en-US" w:eastAsia="zh-CN"/>
        </w:rPr>
        <w:t xml:space="preserve"> 大埔峡能100MWp农光互补项目EPC总承包工程</w:t>
      </w:r>
      <w:r>
        <w:rPr>
          <w:rFonts w:hint="eastAsia"/>
          <w:snapToGrid w:val="0"/>
          <w:sz w:val="24"/>
          <w:lang w:eastAsia="zh-CN"/>
        </w:rPr>
        <w:t>第四批60MWp光伏组件</w:t>
      </w:r>
      <w:r>
        <w:rPr>
          <w:rFonts w:hint="default"/>
          <w:snapToGrid w:val="0"/>
          <w:sz w:val="24"/>
        </w:rPr>
        <w:t>技术协议》</w:t>
      </w:r>
    </w:p>
    <w:p>
      <w:pPr>
        <w:spacing w:line="500" w:lineRule="exact"/>
        <w:ind w:left="600" w:hanging="600" w:hangingChars="250"/>
        <w:rPr>
          <w:rFonts w:hint="default"/>
          <w:snapToGrid w:val="0"/>
          <w:sz w:val="24"/>
          <w:lang w:val="en-US" w:eastAsia="zh-CN"/>
        </w:rPr>
      </w:pPr>
      <w:bookmarkStart w:id="63" w:name="_Toc19485"/>
      <w:r>
        <w:rPr>
          <w:rFonts w:hint="default"/>
          <w:snapToGrid w:val="0"/>
          <w:sz w:val="24"/>
          <w:lang w:val="en-US" w:eastAsia="zh-CN"/>
        </w:rPr>
        <w:t>附件二《设备材料采购合同价款支付申请（核准）表》</w:t>
      </w:r>
      <w:bookmarkEnd w:id="63"/>
    </w:p>
    <w:p>
      <w:pPr>
        <w:widowControl/>
        <w:jc w:val="center"/>
        <w:rPr>
          <w:rFonts w:hAnsi="宋体"/>
          <w:sz w:val="24"/>
          <w:szCs w:val="24"/>
        </w:rPr>
        <w:sectPr>
          <w:headerReference r:id="rId8" w:type="default"/>
          <w:pgSz w:w="11906" w:h="16838"/>
          <w:pgMar w:top="1451" w:right="1106" w:bottom="1451" w:left="1621" w:header="851" w:footer="992" w:gutter="0"/>
          <w:pgBorders>
            <w:top w:val="none" w:sz="0" w:space="0"/>
            <w:left w:val="none" w:sz="0" w:space="0"/>
            <w:bottom w:val="none" w:sz="0" w:space="0"/>
            <w:right w:val="none" w:sz="0" w:space="0"/>
          </w:pgBorders>
          <w:cols w:space="720" w:num="1"/>
          <w:docGrid w:type="lines" w:linePitch="316" w:charSpace="0"/>
        </w:sectPr>
      </w:pPr>
    </w:p>
    <w:p>
      <w:pPr>
        <w:widowControl/>
        <w:jc w:val="center"/>
        <w:rPr>
          <w:sz w:val="24"/>
          <w:szCs w:val="24"/>
        </w:rPr>
      </w:pPr>
      <w:r>
        <w:rPr>
          <w:rFonts w:hAnsi="宋体"/>
          <w:sz w:val="24"/>
          <w:szCs w:val="24"/>
        </w:rPr>
        <w:t>（签字页，本页无正文）</w:t>
      </w:r>
    </w:p>
    <w:p>
      <w:pPr>
        <w:spacing w:before="79" w:beforeLines="25" w:after="79" w:afterLines="25" w:line="300" w:lineRule="auto"/>
        <w:rPr>
          <w:sz w:val="24"/>
          <w:szCs w:val="24"/>
        </w:rPr>
      </w:pPr>
      <w:r>
        <w:rPr>
          <w:rFonts w:hAnsi="宋体"/>
          <w:sz w:val="24"/>
          <w:szCs w:val="24"/>
        </w:rPr>
        <w:t>兹证明，签字方已经于本合同第一条列示日期正式签署本协议。</w:t>
      </w:r>
    </w:p>
    <w:tbl>
      <w:tblPr>
        <w:tblStyle w:val="15"/>
        <w:tblW w:w="9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noWrap/>
          </w:tcPr>
          <w:p>
            <w:pPr>
              <w:spacing w:line="480" w:lineRule="auto"/>
              <w:rPr>
                <w:sz w:val="24"/>
              </w:rPr>
            </w:pPr>
            <w:r>
              <w:rPr>
                <w:sz w:val="24"/>
              </w:rPr>
              <w:t>甲   方</w:t>
            </w:r>
          </w:p>
          <w:p>
            <w:pPr>
              <w:spacing w:line="480" w:lineRule="auto"/>
              <w:rPr>
                <w:sz w:val="24"/>
              </w:rPr>
            </w:pPr>
            <w:r>
              <w:rPr>
                <w:sz w:val="24"/>
              </w:rPr>
              <w:t>单位名称（章）：中机国际工程设计研究院</w:t>
            </w:r>
          </w:p>
          <w:p>
            <w:pPr>
              <w:spacing w:line="480" w:lineRule="auto"/>
              <w:ind w:firstLine="1800" w:firstLineChars="750"/>
              <w:rPr>
                <w:sz w:val="24"/>
              </w:rPr>
            </w:pPr>
            <w:r>
              <w:rPr>
                <w:sz w:val="24"/>
              </w:rPr>
              <w:t>有限责任公司</w:t>
            </w:r>
          </w:p>
          <w:p>
            <w:pPr>
              <w:spacing w:line="480" w:lineRule="auto"/>
              <w:rPr>
                <w:sz w:val="24"/>
              </w:rPr>
            </w:pPr>
            <w:r>
              <w:rPr>
                <w:sz w:val="24"/>
              </w:rPr>
              <w:t>单位地址：湖南省长沙市韶山中路18号</w:t>
            </w:r>
          </w:p>
          <w:p>
            <w:pPr>
              <w:spacing w:line="480" w:lineRule="auto"/>
              <w:rPr>
                <w:sz w:val="24"/>
              </w:rPr>
            </w:pPr>
          </w:p>
          <w:p>
            <w:pPr>
              <w:spacing w:line="480" w:lineRule="auto"/>
              <w:rPr>
                <w:sz w:val="24"/>
              </w:rPr>
            </w:pPr>
          </w:p>
          <w:p>
            <w:pPr>
              <w:spacing w:line="480" w:lineRule="auto"/>
              <w:rPr>
                <w:rFonts w:hint="eastAsia" w:eastAsia="宋体"/>
                <w:sz w:val="24"/>
                <w:lang w:eastAsia="zh-CN"/>
              </w:rPr>
            </w:pPr>
            <w:r>
              <w:rPr>
                <w:sz w:val="24"/>
              </w:rPr>
              <w:t>法定代表人：</w:t>
            </w:r>
            <w:r>
              <w:rPr>
                <w:rFonts w:hint="eastAsia"/>
                <w:sz w:val="24"/>
                <w:lang w:eastAsia="zh-CN"/>
              </w:rPr>
              <w:t>陈蕃</w:t>
            </w:r>
          </w:p>
          <w:p>
            <w:pPr>
              <w:pStyle w:val="13"/>
              <w:widowControl w:val="0"/>
              <w:spacing w:beforeAutospacing="0" w:afterAutospacing="0" w:line="480" w:lineRule="auto"/>
              <w:jc w:val="both"/>
              <w:rPr>
                <w:rFonts w:ascii="Times New Roman" w:hAnsi="Times New Roman"/>
                <w:kern w:val="2"/>
              </w:rPr>
            </w:pPr>
          </w:p>
          <w:p>
            <w:pPr>
              <w:spacing w:line="480" w:lineRule="auto"/>
              <w:rPr>
                <w:sz w:val="24"/>
              </w:rPr>
            </w:pPr>
            <w:r>
              <w:rPr>
                <w:sz w:val="24"/>
              </w:rPr>
              <w:t>委托代理人：</w:t>
            </w:r>
          </w:p>
          <w:p>
            <w:pPr>
              <w:spacing w:line="480" w:lineRule="auto"/>
              <w:rPr>
                <w:sz w:val="24"/>
              </w:rPr>
            </w:pPr>
          </w:p>
          <w:p>
            <w:pPr>
              <w:spacing w:line="480" w:lineRule="auto"/>
              <w:rPr>
                <w:sz w:val="24"/>
              </w:rPr>
            </w:pPr>
            <w:r>
              <w:rPr>
                <w:sz w:val="24"/>
              </w:rPr>
              <w:t>签字日期：</w:t>
            </w:r>
          </w:p>
          <w:p>
            <w:pPr>
              <w:spacing w:line="480" w:lineRule="auto"/>
              <w:rPr>
                <w:sz w:val="24"/>
              </w:rPr>
            </w:pPr>
          </w:p>
          <w:p>
            <w:pPr>
              <w:spacing w:line="480" w:lineRule="auto"/>
              <w:rPr>
                <w:sz w:val="24"/>
              </w:rPr>
            </w:pPr>
            <w:r>
              <w:rPr>
                <w:sz w:val="24"/>
              </w:rPr>
              <w:t>电    话： 0731-85383</w:t>
            </w:r>
            <w:r>
              <w:rPr>
                <w:rFonts w:hint="eastAsia"/>
                <w:sz w:val="24"/>
              </w:rPr>
              <w:t>359</w:t>
            </w:r>
          </w:p>
          <w:p>
            <w:pPr>
              <w:spacing w:line="480" w:lineRule="auto"/>
              <w:rPr>
                <w:sz w:val="24"/>
              </w:rPr>
            </w:pPr>
            <w:r>
              <w:rPr>
                <w:sz w:val="24"/>
              </w:rPr>
              <w:t>电    传： 0731-85383</w:t>
            </w:r>
            <w:r>
              <w:rPr>
                <w:rFonts w:hint="eastAsia"/>
                <w:sz w:val="24"/>
              </w:rPr>
              <w:t>359</w:t>
            </w:r>
          </w:p>
          <w:p>
            <w:pPr>
              <w:spacing w:line="480" w:lineRule="auto"/>
              <w:jc w:val="left"/>
              <w:rPr>
                <w:rFonts w:hint="eastAsia" w:ascii="Times New Roman" w:hAnsi="Times New Roman" w:cs="Times New Roman"/>
                <w:bCs/>
                <w:color w:val="auto"/>
                <w:sz w:val="24"/>
                <w:highlight w:val="none"/>
                <w:lang w:val="en-US" w:eastAsia="zh-CN"/>
              </w:rPr>
            </w:pPr>
            <w:r>
              <w:rPr>
                <w:sz w:val="24"/>
              </w:rPr>
              <w:t>开户银行：</w:t>
            </w:r>
            <w:r>
              <w:rPr>
                <w:rFonts w:hint="default" w:ascii="Times New Roman" w:hAnsi="Times New Roman" w:cs="Times New Roman"/>
                <w:bCs/>
                <w:color w:val="auto"/>
                <w:sz w:val="24"/>
                <w:highlight w:val="none"/>
                <w:lang w:val="en-US" w:eastAsia="zh-CN"/>
              </w:rPr>
              <w:t>中国建设银行</w:t>
            </w:r>
            <w:r>
              <w:rPr>
                <w:rFonts w:hint="eastAsia" w:ascii="Times New Roman" w:hAnsi="Times New Roman" w:cs="Times New Roman"/>
                <w:bCs/>
                <w:color w:val="auto"/>
                <w:sz w:val="24"/>
                <w:highlight w:val="none"/>
                <w:lang w:val="en-US" w:eastAsia="zh-CN"/>
              </w:rPr>
              <w:t>股份有限公司</w:t>
            </w:r>
          </w:p>
          <w:p>
            <w:pPr>
              <w:spacing w:line="480" w:lineRule="auto"/>
              <w:ind w:firstLine="1200" w:firstLineChars="500"/>
              <w:jc w:val="lef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长沙</w:t>
            </w:r>
            <w:r>
              <w:rPr>
                <w:rFonts w:hint="eastAsia" w:ascii="Times New Roman" w:hAnsi="Times New Roman" w:cs="Times New Roman"/>
                <w:bCs/>
                <w:color w:val="auto"/>
                <w:sz w:val="24"/>
                <w:highlight w:val="none"/>
                <w:lang w:val="en-US" w:eastAsia="zh-CN"/>
              </w:rPr>
              <w:t>芙蓉</w:t>
            </w:r>
            <w:r>
              <w:rPr>
                <w:rFonts w:hint="default" w:ascii="Times New Roman" w:hAnsi="Times New Roman" w:cs="Times New Roman"/>
                <w:bCs/>
                <w:color w:val="auto"/>
                <w:sz w:val="24"/>
                <w:highlight w:val="none"/>
                <w:lang w:val="en-US" w:eastAsia="zh-CN"/>
              </w:rPr>
              <w:t>支行</w:t>
            </w:r>
          </w:p>
          <w:p>
            <w:pPr>
              <w:spacing w:line="480" w:lineRule="auto"/>
              <w:rPr>
                <w:sz w:val="24"/>
              </w:rPr>
            </w:pPr>
            <w:r>
              <w:rPr>
                <w:sz w:val="24"/>
              </w:rPr>
              <w:t>帐    号：4300 1539 0610 5000 2926</w:t>
            </w:r>
          </w:p>
          <w:p>
            <w:pPr>
              <w:spacing w:line="480" w:lineRule="auto"/>
              <w:rPr>
                <w:sz w:val="24"/>
              </w:rPr>
            </w:pPr>
            <w:r>
              <w:rPr>
                <w:sz w:val="24"/>
              </w:rPr>
              <w:t xml:space="preserve">税    号：914300004448853216 </w:t>
            </w:r>
          </w:p>
          <w:p>
            <w:pPr>
              <w:spacing w:line="480" w:lineRule="auto"/>
              <w:rPr>
                <w:sz w:val="24"/>
              </w:rPr>
            </w:pPr>
            <w:r>
              <w:rPr>
                <w:sz w:val="24"/>
              </w:rPr>
              <w:t>邮政编码：410007</w:t>
            </w:r>
          </w:p>
        </w:tc>
        <w:tc>
          <w:tcPr>
            <w:tcW w:w="4678" w:type="dxa"/>
            <w:tcBorders>
              <w:top w:val="single" w:color="auto" w:sz="4" w:space="0"/>
              <w:left w:val="single" w:color="auto" w:sz="4" w:space="0"/>
              <w:bottom w:val="single" w:color="auto" w:sz="4" w:space="0"/>
              <w:right w:val="single" w:color="auto" w:sz="4" w:space="0"/>
            </w:tcBorders>
            <w:noWrap/>
          </w:tcPr>
          <w:p>
            <w:pPr>
              <w:spacing w:line="480" w:lineRule="auto"/>
              <w:rPr>
                <w:sz w:val="24"/>
              </w:rPr>
            </w:pPr>
            <w:r>
              <w:rPr>
                <w:sz w:val="24"/>
              </w:rPr>
              <w:t>乙   方</w:t>
            </w:r>
            <w:r>
              <w:rPr>
                <w:rFonts w:hint="eastAsia"/>
                <w:sz w:val="24"/>
              </w:rPr>
              <w:t>：</w:t>
            </w:r>
          </w:p>
          <w:p>
            <w:pPr>
              <w:spacing w:line="480" w:lineRule="auto"/>
              <w:rPr>
                <w:rFonts w:hint="eastAsia" w:eastAsia="宋体"/>
                <w:sz w:val="24"/>
                <w:szCs w:val="24"/>
                <w:lang w:eastAsia="zh-CN"/>
              </w:rPr>
            </w:pPr>
            <w:r>
              <w:rPr>
                <w:sz w:val="24"/>
              </w:rPr>
              <w:t>单位名称（章）：</w:t>
            </w:r>
            <w:r>
              <w:rPr>
                <w:rFonts w:hint="eastAsia" w:ascii="宋体" w:hAnsi="宋体" w:cs="宋体"/>
                <w:kern w:val="0"/>
                <w:sz w:val="24"/>
                <w:szCs w:val="24"/>
                <w:lang w:eastAsia="zh-CN"/>
              </w:rPr>
              <w:t>XXXX</w:t>
            </w:r>
          </w:p>
          <w:p>
            <w:pPr>
              <w:spacing w:line="480" w:lineRule="auto"/>
              <w:ind w:left="1200" w:hanging="1200" w:hangingChars="500"/>
              <w:rPr>
                <w:rFonts w:hint="eastAsia" w:ascii="宋体" w:hAnsi="宋体" w:cs="宋体"/>
                <w:kern w:val="0"/>
                <w:sz w:val="24"/>
                <w:szCs w:val="24"/>
              </w:rPr>
            </w:pPr>
            <w:r>
              <w:rPr>
                <w:sz w:val="24"/>
              </w:rPr>
              <w:t>单位地址</w:t>
            </w:r>
            <w:r>
              <w:rPr>
                <w:rFonts w:hint="eastAsia" w:ascii="宋体" w:hAnsi="宋体" w:cs="宋体"/>
                <w:kern w:val="0"/>
                <w:sz w:val="24"/>
                <w:szCs w:val="24"/>
              </w:rPr>
              <w:t>：</w:t>
            </w:r>
          </w:p>
          <w:p>
            <w:pPr>
              <w:spacing w:line="480" w:lineRule="auto"/>
              <w:rPr>
                <w:sz w:val="24"/>
              </w:rPr>
            </w:pPr>
          </w:p>
          <w:p>
            <w:pPr>
              <w:spacing w:line="480" w:lineRule="auto"/>
              <w:rPr>
                <w:sz w:val="24"/>
                <w:highlight w:val="none"/>
              </w:rPr>
            </w:pPr>
            <w:r>
              <w:rPr>
                <w:sz w:val="24"/>
              </w:rPr>
              <w:t>法定</w:t>
            </w:r>
            <w:r>
              <w:rPr>
                <w:sz w:val="24"/>
                <w:highlight w:val="none"/>
              </w:rPr>
              <w:t>代表人</w:t>
            </w:r>
          </w:p>
          <w:p>
            <w:pPr>
              <w:spacing w:line="480" w:lineRule="auto"/>
              <w:rPr>
                <w:sz w:val="24"/>
                <w:highlight w:val="none"/>
              </w:rPr>
            </w:pPr>
          </w:p>
          <w:p>
            <w:pPr>
              <w:spacing w:line="480" w:lineRule="auto"/>
              <w:rPr>
                <w:sz w:val="24"/>
                <w:highlight w:val="none"/>
              </w:rPr>
            </w:pPr>
            <w:r>
              <w:rPr>
                <w:sz w:val="24"/>
                <w:highlight w:val="none"/>
              </w:rPr>
              <w:t xml:space="preserve">委托代理人： </w:t>
            </w:r>
          </w:p>
          <w:p>
            <w:pPr>
              <w:spacing w:line="480" w:lineRule="auto"/>
              <w:rPr>
                <w:sz w:val="24"/>
                <w:highlight w:val="none"/>
              </w:rPr>
            </w:pPr>
          </w:p>
          <w:p>
            <w:pPr>
              <w:spacing w:line="480" w:lineRule="auto"/>
              <w:rPr>
                <w:sz w:val="24"/>
                <w:highlight w:val="none"/>
              </w:rPr>
            </w:pPr>
            <w:r>
              <w:rPr>
                <w:sz w:val="24"/>
                <w:highlight w:val="none"/>
              </w:rPr>
              <w:t xml:space="preserve">签字日期： </w:t>
            </w:r>
          </w:p>
          <w:p>
            <w:pPr>
              <w:pStyle w:val="13"/>
              <w:widowControl w:val="0"/>
              <w:spacing w:beforeAutospacing="0" w:afterAutospacing="0" w:line="480" w:lineRule="auto"/>
              <w:jc w:val="both"/>
              <w:rPr>
                <w:rFonts w:ascii="Times New Roman" w:hAnsi="Times New Roman"/>
                <w:kern w:val="2"/>
                <w:highlight w:val="none"/>
              </w:rPr>
            </w:pPr>
          </w:p>
          <w:p>
            <w:pPr>
              <w:spacing w:line="480" w:lineRule="auto"/>
              <w:rPr>
                <w:sz w:val="24"/>
                <w:szCs w:val="24"/>
                <w:highlight w:val="none"/>
              </w:rPr>
            </w:pPr>
            <w:r>
              <w:rPr>
                <w:sz w:val="24"/>
                <w:highlight w:val="none"/>
              </w:rPr>
              <w:t>电    话：</w:t>
            </w:r>
          </w:p>
          <w:p>
            <w:pPr>
              <w:spacing w:line="480" w:lineRule="auto"/>
              <w:rPr>
                <w:sz w:val="24"/>
                <w:szCs w:val="24"/>
                <w:highlight w:val="none"/>
              </w:rPr>
            </w:pPr>
            <w:r>
              <w:rPr>
                <w:sz w:val="24"/>
                <w:szCs w:val="24"/>
                <w:highlight w:val="none"/>
              </w:rPr>
              <w:t>电    传：</w:t>
            </w:r>
          </w:p>
          <w:p>
            <w:pPr>
              <w:spacing w:line="480" w:lineRule="auto"/>
              <w:rPr>
                <w:sz w:val="24"/>
                <w:highlight w:val="none"/>
              </w:rPr>
            </w:pPr>
            <w:r>
              <w:rPr>
                <w:sz w:val="24"/>
                <w:highlight w:val="none"/>
              </w:rPr>
              <w:t>开户银行：</w:t>
            </w:r>
          </w:p>
          <w:p>
            <w:pPr>
              <w:spacing w:line="480" w:lineRule="auto"/>
              <w:rPr>
                <w:sz w:val="24"/>
                <w:highlight w:val="none"/>
              </w:rPr>
            </w:pPr>
          </w:p>
          <w:p>
            <w:pPr>
              <w:spacing w:line="480" w:lineRule="auto"/>
              <w:rPr>
                <w:bCs/>
                <w:kern w:val="0"/>
                <w:sz w:val="24"/>
                <w:szCs w:val="24"/>
                <w:highlight w:val="none"/>
              </w:rPr>
            </w:pPr>
            <w:r>
              <w:rPr>
                <w:sz w:val="24"/>
                <w:highlight w:val="none"/>
              </w:rPr>
              <w:t>帐    号：</w:t>
            </w:r>
          </w:p>
          <w:p>
            <w:pPr>
              <w:spacing w:line="480" w:lineRule="auto"/>
              <w:rPr>
                <w:sz w:val="24"/>
                <w:highlight w:val="none"/>
              </w:rPr>
            </w:pPr>
            <w:r>
              <w:rPr>
                <w:sz w:val="24"/>
                <w:highlight w:val="none"/>
              </w:rPr>
              <w:t>税    号：</w:t>
            </w:r>
          </w:p>
          <w:p>
            <w:pPr>
              <w:spacing w:line="480" w:lineRule="auto"/>
              <w:rPr>
                <w:sz w:val="24"/>
              </w:rPr>
            </w:pPr>
            <w:r>
              <w:rPr>
                <w:sz w:val="24"/>
                <w:highlight w:val="none"/>
              </w:rPr>
              <w:t>邮政编码：</w:t>
            </w:r>
          </w:p>
        </w:tc>
      </w:tr>
    </w:tbl>
    <w:p>
      <w:pPr>
        <w:spacing w:line="360" w:lineRule="auto"/>
      </w:pPr>
    </w:p>
    <w:p>
      <w:pPr>
        <w:spacing w:line="360" w:lineRule="auto"/>
        <w:rPr>
          <w:rFonts w:ascii="宋体" w:hAnsi="宋体" w:cs="宋体"/>
          <w:sz w:val="24"/>
          <w:szCs w:val="24"/>
        </w:rPr>
      </w:pPr>
      <w:r>
        <w:br w:type="page"/>
      </w:r>
    </w:p>
    <w:p>
      <w:pPr>
        <w:pStyle w:val="4"/>
        <w:spacing w:before="0" w:after="0" w:line="360" w:lineRule="auto"/>
        <w:rPr>
          <w:sz w:val="24"/>
          <w:szCs w:val="24"/>
        </w:rPr>
      </w:pPr>
      <w:bookmarkStart w:id="64" w:name="_Toc57108842"/>
      <w:bookmarkStart w:id="65" w:name="_Toc511"/>
      <w:bookmarkStart w:id="66" w:name="_Toc18538"/>
      <w:bookmarkStart w:id="67" w:name="_Toc20688"/>
      <w:r>
        <w:rPr>
          <w:rFonts w:hint="eastAsia"/>
          <w:sz w:val="24"/>
          <w:szCs w:val="24"/>
        </w:rPr>
        <w:t>附件一：</w:t>
      </w:r>
      <w:bookmarkEnd w:id="64"/>
      <w:bookmarkEnd w:id="65"/>
      <w:bookmarkEnd w:id="66"/>
      <w:bookmarkEnd w:id="67"/>
    </w:p>
    <w:p>
      <w:pPr>
        <w:spacing w:line="360" w:lineRule="auto"/>
        <w:ind w:firstLine="720" w:firstLineChars="3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大埔峡能100MWp农光互补项目EPC总承包工程</w:t>
      </w:r>
      <w:r>
        <w:rPr>
          <w:rFonts w:hint="eastAsia" w:ascii="宋体" w:hAnsi="宋体" w:cs="宋体"/>
          <w:sz w:val="24"/>
          <w:szCs w:val="24"/>
          <w:lang w:eastAsia="zh-CN"/>
        </w:rPr>
        <w:t>第四批60MWp光伏组件</w:t>
      </w:r>
      <w:r>
        <w:rPr>
          <w:rFonts w:hint="eastAsia" w:ascii="宋体" w:hAnsi="宋体" w:cs="宋体"/>
          <w:sz w:val="24"/>
          <w:szCs w:val="24"/>
        </w:rPr>
        <w:t>技术协议》，另行造册。</w:t>
      </w:r>
    </w:p>
    <w:p>
      <w:pPr>
        <w:pStyle w:val="4"/>
        <w:spacing w:before="0" w:after="0" w:line="360" w:lineRule="auto"/>
        <w:rPr>
          <w:sz w:val="24"/>
          <w:szCs w:val="24"/>
        </w:rPr>
      </w:pPr>
      <w:r>
        <w:rPr>
          <w:rFonts w:hint="eastAsia" w:ascii="宋体" w:hAnsi="宋体" w:cs="宋体"/>
          <w:sz w:val="24"/>
          <w:szCs w:val="24"/>
        </w:rPr>
        <w:br w:type="page"/>
      </w:r>
      <w:bookmarkStart w:id="68" w:name="_Toc6369"/>
      <w:bookmarkStart w:id="69" w:name="_Toc17460"/>
      <w:bookmarkStart w:id="70" w:name="_Toc16291"/>
      <w:bookmarkStart w:id="71" w:name="_Toc57108843"/>
      <w:r>
        <w:rPr>
          <w:rFonts w:hint="eastAsia"/>
          <w:sz w:val="24"/>
          <w:szCs w:val="24"/>
        </w:rPr>
        <w:t>附件二：</w:t>
      </w:r>
      <w:bookmarkEnd w:id="68"/>
      <w:bookmarkEnd w:id="69"/>
      <w:bookmarkEnd w:id="70"/>
      <w:bookmarkEnd w:id="71"/>
    </w:p>
    <w:tbl>
      <w:tblPr>
        <w:tblStyle w:val="15"/>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9" w:hRule="atLeast"/>
        </w:trPr>
        <w:tc>
          <w:tcPr>
            <w:tcW w:w="2409" w:type="dxa"/>
            <w:gridSpan w:val="2"/>
          </w:tcPr>
          <w:p>
            <w:pPr>
              <w:pStyle w:val="25"/>
              <w:spacing w:before="1"/>
              <w:ind w:firstLine="630" w:firstLineChars="300"/>
            </w:pPr>
            <w:r>
              <w:t>项目名称</w:t>
            </w:r>
          </w:p>
        </w:tc>
        <w:tc>
          <w:tcPr>
            <w:tcW w:w="7210" w:type="dxa"/>
            <w:gridSpan w:val="4"/>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2409" w:type="dxa"/>
            <w:gridSpan w:val="2"/>
          </w:tcPr>
          <w:p>
            <w:pPr>
              <w:pStyle w:val="25"/>
              <w:spacing w:before="1"/>
              <w:ind w:firstLine="630" w:firstLineChars="300"/>
            </w:pPr>
            <w:r>
              <w:t>合同编号</w:t>
            </w:r>
          </w:p>
        </w:tc>
        <w:tc>
          <w:tcPr>
            <w:tcW w:w="7210" w:type="dxa"/>
            <w:gridSpan w:val="4"/>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 w:hRule="atLeast"/>
        </w:trPr>
        <w:tc>
          <w:tcPr>
            <w:tcW w:w="2409" w:type="dxa"/>
            <w:gridSpan w:val="2"/>
          </w:tcPr>
          <w:p>
            <w:pPr>
              <w:pStyle w:val="25"/>
              <w:spacing w:before="1"/>
              <w:ind w:firstLine="420" w:firstLineChars="200"/>
            </w:pPr>
            <w:r>
              <w:t>本次付款申请为</w:t>
            </w:r>
          </w:p>
        </w:tc>
        <w:tc>
          <w:tcPr>
            <w:tcW w:w="7210" w:type="dxa"/>
            <w:gridSpan w:val="4"/>
          </w:tcPr>
          <w:p>
            <w:pPr>
              <w:pStyle w:val="25"/>
              <w:tabs>
                <w:tab w:val="left" w:pos="1503"/>
                <w:tab w:val="left" w:pos="2553"/>
                <w:tab w:val="left" w:pos="3603"/>
                <w:tab w:val="left" w:pos="5807"/>
              </w:tabs>
              <w:spacing w:before="1"/>
              <w:ind w:firstLine="420" w:firstLineChars="200"/>
            </w:pPr>
            <w:r>
              <w:t>预付款□</w:t>
            </w:r>
            <w:r>
              <w:tab/>
            </w:r>
            <w:r>
              <w:rPr>
                <w:rFonts w:hint="eastAsia"/>
                <w:lang w:eastAsia="zh-CN"/>
              </w:rPr>
              <w:t>到货款</w:t>
            </w:r>
            <w:r>
              <w:t>□</w:t>
            </w:r>
            <w:r>
              <w:tab/>
            </w:r>
            <w:r>
              <w:rPr>
                <w:rFonts w:hint="eastAsia"/>
                <w:lang w:eastAsia="zh-CN"/>
              </w:rPr>
              <w:t>验收款</w:t>
            </w:r>
            <w:r>
              <w:t>□</w:t>
            </w:r>
            <w:r>
              <w:tab/>
            </w:r>
            <w:r>
              <w:rPr>
                <w:rFonts w:hint="eastAsia"/>
                <w:lang w:eastAsia="zh-CN"/>
              </w:rPr>
              <w:t>结算款</w:t>
            </w:r>
            <w:r>
              <w:t>□</w:t>
            </w:r>
            <w:r>
              <w:rPr>
                <w:rFonts w:hint="eastAsia"/>
                <w:lang w:eastAsia="zh-CN"/>
              </w:rPr>
              <w:t>质保金</w:t>
            </w:r>
            <w:r>
              <w:t>□</w:t>
            </w:r>
            <w:r>
              <w:tab/>
            </w:r>
            <w: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5" w:hRule="atLeast"/>
        </w:trPr>
        <w:tc>
          <w:tcPr>
            <w:tcW w:w="9619" w:type="dxa"/>
            <w:gridSpan w:val="6"/>
          </w:tcPr>
          <w:p>
            <w:pPr>
              <w:pStyle w:val="25"/>
              <w:ind w:firstLine="420" w:firstLineChars="200"/>
            </w:pPr>
            <w:r>
              <w:t>致：</w:t>
            </w:r>
            <w:r>
              <w:rPr>
                <w:u w:val="single"/>
              </w:rPr>
              <w:t xml:space="preserve"> 中机国际工程设计研究有限责任公司 </w:t>
            </w:r>
            <w:r>
              <w:t>（发包人全称）</w:t>
            </w:r>
          </w:p>
          <w:p>
            <w:pPr>
              <w:pStyle w:val="25"/>
              <w:tabs>
                <w:tab w:val="left" w:pos="1787"/>
                <w:tab w:val="left" w:pos="2627"/>
                <w:tab w:val="left" w:pos="4379"/>
                <w:tab w:val="left" w:pos="5040"/>
                <w:tab w:val="left" w:pos="8650"/>
              </w:tabs>
              <w:spacing w:before="4" w:line="242" w:lineRule="auto"/>
              <w:ind w:left="107" w:right="-15" w:firstLine="420"/>
              <w:rPr>
                <w:lang w:eastAsia="zh-CN"/>
              </w:rPr>
            </w:pPr>
            <w:r>
              <w:t>我方于</w:t>
            </w:r>
            <w:r>
              <w:rPr>
                <w:u w:val="single"/>
              </w:rPr>
              <w:tab/>
            </w:r>
            <w:r>
              <w:t>至</w:t>
            </w:r>
            <w:r>
              <w:rPr>
                <w:u w:val="single"/>
              </w:rPr>
              <w:tab/>
            </w:r>
            <w:r>
              <w:t>期间已完成了</w:t>
            </w:r>
            <w:r>
              <w:rPr>
                <w:u w:val="single"/>
              </w:rPr>
              <w:tab/>
            </w:r>
            <w:r>
              <w:rPr>
                <w:u w:val="single"/>
              </w:rPr>
              <w:tab/>
            </w:r>
            <w:r>
              <w:rPr>
                <w:rFonts w:hint="eastAsia"/>
                <w:lang w:eastAsia="zh-CN"/>
              </w:rPr>
              <w:t>项目</w:t>
            </w:r>
            <w:r>
              <w:rPr>
                <w:rFonts w:hint="eastAsia"/>
                <w:lang w:val="en-US" w:eastAsia="zh-CN"/>
              </w:rPr>
              <w:t>设备（含备品备件）设备供应</w:t>
            </w:r>
            <w:r>
              <w:rPr>
                <w:spacing w:val="-42"/>
              </w:rPr>
              <w:t>，</w:t>
            </w:r>
            <w:r>
              <w:t>根据合同的约定</w:t>
            </w:r>
            <w:r>
              <w:rPr>
                <w:rFonts w:hint="eastAsia"/>
                <w:lang w:eastAsia="zh-CN"/>
              </w:rPr>
              <w:t>：</w:t>
            </w:r>
            <w:r>
              <w:rPr>
                <w:spacing w:val="-42"/>
              </w:rPr>
              <w:t>，</w:t>
            </w:r>
            <w:r>
              <w:t>现申请支付本周期的</w:t>
            </w:r>
            <w:r>
              <w:rPr>
                <w:rFonts w:hint="eastAsia"/>
                <w:lang w:eastAsia="zh-CN"/>
              </w:rPr>
              <w:t>设备</w:t>
            </w:r>
            <w:r>
              <w:t>款额</w:t>
            </w:r>
            <w:r>
              <w:rPr>
                <w:spacing w:val="-17"/>
              </w:rPr>
              <w:t>为</w:t>
            </w:r>
            <w:r>
              <w:t>（小写</w:t>
            </w:r>
            <w:r>
              <w:rPr>
                <w:spacing w:val="-18"/>
              </w:rPr>
              <w:t>）</w:t>
            </w:r>
            <w:r>
              <w:rPr>
                <w:spacing w:val="-18"/>
                <w:u w:val="single"/>
              </w:rPr>
              <w:tab/>
            </w:r>
            <w:r>
              <w:rPr>
                <w:spacing w:val="-18"/>
                <w:u w:val="single"/>
              </w:rPr>
              <w:tab/>
            </w:r>
            <w:r>
              <w:rPr>
                <w:spacing w:val="-18"/>
              </w:rPr>
              <w:t>，（</w:t>
            </w:r>
            <w:r>
              <w:t>大写</w:t>
            </w:r>
            <w:r>
              <w:rPr>
                <w:u w:val="single"/>
              </w:rPr>
              <w:tab/>
            </w:r>
            <w:r>
              <w:rPr>
                <w:spacing w:val="-15"/>
              </w:rPr>
              <w:t xml:space="preserve">）， </w:t>
            </w:r>
            <w:r>
              <w:t>请予核准。</w:t>
            </w:r>
            <w:r>
              <w:rPr>
                <w:rFonts w:hint="eastAsia"/>
                <w:lang w:eastAsia="zh-CN"/>
              </w:rPr>
              <w:t>详情请见以下附件：</w:t>
            </w:r>
          </w:p>
          <w:p>
            <w:pPr>
              <w:pStyle w:val="25"/>
              <w:numPr>
                <w:ilvl w:val="0"/>
                <w:numId w:val="1"/>
              </w:numPr>
              <w:tabs>
                <w:tab w:val="left" w:pos="1787"/>
                <w:tab w:val="left" w:pos="2627"/>
                <w:tab w:val="left" w:pos="4379"/>
                <w:tab w:val="left" w:pos="5040"/>
                <w:tab w:val="left" w:pos="8650"/>
              </w:tabs>
              <w:spacing w:before="4" w:line="242" w:lineRule="auto"/>
              <w:ind w:left="107" w:right="-15" w:firstLine="420"/>
              <w:rPr>
                <w:sz w:val="18"/>
                <w:szCs w:val="18"/>
                <w:lang w:val="en-US" w:eastAsia="zh-CN"/>
              </w:rPr>
            </w:pPr>
            <w:r>
              <w:rPr>
                <w:rFonts w:hint="eastAsia" w:ascii="Times New Roman" w:hAnsi="Times New Roman" w:cs="Times New Roman"/>
                <w:lang w:val="en-US" w:eastAsia="zh-CN" w:bidi="ar-SA"/>
              </w:rPr>
              <w:t>到货签收单</w:t>
            </w:r>
          </w:p>
          <w:p>
            <w:pPr>
              <w:pStyle w:val="25"/>
              <w:numPr>
                <w:ilvl w:val="0"/>
                <w:numId w:val="1"/>
              </w:numPr>
              <w:tabs>
                <w:tab w:val="left" w:pos="1787"/>
                <w:tab w:val="left" w:pos="2627"/>
                <w:tab w:val="left" w:pos="4379"/>
                <w:tab w:val="left" w:pos="5040"/>
                <w:tab w:val="left" w:pos="8650"/>
              </w:tabs>
              <w:spacing w:before="4" w:line="242" w:lineRule="auto"/>
              <w:ind w:left="107" w:right="-15" w:firstLine="420"/>
              <w:rPr>
                <w:lang w:val="en-US" w:eastAsia="zh-CN"/>
              </w:rPr>
            </w:pPr>
            <w:r>
              <w:rPr>
                <w:rFonts w:hint="eastAsia"/>
                <w:lang w:val="en-US" w:eastAsia="zh-CN"/>
              </w:rPr>
              <w:t>全额增值税专用发票（税率   %）等</w:t>
            </w:r>
          </w:p>
          <w:p>
            <w:pPr>
              <w:pStyle w:val="25"/>
              <w:numPr>
                <w:ilvl w:val="0"/>
                <w:numId w:val="1"/>
              </w:numPr>
              <w:tabs>
                <w:tab w:val="left" w:pos="1787"/>
                <w:tab w:val="left" w:pos="2627"/>
                <w:tab w:val="left" w:pos="4379"/>
                <w:tab w:val="left" w:pos="5040"/>
                <w:tab w:val="left" w:pos="8650"/>
              </w:tabs>
              <w:spacing w:before="4" w:line="242" w:lineRule="auto"/>
              <w:ind w:left="107" w:right="-15" w:firstLine="420"/>
              <w:rPr>
                <w:lang w:val="en-US" w:eastAsia="zh-CN"/>
              </w:rPr>
            </w:pPr>
            <w:r>
              <w:rPr>
                <w:rFonts w:hint="eastAsia"/>
                <w:lang w:val="en-US" w:eastAsia="zh-CN"/>
              </w:rPr>
              <w:t>其他说明文件</w:t>
            </w:r>
          </w:p>
          <w:p>
            <w:pPr>
              <w:pStyle w:val="25"/>
              <w:spacing w:before="5"/>
              <w:rPr>
                <w:b/>
              </w:rPr>
            </w:pPr>
          </w:p>
          <w:p>
            <w:pPr>
              <w:pStyle w:val="25"/>
              <w:ind w:left="3887"/>
            </w:pPr>
            <w:r>
              <w:t>承包人（章）</w:t>
            </w:r>
          </w:p>
          <w:p>
            <w:pPr>
              <w:pStyle w:val="25"/>
              <w:tabs>
                <w:tab w:val="left" w:pos="4728"/>
                <w:tab w:val="left" w:pos="7140"/>
              </w:tabs>
              <w:spacing w:before="2" w:line="242" w:lineRule="auto"/>
              <w:ind w:left="3887" w:right="1901" w:hanging="2"/>
              <w:rPr>
                <w:rFonts w:ascii="Times New Roman" w:eastAsia="Times New Roman"/>
              </w:rPr>
            </w:pPr>
            <w:r>
              <w:rPr>
                <w:spacing w:val="-1"/>
              </w:rPr>
              <w:t>承包人代</w:t>
            </w:r>
            <w:r>
              <w:t>表</w:t>
            </w:r>
            <w:r>
              <w:rPr>
                <w:rFonts w:ascii="Times New Roman" w:eastAsia="Times New Roman"/>
                <w:u w:val="single"/>
              </w:rPr>
              <w:tab/>
            </w:r>
            <w:r>
              <w:t>日</w:t>
            </w:r>
            <w:r>
              <w:tab/>
            </w:r>
            <w:r>
              <w:t>期</w:t>
            </w:r>
            <w:r>
              <w:rPr>
                <w:rFonts w:ascii="Times New Roman" w:eastAsia="Times New Roman"/>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2" w:hRule="atLeast"/>
        </w:trPr>
        <w:tc>
          <w:tcPr>
            <w:tcW w:w="2216" w:type="dxa"/>
          </w:tcPr>
          <w:p>
            <w:pPr>
              <w:pStyle w:val="25"/>
              <w:spacing w:before="137"/>
              <w:ind w:left="308"/>
            </w:pPr>
            <w:r>
              <w:t>已完成工程进度</w:t>
            </w:r>
          </w:p>
        </w:tc>
        <w:tc>
          <w:tcPr>
            <w:tcW w:w="7403" w:type="dxa"/>
            <w:gridSpan w:val="5"/>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8" w:hRule="atLeast"/>
        </w:trPr>
        <w:tc>
          <w:tcPr>
            <w:tcW w:w="2216" w:type="dxa"/>
          </w:tcPr>
          <w:p>
            <w:pPr>
              <w:pStyle w:val="25"/>
              <w:spacing w:before="68" w:line="242" w:lineRule="auto"/>
              <w:ind w:left="413" w:right="402" w:hanging="2"/>
            </w:pPr>
            <w:r>
              <w:t>已开发票金额(小写：万元)</w:t>
            </w:r>
          </w:p>
        </w:tc>
        <w:tc>
          <w:tcPr>
            <w:tcW w:w="2658" w:type="dxa"/>
            <w:gridSpan w:val="2"/>
          </w:tcPr>
          <w:p>
            <w:pPr>
              <w:pStyle w:val="25"/>
              <w:rPr>
                <w:rFonts w:ascii="Times New Roman"/>
                <w:sz w:val="20"/>
              </w:rPr>
            </w:pPr>
          </w:p>
        </w:tc>
        <w:tc>
          <w:tcPr>
            <w:tcW w:w="1912" w:type="dxa"/>
            <w:gridSpan w:val="2"/>
          </w:tcPr>
          <w:p>
            <w:pPr>
              <w:pStyle w:val="25"/>
              <w:spacing w:before="68" w:line="242" w:lineRule="auto"/>
              <w:ind w:left="269" w:right="258"/>
            </w:pPr>
            <w:r>
              <w:t>累计已付金额(小写：万元)</w:t>
            </w:r>
          </w:p>
        </w:tc>
        <w:tc>
          <w:tcPr>
            <w:tcW w:w="2833"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8" w:hRule="atLeast"/>
        </w:trPr>
        <w:tc>
          <w:tcPr>
            <w:tcW w:w="2216" w:type="dxa"/>
          </w:tcPr>
          <w:p>
            <w:pPr>
              <w:pStyle w:val="25"/>
              <w:spacing w:before="68"/>
              <w:ind w:left="412"/>
            </w:pPr>
            <w:r>
              <w:t>本次申报金额</w:t>
            </w:r>
          </w:p>
          <w:p>
            <w:pPr>
              <w:pStyle w:val="25"/>
              <w:spacing w:before="3"/>
              <w:ind w:left="361"/>
            </w:pPr>
            <w:r>
              <w:rPr>
                <w:spacing w:val="-1"/>
              </w:rPr>
              <w:t>（小写：万元)</w:t>
            </w:r>
          </w:p>
        </w:tc>
        <w:tc>
          <w:tcPr>
            <w:tcW w:w="2658" w:type="dxa"/>
            <w:gridSpan w:val="2"/>
          </w:tcPr>
          <w:p>
            <w:pPr>
              <w:pStyle w:val="25"/>
              <w:rPr>
                <w:rFonts w:ascii="Times New Roman"/>
                <w:sz w:val="20"/>
              </w:rPr>
            </w:pPr>
          </w:p>
        </w:tc>
        <w:tc>
          <w:tcPr>
            <w:tcW w:w="1912" w:type="dxa"/>
            <w:gridSpan w:val="2"/>
          </w:tcPr>
          <w:p>
            <w:pPr>
              <w:pStyle w:val="25"/>
              <w:spacing w:before="68" w:line="242" w:lineRule="auto"/>
              <w:ind w:left="269" w:right="153" w:hanging="106"/>
            </w:pPr>
            <w:r>
              <w:t>付款后合同余额(小写：万元)</w:t>
            </w:r>
          </w:p>
        </w:tc>
        <w:tc>
          <w:tcPr>
            <w:tcW w:w="2833"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42" w:hRule="atLeast"/>
        </w:trPr>
        <w:tc>
          <w:tcPr>
            <w:tcW w:w="5564" w:type="dxa"/>
            <w:gridSpan w:val="4"/>
          </w:tcPr>
          <w:p>
            <w:pPr>
              <w:pStyle w:val="25"/>
              <w:spacing w:before="97"/>
              <w:ind w:left="107"/>
            </w:pPr>
            <w:r>
              <w:t>复核意见：</w:t>
            </w:r>
          </w:p>
          <w:p>
            <w:pPr>
              <w:pStyle w:val="25"/>
              <w:spacing w:before="139"/>
              <w:ind w:left="527"/>
            </w:pPr>
            <w:r>
              <w:t>□与合同约定不相符，修改意见见附件。</w:t>
            </w:r>
          </w:p>
          <w:p>
            <w:pPr>
              <w:pStyle w:val="25"/>
              <w:rPr>
                <w:b/>
                <w:sz w:val="20"/>
                <w:lang w:val="en-US" w:eastAsia="zh-CN"/>
              </w:rPr>
            </w:pPr>
            <w:r>
              <w:t>□与合同约定相符，具体金额由造价工程师/跟踪审计复核。</w:t>
            </w:r>
          </w:p>
          <w:p>
            <w:pPr>
              <w:pStyle w:val="25"/>
              <w:tabs>
                <w:tab w:val="left" w:pos="2418"/>
              </w:tabs>
              <w:spacing w:before="151" w:line="364" w:lineRule="auto"/>
              <w:ind w:left="2520" w:leftChars="1200" w:right="1129"/>
            </w:pPr>
            <w:r>
              <w:rPr>
                <w:spacing w:val="-1"/>
              </w:rPr>
              <w:t>发包人</w:t>
            </w:r>
            <w:r>
              <w:t>工程师（签字） 日期：</w:t>
            </w:r>
          </w:p>
        </w:tc>
        <w:tc>
          <w:tcPr>
            <w:tcW w:w="4055" w:type="dxa"/>
            <w:gridSpan w:val="2"/>
          </w:tcPr>
          <w:p>
            <w:pPr>
              <w:pStyle w:val="25"/>
              <w:spacing w:before="97"/>
              <w:ind w:left="107"/>
            </w:pPr>
            <w:r>
              <w:t>复核意见：</w:t>
            </w:r>
          </w:p>
          <w:p>
            <w:pPr>
              <w:pStyle w:val="25"/>
              <w:tabs>
                <w:tab w:val="left" w:pos="2942"/>
              </w:tabs>
              <w:spacing w:before="139" w:line="364" w:lineRule="auto"/>
              <w:ind w:left="107" w:right="97" w:firstLine="212"/>
            </w:pPr>
            <w:r>
              <w:t>你方提出的支付申请经复核，本周</w:t>
            </w:r>
            <w:r>
              <w:rPr>
                <w:spacing w:val="-12"/>
              </w:rPr>
              <w:t>期</w:t>
            </w:r>
            <w:r>
              <w:t>已完成合同款额为，本期间应支付金</w:t>
            </w:r>
            <w:r>
              <w:rPr>
                <w:spacing w:val="-12"/>
              </w:rPr>
              <w:t>额</w:t>
            </w:r>
            <w:r>
              <w:t>为（小写）</w:t>
            </w:r>
          </w:p>
          <w:p>
            <w:pPr>
              <w:pStyle w:val="25"/>
              <w:tabs>
                <w:tab w:val="left" w:pos="1578"/>
              </w:tabs>
              <w:spacing w:before="151" w:line="364" w:lineRule="auto"/>
              <w:ind w:left="1470" w:leftChars="700" w:right="758"/>
            </w:pPr>
            <w:r>
              <w:rPr>
                <w:spacing w:val="-1"/>
              </w:rPr>
              <w:t>造</w:t>
            </w:r>
            <w:r>
              <w:t>价工程师（签字） 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21" w:hRule="atLeast"/>
        </w:trPr>
        <w:tc>
          <w:tcPr>
            <w:tcW w:w="9619" w:type="dxa"/>
            <w:gridSpan w:val="6"/>
          </w:tcPr>
          <w:p>
            <w:pPr>
              <w:pStyle w:val="25"/>
              <w:spacing w:before="11"/>
              <w:rPr>
                <w:b/>
                <w:sz w:val="20"/>
              </w:rPr>
            </w:pPr>
          </w:p>
          <w:p>
            <w:pPr>
              <w:pStyle w:val="25"/>
              <w:ind w:left="107"/>
            </w:pPr>
            <w:r>
              <w:t>审核意见：</w:t>
            </w:r>
          </w:p>
          <w:p>
            <w:pPr>
              <w:pStyle w:val="25"/>
              <w:spacing w:before="12"/>
              <w:ind w:left="1463"/>
            </w:pPr>
            <w:r>
              <w:t>□不同意。</w:t>
            </w:r>
          </w:p>
          <w:p>
            <w:pPr>
              <w:pStyle w:val="25"/>
              <w:spacing w:before="5"/>
              <w:ind w:firstLine="1452" w:firstLineChars="600"/>
              <w:rPr>
                <w:b/>
                <w:sz w:val="26"/>
              </w:rPr>
            </w:pPr>
            <w:r>
              <w:rPr>
                <w:spacing w:val="16"/>
              </w:rPr>
              <w:sym w:font="Wingdings 2" w:char="00A3"/>
            </w:r>
            <w:r>
              <w:rPr>
                <w:spacing w:val="16"/>
              </w:rPr>
              <w:t>同意，支付时间为本</w:t>
            </w:r>
            <w:r>
              <w:rPr>
                <w:spacing w:val="17"/>
              </w:rPr>
              <w:t>表</w:t>
            </w:r>
            <w:r>
              <w:rPr>
                <w:spacing w:val="15"/>
              </w:rPr>
              <w:t>签发后</w:t>
            </w:r>
            <w:r>
              <w:t>的</w:t>
            </w:r>
            <w:r>
              <w:tab/>
            </w:r>
            <w:r>
              <w:rPr>
                <w:spacing w:val="15"/>
              </w:rPr>
              <w:t>天内。</w:t>
            </w:r>
          </w:p>
          <w:p>
            <w:pPr>
              <w:pStyle w:val="25"/>
              <w:tabs>
                <w:tab w:val="left" w:pos="7029"/>
              </w:tabs>
              <w:spacing w:line="249" w:lineRule="auto"/>
              <w:ind w:left="6320" w:right="1562" w:firstLine="15"/>
              <w:jc w:val="center"/>
            </w:pPr>
            <w:r>
              <w:rPr>
                <w:spacing w:val="16"/>
              </w:rPr>
              <w:t>项</w:t>
            </w:r>
            <w:r>
              <w:rPr>
                <w:spacing w:val="15"/>
              </w:rPr>
              <w:t>目经</w:t>
            </w:r>
            <w:r>
              <w:rPr>
                <w:spacing w:val="16"/>
              </w:rPr>
              <w:t>理</w:t>
            </w:r>
            <w:r>
              <w:t>：日</w:t>
            </w:r>
            <w:r>
              <w:tab/>
            </w:r>
            <w:r>
              <w:rPr>
                <w:spacing w:val="15"/>
              </w:rPr>
              <w:t>期</w:t>
            </w:r>
            <w:r>
              <w:t>：</w:t>
            </w:r>
          </w:p>
        </w:tc>
      </w:tr>
    </w:tbl>
    <w:p>
      <w:pPr>
        <w:spacing w:before="38"/>
        <w:ind w:firstLine="1928" w:firstLineChars="600"/>
        <w:jc w:val="left"/>
        <w:rPr>
          <w:sz w:val="28"/>
        </w:rPr>
      </w:pPr>
      <w:r>
        <w:rPr>
          <w:rFonts w:hint="eastAsia"/>
          <w:b/>
          <w:sz w:val="32"/>
        </w:rPr>
        <w:t>设备材料采购</w:t>
      </w:r>
      <w:r>
        <w:rPr>
          <w:b/>
          <w:sz w:val="32"/>
        </w:rPr>
        <w:t>合同价款支付申请（核准）表</w:t>
      </w:r>
    </w:p>
    <w:p>
      <w:pPr>
        <w:widowControl/>
        <w:jc w:val="left"/>
        <w:rPr>
          <w:sz w:val="36"/>
          <w:szCs w:val="36"/>
        </w:rPr>
      </w:pPr>
      <w:r>
        <w:rPr>
          <w:sz w:val="36"/>
          <w:szCs w:val="36"/>
        </w:rPr>
        <w:br w:type="page"/>
      </w:r>
    </w:p>
    <w:p>
      <w:pPr>
        <w:pStyle w:val="4"/>
        <w:spacing w:before="0" w:after="0" w:line="360" w:lineRule="auto"/>
        <w:rPr>
          <w:sz w:val="24"/>
          <w:szCs w:val="24"/>
        </w:rPr>
      </w:pPr>
      <w:bookmarkStart w:id="72" w:name="_Toc57108844"/>
      <w:bookmarkStart w:id="73" w:name="_Toc6532"/>
      <w:bookmarkStart w:id="74" w:name="_Toc21894"/>
      <w:r>
        <w:rPr>
          <w:rFonts w:hint="eastAsia"/>
          <w:sz w:val="24"/>
          <w:szCs w:val="24"/>
        </w:rPr>
        <w:t>附件三：</w:t>
      </w:r>
      <w:bookmarkEnd w:id="72"/>
      <w:bookmarkEnd w:id="73"/>
      <w:bookmarkEnd w:id="74"/>
    </w:p>
    <w:p>
      <w:pPr>
        <w:pStyle w:val="2"/>
        <w:ind w:firstLine="240"/>
      </w:pPr>
      <w:r>
        <w:rPr>
          <w:rFonts w:hint="eastAsia"/>
        </w:rPr>
        <w:drawing>
          <wp:inline distT="0" distB="0" distL="0" distR="0">
            <wp:extent cx="5828665" cy="7266305"/>
            <wp:effectExtent l="0" t="0" r="635" b="10795"/>
            <wp:docPr id="1" name="图片 2" descr="16055117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605511700(1)"/>
                    <pic:cNvPicPr>
                      <a:picLocks noChangeAspect="1" noChangeArrowheads="1"/>
                    </pic:cNvPicPr>
                  </pic:nvPicPr>
                  <pic:blipFill>
                    <a:blip r:embed="rId10"/>
                    <a:srcRect/>
                    <a:stretch>
                      <a:fillRect/>
                    </a:stretch>
                  </pic:blipFill>
                  <pic:spPr>
                    <a:xfrm>
                      <a:off x="0" y="0"/>
                      <a:ext cx="5828665" cy="7266783"/>
                    </a:xfrm>
                    <a:prstGeom prst="rect">
                      <a:avLst/>
                    </a:prstGeom>
                    <a:noFill/>
                    <a:ln w="9525">
                      <a:noFill/>
                      <a:miter lim="800000"/>
                      <a:headEnd/>
                      <a:tailEnd/>
                    </a:ln>
                  </pic:spPr>
                </pic:pic>
              </a:graphicData>
            </a:graphic>
          </wp:inline>
        </w:drawing>
      </w:r>
    </w:p>
    <w:p>
      <w:pPr>
        <w:ind w:firstLine="720" w:firstLineChars="300"/>
        <w:rPr>
          <w:rFonts w:ascii="宋体" w:hAnsi="宋体" w:cs="宋体"/>
          <w:sz w:val="24"/>
          <w:szCs w:val="24"/>
        </w:rPr>
      </w:pPr>
    </w:p>
    <w:p>
      <w:pPr>
        <w:rPr>
          <w:rFonts w:ascii="宋体" w:hAnsi="宋体" w:cs="宋体"/>
          <w:sz w:val="24"/>
          <w:szCs w:val="24"/>
        </w:rPr>
        <w:sectPr>
          <w:pgSz w:w="11906" w:h="16838"/>
          <w:pgMar w:top="1451" w:right="1106" w:bottom="1451" w:left="1621" w:header="851" w:footer="992" w:gutter="0"/>
          <w:pgBorders>
            <w:top w:val="none" w:sz="0" w:space="0"/>
            <w:left w:val="none" w:sz="0" w:space="0"/>
            <w:bottom w:val="none" w:sz="0" w:space="0"/>
            <w:right w:val="none" w:sz="0" w:space="0"/>
          </w:pgBorders>
          <w:cols w:space="720" w:num="1"/>
          <w:docGrid w:type="lines" w:linePitch="316" w:charSpace="0"/>
        </w:sectPr>
      </w:pPr>
    </w:p>
    <w:p>
      <w:pPr>
        <w:pStyle w:val="4"/>
        <w:spacing w:before="0" w:after="0" w:line="360" w:lineRule="auto"/>
        <w:rPr>
          <w:sz w:val="24"/>
          <w:szCs w:val="24"/>
        </w:rPr>
      </w:pPr>
      <w:bookmarkStart w:id="75" w:name="_Toc10363"/>
      <w:r>
        <w:rPr>
          <w:rFonts w:hint="eastAsia"/>
          <w:sz w:val="24"/>
          <w:szCs w:val="24"/>
        </w:rPr>
        <w:t>附件</w:t>
      </w:r>
      <w:r>
        <w:rPr>
          <w:rFonts w:hint="eastAsia"/>
          <w:sz w:val="24"/>
          <w:szCs w:val="24"/>
          <w:lang w:eastAsia="zh-CN"/>
        </w:rPr>
        <w:t>四</w:t>
      </w:r>
      <w:r>
        <w:rPr>
          <w:rFonts w:hint="eastAsia"/>
          <w:sz w:val="24"/>
          <w:szCs w:val="24"/>
        </w:rPr>
        <w:t>：</w:t>
      </w:r>
      <w:bookmarkEnd w:id="75"/>
    </w:p>
    <w:p>
      <w:pPr>
        <w:pStyle w:val="50"/>
        <w:keepNext w:val="0"/>
        <w:keepLines w:val="0"/>
        <w:widowControl w:val="0"/>
        <w:shd w:val="clear" w:color="auto" w:fill="auto"/>
        <w:tabs>
          <w:tab w:val="left" w:pos="3431"/>
          <w:tab w:val="left" w:pos="7240"/>
        </w:tabs>
        <w:bidi w:val="0"/>
        <w:spacing w:before="0" w:after="0" w:line="240" w:lineRule="auto"/>
        <w:ind w:right="0" w:firstLine="0"/>
        <w:jc w:val="left"/>
        <w:rPr>
          <w:rFonts w:hint="eastAsia" w:eastAsia="宋体"/>
          <w:lang w:eastAsia="zh-CN"/>
        </w:rPr>
      </w:pPr>
      <w:r>
        <w:rPr>
          <w:color w:val="000000"/>
          <w:spacing w:val="0"/>
          <w:w w:val="100"/>
          <w:position w:val="0"/>
          <w:sz w:val="44"/>
          <w:szCs w:val="44"/>
        </w:rPr>
        <w:t>履约保函</w:t>
      </w:r>
      <w:r>
        <w:rPr>
          <w:rFonts w:hint="eastAsia"/>
          <w:color w:val="000000"/>
          <w:spacing w:val="0"/>
          <w:w w:val="100"/>
          <w:position w:val="0"/>
          <w:sz w:val="44"/>
          <w:szCs w:val="44"/>
          <w:lang w:eastAsia="zh-CN"/>
        </w:rPr>
        <w:t>格式</w:t>
      </w:r>
    </w:p>
    <w:p>
      <w:pPr>
        <w:pStyle w:val="51"/>
        <w:keepNext w:val="0"/>
        <w:keepLines w:val="0"/>
        <w:widowControl w:val="0"/>
        <w:shd w:val="clear" w:color="auto" w:fill="auto"/>
        <w:bidi w:val="0"/>
        <w:spacing w:before="0" w:after="0" w:line="461" w:lineRule="exact"/>
        <w:ind w:left="0" w:right="1420" w:firstLine="0"/>
        <w:jc w:val="right"/>
      </w:pPr>
      <w:r>
        <w:rPr>
          <w:rFonts w:hint="eastAsia"/>
          <w:color w:val="000000"/>
          <w:spacing w:val="0"/>
          <w:w w:val="100"/>
          <w:position w:val="0"/>
          <w:sz w:val="24"/>
          <w:szCs w:val="24"/>
          <w:lang w:eastAsia="zh-CN"/>
        </w:rPr>
        <w:t>保函</w:t>
      </w:r>
      <w:r>
        <w:rPr>
          <w:color w:val="000000"/>
          <w:spacing w:val="0"/>
          <w:w w:val="100"/>
          <w:position w:val="0"/>
          <w:sz w:val="24"/>
          <w:szCs w:val="24"/>
        </w:rPr>
        <w:t>编号：</w:t>
      </w:r>
    </w:p>
    <w:p>
      <w:pPr>
        <w:pStyle w:val="5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leftChars="0" w:right="0" w:firstLine="0" w:firstLineChars="0"/>
        <w:jc w:val="left"/>
        <w:textAlignment w:val="auto"/>
        <w:rPr>
          <w:sz w:val="28"/>
          <w:szCs w:val="28"/>
          <w:u w:val="none"/>
        </w:rPr>
      </w:pPr>
      <w:r>
        <w:rPr>
          <w:rFonts w:hint="eastAsia"/>
          <w:color w:val="000000"/>
          <w:spacing w:val="0"/>
          <w:w w:val="100"/>
          <w:position w:val="0"/>
          <w:sz w:val="28"/>
          <w:szCs w:val="28"/>
          <w:u w:val="none"/>
          <w:lang w:eastAsia="zh-CN"/>
        </w:rPr>
        <w:t>致：</w:t>
      </w:r>
      <w:r>
        <w:rPr>
          <w:color w:val="000000"/>
          <w:spacing w:val="0"/>
          <w:w w:val="100"/>
          <w:position w:val="0"/>
          <w:sz w:val="28"/>
          <w:szCs w:val="28"/>
          <w:u w:val="none"/>
        </w:rPr>
        <w:t>中机国际工程设</w:t>
      </w:r>
      <w:r>
        <w:rPr>
          <w:color w:val="000000"/>
          <w:spacing w:val="0"/>
          <w:w w:val="100"/>
          <w:position w:val="0"/>
          <w:sz w:val="28"/>
          <w:szCs w:val="28"/>
          <w:u w:val="none"/>
          <w:lang w:val="zh-CN" w:eastAsia="zh-CN" w:bidi="zh-CN"/>
        </w:rPr>
        <w:t>计研究</w:t>
      </w:r>
      <w:r>
        <w:rPr>
          <w:color w:val="000000"/>
          <w:spacing w:val="0"/>
          <w:w w:val="100"/>
          <w:position w:val="0"/>
          <w:sz w:val="28"/>
          <w:szCs w:val="28"/>
          <w:u w:val="none"/>
        </w:rPr>
        <w:t>院有限责任公司（保函受益人）</w:t>
      </w:r>
    </w:p>
    <w:p>
      <w:pPr>
        <w:pStyle w:val="5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500"/>
        <w:jc w:val="both"/>
        <w:textAlignment w:val="auto"/>
        <w:rPr>
          <w:rFonts w:hint="eastAsia" w:eastAsia="宋体"/>
          <w:sz w:val="28"/>
          <w:szCs w:val="28"/>
          <w:lang w:eastAsia="zh-CN"/>
        </w:rPr>
      </w:pPr>
      <w:r>
        <w:rPr>
          <w:color w:val="000000"/>
          <w:spacing w:val="0"/>
          <w:w w:val="100"/>
          <w:position w:val="0"/>
          <w:sz w:val="28"/>
          <w:szCs w:val="28"/>
        </w:rPr>
        <w:t>本保函作为</w:t>
      </w:r>
      <w:r>
        <w:rPr>
          <w:rFonts w:hint="eastAsia"/>
          <w:color w:val="000000"/>
          <w:spacing w:val="0"/>
          <w:w w:val="100"/>
          <w:position w:val="0"/>
          <w:sz w:val="28"/>
          <w:szCs w:val="28"/>
          <w:u w:val="single"/>
          <w:lang w:val="en-US" w:eastAsia="zh-CN"/>
        </w:rPr>
        <w:t xml:space="preserve">            </w:t>
      </w:r>
      <w:r>
        <w:rPr>
          <w:color w:val="000000"/>
          <w:spacing w:val="0"/>
          <w:w w:val="100"/>
          <w:position w:val="0"/>
          <w:sz w:val="28"/>
          <w:szCs w:val="28"/>
          <w:u w:val="single"/>
        </w:rPr>
        <w:t>有限公司</w:t>
      </w:r>
      <w:r>
        <w:rPr>
          <w:color w:val="000000"/>
          <w:spacing w:val="0"/>
          <w:w w:val="100"/>
          <w:position w:val="0"/>
          <w:sz w:val="28"/>
          <w:szCs w:val="28"/>
        </w:rPr>
        <w:t>（保函申请人）与保函受益人签订</w:t>
      </w:r>
      <w:r>
        <w:rPr>
          <w:rFonts w:hint="eastAsia"/>
          <w:color w:val="000000"/>
          <w:spacing w:val="0"/>
          <w:w w:val="100"/>
          <w:position w:val="0"/>
          <w:sz w:val="28"/>
          <w:szCs w:val="28"/>
          <w:lang w:eastAsia="zh-CN"/>
        </w:rPr>
        <w:t>编号为</w:t>
      </w:r>
      <w:r>
        <w:rPr>
          <w:rFonts w:hint="eastAsia"/>
          <w:color w:val="000000"/>
          <w:spacing w:val="0"/>
          <w:w w:val="100"/>
          <w:position w:val="0"/>
          <w:sz w:val="28"/>
          <w:szCs w:val="28"/>
          <w:u w:val="single"/>
          <w:lang w:val="en-US" w:eastAsia="zh-CN"/>
        </w:rPr>
        <w:t xml:space="preserve">       </w:t>
      </w:r>
      <w:r>
        <w:rPr>
          <w:rFonts w:hint="eastAsia"/>
          <w:color w:val="000000"/>
          <w:spacing w:val="0"/>
          <w:w w:val="100"/>
          <w:position w:val="0"/>
          <w:sz w:val="28"/>
          <w:szCs w:val="28"/>
          <w:u w:val="none"/>
          <w:lang w:val="en-US" w:eastAsia="zh-CN"/>
        </w:rPr>
        <w:t>的《XXX项目XX采购合同》（以下简称“本合同”）项下的履约</w:t>
      </w:r>
      <w:r>
        <w:rPr>
          <w:color w:val="000000"/>
          <w:spacing w:val="0"/>
          <w:w w:val="100"/>
          <w:position w:val="0"/>
          <w:sz w:val="28"/>
          <w:szCs w:val="28"/>
        </w:rPr>
        <w:t>保函。</w:t>
      </w:r>
    </w:p>
    <w:p>
      <w:pPr>
        <w:pStyle w:val="5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500"/>
        <w:jc w:val="both"/>
        <w:textAlignment w:val="auto"/>
        <w:rPr>
          <w:rFonts w:hint="eastAsia" w:eastAsia="宋体"/>
          <w:sz w:val="28"/>
          <w:szCs w:val="28"/>
          <w:lang w:eastAsia="zh-CN"/>
        </w:rPr>
      </w:pPr>
      <w:r>
        <w:rPr>
          <w:rFonts w:hint="eastAsia"/>
          <w:color w:val="000000"/>
          <w:spacing w:val="0"/>
          <w:w w:val="100"/>
          <w:position w:val="0"/>
          <w:sz w:val="28"/>
          <w:szCs w:val="28"/>
          <w:u w:val="single"/>
          <w:lang w:val="en-US" w:eastAsia="zh-CN"/>
        </w:rPr>
        <w:t>XXXXX银行XXXXXX</w:t>
      </w:r>
      <w:r>
        <w:rPr>
          <w:color w:val="000000"/>
          <w:spacing w:val="0"/>
          <w:w w:val="100"/>
          <w:position w:val="0"/>
          <w:sz w:val="28"/>
          <w:szCs w:val="28"/>
          <w:u w:val="single"/>
        </w:rPr>
        <w:t>支行</w:t>
      </w:r>
      <w:r>
        <w:rPr>
          <w:color w:val="000000"/>
          <w:spacing w:val="0"/>
          <w:w w:val="100"/>
          <w:position w:val="0"/>
          <w:sz w:val="28"/>
          <w:szCs w:val="28"/>
        </w:rPr>
        <w:t>在此保</w:t>
      </w:r>
      <w:r>
        <w:rPr>
          <w:color w:val="000000"/>
          <w:spacing w:val="0"/>
          <w:w w:val="100"/>
          <w:position w:val="0"/>
          <w:sz w:val="28"/>
          <w:szCs w:val="28"/>
          <w:lang w:val="zh-CN" w:eastAsia="zh-CN" w:bidi="zh-CN"/>
        </w:rPr>
        <w:t>证</w:t>
      </w:r>
      <w:r>
        <w:rPr>
          <w:rFonts w:hint="eastAsia"/>
          <w:color w:val="000000"/>
          <w:spacing w:val="0"/>
          <w:w w:val="100"/>
          <w:position w:val="0"/>
          <w:sz w:val="28"/>
          <w:szCs w:val="28"/>
          <w:lang w:val="zh-CN" w:eastAsia="zh-CN" w:bidi="zh-CN"/>
        </w:rPr>
        <w:t>并</w:t>
      </w:r>
      <w:r>
        <w:rPr>
          <w:color w:val="000000"/>
          <w:spacing w:val="0"/>
          <w:w w:val="100"/>
          <w:position w:val="0"/>
          <w:sz w:val="28"/>
          <w:szCs w:val="28"/>
        </w:rPr>
        <w:t>约束本行及其后继者，如保</w:t>
      </w:r>
      <w:r>
        <w:rPr>
          <w:rFonts w:hint="eastAsia"/>
          <w:color w:val="000000"/>
          <w:spacing w:val="0"/>
          <w:w w:val="100"/>
          <w:position w:val="0"/>
          <w:sz w:val="28"/>
          <w:szCs w:val="28"/>
          <w:lang w:eastAsia="zh-CN"/>
        </w:rPr>
        <w:t>函</w:t>
      </w:r>
      <w:r>
        <w:rPr>
          <w:color w:val="000000"/>
          <w:spacing w:val="0"/>
          <w:w w:val="100"/>
          <w:position w:val="0"/>
          <w:sz w:val="28"/>
          <w:szCs w:val="28"/>
        </w:rPr>
        <w:t>申请人未能</w:t>
      </w:r>
      <w:r>
        <w:rPr>
          <w:rFonts w:hint="eastAsia"/>
          <w:color w:val="000000"/>
          <w:spacing w:val="0"/>
          <w:w w:val="100"/>
          <w:position w:val="0"/>
          <w:sz w:val="28"/>
          <w:szCs w:val="28"/>
          <w:lang w:eastAsia="zh-CN"/>
        </w:rPr>
        <w:t>按约定</w:t>
      </w:r>
      <w:r>
        <w:rPr>
          <w:color w:val="000000"/>
          <w:spacing w:val="0"/>
          <w:w w:val="100"/>
          <w:position w:val="0"/>
          <w:sz w:val="28"/>
          <w:szCs w:val="28"/>
        </w:rPr>
        <w:t>履行</w:t>
      </w:r>
      <w:r>
        <w:rPr>
          <w:rFonts w:hint="eastAsia"/>
          <w:color w:val="000000"/>
          <w:spacing w:val="0"/>
          <w:w w:val="100"/>
          <w:position w:val="0"/>
          <w:sz w:val="28"/>
          <w:szCs w:val="28"/>
          <w:lang w:eastAsia="zh-CN"/>
        </w:rPr>
        <w:t>本</w:t>
      </w:r>
      <w:r>
        <w:rPr>
          <w:color w:val="000000"/>
          <w:spacing w:val="0"/>
          <w:w w:val="100"/>
          <w:position w:val="0"/>
          <w:sz w:val="28"/>
          <w:szCs w:val="28"/>
        </w:rPr>
        <w:t>合同或单方面</w:t>
      </w:r>
      <w:r>
        <w:rPr>
          <w:rFonts w:hint="eastAsia"/>
          <w:color w:val="000000"/>
          <w:spacing w:val="0"/>
          <w:w w:val="100"/>
          <w:position w:val="0"/>
          <w:sz w:val="28"/>
          <w:szCs w:val="28"/>
          <w:lang w:eastAsia="zh-CN"/>
        </w:rPr>
        <w:t>终</w:t>
      </w:r>
      <w:r>
        <w:rPr>
          <w:color w:val="000000"/>
          <w:spacing w:val="0"/>
          <w:w w:val="100"/>
          <w:position w:val="0"/>
          <w:sz w:val="28"/>
          <w:szCs w:val="28"/>
        </w:rPr>
        <w:t>止</w:t>
      </w:r>
      <w:r>
        <w:rPr>
          <w:rFonts w:hint="eastAsia"/>
          <w:color w:val="000000"/>
          <w:spacing w:val="0"/>
          <w:w w:val="100"/>
          <w:position w:val="0"/>
          <w:sz w:val="28"/>
          <w:szCs w:val="28"/>
          <w:lang w:eastAsia="zh-CN"/>
        </w:rPr>
        <w:t>本</w:t>
      </w:r>
      <w:r>
        <w:rPr>
          <w:color w:val="000000"/>
          <w:spacing w:val="0"/>
          <w:w w:val="100"/>
          <w:position w:val="0"/>
          <w:sz w:val="28"/>
          <w:szCs w:val="28"/>
        </w:rPr>
        <w:t>合同（以下简称</w:t>
      </w:r>
      <w:r>
        <w:rPr>
          <w:color w:val="000000"/>
          <w:spacing w:val="0"/>
          <w:w w:val="100"/>
          <w:position w:val="0"/>
          <w:sz w:val="28"/>
          <w:szCs w:val="28"/>
          <w:lang w:val="zh-CN" w:eastAsia="zh-CN" w:bidi="zh-CN"/>
        </w:rPr>
        <w:t>“违</w:t>
      </w:r>
      <w:r>
        <w:rPr>
          <w:color w:val="000000"/>
          <w:spacing w:val="0"/>
          <w:w w:val="100"/>
          <w:position w:val="0"/>
          <w:sz w:val="28"/>
          <w:szCs w:val="28"/>
        </w:rPr>
        <w:t>约”），在收到</w:t>
      </w:r>
      <w:r>
        <w:rPr>
          <w:rFonts w:hint="eastAsia"/>
          <w:color w:val="000000"/>
          <w:spacing w:val="0"/>
          <w:w w:val="100"/>
          <w:position w:val="0"/>
          <w:sz w:val="28"/>
          <w:szCs w:val="28"/>
          <w:lang w:eastAsia="zh-CN"/>
        </w:rPr>
        <w:t>保函受益人</w:t>
      </w:r>
      <w:r>
        <w:rPr>
          <w:color w:val="000000"/>
          <w:spacing w:val="0"/>
          <w:w w:val="100"/>
          <w:position w:val="0"/>
          <w:sz w:val="28"/>
          <w:szCs w:val="28"/>
        </w:rPr>
        <w:t>书面索赔通知及保函正本后</w:t>
      </w:r>
      <w:r>
        <w:rPr>
          <w:rFonts w:hint="eastAsia"/>
          <w:color w:val="000000"/>
          <w:spacing w:val="0"/>
          <w:w w:val="100"/>
          <w:position w:val="0"/>
          <w:sz w:val="28"/>
          <w:szCs w:val="28"/>
          <w:u w:val="single"/>
          <w:lang w:val="en-US" w:eastAsia="zh-CN"/>
        </w:rPr>
        <w:t>7</w:t>
      </w:r>
      <w:r>
        <w:rPr>
          <w:rFonts w:hint="eastAsia"/>
          <w:color w:val="000000"/>
          <w:spacing w:val="0"/>
          <w:w w:val="100"/>
          <w:position w:val="0"/>
          <w:sz w:val="28"/>
          <w:szCs w:val="28"/>
          <w:u w:val="none"/>
          <w:lang w:val="en-US" w:eastAsia="zh-CN"/>
        </w:rPr>
        <w:t>个工</w:t>
      </w:r>
      <w:r>
        <w:rPr>
          <w:color w:val="000000"/>
          <w:spacing w:val="0"/>
          <w:w w:val="100"/>
          <w:position w:val="0"/>
          <w:sz w:val="28"/>
          <w:szCs w:val="28"/>
        </w:rPr>
        <w:t>作日内</w:t>
      </w:r>
      <w:r>
        <w:rPr>
          <w:rFonts w:hint="eastAsia"/>
          <w:color w:val="000000"/>
          <w:spacing w:val="0"/>
          <w:w w:val="100"/>
          <w:position w:val="0"/>
          <w:sz w:val="28"/>
          <w:szCs w:val="28"/>
          <w:lang w:eastAsia="zh-CN"/>
        </w:rPr>
        <w:t>向保函受益人支付累</w:t>
      </w:r>
      <w:r>
        <w:rPr>
          <w:color w:val="000000"/>
          <w:spacing w:val="0"/>
          <w:w w:val="100"/>
          <w:position w:val="0"/>
          <w:sz w:val="28"/>
          <w:szCs w:val="28"/>
        </w:rPr>
        <w:t>计金额不超过人民币（大写）</w:t>
      </w:r>
      <w:r>
        <w:rPr>
          <w:rFonts w:hint="eastAsia"/>
          <w:color w:val="000000"/>
          <w:spacing w:val="0"/>
          <w:w w:val="100"/>
          <w:position w:val="0"/>
          <w:sz w:val="28"/>
          <w:szCs w:val="28"/>
          <w:u w:val="single"/>
          <w:lang w:val="en-US" w:eastAsia="zh-CN"/>
        </w:rPr>
        <w:t>XX</w:t>
      </w:r>
      <w:r>
        <w:rPr>
          <w:color w:val="000000"/>
          <w:spacing w:val="0"/>
          <w:w w:val="100"/>
          <w:position w:val="0"/>
          <w:sz w:val="28"/>
          <w:szCs w:val="28"/>
          <w:u w:val="single"/>
        </w:rPr>
        <w:t>元整</w:t>
      </w:r>
      <w:r>
        <w:rPr>
          <w:rFonts w:hint="eastAsia"/>
          <w:color w:val="000000"/>
          <w:spacing w:val="0"/>
          <w:w w:val="100"/>
          <w:position w:val="0"/>
          <w:sz w:val="28"/>
          <w:szCs w:val="28"/>
          <w:lang w:eastAsia="zh-CN"/>
        </w:rPr>
        <w:t>。</w:t>
      </w:r>
    </w:p>
    <w:p>
      <w:pPr>
        <w:pStyle w:val="5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320"/>
        <w:jc w:val="both"/>
        <w:textAlignment w:val="auto"/>
        <w:rPr>
          <w:sz w:val="28"/>
          <w:szCs w:val="28"/>
        </w:rPr>
      </w:pPr>
      <w:r>
        <w:rPr>
          <w:rFonts w:hint="eastAsia"/>
          <w:color w:val="000000"/>
          <w:spacing w:val="0"/>
          <w:w w:val="100"/>
          <w:position w:val="0"/>
          <w:sz w:val="28"/>
          <w:szCs w:val="28"/>
          <w:lang w:val="en-US" w:eastAsia="zh-CN" w:bidi="en-US"/>
        </w:rPr>
        <w:t>本保</w:t>
      </w:r>
      <w:r>
        <w:rPr>
          <w:color w:val="000000"/>
          <w:spacing w:val="0"/>
          <w:w w:val="100"/>
          <w:position w:val="0"/>
          <w:sz w:val="28"/>
          <w:szCs w:val="28"/>
        </w:rPr>
        <w:t>函见索即付,索赔通知书应</w:t>
      </w:r>
      <w:r>
        <w:rPr>
          <w:rFonts w:hint="eastAsia"/>
          <w:color w:val="000000"/>
          <w:spacing w:val="0"/>
          <w:w w:val="100"/>
          <w:position w:val="0"/>
          <w:sz w:val="28"/>
          <w:szCs w:val="28"/>
          <w:lang w:eastAsia="zh-CN"/>
        </w:rPr>
        <w:t>写明</w:t>
      </w:r>
      <w:r>
        <w:rPr>
          <w:color w:val="000000"/>
          <w:spacing w:val="0"/>
          <w:w w:val="100"/>
          <w:position w:val="0"/>
          <w:sz w:val="28"/>
          <w:szCs w:val="28"/>
          <w:lang w:val="zh-CN" w:eastAsia="zh-CN" w:bidi="zh-CN"/>
        </w:rPr>
        <w:t>保函</w:t>
      </w:r>
      <w:r>
        <w:rPr>
          <w:rFonts w:hint="eastAsia"/>
          <w:color w:val="000000"/>
          <w:spacing w:val="0"/>
          <w:w w:val="100"/>
          <w:position w:val="0"/>
          <w:sz w:val="28"/>
          <w:szCs w:val="28"/>
          <w:lang w:eastAsia="zh-CN"/>
        </w:rPr>
        <w:t>申请</w:t>
      </w:r>
      <w:r>
        <w:rPr>
          <w:color w:val="000000"/>
          <w:spacing w:val="0"/>
          <w:w w:val="100"/>
          <w:position w:val="0"/>
          <w:sz w:val="28"/>
          <w:szCs w:val="28"/>
        </w:rPr>
        <w:t>人</w:t>
      </w:r>
      <w:r>
        <w:rPr>
          <w:rFonts w:hint="eastAsia"/>
          <w:color w:val="000000"/>
          <w:spacing w:val="0"/>
          <w:w w:val="100"/>
          <w:position w:val="0"/>
          <w:sz w:val="28"/>
          <w:szCs w:val="28"/>
          <w:lang w:eastAsia="zh-CN"/>
        </w:rPr>
        <w:t>的</w:t>
      </w:r>
      <w:r>
        <w:rPr>
          <w:color w:val="000000"/>
          <w:spacing w:val="0"/>
          <w:w w:val="100"/>
          <w:position w:val="0"/>
          <w:sz w:val="28"/>
          <w:szCs w:val="28"/>
        </w:rPr>
        <w:t>违约</w:t>
      </w:r>
      <w:r>
        <w:rPr>
          <w:rFonts w:hint="eastAsia"/>
          <w:color w:val="000000"/>
          <w:spacing w:val="0"/>
          <w:w w:val="100"/>
          <w:position w:val="0"/>
          <w:sz w:val="28"/>
          <w:szCs w:val="28"/>
          <w:lang w:eastAsia="zh-CN"/>
        </w:rPr>
        <w:t>事实</w:t>
      </w:r>
      <w:r>
        <w:rPr>
          <w:rFonts w:hint="eastAsia"/>
          <w:b w:val="0"/>
          <w:bCs w:val="0"/>
          <w:i w:val="0"/>
          <w:iCs w:val="0"/>
          <w:smallCaps w:val="0"/>
          <w:strike w:val="0"/>
          <w:color w:val="000000"/>
          <w:spacing w:val="0"/>
          <w:w w:val="100"/>
          <w:position w:val="0"/>
          <w:sz w:val="28"/>
          <w:szCs w:val="28"/>
          <w:lang w:eastAsia="zh-CN"/>
        </w:rPr>
        <w:t>及索赔金额</w:t>
      </w:r>
      <w:r>
        <w:rPr>
          <w:color w:val="000000"/>
          <w:spacing w:val="0"/>
          <w:w w:val="100"/>
          <w:position w:val="0"/>
          <w:sz w:val="28"/>
          <w:szCs w:val="28"/>
        </w:rPr>
        <w:t>，</w:t>
      </w:r>
      <w:r>
        <w:rPr>
          <w:color w:val="000000"/>
          <w:spacing w:val="0"/>
          <w:w w:val="100"/>
          <w:position w:val="0"/>
          <w:sz w:val="28"/>
          <w:szCs w:val="28"/>
          <w:lang w:val="zh-CN" w:eastAsia="zh-CN" w:bidi="zh-CN"/>
        </w:rPr>
        <w:t>并由</w:t>
      </w:r>
      <w:r>
        <w:rPr>
          <w:rFonts w:hint="eastAsia"/>
          <w:color w:val="000000"/>
          <w:spacing w:val="0"/>
          <w:w w:val="100"/>
          <w:position w:val="0"/>
          <w:sz w:val="28"/>
          <w:szCs w:val="28"/>
          <w:lang w:val="zh-CN" w:eastAsia="zh-CN" w:bidi="zh-CN"/>
        </w:rPr>
        <w:t>保函受益人</w:t>
      </w:r>
      <w:r>
        <w:rPr>
          <w:color w:val="000000"/>
          <w:spacing w:val="0"/>
          <w:w w:val="100"/>
          <w:position w:val="0"/>
          <w:sz w:val="28"/>
          <w:szCs w:val="28"/>
        </w:rPr>
        <w:t>法定代表人（或</w:t>
      </w:r>
      <w:r>
        <w:rPr>
          <w:rFonts w:hint="eastAsia" w:cs="宋体"/>
          <w:color w:val="000000"/>
          <w:spacing w:val="0"/>
          <w:w w:val="100"/>
          <w:position w:val="0"/>
          <w:sz w:val="28"/>
          <w:szCs w:val="28"/>
          <w:lang w:eastAsia="zh-CN"/>
        </w:rPr>
        <w:t>授权代表</w:t>
      </w:r>
      <w:r>
        <w:rPr>
          <w:color w:val="000000"/>
          <w:spacing w:val="0"/>
          <w:w w:val="100"/>
          <w:position w:val="0"/>
          <w:sz w:val="28"/>
          <w:szCs w:val="28"/>
        </w:rPr>
        <w:t>）签署并加盖公章。</w:t>
      </w:r>
      <w:r>
        <w:rPr>
          <w:rFonts w:hint="eastAsia"/>
          <w:color w:val="000000"/>
          <w:spacing w:val="0"/>
          <w:w w:val="100"/>
          <w:position w:val="0"/>
          <w:sz w:val="28"/>
          <w:szCs w:val="28"/>
          <w:lang w:eastAsia="zh-CN"/>
        </w:rPr>
        <w:t>保函受益人</w:t>
      </w:r>
      <w:r>
        <w:rPr>
          <w:color w:val="000000"/>
          <w:spacing w:val="0"/>
          <w:w w:val="100"/>
          <w:position w:val="0"/>
          <w:sz w:val="28"/>
          <w:szCs w:val="28"/>
        </w:rPr>
        <w:t>无需提供其他证明保函申请人违约的任何证明或证据。</w:t>
      </w:r>
    </w:p>
    <w:p>
      <w:pPr>
        <w:pStyle w:val="5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leftChars="0" w:right="0" w:firstLine="280" w:firstLineChars="100"/>
        <w:jc w:val="left"/>
        <w:textAlignment w:val="auto"/>
        <w:rPr>
          <w:sz w:val="28"/>
          <w:szCs w:val="28"/>
        </w:rPr>
      </w:pPr>
      <w:r>
        <w:rPr>
          <w:color w:val="000000"/>
          <w:spacing w:val="0"/>
          <w:w w:val="100"/>
          <w:position w:val="0"/>
          <w:sz w:val="28"/>
          <w:szCs w:val="28"/>
        </w:rPr>
        <w:t>本保函有效期限自</w:t>
      </w:r>
      <w:r>
        <w:rPr>
          <w:rFonts w:hint="eastAsia"/>
          <w:color w:val="000000"/>
          <w:spacing w:val="0"/>
          <w:w w:val="100"/>
          <w:position w:val="0"/>
          <w:sz w:val="28"/>
          <w:szCs w:val="28"/>
          <w:lang w:val="en-US" w:eastAsia="zh-CN"/>
        </w:rPr>
        <w:t xml:space="preserve">  </w:t>
      </w:r>
      <w:r>
        <w:rPr>
          <w:color w:val="000000"/>
          <w:spacing w:val="0"/>
          <w:w w:val="100"/>
          <w:position w:val="0"/>
          <w:sz w:val="28"/>
          <w:szCs w:val="28"/>
        </w:rPr>
        <w:t>年</w:t>
      </w:r>
      <w:r>
        <w:rPr>
          <w:rFonts w:hint="eastAsia"/>
          <w:color w:val="000000"/>
          <w:spacing w:val="0"/>
          <w:w w:val="100"/>
          <w:position w:val="0"/>
          <w:sz w:val="28"/>
          <w:szCs w:val="28"/>
          <w:lang w:val="en-US" w:eastAsia="zh-CN"/>
        </w:rPr>
        <w:t xml:space="preserve">  </w:t>
      </w:r>
      <w:r>
        <w:rPr>
          <w:color w:val="000000"/>
          <w:spacing w:val="0"/>
          <w:w w:val="100"/>
          <w:position w:val="0"/>
          <w:sz w:val="28"/>
          <w:szCs w:val="28"/>
        </w:rPr>
        <w:t>月</w:t>
      </w:r>
      <w:r>
        <w:rPr>
          <w:rFonts w:hint="eastAsia"/>
          <w:color w:val="000000"/>
          <w:spacing w:val="0"/>
          <w:w w:val="100"/>
          <w:position w:val="0"/>
          <w:sz w:val="28"/>
          <w:szCs w:val="28"/>
          <w:lang w:val="en-US" w:eastAsia="zh-CN"/>
        </w:rPr>
        <w:t xml:space="preserve">   </w:t>
      </w:r>
      <w:r>
        <w:rPr>
          <w:color w:val="000000"/>
          <w:spacing w:val="0"/>
          <w:w w:val="100"/>
          <w:position w:val="0"/>
          <w:sz w:val="28"/>
          <w:szCs w:val="28"/>
        </w:rPr>
        <w:t>日起至</w:t>
      </w:r>
      <w:r>
        <w:rPr>
          <w:rFonts w:hint="eastAsia"/>
          <w:color w:val="000000"/>
          <w:spacing w:val="0"/>
          <w:w w:val="100"/>
          <w:position w:val="0"/>
          <w:sz w:val="28"/>
          <w:szCs w:val="28"/>
          <w:lang w:val="en-US" w:eastAsia="zh-CN"/>
        </w:rPr>
        <w:t xml:space="preserve">    </w:t>
      </w:r>
      <w:r>
        <w:rPr>
          <w:color w:val="000000"/>
          <w:spacing w:val="0"/>
          <w:w w:val="100"/>
          <w:position w:val="0"/>
          <w:sz w:val="28"/>
          <w:szCs w:val="28"/>
        </w:rPr>
        <w:t>年</w:t>
      </w:r>
      <w:r>
        <w:rPr>
          <w:rFonts w:hint="eastAsia"/>
          <w:color w:val="000000"/>
          <w:spacing w:val="0"/>
          <w:w w:val="100"/>
          <w:position w:val="0"/>
          <w:sz w:val="28"/>
          <w:szCs w:val="28"/>
          <w:lang w:val="en-US" w:eastAsia="zh-CN"/>
        </w:rPr>
        <w:t xml:space="preserve">  </w:t>
      </w:r>
      <w:r>
        <w:rPr>
          <w:color w:val="000000"/>
          <w:spacing w:val="0"/>
          <w:w w:val="100"/>
          <w:position w:val="0"/>
          <w:sz w:val="28"/>
          <w:szCs w:val="28"/>
        </w:rPr>
        <w:t xml:space="preserve">月 </w:t>
      </w:r>
      <w:r>
        <w:rPr>
          <w:rFonts w:hint="eastAsia"/>
          <w:color w:val="000000"/>
          <w:spacing w:val="0"/>
          <w:w w:val="100"/>
          <w:position w:val="0"/>
          <w:sz w:val="28"/>
          <w:szCs w:val="28"/>
          <w:lang w:val="en-US" w:eastAsia="zh-CN"/>
        </w:rPr>
        <w:t xml:space="preserve">  </w:t>
      </w:r>
      <w:r>
        <w:rPr>
          <w:color w:val="000000"/>
          <w:spacing w:val="0"/>
          <w:w w:val="100"/>
          <w:position w:val="0"/>
          <w:sz w:val="28"/>
          <w:szCs w:val="28"/>
        </w:rPr>
        <w:t>日止。</w:t>
      </w:r>
    </w:p>
    <w:p>
      <w:pPr>
        <w:pStyle w:val="51"/>
        <w:keepNext w:val="0"/>
        <w:keepLines w:val="0"/>
        <w:pageBreakBefore w:val="0"/>
        <w:widowControl w:val="0"/>
        <w:shd w:val="clear" w:color="auto" w:fill="auto"/>
        <w:tabs>
          <w:tab w:val="left" w:pos="6037"/>
        </w:tabs>
        <w:kinsoku/>
        <w:wordWrap/>
        <w:overflowPunct/>
        <w:topLinePunct w:val="0"/>
        <w:autoSpaceDE/>
        <w:autoSpaceDN/>
        <w:bidi w:val="0"/>
        <w:adjustRightInd/>
        <w:snapToGrid/>
        <w:spacing w:before="0" w:after="0" w:line="600" w:lineRule="exact"/>
        <w:ind w:left="0" w:leftChars="0" w:right="0" w:firstLine="280" w:firstLineChars="100"/>
        <w:jc w:val="left"/>
        <w:textAlignment w:val="auto"/>
        <w:rPr>
          <w:rFonts w:hint="eastAsia" w:ascii="宋体" w:hAnsi="宋体" w:eastAsia="宋体" w:cs="宋体"/>
          <w:color w:val="000000"/>
          <w:spacing w:val="0"/>
          <w:w w:val="100"/>
          <w:position w:val="0"/>
          <w:sz w:val="28"/>
          <w:szCs w:val="28"/>
          <w:lang w:eastAsia="zh-CN"/>
        </w:rPr>
      </w:pPr>
      <w:r>
        <w:rPr>
          <w:rFonts w:hint="eastAsia" w:ascii="宋体" w:hAnsi="宋体" w:eastAsia="宋体" w:cs="宋体"/>
          <w:color w:val="000000"/>
          <w:spacing w:val="0"/>
          <w:w w:val="100"/>
          <w:position w:val="0"/>
          <w:sz w:val="28"/>
          <w:szCs w:val="28"/>
        </w:rPr>
        <w:t>本保函到期后，请将正本保函退回我行注销，但无论正本是否退回, 本保函均告失效。</w:t>
      </w:r>
      <w:r>
        <w:rPr>
          <w:rFonts w:hint="eastAsia" w:ascii="宋体" w:hAnsi="宋体" w:eastAsia="宋体" w:cs="宋体"/>
          <w:color w:val="000000"/>
          <w:spacing w:val="0"/>
          <w:w w:val="100"/>
          <w:position w:val="0"/>
          <w:sz w:val="28"/>
          <w:szCs w:val="28"/>
          <w:lang w:eastAsia="zh-CN"/>
        </w:rPr>
        <w:t>任何索赔要求务必于本保函到期日之前送达我行。</w:t>
      </w:r>
    </w:p>
    <w:p>
      <w:pPr>
        <w:pStyle w:val="51"/>
        <w:keepNext w:val="0"/>
        <w:keepLines w:val="0"/>
        <w:pageBreakBefore w:val="0"/>
        <w:widowControl w:val="0"/>
        <w:shd w:val="clear" w:color="auto" w:fill="auto"/>
        <w:tabs>
          <w:tab w:val="left" w:pos="6037"/>
        </w:tabs>
        <w:kinsoku/>
        <w:wordWrap/>
        <w:overflowPunct/>
        <w:topLinePunct w:val="0"/>
        <w:autoSpaceDE/>
        <w:autoSpaceDN/>
        <w:bidi w:val="0"/>
        <w:adjustRightInd/>
        <w:snapToGrid/>
        <w:spacing w:before="0" w:after="0" w:line="600" w:lineRule="exact"/>
        <w:ind w:right="0" w:firstLine="4656" w:firstLineChars="1663"/>
        <w:jc w:val="left"/>
        <w:textAlignment w:val="auto"/>
        <w:rPr>
          <w:rFonts w:hint="eastAsia" w:ascii="宋体" w:hAnsi="宋体" w:eastAsia="宋体" w:cs="宋体"/>
          <w:color w:val="000000"/>
          <w:spacing w:val="0"/>
          <w:w w:val="100"/>
          <w:position w:val="0"/>
          <w:sz w:val="28"/>
          <w:szCs w:val="28"/>
          <w:lang w:eastAsia="zh-CN"/>
        </w:rPr>
      </w:pPr>
      <w:r>
        <w:rPr>
          <w:rFonts w:hint="eastAsia" w:cs="宋体"/>
          <w:color w:val="000000"/>
          <w:spacing w:val="0"/>
          <w:w w:val="100"/>
          <w:position w:val="0"/>
          <w:sz w:val="28"/>
          <w:szCs w:val="28"/>
          <w:lang w:eastAsia="zh-CN"/>
        </w:rPr>
        <w:t>出函行名称（盖章）</w:t>
      </w:r>
      <w:r>
        <w:rPr>
          <w:rFonts w:hint="eastAsia" w:ascii="宋体" w:hAnsi="宋体" w:eastAsia="宋体" w:cs="宋体"/>
          <w:color w:val="000000"/>
          <w:spacing w:val="0"/>
          <w:w w:val="100"/>
          <w:position w:val="0"/>
          <w:sz w:val="28"/>
          <w:szCs w:val="28"/>
          <w:lang w:eastAsia="zh-CN"/>
        </w:rPr>
        <w:t>：</w:t>
      </w:r>
    </w:p>
    <w:p>
      <w:pPr>
        <w:pStyle w:val="51"/>
        <w:keepNext w:val="0"/>
        <w:keepLines w:val="0"/>
        <w:pageBreakBefore w:val="0"/>
        <w:widowControl w:val="0"/>
        <w:shd w:val="clear" w:color="auto" w:fill="auto"/>
        <w:tabs>
          <w:tab w:val="left" w:pos="6037"/>
        </w:tabs>
        <w:kinsoku/>
        <w:wordWrap/>
        <w:overflowPunct/>
        <w:topLinePunct w:val="0"/>
        <w:autoSpaceDE/>
        <w:autoSpaceDN/>
        <w:bidi w:val="0"/>
        <w:adjustRightInd/>
        <w:snapToGrid/>
        <w:spacing w:before="0" w:after="0" w:line="600" w:lineRule="exact"/>
        <w:ind w:left="0" w:right="0" w:firstLine="5191" w:firstLineChars="1854"/>
        <w:jc w:val="left"/>
        <w:textAlignment w:val="auto"/>
        <w:rPr>
          <w:rFonts w:hint="eastAsia" w:ascii="宋体" w:hAnsi="宋体" w:eastAsia="宋体" w:cs="宋体"/>
          <w:color w:val="000000"/>
          <w:spacing w:val="0"/>
          <w:w w:val="100"/>
          <w:position w:val="0"/>
          <w:sz w:val="28"/>
          <w:szCs w:val="28"/>
          <w:lang w:eastAsia="zh-CN"/>
        </w:rPr>
      </w:pPr>
    </w:p>
    <w:p>
      <w:pPr>
        <w:pStyle w:val="51"/>
        <w:keepNext w:val="0"/>
        <w:keepLines w:val="0"/>
        <w:pageBreakBefore w:val="0"/>
        <w:widowControl w:val="0"/>
        <w:shd w:val="clear" w:color="auto" w:fill="auto"/>
        <w:tabs>
          <w:tab w:val="left" w:pos="6037"/>
        </w:tabs>
        <w:kinsoku/>
        <w:wordWrap/>
        <w:overflowPunct/>
        <w:topLinePunct w:val="0"/>
        <w:autoSpaceDE/>
        <w:autoSpaceDN/>
        <w:bidi w:val="0"/>
        <w:adjustRightInd/>
        <w:snapToGrid/>
        <w:spacing w:before="0" w:after="0" w:line="600" w:lineRule="exact"/>
        <w:ind w:right="0" w:firstLine="2699" w:firstLineChars="964"/>
        <w:jc w:val="left"/>
        <w:textAlignment w:val="auto"/>
        <w:rPr>
          <w:rFonts w:hint="eastAsia" w:ascii="宋体" w:hAnsi="宋体" w:eastAsia="宋体" w:cs="宋体"/>
          <w:color w:val="000000"/>
          <w:spacing w:val="0"/>
          <w:w w:val="100"/>
          <w:position w:val="0"/>
          <w:sz w:val="28"/>
          <w:szCs w:val="28"/>
          <w:lang w:val="en-US" w:eastAsia="zh-CN"/>
        </w:rPr>
      </w:pPr>
      <w:r>
        <w:rPr>
          <w:rFonts w:hint="eastAsia" w:cs="宋体"/>
          <w:color w:val="000000"/>
          <w:spacing w:val="0"/>
          <w:w w:val="100"/>
          <w:position w:val="0"/>
          <w:sz w:val="28"/>
          <w:szCs w:val="28"/>
          <w:lang w:eastAsia="zh-CN"/>
        </w:rPr>
        <w:t>法定</w:t>
      </w:r>
      <w:r>
        <w:rPr>
          <w:rFonts w:hint="eastAsia" w:ascii="宋体" w:hAnsi="宋体" w:eastAsia="宋体" w:cs="宋体"/>
          <w:color w:val="000000"/>
          <w:spacing w:val="0"/>
          <w:w w:val="100"/>
          <w:position w:val="0"/>
          <w:sz w:val="28"/>
          <w:szCs w:val="28"/>
          <w:lang w:eastAsia="zh-CN"/>
        </w:rPr>
        <w:t>代表</w:t>
      </w:r>
      <w:r>
        <w:rPr>
          <w:rFonts w:hint="eastAsia" w:cs="宋体"/>
          <w:color w:val="000000"/>
          <w:spacing w:val="0"/>
          <w:w w:val="100"/>
          <w:position w:val="0"/>
          <w:sz w:val="28"/>
          <w:szCs w:val="28"/>
          <w:lang w:eastAsia="zh-CN"/>
        </w:rPr>
        <w:t>人或授权代表（签字或盖章）</w:t>
      </w:r>
      <w:r>
        <w:rPr>
          <w:rFonts w:hint="eastAsia" w:ascii="宋体" w:hAnsi="宋体" w:eastAsia="宋体" w:cs="宋体"/>
          <w:color w:val="000000"/>
          <w:spacing w:val="0"/>
          <w:w w:val="100"/>
          <w:position w:val="0"/>
          <w:sz w:val="28"/>
          <w:szCs w:val="28"/>
          <w:lang w:eastAsia="zh-CN"/>
        </w:rPr>
        <w:t>：</w:t>
      </w:r>
    </w:p>
    <w:p>
      <w:pPr>
        <w:pStyle w:val="50"/>
        <w:keepNext w:val="0"/>
        <w:keepLines w:val="0"/>
        <w:widowControl w:val="0"/>
        <w:shd w:val="clear" w:color="auto" w:fill="auto"/>
        <w:bidi w:val="0"/>
        <w:spacing w:before="0" w:after="160" w:line="240" w:lineRule="auto"/>
        <w:ind w:left="0" w:right="140" w:firstLine="0"/>
        <w:jc w:val="right"/>
        <w:rPr>
          <w:rFonts w:hint="eastAsia" w:cs="宋体"/>
          <w:color w:val="000000"/>
          <w:spacing w:val="0"/>
          <w:w w:val="100"/>
          <w:position w:val="0"/>
          <w:sz w:val="28"/>
          <w:szCs w:val="28"/>
          <w:lang w:val="en-US" w:eastAsia="zh-CN"/>
        </w:rPr>
      </w:pPr>
    </w:p>
    <w:p>
      <w:pPr>
        <w:pStyle w:val="50"/>
        <w:keepNext w:val="0"/>
        <w:keepLines w:val="0"/>
        <w:widowControl w:val="0"/>
        <w:shd w:val="clear" w:color="auto" w:fill="auto"/>
        <w:bidi w:val="0"/>
        <w:spacing w:before="0" w:after="160" w:line="240" w:lineRule="auto"/>
        <w:ind w:left="0" w:right="140" w:firstLine="0"/>
        <w:jc w:val="center"/>
        <w:rPr>
          <w:rFonts w:hint="eastAsia" w:eastAsia="宋体"/>
          <w:lang w:val="en-US" w:eastAsia="zh-CN"/>
        </w:rPr>
      </w:pPr>
      <w:r>
        <w:rPr>
          <w:rFonts w:hint="eastAsia" w:cs="宋体"/>
          <w:color w:val="000000"/>
          <w:spacing w:val="0"/>
          <w:w w:val="100"/>
          <w:position w:val="0"/>
          <w:sz w:val="28"/>
          <w:szCs w:val="28"/>
          <w:lang w:val="en-US" w:eastAsia="zh-CN"/>
        </w:rPr>
        <w:t xml:space="preserve">                             日    期： </w:t>
      </w:r>
      <w:r>
        <w:rPr>
          <w:rFonts w:hint="eastAsia" w:cs="宋体"/>
          <w:color w:val="000000"/>
          <w:spacing w:val="0"/>
          <w:w w:val="100"/>
          <w:position w:val="0"/>
          <w:lang w:val="en-US" w:eastAsia="zh-CN" w:bidi="zh-TW"/>
        </w:rPr>
        <w:t xml:space="preserve"> </w:t>
      </w:r>
    </w:p>
    <w:p>
      <w:pPr>
        <w:pStyle w:val="51"/>
        <w:keepNext w:val="0"/>
        <w:keepLines w:val="0"/>
        <w:pageBreakBefore w:val="0"/>
        <w:widowControl w:val="0"/>
        <w:shd w:val="clear" w:color="auto" w:fill="auto"/>
        <w:kinsoku/>
        <w:wordWrap/>
        <w:overflowPunct/>
        <w:topLinePunct w:val="0"/>
        <w:autoSpaceDE/>
        <w:autoSpaceDN/>
        <w:bidi w:val="0"/>
        <w:adjustRightInd/>
        <w:snapToGrid/>
        <w:spacing w:before="0" w:after="360" w:line="540" w:lineRule="exact"/>
        <w:ind w:left="0" w:right="0" w:firstLine="500"/>
        <w:jc w:val="both"/>
        <w:textAlignment w:val="auto"/>
        <w:rPr>
          <w:sz w:val="2"/>
          <w:szCs w:val="2"/>
        </w:rPr>
      </w:pPr>
    </w:p>
    <w:p>
      <w:pPr>
        <w:pStyle w:val="2"/>
      </w:pPr>
    </w:p>
    <w:sectPr>
      <w:pgSz w:w="11906" w:h="16838"/>
      <w:pgMar w:top="1451" w:right="1106" w:bottom="1451" w:left="1621" w:header="851" w:footer="992" w:gutter="0"/>
      <w:pgBorders>
        <w:top w:val="none" w:sz="0" w:space="0"/>
        <w:left w:val="none" w:sz="0" w:space="0"/>
        <w:bottom w:val="none" w:sz="0" w:space="0"/>
        <w:right w:val="none" w:sz="0" w:space="0"/>
      </w:pgBorders>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jc w:val="center"/>
                          </w:pPr>
                          <w:r>
                            <w:fldChar w:fldCharType="begin"/>
                          </w:r>
                          <w:r>
                            <w:instrText xml:space="preserve"> PAGE  \* MERGEFORMAT </w:instrText>
                          </w:r>
                          <w:r>
                            <w:fldChar w:fldCharType="separate"/>
                          </w:r>
                          <w:r>
                            <w:t>18</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l1uVLQAAAABQEAAA8AAAAA&#10;AAAAAQAgAAAAIgAAAGRycy9kb3ducmV2LnhtbFBLAQIUABQAAAAIAIdO4kDyLz1ZqgEAAEwDAAAO&#10;AAAAAAAAAAEAIAAAAB8BAABkcnMvZTJvRG9jLnhtbFBLBQYAAAAABgAGAFkBAAA7BQAAAAA=&#10;">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t>18</w:t>
                    </w:r>
                    <w:r>
                      <w:fldChar w:fldCharType="end"/>
                    </w:r>
                  </w:p>
                </w:txbxContent>
              </v:textbox>
            </v:rect>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943" w:hanging="945" w:hangingChars="500"/>
      <w:jc w:val="left"/>
      <w:rPr>
        <w:w w:val="90"/>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943" w:hanging="945" w:hangingChars="500"/>
      <w:jc w:val="left"/>
      <w:rPr>
        <w:w w:val="90"/>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943" w:hanging="945" w:hangingChars="500"/>
      <w:jc w:val="left"/>
      <w:rPr>
        <w:w w:val="9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01450"/>
    <w:multiLevelType w:val="singleLevel"/>
    <w:tmpl w:val="58201450"/>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udy">
    <w15:presenceInfo w15:providerId="WPS Office" w15:userId="5689906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bordersDoNotSurroundHeader w:val="0"/>
  <w:bordersDoNotSurroundFooter w:val="0"/>
  <w:doNotTrackMoves/>
  <w:trackRevisions w:val="1"/>
  <w:documentProtection w:enforcement="0"/>
  <w:defaultTabStop w:val="420"/>
  <w:drawingGridHorizontalSpacing w:val="0"/>
  <w:drawingGridVerticalSpacing w:val="158"/>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07E5"/>
    <w:rsid w:val="00041545"/>
    <w:rsid w:val="00060390"/>
    <w:rsid w:val="00067FAE"/>
    <w:rsid w:val="00127E67"/>
    <w:rsid w:val="00150582"/>
    <w:rsid w:val="00172A27"/>
    <w:rsid w:val="00187ADB"/>
    <w:rsid w:val="001B4E40"/>
    <w:rsid w:val="001C3D8F"/>
    <w:rsid w:val="001F7DBC"/>
    <w:rsid w:val="002508AD"/>
    <w:rsid w:val="002523D9"/>
    <w:rsid w:val="00266789"/>
    <w:rsid w:val="00273DE5"/>
    <w:rsid w:val="002A717B"/>
    <w:rsid w:val="002B4D91"/>
    <w:rsid w:val="002D5483"/>
    <w:rsid w:val="002E6C5B"/>
    <w:rsid w:val="002E75A2"/>
    <w:rsid w:val="00310272"/>
    <w:rsid w:val="00316F27"/>
    <w:rsid w:val="00324229"/>
    <w:rsid w:val="00350EC3"/>
    <w:rsid w:val="00356ADC"/>
    <w:rsid w:val="0037163D"/>
    <w:rsid w:val="004A4E5C"/>
    <w:rsid w:val="004D326C"/>
    <w:rsid w:val="00504270"/>
    <w:rsid w:val="00521CBB"/>
    <w:rsid w:val="00523C3B"/>
    <w:rsid w:val="00526446"/>
    <w:rsid w:val="0058521D"/>
    <w:rsid w:val="005D2FD2"/>
    <w:rsid w:val="00625682"/>
    <w:rsid w:val="00631C44"/>
    <w:rsid w:val="00645EC2"/>
    <w:rsid w:val="00683711"/>
    <w:rsid w:val="006C7CE2"/>
    <w:rsid w:val="007567E9"/>
    <w:rsid w:val="007D1589"/>
    <w:rsid w:val="00820201"/>
    <w:rsid w:val="0086135D"/>
    <w:rsid w:val="00906A6A"/>
    <w:rsid w:val="00961D21"/>
    <w:rsid w:val="0098231D"/>
    <w:rsid w:val="009A3BDC"/>
    <w:rsid w:val="00A715C9"/>
    <w:rsid w:val="00AC1904"/>
    <w:rsid w:val="00AC7A25"/>
    <w:rsid w:val="00AE03A3"/>
    <w:rsid w:val="00AE2409"/>
    <w:rsid w:val="00B13B04"/>
    <w:rsid w:val="00B77373"/>
    <w:rsid w:val="00BC0BB5"/>
    <w:rsid w:val="00BD5A94"/>
    <w:rsid w:val="00BE3DA0"/>
    <w:rsid w:val="00C07F14"/>
    <w:rsid w:val="00C114BB"/>
    <w:rsid w:val="00C23908"/>
    <w:rsid w:val="00C24BF5"/>
    <w:rsid w:val="00CA3748"/>
    <w:rsid w:val="00CB1FB2"/>
    <w:rsid w:val="00CE26A0"/>
    <w:rsid w:val="00CE7116"/>
    <w:rsid w:val="00D97AFC"/>
    <w:rsid w:val="00DA4314"/>
    <w:rsid w:val="00DA454F"/>
    <w:rsid w:val="00DC3137"/>
    <w:rsid w:val="00DD7B77"/>
    <w:rsid w:val="00E566DB"/>
    <w:rsid w:val="00E84490"/>
    <w:rsid w:val="00E9419C"/>
    <w:rsid w:val="00EA09FA"/>
    <w:rsid w:val="00EC55E9"/>
    <w:rsid w:val="00ED159E"/>
    <w:rsid w:val="00EF1E70"/>
    <w:rsid w:val="00F00F95"/>
    <w:rsid w:val="00F3030C"/>
    <w:rsid w:val="00F34ED5"/>
    <w:rsid w:val="00F6035F"/>
    <w:rsid w:val="00FA1CF2"/>
    <w:rsid w:val="00FA6525"/>
    <w:rsid w:val="00FB3D44"/>
    <w:rsid w:val="00FD0C69"/>
    <w:rsid w:val="011F1E6B"/>
    <w:rsid w:val="014A1332"/>
    <w:rsid w:val="015C7B69"/>
    <w:rsid w:val="01687840"/>
    <w:rsid w:val="01970B98"/>
    <w:rsid w:val="01A8675B"/>
    <w:rsid w:val="01C00FAC"/>
    <w:rsid w:val="01F01417"/>
    <w:rsid w:val="0208634F"/>
    <w:rsid w:val="02525643"/>
    <w:rsid w:val="02554C56"/>
    <w:rsid w:val="02BD4815"/>
    <w:rsid w:val="02CB0C64"/>
    <w:rsid w:val="02EF5188"/>
    <w:rsid w:val="03082A06"/>
    <w:rsid w:val="034023F6"/>
    <w:rsid w:val="034B7D5B"/>
    <w:rsid w:val="036C2CC2"/>
    <w:rsid w:val="037C036A"/>
    <w:rsid w:val="03D45985"/>
    <w:rsid w:val="03F33BC4"/>
    <w:rsid w:val="04577B11"/>
    <w:rsid w:val="046A1D8E"/>
    <w:rsid w:val="048418B4"/>
    <w:rsid w:val="049A17D6"/>
    <w:rsid w:val="04AB6F9B"/>
    <w:rsid w:val="04BC6094"/>
    <w:rsid w:val="04C66717"/>
    <w:rsid w:val="054225A3"/>
    <w:rsid w:val="05CA220D"/>
    <w:rsid w:val="06547252"/>
    <w:rsid w:val="065C4566"/>
    <w:rsid w:val="06803DAB"/>
    <w:rsid w:val="06A656D1"/>
    <w:rsid w:val="06C21CE4"/>
    <w:rsid w:val="06C97B70"/>
    <w:rsid w:val="06DE5484"/>
    <w:rsid w:val="06E442AD"/>
    <w:rsid w:val="072253E3"/>
    <w:rsid w:val="07243335"/>
    <w:rsid w:val="07247892"/>
    <w:rsid w:val="076D1A95"/>
    <w:rsid w:val="07E624C4"/>
    <w:rsid w:val="07EB5782"/>
    <w:rsid w:val="07FF0631"/>
    <w:rsid w:val="084624B2"/>
    <w:rsid w:val="08571E13"/>
    <w:rsid w:val="085B2262"/>
    <w:rsid w:val="08C750CD"/>
    <w:rsid w:val="09216050"/>
    <w:rsid w:val="092F1D6D"/>
    <w:rsid w:val="09312C0B"/>
    <w:rsid w:val="094260C0"/>
    <w:rsid w:val="096E7170"/>
    <w:rsid w:val="097215B1"/>
    <w:rsid w:val="09AE0F7B"/>
    <w:rsid w:val="09D27C2B"/>
    <w:rsid w:val="09E67999"/>
    <w:rsid w:val="09EB3B63"/>
    <w:rsid w:val="09F47AAE"/>
    <w:rsid w:val="09FF0204"/>
    <w:rsid w:val="0A3B0CB2"/>
    <w:rsid w:val="0A4D1279"/>
    <w:rsid w:val="0A915F53"/>
    <w:rsid w:val="0AB049BF"/>
    <w:rsid w:val="0AB11AAE"/>
    <w:rsid w:val="0ACD1708"/>
    <w:rsid w:val="0B0279F4"/>
    <w:rsid w:val="0B280E6B"/>
    <w:rsid w:val="0B5D7A50"/>
    <w:rsid w:val="0B6848A6"/>
    <w:rsid w:val="0B6A00A3"/>
    <w:rsid w:val="0B911490"/>
    <w:rsid w:val="0BAF73B6"/>
    <w:rsid w:val="0BDA7E80"/>
    <w:rsid w:val="0C207AF3"/>
    <w:rsid w:val="0C5109F1"/>
    <w:rsid w:val="0C77606C"/>
    <w:rsid w:val="0C802FBE"/>
    <w:rsid w:val="0D9D7D7E"/>
    <w:rsid w:val="0DAF2D1D"/>
    <w:rsid w:val="0DFC2933"/>
    <w:rsid w:val="0E0F7A34"/>
    <w:rsid w:val="0E215372"/>
    <w:rsid w:val="0E432B18"/>
    <w:rsid w:val="0E6B74C2"/>
    <w:rsid w:val="0EF31D53"/>
    <w:rsid w:val="0F7E3348"/>
    <w:rsid w:val="0FAB2617"/>
    <w:rsid w:val="0FB05CBB"/>
    <w:rsid w:val="0FC14025"/>
    <w:rsid w:val="0FDA5AEF"/>
    <w:rsid w:val="0FF33461"/>
    <w:rsid w:val="0FF45419"/>
    <w:rsid w:val="0FFE71F5"/>
    <w:rsid w:val="0FFF2D91"/>
    <w:rsid w:val="10231348"/>
    <w:rsid w:val="1049607A"/>
    <w:rsid w:val="107021CA"/>
    <w:rsid w:val="109E0A94"/>
    <w:rsid w:val="10AA076A"/>
    <w:rsid w:val="10B326B1"/>
    <w:rsid w:val="11384928"/>
    <w:rsid w:val="11600835"/>
    <w:rsid w:val="117864CE"/>
    <w:rsid w:val="119C66DD"/>
    <w:rsid w:val="11BA44A3"/>
    <w:rsid w:val="11F65250"/>
    <w:rsid w:val="11F85ED5"/>
    <w:rsid w:val="121B2BD7"/>
    <w:rsid w:val="123A4BFC"/>
    <w:rsid w:val="127970F5"/>
    <w:rsid w:val="128E5FDF"/>
    <w:rsid w:val="12A3612D"/>
    <w:rsid w:val="12A50CCB"/>
    <w:rsid w:val="12C10215"/>
    <w:rsid w:val="12C32B55"/>
    <w:rsid w:val="1365604D"/>
    <w:rsid w:val="13780B6C"/>
    <w:rsid w:val="139B1EA0"/>
    <w:rsid w:val="13C02EFC"/>
    <w:rsid w:val="14107DC2"/>
    <w:rsid w:val="1419174C"/>
    <w:rsid w:val="142350DF"/>
    <w:rsid w:val="143523B5"/>
    <w:rsid w:val="14446DC6"/>
    <w:rsid w:val="14522C42"/>
    <w:rsid w:val="14646B04"/>
    <w:rsid w:val="1470155C"/>
    <w:rsid w:val="148768C7"/>
    <w:rsid w:val="148821AD"/>
    <w:rsid w:val="14931781"/>
    <w:rsid w:val="149A0759"/>
    <w:rsid w:val="14AB3211"/>
    <w:rsid w:val="14E325E2"/>
    <w:rsid w:val="153C7BA5"/>
    <w:rsid w:val="156F2D05"/>
    <w:rsid w:val="158D019E"/>
    <w:rsid w:val="15965BCA"/>
    <w:rsid w:val="160819FE"/>
    <w:rsid w:val="160E0FA4"/>
    <w:rsid w:val="169C257F"/>
    <w:rsid w:val="16AB5D6F"/>
    <w:rsid w:val="173F1D18"/>
    <w:rsid w:val="176D4F94"/>
    <w:rsid w:val="1779692D"/>
    <w:rsid w:val="178228F1"/>
    <w:rsid w:val="17C6049C"/>
    <w:rsid w:val="17C64A7D"/>
    <w:rsid w:val="17D13249"/>
    <w:rsid w:val="17DD0EBB"/>
    <w:rsid w:val="17E7209C"/>
    <w:rsid w:val="18413A1D"/>
    <w:rsid w:val="18446D34"/>
    <w:rsid w:val="18512EDF"/>
    <w:rsid w:val="188449EC"/>
    <w:rsid w:val="188A4A7F"/>
    <w:rsid w:val="18EC6370"/>
    <w:rsid w:val="191F33B6"/>
    <w:rsid w:val="192E1580"/>
    <w:rsid w:val="19455EC0"/>
    <w:rsid w:val="196744F1"/>
    <w:rsid w:val="19817FAA"/>
    <w:rsid w:val="19F66EDF"/>
    <w:rsid w:val="1A033978"/>
    <w:rsid w:val="1A064FC7"/>
    <w:rsid w:val="1A3618B9"/>
    <w:rsid w:val="1A3E2BF6"/>
    <w:rsid w:val="1A8431CD"/>
    <w:rsid w:val="1A9052E1"/>
    <w:rsid w:val="1AA81FA2"/>
    <w:rsid w:val="1AB30EE5"/>
    <w:rsid w:val="1AF90E87"/>
    <w:rsid w:val="1AFD563C"/>
    <w:rsid w:val="1B063590"/>
    <w:rsid w:val="1B4A70A3"/>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561F27"/>
    <w:rsid w:val="1D861A19"/>
    <w:rsid w:val="1D9C4107"/>
    <w:rsid w:val="1DBF0B16"/>
    <w:rsid w:val="1DE83602"/>
    <w:rsid w:val="1E0323C3"/>
    <w:rsid w:val="1E122A01"/>
    <w:rsid w:val="1E2453D1"/>
    <w:rsid w:val="1E390105"/>
    <w:rsid w:val="1E5550C6"/>
    <w:rsid w:val="1E687282"/>
    <w:rsid w:val="1E6D350B"/>
    <w:rsid w:val="1EA96664"/>
    <w:rsid w:val="1EB55C12"/>
    <w:rsid w:val="1EBA1DFD"/>
    <w:rsid w:val="1EFC4C0E"/>
    <w:rsid w:val="1F052146"/>
    <w:rsid w:val="1F116ACA"/>
    <w:rsid w:val="1F5A63E4"/>
    <w:rsid w:val="1F926F07"/>
    <w:rsid w:val="1FC4292A"/>
    <w:rsid w:val="1FE6055D"/>
    <w:rsid w:val="202B74A8"/>
    <w:rsid w:val="206467B2"/>
    <w:rsid w:val="207579F8"/>
    <w:rsid w:val="208869F0"/>
    <w:rsid w:val="209D7D3F"/>
    <w:rsid w:val="20A10DDC"/>
    <w:rsid w:val="20EC7CFA"/>
    <w:rsid w:val="21775883"/>
    <w:rsid w:val="21927222"/>
    <w:rsid w:val="21B94A0E"/>
    <w:rsid w:val="21C205E7"/>
    <w:rsid w:val="21ED6DC3"/>
    <w:rsid w:val="220554CC"/>
    <w:rsid w:val="221E0EFA"/>
    <w:rsid w:val="22247E6B"/>
    <w:rsid w:val="228133AE"/>
    <w:rsid w:val="22D82A28"/>
    <w:rsid w:val="239434A4"/>
    <w:rsid w:val="23997A08"/>
    <w:rsid w:val="23E52F82"/>
    <w:rsid w:val="23F05575"/>
    <w:rsid w:val="244619A7"/>
    <w:rsid w:val="244B5FFC"/>
    <w:rsid w:val="24520CE8"/>
    <w:rsid w:val="248049CC"/>
    <w:rsid w:val="24A860DB"/>
    <w:rsid w:val="24C56DE2"/>
    <w:rsid w:val="25093DE7"/>
    <w:rsid w:val="25153B48"/>
    <w:rsid w:val="251F26A6"/>
    <w:rsid w:val="2532586B"/>
    <w:rsid w:val="2547689F"/>
    <w:rsid w:val="256B71B8"/>
    <w:rsid w:val="25753F17"/>
    <w:rsid w:val="25E97886"/>
    <w:rsid w:val="25EC4743"/>
    <w:rsid w:val="25F8111F"/>
    <w:rsid w:val="260605CF"/>
    <w:rsid w:val="26111AA1"/>
    <w:rsid w:val="26355B31"/>
    <w:rsid w:val="26915562"/>
    <w:rsid w:val="269E671B"/>
    <w:rsid w:val="26A65D58"/>
    <w:rsid w:val="26E056B7"/>
    <w:rsid w:val="26FD7B12"/>
    <w:rsid w:val="27825C48"/>
    <w:rsid w:val="278A6C46"/>
    <w:rsid w:val="278E46DE"/>
    <w:rsid w:val="27AA3B80"/>
    <w:rsid w:val="27EB21D9"/>
    <w:rsid w:val="27F76719"/>
    <w:rsid w:val="2833012D"/>
    <w:rsid w:val="283D22FA"/>
    <w:rsid w:val="288E2B78"/>
    <w:rsid w:val="28AA6F2D"/>
    <w:rsid w:val="28D754F4"/>
    <w:rsid w:val="28E6183C"/>
    <w:rsid w:val="28F53459"/>
    <w:rsid w:val="29084BE8"/>
    <w:rsid w:val="29363589"/>
    <w:rsid w:val="29C276BB"/>
    <w:rsid w:val="29E33E3C"/>
    <w:rsid w:val="2A093BA7"/>
    <w:rsid w:val="2A22143F"/>
    <w:rsid w:val="2A355154"/>
    <w:rsid w:val="2A5D3596"/>
    <w:rsid w:val="2A84358E"/>
    <w:rsid w:val="2AAE16AE"/>
    <w:rsid w:val="2ABB19BA"/>
    <w:rsid w:val="2ADA7E3B"/>
    <w:rsid w:val="2AF6125A"/>
    <w:rsid w:val="2AF97A6D"/>
    <w:rsid w:val="2B407844"/>
    <w:rsid w:val="2B475ABF"/>
    <w:rsid w:val="2B614F85"/>
    <w:rsid w:val="2C43762D"/>
    <w:rsid w:val="2C467059"/>
    <w:rsid w:val="2C532B9C"/>
    <w:rsid w:val="2C644F00"/>
    <w:rsid w:val="2C9F7935"/>
    <w:rsid w:val="2CBE1A27"/>
    <w:rsid w:val="2CEA2E05"/>
    <w:rsid w:val="2D134569"/>
    <w:rsid w:val="2D4056A8"/>
    <w:rsid w:val="2D5E3136"/>
    <w:rsid w:val="2D617589"/>
    <w:rsid w:val="2D6A00F2"/>
    <w:rsid w:val="2D9B20AC"/>
    <w:rsid w:val="2DB46B8B"/>
    <w:rsid w:val="2DB85A5A"/>
    <w:rsid w:val="2DEC3739"/>
    <w:rsid w:val="2E036485"/>
    <w:rsid w:val="2E1C3D28"/>
    <w:rsid w:val="2E2B6BD6"/>
    <w:rsid w:val="2E7F7C8D"/>
    <w:rsid w:val="2E837F60"/>
    <w:rsid w:val="2EAC5BF0"/>
    <w:rsid w:val="2EB61A55"/>
    <w:rsid w:val="2EC94AED"/>
    <w:rsid w:val="2F065C7A"/>
    <w:rsid w:val="2FBC2054"/>
    <w:rsid w:val="2FBE1BA9"/>
    <w:rsid w:val="302531AC"/>
    <w:rsid w:val="30336EF3"/>
    <w:rsid w:val="30595801"/>
    <w:rsid w:val="30631250"/>
    <w:rsid w:val="306D14B4"/>
    <w:rsid w:val="307F174A"/>
    <w:rsid w:val="308E6A35"/>
    <w:rsid w:val="30AF41C8"/>
    <w:rsid w:val="30DE5CEC"/>
    <w:rsid w:val="3104648E"/>
    <w:rsid w:val="311214AF"/>
    <w:rsid w:val="3130726A"/>
    <w:rsid w:val="313B7530"/>
    <w:rsid w:val="319A1FA1"/>
    <w:rsid w:val="31A03E43"/>
    <w:rsid w:val="31BC6EE7"/>
    <w:rsid w:val="321A05C0"/>
    <w:rsid w:val="322A1AD2"/>
    <w:rsid w:val="32391208"/>
    <w:rsid w:val="32462C69"/>
    <w:rsid w:val="325C4826"/>
    <w:rsid w:val="32630B52"/>
    <w:rsid w:val="327E3F3F"/>
    <w:rsid w:val="3289631F"/>
    <w:rsid w:val="32A022D1"/>
    <w:rsid w:val="32A91E6D"/>
    <w:rsid w:val="32B90C03"/>
    <w:rsid w:val="32BB708B"/>
    <w:rsid w:val="32C32EA4"/>
    <w:rsid w:val="32FB01FE"/>
    <w:rsid w:val="335E7DDB"/>
    <w:rsid w:val="338A2CFC"/>
    <w:rsid w:val="33F2042A"/>
    <w:rsid w:val="341C22A6"/>
    <w:rsid w:val="342C2EAA"/>
    <w:rsid w:val="344B0BEB"/>
    <w:rsid w:val="346A5AEA"/>
    <w:rsid w:val="34DD3BBB"/>
    <w:rsid w:val="351A3055"/>
    <w:rsid w:val="35270CE2"/>
    <w:rsid w:val="352749E2"/>
    <w:rsid w:val="35422776"/>
    <w:rsid w:val="354B57F8"/>
    <w:rsid w:val="35553E0A"/>
    <w:rsid w:val="35D4711A"/>
    <w:rsid w:val="35EC49F7"/>
    <w:rsid w:val="360055E6"/>
    <w:rsid w:val="36204975"/>
    <w:rsid w:val="36310EC9"/>
    <w:rsid w:val="36323E01"/>
    <w:rsid w:val="36517391"/>
    <w:rsid w:val="367E1FB1"/>
    <w:rsid w:val="368446E2"/>
    <w:rsid w:val="368D0FC3"/>
    <w:rsid w:val="36DC7AFD"/>
    <w:rsid w:val="36E8722A"/>
    <w:rsid w:val="36F64A9B"/>
    <w:rsid w:val="36F66AC5"/>
    <w:rsid w:val="36FE7FA9"/>
    <w:rsid w:val="37025C7B"/>
    <w:rsid w:val="372C6B3D"/>
    <w:rsid w:val="373839DF"/>
    <w:rsid w:val="373C2C29"/>
    <w:rsid w:val="37586F45"/>
    <w:rsid w:val="37602D82"/>
    <w:rsid w:val="377D2A75"/>
    <w:rsid w:val="37945050"/>
    <w:rsid w:val="37A25D83"/>
    <w:rsid w:val="37B33975"/>
    <w:rsid w:val="37BE4B79"/>
    <w:rsid w:val="37C1567F"/>
    <w:rsid w:val="37D80A3B"/>
    <w:rsid w:val="380E6B11"/>
    <w:rsid w:val="381D1802"/>
    <w:rsid w:val="38650FE3"/>
    <w:rsid w:val="394A7380"/>
    <w:rsid w:val="39C61CA1"/>
    <w:rsid w:val="39EA459E"/>
    <w:rsid w:val="39EA6F8B"/>
    <w:rsid w:val="3A556B74"/>
    <w:rsid w:val="3AA001EE"/>
    <w:rsid w:val="3AC76FAE"/>
    <w:rsid w:val="3AD569E6"/>
    <w:rsid w:val="3B3A27CB"/>
    <w:rsid w:val="3B4D1189"/>
    <w:rsid w:val="3BA04486"/>
    <w:rsid w:val="3BBD741D"/>
    <w:rsid w:val="3BEA750A"/>
    <w:rsid w:val="3C005E0E"/>
    <w:rsid w:val="3C5E6CCA"/>
    <w:rsid w:val="3CA64F96"/>
    <w:rsid w:val="3CB87433"/>
    <w:rsid w:val="3D1D69B0"/>
    <w:rsid w:val="3D3B79A8"/>
    <w:rsid w:val="3D752AB0"/>
    <w:rsid w:val="3D7E6AEE"/>
    <w:rsid w:val="3DBB2DE2"/>
    <w:rsid w:val="3DDE554A"/>
    <w:rsid w:val="3E053EEE"/>
    <w:rsid w:val="3E135344"/>
    <w:rsid w:val="3E165061"/>
    <w:rsid w:val="3E2B5D2D"/>
    <w:rsid w:val="3E4B004D"/>
    <w:rsid w:val="3E4F7973"/>
    <w:rsid w:val="3E6A78F7"/>
    <w:rsid w:val="3E701A53"/>
    <w:rsid w:val="3E7A08FC"/>
    <w:rsid w:val="3E815DF3"/>
    <w:rsid w:val="3E885815"/>
    <w:rsid w:val="3E8F77BD"/>
    <w:rsid w:val="3F0356B3"/>
    <w:rsid w:val="3F0E2A4F"/>
    <w:rsid w:val="3F0F7228"/>
    <w:rsid w:val="3F800439"/>
    <w:rsid w:val="3F9F4408"/>
    <w:rsid w:val="3FB76825"/>
    <w:rsid w:val="3FFF15AA"/>
    <w:rsid w:val="402501D6"/>
    <w:rsid w:val="404674DD"/>
    <w:rsid w:val="407E76FB"/>
    <w:rsid w:val="4086336F"/>
    <w:rsid w:val="41155243"/>
    <w:rsid w:val="412132D7"/>
    <w:rsid w:val="414F5821"/>
    <w:rsid w:val="415B3485"/>
    <w:rsid w:val="4168626C"/>
    <w:rsid w:val="417C1472"/>
    <w:rsid w:val="41FC03DA"/>
    <w:rsid w:val="42721BE9"/>
    <w:rsid w:val="42D204FD"/>
    <w:rsid w:val="42DF3BD4"/>
    <w:rsid w:val="4314170A"/>
    <w:rsid w:val="43640105"/>
    <w:rsid w:val="43647479"/>
    <w:rsid w:val="436C46FD"/>
    <w:rsid w:val="43921A87"/>
    <w:rsid w:val="44407B63"/>
    <w:rsid w:val="446400E3"/>
    <w:rsid w:val="449523E8"/>
    <w:rsid w:val="454741A5"/>
    <w:rsid w:val="45651531"/>
    <w:rsid w:val="45B3578C"/>
    <w:rsid w:val="45D915B4"/>
    <w:rsid w:val="45FE7A1E"/>
    <w:rsid w:val="462776E5"/>
    <w:rsid w:val="469B0AD6"/>
    <w:rsid w:val="46E5695A"/>
    <w:rsid w:val="46FC26D6"/>
    <w:rsid w:val="472D6919"/>
    <w:rsid w:val="474A5AF8"/>
    <w:rsid w:val="477529E9"/>
    <w:rsid w:val="485D085D"/>
    <w:rsid w:val="487E5550"/>
    <w:rsid w:val="489B44C4"/>
    <w:rsid w:val="49036102"/>
    <w:rsid w:val="495E79A1"/>
    <w:rsid w:val="498B5615"/>
    <w:rsid w:val="49994883"/>
    <w:rsid w:val="49A04DA5"/>
    <w:rsid w:val="4A7877B3"/>
    <w:rsid w:val="4A8F1D11"/>
    <w:rsid w:val="4AC978DA"/>
    <w:rsid w:val="4AD2651D"/>
    <w:rsid w:val="4ADF07DA"/>
    <w:rsid w:val="4AE2664F"/>
    <w:rsid w:val="4B152746"/>
    <w:rsid w:val="4B327CD7"/>
    <w:rsid w:val="4B567DD1"/>
    <w:rsid w:val="4B611088"/>
    <w:rsid w:val="4BB05531"/>
    <w:rsid w:val="4C135437"/>
    <w:rsid w:val="4C1715BA"/>
    <w:rsid w:val="4C4644D1"/>
    <w:rsid w:val="4C6E30F2"/>
    <w:rsid w:val="4CB062DF"/>
    <w:rsid w:val="4CFA4D6F"/>
    <w:rsid w:val="4D2C394A"/>
    <w:rsid w:val="4D764EE9"/>
    <w:rsid w:val="4D9D505A"/>
    <w:rsid w:val="4DB36E54"/>
    <w:rsid w:val="4DD23E4B"/>
    <w:rsid w:val="4DEC19B6"/>
    <w:rsid w:val="4DFB0966"/>
    <w:rsid w:val="4E1A754C"/>
    <w:rsid w:val="4E291987"/>
    <w:rsid w:val="4E3E07B2"/>
    <w:rsid w:val="4E7A2AF6"/>
    <w:rsid w:val="4EF31C24"/>
    <w:rsid w:val="4EF4033D"/>
    <w:rsid w:val="4F222A81"/>
    <w:rsid w:val="4F264A96"/>
    <w:rsid w:val="4F397DAD"/>
    <w:rsid w:val="4F693BA6"/>
    <w:rsid w:val="4F9706B0"/>
    <w:rsid w:val="4FE036FE"/>
    <w:rsid w:val="50094F46"/>
    <w:rsid w:val="500E0D24"/>
    <w:rsid w:val="502923D5"/>
    <w:rsid w:val="50734F15"/>
    <w:rsid w:val="50797170"/>
    <w:rsid w:val="50953A1E"/>
    <w:rsid w:val="50C435A0"/>
    <w:rsid w:val="515A106D"/>
    <w:rsid w:val="517F0B84"/>
    <w:rsid w:val="51C3517B"/>
    <w:rsid w:val="523B4D62"/>
    <w:rsid w:val="52412A4D"/>
    <w:rsid w:val="5275330B"/>
    <w:rsid w:val="529225EC"/>
    <w:rsid w:val="52A72A0E"/>
    <w:rsid w:val="52CB6247"/>
    <w:rsid w:val="52FC460F"/>
    <w:rsid w:val="532B0C81"/>
    <w:rsid w:val="53373425"/>
    <w:rsid w:val="535B1B9C"/>
    <w:rsid w:val="5363089F"/>
    <w:rsid w:val="53704AC4"/>
    <w:rsid w:val="537A1FDE"/>
    <w:rsid w:val="53AA7E80"/>
    <w:rsid w:val="53FD7347"/>
    <w:rsid w:val="54062DF9"/>
    <w:rsid w:val="54782E90"/>
    <w:rsid w:val="54F45033"/>
    <w:rsid w:val="551D05CB"/>
    <w:rsid w:val="55973029"/>
    <w:rsid w:val="55C07044"/>
    <w:rsid w:val="55FA4C56"/>
    <w:rsid w:val="56330F29"/>
    <w:rsid w:val="56B9554C"/>
    <w:rsid w:val="57131EAE"/>
    <w:rsid w:val="57245C51"/>
    <w:rsid w:val="57290434"/>
    <w:rsid w:val="57322212"/>
    <w:rsid w:val="573E59B2"/>
    <w:rsid w:val="57D36B72"/>
    <w:rsid w:val="580E3752"/>
    <w:rsid w:val="5812129C"/>
    <w:rsid w:val="58434C4E"/>
    <w:rsid w:val="585D5578"/>
    <w:rsid w:val="58760537"/>
    <w:rsid w:val="58817556"/>
    <w:rsid w:val="58B8235C"/>
    <w:rsid w:val="58C10852"/>
    <w:rsid w:val="58C32D33"/>
    <w:rsid w:val="58D3251A"/>
    <w:rsid w:val="58E517D7"/>
    <w:rsid w:val="59507A2D"/>
    <w:rsid w:val="59544106"/>
    <w:rsid w:val="59A478C7"/>
    <w:rsid w:val="59DD4863"/>
    <w:rsid w:val="59F61B64"/>
    <w:rsid w:val="5A146EB4"/>
    <w:rsid w:val="5A244B36"/>
    <w:rsid w:val="5A5F14AF"/>
    <w:rsid w:val="5ACA1629"/>
    <w:rsid w:val="5AFA7DC1"/>
    <w:rsid w:val="5B400476"/>
    <w:rsid w:val="5B504132"/>
    <w:rsid w:val="5B6D2119"/>
    <w:rsid w:val="5B830C63"/>
    <w:rsid w:val="5BA456AB"/>
    <w:rsid w:val="5BB43189"/>
    <w:rsid w:val="5BDE62B2"/>
    <w:rsid w:val="5BE85DFD"/>
    <w:rsid w:val="5C163563"/>
    <w:rsid w:val="5C250771"/>
    <w:rsid w:val="5C480A21"/>
    <w:rsid w:val="5C6A11B8"/>
    <w:rsid w:val="5C9E4D27"/>
    <w:rsid w:val="5CAB110F"/>
    <w:rsid w:val="5CF034EE"/>
    <w:rsid w:val="5CFB5BBE"/>
    <w:rsid w:val="5D0618E4"/>
    <w:rsid w:val="5D1675FF"/>
    <w:rsid w:val="5D92185F"/>
    <w:rsid w:val="5DB51A2A"/>
    <w:rsid w:val="5E1961B6"/>
    <w:rsid w:val="5E5C1A88"/>
    <w:rsid w:val="5E7B2EAF"/>
    <w:rsid w:val="5E9B58A7"/>
    <w:rsid w:val="5EFB3D10"/>
    <w:rsid w:val="5EFD64C6"/>
    <w:rsid w:val="5F1354FE"/>
    <w:rsid w:val="5F3C5EF2"/>
    <w:rsid w:val="5F7E048F"/>
    <w:rsid w:val="5F8E1C6E"/>
    <w:rsid w:val="5FA85F9E"/>
    <w:rsid w:val="5FF4177C"/>
    <w:rsid w:val="6023660D"/>
    <w:rsid w:val="6060517C"/>
    <w:rsid w:val="60937D36"/>
    <w:rsid w:val="60E56BEB"/>
    <w:rsid w:val="60EC42AA"/>
    <w:rsid w:val="61286726"/>
    <w:rsid w:val="61294225"/>
    <w:rsid w:val="6152674D"/>
    <w:rsid w:val="626A3FD8"/>
    <w:rsid w:val="628A3171"/>
    <w:rsid w:val="62D2253D"/>
    <w:rsid w:val="62FB5FE8"/>
    <w:rsid w:val="630E37E0"/>
    <w:rsid w:val="630E7832"/>
    <w:rsid w:val="63192F14"/>
    <w:rsid w:val="6384546F"/>
    <w:rsid w:val="638533C5"/>
    <w:rsid w:val="638B51D1"/>
    <w:rsid w:val="639B175A"/>
    <w:rsid w:val="63AD2034"/>
    <w:rsid w:val="640E6DC2"/>
    <w:rsid w:val="646A2CDA"/>
    <w:rsid w:val="64936E4D"/>
    <w:rsid w:val="649707A9"/>
    <w:rsid w:val="64AA5D04"/>
    <w:rsid w:val="64B63B41"/>
    <w:rsid w:val="64FE06CA"/>
    <w:rsid w:val="655864EE"/>
    <w:rsid w:val="656F66B9"/>
    <w:rsid w:val="65860DD7"/>
    <w:rsid w:val="65BC58E6"/>
    <w:rsid w:val="65BE1F6B"/>
    <w:rsid w:val="65DE1932"/>
    <w:rsid w:val="65E76365"/>
    <w:rsid w:val="65FE3636"/>
    <w:rsid w:val="66521A82"/>
    <w:rsid w:val="666242A1"/>
    <w:rsid w:val="666F5691"/>
    <w:rsid w:val="66C437D9"/>
    <w:rsid w:val="67671849"/>
    <w:rsid w:val="67841358"/>
    <w:rsid w:val="67A73245"/>
    <w:rsid w:val="67F47896"/>
    <w:rsid w:val="67F97B08"/>
    <w:rsid w:val="680A2E3B"/>
    <w:rsid w:val="68220851"/>
    <w:rsid w:val="685308B6"/>
    <w:rsid w:val="68672FE7"/>
    <w:rsid w:val="688F4B8F"/>
    <w:rsid w:val="689801F5"/>
    <w:rsid w:val="68AB2898"/>
    <w:rsid w:val="68E57CBB"/>
    <w:rsid w:val="695437D4"/>
    <w:rsid w:val="69677339"/>
    <w:rsid w:val="696C5538"/>
    <w:rsid w:val="699651EE"/>
    <w:rsid w:val="6A135DFE"/>
    <w:rsid w:val="6A403E8B"/>
    <w:rsid w:val="6A427D51"/>
    <w:rsid w:val="6A5B7965"/>
    <w:rsid w:val="6A6E7D16"/>
    <w:rsid w:val="6A923238"/>
    <w:rsid w:val="6A9D6C13"/>
    <w:rsid w:val="6AA13C96"/>
    <w:rsid w:val="6AB70FF5"/>
    <w:rsid w:val="6ABA79BB"/>
    <w:rsid w:val="6AC755BB"/>
    <w:rsid w:val="6AC90992"/>
    <w:rsid w:val="6ACA2D4A"/>
    <w:rsid w:val="6AF90E6A"/>
    <w:rsid w:val="6B257366"/>
    <w:rsid w:val="6B4240D7"/>
    <w:rsid w:val="6B446E8F"/>
    <w:rsid w:val="6B7A7393"/>
    <w:rsid w:val="6B821F56"/>
    <w:rsid w:val="6B9352EB"/>
    <w:rsid w:val="6BB00F39"/>
    <w:rsid w:val="6BD80F02"/>
    <w:rsid w:val="6BF75130"/>
    <w:rsid w:val="6C0243E8"/>
    <w:rsid w:val="6C0C042A"/>
    <w:rsid w:val="6C144391"/>
    <w:rsid w:val="6C1F1A80"/>
    <w:rsid w:val="6C2B3686"/>
    <w:rsid w:val="6C602BF8"/>
    <w:rsid w:val="6C646B55"/>
    <w:rsid w:val="6C6A2018"/>
    <w:rsid w:val="6C84496D"/>
    <w:rsid w:val="6C9B6F6D"/>
    <w:rsid w:val="6CB956B8"/>
    <w:rsid w:val="6CC26A37"/>
    <w:rsid w:val="6CCC2195"/>
    <w:rsid w:val="6CDA3879"/>
    <w:rsid w:val="6CED794C"/>
    <w:rsid w:val="6CEF41F3"/>
    <w:rsid w:val="6D125244"/>
    <w:rsid w:val="6D4A4E43"/>
    <w:rsid w:val="6DA07E90"/>
    <w:rsid w:val="6DA10569"/>
    <w:rsid w:val="6DB079AB"/>
    <w:rsid w:val="6DC73002"/>
    <w:rsid w:val="6DF40668"/>
    <w:rsid w:val="6DF54902"/>
    <w:rsid w:val="6E59443B"/>
    <w:rsid w:val="6E604E79"/>
    <w:rsid w:val="6E7A6C7B"/>
    <w:rsid w:val="6E9940CC"/>
    <w:rsid w:val="6EA43B52"/>
    <w:rsid w:val="6EC725A3"/>
    <w:rsid w:val="6EE639B5"/>
    <w:rsid w:val="6EFF2498"/>
    <w:rsid w:val="6F1117A0"/>
    <w:rsid w:val="6F1261C5"/>
    <w:rsid w:val="6F207F99"/>
    <w:rsid w:val="6F263524"/>
    <w:rsid w:val="6F2A69AE"/>
    <w:rsid w:val="6F6064F0"/>
    <w:rsid w:val="6F784085"/>
    <w:rsid w:val="6F8F5B19"/>
    <w:rsid w:val="6FAB6A03"/>
    <w:rsid w:val="6FDB7429"/>
    <w:rsid w:val="70012A12"/>
    <w:rsid w:val="709B1AAB"/>
    <w:rsid w:val="70AA1A09"/>
    <w:rsid w:val="70AD6C1E"/>
    <w:rsid w:val="70B03D8E"/>
    <w:rsid w:val="71061E75"/>
    <w:rsid w:val="7111048D"/>
    <w:rsid w:val="7128274E"/>
    <w:rsid w:val="71546B60"/>
    <w:rsid w:val="71911563"/>
    <w:rsid w:val="719F3FBA"/>
    <w:rsid w:val="71BA13B8"/>
    <w:rsid w:val="71CF7926"/>
    <w:rsid w:val="71D06075"/>
    <w:rsid w:val="71F11FC3"/>
    <w:rsid w:val="720C5C41"/>
    <w:rsid w:val="72174A47"/>
    <w:rsid w:val="724C552E"/>
    <w:rsid w:val="72524AEC"/>
    <w:rsid w:val="72706231"/>
    <w:rsid w:val="72AF4677"/>
    <w:rsid w:val="72D01629"/>
    <w:rsid w:val="72DF40D4"/>
    <w:rsid w:val="72ED6BD9"/>
    <w:rsid w:val="73113435"/>
    <w:rsid w:val="736A6B45"/>
    <w:rsid w:val="736B6A6F"/>
    <w:rsid w:val="738E612E"/>
    <w:rsid w:val="73F619DE"/>
    <w:rsid w:val="7416298B"/>
    <w:rsid w:val="74295763"/>
    <w:rsid w:val="745F6F6C"/>
    <w:rsid w:val="74675E03"/>
    <w:rsid w:val="746A2EA0"/>
    <w:rsid w:val="7477445F"/>
    <w:rsid w:val="74965DF3"/>
    <w:rsid w:val="74995CDC"/>
    <w:rsid w:val="751C0FB6"/>
    <w:rsid w:val="751F15C3"/>
    <w:rsid w:val="75996EF2"/>
    <w:rsid w:val="75E033FF"/>
    <w:rsid w:val="75ED095A"/>
    <w:rsid w:val="75F76612"/>
    <w:rsid w:val="76151CE9"/>
    <w:rsid w:val="768D7EFA"/>
    <w:rsid w:val="76C55626"/>
    <w:rsid w:val="77020F10"/>
    <w:rsid w:val="77165451"/>
    <w:rsid w:val="77304D94"/>
    <w:rsid w:val="7743392E"/>
    <w:rsid w:val="777C486B"/>
    <w:rsid w:val="77912E0C"/>
    <w:rsid w:val="77A2414C"/>
    <w:rsid w:val="77A51345"/>
    <w:rsid w:val="77D70D52"/>
    <w:rsid w:val="77E871CE"/>
    <w:rsid w:val="780B631D"/>
    <w:rsid w:val="781977C9"/>
    <w:rsid w:val="78216BC2"/>
    <w:rsid w:val="78545B26"/>
    <w:rsid w:val="787209CB"/>
    <w:rsid w:val="78941552"/>
    <w:rsid w:val="78943634"/>
    <w:rsid w:val="78D06871"/>
    <w:rsid w:val="78F31047"/>
    <w:rsid w:val="790B01E6"/>
    <w:rsid w:val="79501973"/>
    <w:rsid w:val="795E75BD"/>
    <w:rsid w:val="799D4322"/>
    <w:rsid w:val="799F5FBD"/>
    <w:rsid w:val="79BB4575"/>
    <w:rsid w:val="79E10BB4"/>
    <w:rsid w:val="7A0D3DE8"/>
    <w:rsid w:val="7A0D463D"/>
    <w:rsid w:val="7A1D35DA"/>
    <w:rsid w:val="7A203766"/>
    <w:rsid w:val="7A2134B0"/>
    <w:rsid w:val="7A2E7B44"/>
    <w:rsid w:val="7A3A58D8"/>
    <w:rsid w:val="7A546EE1"/>
    <w:rsid w:val="7A74313C"/>
    <w:rsid w:val="7A8613E4"/>
    <w:rsid w:val="7A9F6F6C"/>
    <w:rsid w:val="7AF12A4E"/>
    <w:rsid w:val="7AF565A6"/>
    <w:rsid w:val="7B031D1C"/>
    <w:rsid w:val="7B0D3FEC"/>
    <w:rsid w:val="7B160B17"/>
    <w:rsid w:val="7B371AC4"/>
    <w:rsid w:val="7B531C81"/>
    <w:rsid w:val="7B761242"/>
    <w:rsid w:val="7B7E0215"/>
    <w:rsid w:val="7BA400EE"/>
    <w:rsid w:val="7BA82F7A"/>
    <w:rsid w:val="7CD769DF"/>
    <w:rsid w:val="7CE13964"/>
    <w:rsid w:val="7CEA17D9"/>
    <w:rsid w:val="7D0847DA"/>
    <w:rsid w:val="7D262268"/>
    <w:rsid w:val="7D3D6645"/>
    <w:rsid w:val="7D697920"/>
    <w:rsid w:val="7DA37935"/>
    <w:rsid w:val="7DAA1F3E"/>
    <w:rsid w:val="7E413FB8"/>
    <w:rsid w:val="7E535D3A"/>
    <w:rsid w:val="7E6C78A7"/>
    <w:rsid w:val="7E6D2DED"/>
    <w:rsid w:val="7E7B09C8"/>
    <w:rsid w:val="7E844905"/>
    <w:rsid w:val="7E8E203C"/>
    <w:rsid w:val="7EE779B9"/>
    <w:rsid w:val="7EFE067C"/>
    <w:rsid w:val="7F437C55"/>
    <w:rsid w:val="7F615B7F"/>
    <w:rsid w:val="7F8927D5"/>
    <w:rsid w:val="7F93285F"/>
    <w:rsid w:val="7FAB2F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37"/>
    <w:qFormat/>
    <w:uiPriority w:val="0"/>
    <w:pPr>
      <w:keepNext/>
      <w:keepLines/>
      <w:spacing w:line="576" w:lineRule="auto"/>
      <w:outlineLvl w:val="0"/>
    </w:pPr>
    <w:rPr>
      <w:b/>
      <w:bCs/>
      <w:kern w:val="44"/>
      <w:sz w:val="44"/>
      <w:szCs w:val="44"/>
    </w:rPr>
  </w:style>
  <w:style w:type="paragraph" w:styleId="5">
    <w:name w:val="heading 2"/>
    <w:basedOn w:val="1"/>
    <w:next w:val="1"/>
    <w:link w:val="20"/>
    <w:qFormat/>
    <w:uiPriority w:val="0"/>
    <w:pPr>
      <w:keepNext/>
      <w:keepLines/>
      <w:spacing w:line="413" w:lineRule="auto"/>
      <w:outlineLvl w:val="1"/>
    </w:pPr>
    <w:rPr>
      <w:rFonts w:ascii="Cambria" w:hAnsi="Cambria"/>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420" w:firstLineChars="100"/>
    </w:pPr>
    <w:rPr>
      <w:szCs w:val="20"/>
    </w:rPr>
  </w:style>
  <w:style w:type="paragraph" w:styleId="3">
    <w:name w:val="Body Text"/>
    <w:basedOn w:val="1"/>
    <w:next w:val="1"/>
    <w:link w:val="36"/>
    <w:qFormat/>
    <w:uiPriority w:val="0"/>
    <w:rPr>
      <w:kern w:val="0"/>
      <w:sz w:val="24"/>
      <w:szCs w:val="24"/>
    </w:rPr>
  </w:style>
  <w:style w:type="paragraph" w:styleId="6">
    <w:name w:val="table of authorities"/>
    <w:basedOn w:val="1"/>
    <w:next w:val="1"/>
    <w:unhideWhenUsed/>
    <w:qFormat/>
    <w:uiPriority w:val="99"/>
    <w:pPr>
      <w:spacing w:after="200" w:line="240" w:lineRule="auto"/>
      <w:ind w:left="420" w:leftChars="200" w:firstLine="0" w:firstLineChars="0"/>
    </w:pPr>
    <w:rPr>
      <w:rFonts w:ascii="Tahoma" w:hAnsi="Tahoma" w:eastAsia="微软雅黑" w:cs="Times New Roman"/>
      <w:sz w:val="22"/>
      <w:lang w:eastAsia="zh-CN"/>
    </w:rPr>
  </w:style>
  <w:style w:type="paragraph" w:styleId="7">
    <w:name w:val="annotation text"/>
    <w:basedOn w:val="1"/>
    <w:link w:val="48"/>
    <w:qFormat/>
    <w:uiPriority w:val="0"/>
    <w:pPr>
      <w:jc w:val="left"/>
    </w:pPr>
    <w:rPr>
      <w:kern w:val="0"/>
    </w:rPr>
  </w:style>
  <w:style w:type="paragraph" w:styleId="8">
    <w:name w:val="Plain Text"/>
    <w:basedOn w:val="1"/>
    <w:qFormat/>
    <w:uiPriority w:val="99"/>
    <w:rPr>
      <w:rFonts w:ascii="宋体" w:hAnsi="Courier New"/>
    </w:rPr>
  </w:style>
  <w:style w:type="paragraph" w:styleId="9">
    <w:name w:val="Balloon Text"/>
    <w:basedOn w:val="1"/>
    <w:link w:val="35"/>
    <w:qFormat/>
    <w:uiPriority w:val="0"/>
    <w:rPr>
      <w:kern w:val="0"/>
      <w:sz w:val="18"/>
      <w:szCs w:val="18"/>
    </w:rPr>
  </w:style>
  <w:style w:type="paragraph" w:styleId="10">
    <w:name w:val="footer"/>
    <w:basedOn w:val="1"/>
    <w:link w:val="49"/>
    <w:qFormat/>
    <w:uiPriority w:val="0"/>
    <w:pPr>
      <w:tabs>
        <w:tab w:val="center" w:pos="4153"/>
        <w:tab w:val="right" w:pos="8306"/>
      </w:tabs>
      <w:snapToGrid w:val="0"/>
      <w:jc w:val="left"/>
    </w:pPr>
    <w:rPr>
      <w:kern w:val="0"/>
      <w:sz w:val="18"/>
      <w:szCs w:val="18"/>
    </w:rPr>
  </w:style>
  <w:style w:type="paragraph" w:styleId="11">
    <w:name w:val="header"/>
    <w:basedOn w:val="1"/>
    <w:link w:val="40"/>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0"/>
    <w:pPr>
      <w:spacing w:line="360" w:lineRule="auto"/>
      <w:jc w:val="left"/>
    </w:pPr>
    <w:rPr>
      <w:rFonts w:ascii="Times New Roman" w:hAnsi="Times New Roman" w:eastAsia="宋体"/>
      <w:b/>
      <w:bCs/>
      <w:caps/>
      <w:sz w:val="24"/>
      <w:szCs w:val="24"/>
    </w:rPr>
  </w:style>
  <w:style w:type="paragraph" w:styleId="13">
    <w:name w:val="Normal (Web)"/>
    <w:basedOn w:val="1"/>
    <w:qFormat/>
    <w:uiPriority w:val="0"/>
    <w:pPr>
      <w:widowControl/>
      <w:spacing w:beforeAutospacing="1" w:afterAutospacing="1"/>
      <w:jc w:val="left"/>
    </w:pPr>
    <w:rPr>
      <w:rFonts w:ascii="宋体" w:hAnsi="宋体"/>
      <w:kern w:val="0"/>
      <w:sz w:val="24"/>
      <w:szCs w:val="24"/>
    </w:rPr>
  </w:style>
  <w:style w:type="paragraph" w:styleId="14">
    <w:name w:val="annotation subject"/>
    <w:basedOn w:val="7"/>
    <w:next w:val="7"/>
    <w:link w:val="42"/>
    <w:qFormat/>
    <w:uiPriority w:val="0"/>
    <w:rPr>
      <w:b/>
      <w:bCs/>
      <w:kern w:val="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Hyperlink"/>
    <w:qFormat/>
    <w:uiPriority w:val="0"/>
    <w:rPr>
      <w:rFonts w:cs="Times New Roman"/>
      <w:color w:val="0000FF"/>
      <w:u w:val="single"/>
    </w:rPr>
  </w:style>
  <w:style w:type="character" w:styleId="19">
    <w:name w:val="annotation reference"/>
    <w:qFormat/>
    <w:uiPriority w:val="0"/>
    <w:rPr>
      <w:sz w:val="21"/>
      <w:szCs w:val="21"/>
    </w:rPr>
  </w:style>
  <w:style w:type="character" w:customStyle="1" w:styleId="20">
    <w:name w:val="标题 2 字符"/>
    <w:link w:val="5"/>
    <w:qFormat/>
    <w:uiPriority w:val="0"/>
    <w:rPr>
      <w:rFonts w:ascii="Cambria" w:hAnsi="Cambria" w:eastAsia="宋体" w:cs="Times New Roman"/>
      <w:b/>
      <w:bCs/>
      <w:sz w:val="32"/>
      <w:szCs w:val="32"/>
    </w:rPr>
  </w:style>
  <w:style w:type="paragraph" w:customStyle="1" w:styleId="21">
    <w:name w:val="日期1"/>
    <w:basedOn w:val="1"/>
    <w:next w:val="1"/>
    <w:link w:val="38"/>
    <w:qFormat/>
    <w:uiPriority w:val="0"/>
    <w:pPr>
      <w:adjustRightInd w:val="0"/>
      <w:spacing w:line="360" w:lineRule="atLeast"/>
      <w:textAlignment w:val="baseline"/>
    </w:pPr>
    <w:rPr>
      <w:kern w:val="0"/>
      <w:sz w:val="20"/>
      <w:szCs w:val="20"/>
    </w:rPr>
  </w:style>
  <w:style w:type="paragraph" w:customStyle="1" w:styleId="22">
    <w:name w:val="批注主题1"/>
    <w:basedOn w:val="7"/>
    <w:next w:val="7"/>
    <w:link w:val="31"/>
    <w:qFormat/>
    <w:uiPriority w:val="0"/>
  </w:style>
  <w:style w:type="paragraph" w:customStyle="1" w:styleId="23">
    <w:name w:val="文档结构图1"/>
    <w:basedOn w:val="1"/>
    <w:link w:val="46"/>
    <w:qFormat/>
    <w:uiPriority w:val="0"/>
    <w:rPr>
      <w:rFonts w:ascii="宋体"/>
      <w:kern w:val="0"/>
      <w:sz w:val="18"/>
      <w:szCs w:val="18"/>
    </w:rPr>
  </w:style>
  <w:style w:type="paragraph" w:customStyle="1" w:styleId="24">
    <w:name w:val="正文文本 21"/>
    <w:basedOn w:val="1"/>
    <w:link w:val="44"/>
    <w:qFormat/>
    <w:uiPriority w:val="0"/>
    <w:pPr>
      <w:spacing w:line="480" w:lineRule="auto"/>
    </w:pPr>
    <w:rPr>
      <w:kern w:val="0"/>
    </w:rPr>
  </w:style>
  <w:style w:type="paragraph" w:customStyle="1" w:styleId="25">
    <w:name w:val="Table Paragraph"/>
    <w:basedOn w:val="1"/>
    <w:qFormat/>
    <w:uiPriority w:val="1"/>
    <w:rPr>
      <w:rFonts w:ascii="宋体" w:hAnsi="宋体" w:cs="宋体"/>
      <w:lang w:val="ja-JP" w:eastAsia="ja-JP" w:bidi="ja-JP"/>
    </w:rPr>
  </w:style>
  <w:style w:type="paragraph" w:customStyle="1" w:styleId="26">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27">
    <w:name w:val="Char Char Char Char Char Char Char Char Char Char"/>
    <w:basedOn w:val="1"/>
    <w:qFormat/>
    <w:uiPriority w:val="0"/>
    <w:pPr>
      <w:shd w:val="clear" w:color="auto" w:fill="000080"/>
    </w:pPr>
    <w:rPr>
      <w:rFonts w:ascii="Tahoma" w:hAnsi="Tahoma"/>
      <w:sz w:val="24"/>
      <w:szCs w:val="24"/>
    </w:rPr>
  </w:style>
  <w:style w:type="paragraph" w:customStyle="1" w:styleId="28">
    <w:name w:val="列表 21"/>
    <w:basedOn w:val="1"/>
    <w:qFormat/>
    <w:uiPriority w:val="0"/>
    <w:pPr>
      <w:ind w:left="200" w:leftChars="200" w:hanging="200" w:hangingChars="200"/>
    </w:pPr>
    <w:rPr>
      <w:szCs w:val="24"/>
    </w:rPr>
  </w:style>
  <w:style w:type="paragraph" w:customStyle="1" w:styleId="29">
    <w:name w:val="Revision1"/>
    <w:qFormat/>
    <w:uiPriority w:val="0"/>
    <w:rPr>
      <w:rFonts w:ascii="Times New Roman" w:hAnsi="Times New Roman" w:eastAsia="宋体" w:cs="Times New Roman"/>
      <w:kern w:val="2"/>
      <w:sz w:val="21"/>
      <w:szCs w:val="21"/>
      <w:lang w:val="en-US" w:eastAsia="zh-CN" w:bidi="ar-SA"/>
    </w:rPr>
  </w:style>
  <w:style w:type="paragraph" w:customStyle="1" w:styleId="30">
    <w:name w:val="列出段落1"/>
    <w:basedOn w:val="1"/>
    <w:qFormat/>
    <w:uiPriority w:val="0"/>
    <w:pPr>
      <w:ind w:firstLine="420" w:firstLineChars="200"/>
    </w:pPr>
    <w:rPr>
      <w:szCs w:val="24"/>
    </w:rPr>
  </w:style>
  <w:style w:type="character" w:customStyle="1" w:styleId="31">
    <w:name w:val="批注主题 Char"/>
    <w:link w:val="22"/>
    <w:qFormat/>
    <w:uiPriority w:val="0"/>
    <w:rPr>
      <w:rFonts w:cs="Times New Roman"/>
      <w:sz w:val="21"/>
      <w:szCs w:val="21"/>
    </w:rPr>
  </w:style>
  <w:style w:type="character" w:customStyle="1" w:styleId="32">
    <w:name w:val="批注主题 Char1"/>
    <w:qFormat/>
    <w:uiPriority w:val="0"/>
    <w:rPr>
      <w:rFonts w:ascii="Times New Roman" w:hAnsi="Times New Roman" w:eastAsia="宋体" w:cs="Times New Roman"/>
      <w:b/>
      <w:bCs/>
      <w:sz w:val="21"/>
      <w:szCs w:val="21"/>
    </w:rPr>
  </w:style>
  <w:style w:type="character" w:customStyle="1" w:styleId="33">
    <w:name w:val="批注引用1"/>
    <w:qFormat/>
    <w:uiPriority w:val="0"/>
    <w:rPr>
      <w:rFonts w:cs="Times New Roman"/>
      <w:sz w:val="21"/>
      <w:szCs w:val="21"/>
    </w:rPr>
  </w:style>
  <w:style w:type="character" w:customStyle="1" w:styleId="34">
    <w:name w:val="DeltaView Insertion"/>
    <w:qFormat/>
    <w:uiPriority w:val="0"/>
  </w:style>
  <w:style w:type="character" w:customStyle="1" w:styleId="35">
    <w:name w:val="批注框文本 字符"/>
    <w:link w:val="9"/>
    <w:qFormat/>
    <w:uiPriority w:val="0"/>
    <w:rPr>
      <w:rFonts w:cs="Times New Roman"/>
      <w:sz w:val="18"/>
      <w:szCs w:val="18"/>
    </w:rPr>
  </w:style>
  <w:style w:type="character" w:customStyle="1" w:styleId="36">
    <w:name w:val="正文文本 字符"/>
    <w:link w:val="3"/>
    <w:qFormat/>
    <w:uiPriority w:val="0"/>
    <w:rPr>
      <w:rFonts w:ascii="Times New Roman" w:hAnsi="Times New Roman" w:eastAsia="宋体" w:cs="Times New Roman"/>
      <w:sz w:val="24"/>
      <w:szCs w:val="24"/>
    </w:rPr>
  </w:style>
  <w:style w:type="character" w:customStyle="1" w:styleId="37">
    <w:name w:val="标题 1 字符"/>
    <w:link w:val="4"/>
    <w:qFormat/>
    <w:uiPriority w:val="0"/>
    <w:rPr>
      <w:rFonts w:ascii="Times New Roman" w:hAnsi="Times New Roman" w:eastAsia="宋体" w:cs="Times New Roman"/>
      <w:b/>
      <w:bCs/>
      <w:kern w:val="44"/>
      <w:sz w:val="44"/>
      <w:szCs w:val="44"/>
    </w:rPr>
  </w:style>
  <w:style w:type="character" w:customStyle="1" w:styleId="38">
    <w:name w:val="日期 Char"/>
    <w:link w:val="21"/>
    <w:qFormat/>
    <w:uiPriority w:val="0"/>
    <w:rPr>
      <w:rFonts w:ascii="Times New Roman" w:hAnsi="Times New Roman" w:eastAsia="宋体" w:cs="Times New Roman"/>
      <w:kern w:val="0"/>
      <w:sz w:val="20"/>
      <w:szCs w:val="20"/>
    </w:rPr>
  </w:style>
  <w:style w:type="character" w:customStyle="1" w:styleId="39">
    <w:name w:val="apple-style-span"/>
    <w:qFormat/>
    <w:uiPriority w:val="0"/>
    <w:rPr>
      <w:rFonts w:cs="Times New Roman"/>
    </w:rPr>
  </w:style>
  <w:style w:type="character" w:customStyle="1" w:styleId="40">
    <w:name w:val="页眉 字符"/>
    <w:link w:val="11"/>
    <w:qFormat/>
    <w:uiPriority w:val="0"/>
    <w:rPr>
      <w:rFonts w:cs="Times New Roman"/>
      <w:sz w:val="18"/>
      <w:szCs w:val="18"/>
    </w:rPr>
  </w:style>
  <w:style w:type="character" w:customStyle="1" w:styleId="41">
    <w:name w:val="页码1"/>
    <w:qFormat/>
    <w:uiPriority w:val="0"/>
    <w:rPr>
      <w:rFonts w:cs="Times New Roman"/>
    </w:rPr>
  </w:style>
  <w:style w:type="character" w:customStyle="1" w:styleId="42">
    <w:name w:val="批注主题 字符"/>
    <w:link w:val="14"/>
    <w:qFormat/>
    <w:uiPriority w:val="0"/>
    <w:rPr>
      <w:rFonts w:cs="Times New Roman"/>
      <w:b/>
      <w:bCs/>
      <w:kern w:val="2"/>
      <w:sz w:val="21"/>
      <w:szCs w:val="21"/>
    </w:rPr>
  </w:style>
  <w:style w:type="character" w:customStyle="1" w:styleId="43">
    <w:name w:val="批注框文本 Char1"/>
    <w:qFormat/>
    <w:uiPriority w:val="0"/>
    <w:rPr>
      <w:rFonts w:ascii="Times New Roman" w:hAnsi="Times New Roman" w:eastAsia="宋体" w:cs="Times New Roman"/>
      <w:sz w:val="18"/>
      <w:szCs w:val="18"/>
    </w:rPr>
  </w:style>
  <w:style w:type="character" w:customStyle="1" w:styleId="44">
    <w:name w:val="正文文本 2 Char"/>
    <w:link w:val="24"/>
    <w:qFormat/>
    <w:uiPriority w:val="0"/>
    <w:rPr>
      <w:rFonts w:ascii="Times New Roman" w:hAnsi="Times New Roman" w:eastAsia="宋体" w:cs="Times New Roman"/>
      <w:sz w:val="21"/>
      <w:szCs w:val="21"/>
    </w:rPr>
  </w:style>
  <w:style w:type="character" w:customStyle="1" w:styleId="45">
    <w:name w:val="font11"/>
    <w:qFormat/>
    <w:uiPriority w:val="0"/>
    <w:rPr>
      <w:rFonts w:hint="eastAsia" w:ascii="宋体" w:hAnsi="宋体" w:eastAsia="宋体" w:cs="宋体"/>
      <w:color w:val="000000"/>
      <w:sz w:val="21"/>
      <w:szCs w:val="21"/>
      <w:u w:val="none"/>
    </w:rPr>
  </w:style>
  <w:style w:type="character" w:customStyle="1" w:styleId="46">
    <w:name w:val="文档结构图 Char"/>
    <w:link w:val="23"/>
    <w:qFormat/>
    <w:uiPriority w:val="0"/>
    <w:rPr>
      <w:rFonts w:ascii="宋体" w:hAnsi="Times New Roman" w:eastAsia="宋体" w:cs="Times New Roman"/>
      <w:sz w:val="18"/>
      <w:szCs w:val="18"/>
    </w:rPr>
  </w:style>
  <w:style w:type="character" w:customStyle="1" w:styleId="47">
    <w:name w:val="批注文字 Char1"/>
    <w:qFormat/>
    <w:uiPriority w:val="0"/>
    <w:rPr>
      <w:rFonts w:ascii="Times New Roman" w:hAnsi="Times New Roman" w:eastAsia="宋体" w:cs="Times New Roman"/>
      <w:sz w:val="21"/>
      <w:szCs w:val="21"/>
    </w:rPr>
  </w:style>
  <w:style w:type="character" w:customStyle="1" w:styleId="48">
    <w:name w:val="批注文字 字符"/>
    <w:link w:val="7"/>
    <w:qFormat/>
    <w:uiPriority w:val="0"/>
    <w:rPr>
      <w:rFonts w:cs="Times New Roman"/>
      <w:sz w:val="21"/>
      <w:szCs w:val="21"/>
    </w:rPr>
  </w:style>
  <w:style w:type="character" w:customStyle="1" w:styleId="49">
    <w:name w:val="页脚 字符"/>
    <w:link w:val="10"/>
    <w:qFormat/>
    <w:uiPriority w:val="0"/>
    <w:rPr>
      <w:rFonts w:cs="Times New Roman"/>
      <w:sz w:val="18"/>
      <w:szCs w:val="18"/>
    </w:rPr>
  </w:style>
  <w:style w:type="paragraph" w:customStyle="1" w:styleId="50">
    <w:name w:val="Body text|5"/>
    <w:basedOn w:val="1"/>
    <w:qFormat/>
    <w:uiPriority w:val="0"/>
    <w:pPr>
      <w:widowControl w:val="0"/>
      <w:shd w:val="clear" w:color="auto" w:fill="auto"/>
      <w:ind w:left="2560"/>
    </w:pPr>
    <w:rPr>
      <w:rFonts w:ascii="宋体" w:hAnsi="宋体" w:eastAsia="宋体" w:cs="宋体"/>
      <w:sz w:val="32"/>
      <w:szCs w:val="32"/>
      <w:u w:val="none"/>
      <w:shd w:val="clear" w:color="auto" w:fill="auto"/>
      <w:lang w:val="zh-TW" w:eastAsia="zh-TW" w:bidi="zh-TW"/>
    </w:rPr>
  </w:style>
  <w:style w:type="paragraph" w:customStyle="1" w:styleId="51">
    <w:name w:val="Body text|1"/>
    <w:basedOn w:val="1"/>
    <w:qFormat/>
    <w:uiPriority w:val="0"/>
    <w:pPr>
      <w:widowControl w:val="0"/>
      <w:shd w:val="clear" w:color="auto" w:fill="auto"/>
      <w:spacing w:line="413" w:lineRule="auto"/>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1976</Words>
  <Characters>11264</Characters>
  <Lines>93</Lines>
  <Paragraphs>26</Paragraphs>
  <TotalTime>13</TotalTime>
  <ScaleCrop>false</ScaleCrop>
  <LinksUpToDate>false</LinksUpToDate>
  <CharactersWithSpaces>13214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2017-04-26T09:08:00Z</dcterms:created>
  <dc:creator>Administrator</dc:creator>
  <cp:lastModifiedBy>Judy</cp:lastModifiedBy>
  <cp:lastPrinted>2016-03-10T03:50:00Z</cp:lastPrinted>
  <dcterms:modified xsi:type="dcterms:W3CDTF">2023-12-15T03:00:04Z</dcterms:modified>
  <dc:title>提供方合同编号：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6DE1955AE53D45D5A26B1272DAB10BC9</vt:lpwstr>
  </property>
</Properties>
</file>