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3733"/>
        <w:gridCol w:w="1021"/>
        <w:gridCol w:w="550"/>
        <w:gridCol w:w="486"/>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restar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b/>
                <w:bCs/>
                <w:color w:val="auto"/>
                <w:highlight w:val="none"/>
                <w:vertAlign w:val="baseline"/>
                <w:lang w:eastAsia="zh-CN"/>
              </w:rPr>
              <w:t>中机国际工程设计研究院有限</w:t>
            </w:r>
            <w:r>
              <w:rPr>
                <w:rFonts w:hint="eastAsia"/>
                <w:b/>
                <w:bCs/>
                <w:color w:val="auto"/>
                <w:highlight w:val="none"/>
                <w:vertAlign w:val="baseline"/>
                <w:lang w:val="en-US" w:eastAsia="zh-CN"/>
              </w:rPr>
              <w:t>责任</w:t>
            </w:r>
            <w:r>
              <w:rPr>
                <w:rFonts w:hint="eastAsia"/>
                <w:b/>
                <w:bCs/>
                <w:color w:val="auto"/>
                <w:highlight w:val="none"/>
                <w:vertAlign w:val="baseline"/>
                <w:lang w:eastAsia="zh-CN"/>
              </w:rPr>
              <w:t>公司</w:t>
            </w:r>
          </w:p>
        </w:tc>
        <w:tc>
          <w:tcPr>
            <w:tcW w:w="2191"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r>
              <w:rPr>
                <w:rFonts w:hint="eastAsia"/>
                <w:color w:val="auto"/>
                <w:highlight w:val="none"/>
                <w:lang w:val="zh-CN"/>
              </w:rPr>
              <w:t>湖南美特新材料科技有限公司</w:t>
            </w:r>
          </w:p>
        </w:tc>
        <w:tc>
          <w:tcPr>
            <w:tcW w:w="59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项目号</w:t>
            </w:r>
          </w:p>
        </w:tc>
        <w:tc>
          <w:tcPr>
            <w:tcW w:w="608" w:type="pct"/>
            <w:gridSpan w:val="2"/>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p>
        </w:tc>
        <w:tc>
          <w:tcPr>
            <w:tcW w:w="611"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01版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2191"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r>
              <w:rPr>
                <w:rFonts w:hint="eastAsia"/>
                <w:color w:val="auto"/>
                <w:highlight w:val="none"/>
                <w:lang w:val="zh-CN"/>
              </w:rPr>
              <w:t>湖南美特科研成果转化基地暨正极材料中试线建设项目</w:t>
            </w:r>
          </w:p>
        </w:tc>
        <w:tc>
          <w:tcPr>
            <w:tcW w:w="1819" w:type="pct"/>
            <w:gridSpan w:val="4"/>
            <w:vAlign w:val="center"/>
          </w:tcPr>
          <w:p>
            <w:pPr>
              <w:keepNext w:val="0"/>
              <w:keepLines w:val="0"/>
              <w:suppressLineNumbers w:val="0"/>
              <w:spacing w:before="0" w:beforeAutospacing="0" w:after="0" w:afterAutospacing="0"/>
              <w:ind w:left="0" w:leftChars="0" w:right="0" w:firstLine="0" w:firstLineChars="0"/>
              <w:jc w:val="both"/>
              <w:rPr>
                <w:rFonts w:hint="eastAsia" w:ascii="Times New Roman" w:hAnsi="Times New Roman" w:cs="Times New Roman"/>
                <w:color w:val="auto"/>
                <w:highlight w:val="none"/>
                <w:vertAlign w:val="baseline"/>
                <w:lang w:val="en-US" w:eastAsia="zh-CN"/>
              </w:rPr>
            </w:pPr>
            <w:r>
              <w:rPr>
                <w:rFonts w:hint="eastAsia" w:cs="Times New Roman"/>
                <w:color w:val="auto"/>
                <w:highlight w:val="none"/>
                <w:vertAlign w:val="baseline"/>
                <w:lang w:val="en-US" w:eastAsia="zh-CN"/>
              </w:rPr>
              <w:t>层状氧化物</w:t>
            </w:r>
            <w:r>
              <w:rPr>
                <w:rFonts w:hint="eastAsia" w:ascii="Times New Roman" w:hAnsi="Times New Roman" w:cs="Times New Roman"/>
                <w:color w:val="auto"/>
                <w:highlight w:val="none"/>
                <w:vertAlign w:val="baseline"/>
                <w:lang w:val="zh-CN" w:eastAsia="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2191" w:type="pct"/>
            <w:vAlign w:val="center"/>
          </w:tcPr>
          <w:p>
            <w:pPr>
              <w:keepNext w:val="0"/>
              <w:keepLines w:val="0"/>
              <w:suppressLineNumbers w:val="0"/>
              <w:spacing w:before="0" w:beforeAutospacing="0" w:after="0" w:afterAutospacing="0"/>
              <w:ind w:left="0" w:right="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辊道窑尾气喷淋塔成套设备</w:t>
            </w:r>
          </w:p>
        </w:tc>
        <w:tc>
          <w:tcPr>
            <w:tcW w:w="922" w:type="pct"/>
            <w:gridSpan w:val="2"/>
            <w:vAlign w:val="center"/>
          </w:tcPr>
          <w:p>
            <w:pPr>
              <w:keepNext w:val="0"/>
              <w:keepLines w:val="0"/>
              <w:suppressLineNumbers w:val="0"/>
              <w:spacing w:before="0" w:beforeAutospacing="0" w:after="0" w:afterAutospacing="0"/>
              <w:ind w:left="0" w:right="0"/>
              <w:jc w:val="both"/>
              <w:rPr>
                <w:rFonts w:hint="eastAsia"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第1页</w:t>
            </w:r>
          </w:p>
        </w:tc>
        <w:tc>
          <w:tcPr>
            <w:tcW w:w="897" w:type="pct"/>
            <w:gridSpan w:val="2"/>
            <w:vAlign w:val="center"/>
          </w:tcPr>
          <w:p>
            <w:pPr>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共</w:t>
            </w:r>
            <w:bookmarkStart w:id="41" w:name="_GoBack"/>
            <w:bookmarkEnd w:id="41"/>
            <w:r>
              <w:rPr>
                <w:rFonts w:hint="eastAsia" w:cs="Times New Roman"/>
                <w:color w:val="auto"/>
                <w:highlight w:val="none"/>
                <w:vertAlign w:val="baseline"/>
                <w:lang w:val="en-US" w:eastAsia="zh-CN"/>
              </w:rPr>
              <w:t>9</w:t>
            </w:r>
            <w:r>
              <w:rPr>
                <w:rFonts w:hint="eastAsia" w:ascii="Times New Roman" w:hAnsi="Times New Roman" w:cs="Times New Roman"/>
                <w:color w:val="auto"/>
                <w:highlight w:val="none"/>
                <w:vertAlign w:val="baseline"/>
                <w:lang w:val="en-US" w:eastAsia="zh-CN"/>
              </w:rPr>
              <w:t>页</w:t>
            </w:r>
          </w:p>
        </w:tc>
      </w:tr>
    </w:tbl>
    <w:tbl>
      <w:tblPr>
        <w:tblStyle w:val="13"/>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keepNext w:val="0"/>
              <w:keepLines w:val="0"/>
              <w:suppressLineNumbers w:val="0"/>
              <w:spacing w:before="0" w:beforeAutospacing="0" w:after="0" w:afterAutospacing="0"/>
              <w:ind w:left="0" w:right="0"/>
              <w:jc w:val="center"/>
              <w:rPr>
                <w:rFonts w:hint="eastAsia"/>
                <w:b/>
                <w:bCs/>
                <w:color w:val="auto"/>
                <w:sz w:val="56"/>
                <w:szCs w:val="56"/>
                <w:highlight w:val="none"/>
                <w:lang w:eastAsia="zh-CN"/>
              </w:rPr>
            </w:pPr>
          </w:p>
          <w:p>
            <w:pPr>
              <w:pStyle w:val="8"/>
              <w:keepNext w:val="0"/>
              <w:keepLines w:val="0"/>
              <w:suppressLineNumbers w:val="0"/>
              <w:spacing w:before="0" w:beforeAutospacing="0" w:after="0" w:afterAutospacing="0"/>
              <w:ind w:left="0" w:right="0"/>
              <w:rPr>
                <w:rFonts w:hint="default"/>
                <w:color w:val="auto"/>
                <w:highlight w:val="none"/>
                <w:lang w:val="en-US" w:eastAsia="zh-CN"/>
              </w:rPr>
            </w:pPr>
            <w:r>
              <w:rPr>
                <w:rFonts w:hint="eastAsia"/>
                <w:b/>
                <w:bCs/>
                <w:color w:val="auto"/>
                <w:sz w:val="56"/>
                <w:szCs w:val="44"/>
                <w:highlight w:val="none"/>
                <w:lang w:val="en-US" w:eastAsia="zh-CN"/>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01</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55245</wp:posOffset>
                  </wp:positionH>
                  <wp:positionV relativeFrom="paragraph">
                    <wp:posOffset>-53975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951230</wp:posOffset>
                  </wp:positionH>
                  <wp:positionV relativeFrom="paragraph">
                    <wp:posOffset>-49530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12065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p>
        </w:tc>
        <w:tc>
          <w:tcPr>
            <w:tcW w:w="736"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p>
        </w:tc>
        <w:tc>
          <w:tcPr>
            <w:tcW w:w="726"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版</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说明</w:t>
            </w:r>
          </w:p>
        </w:tc>
        <w:tc>
          <w:tcPr>
            <w:tcW w:w="719"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编制</w:t>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校审</w:t>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审核</w:t>
            </w:r>
          </w:p>
        </w:tc>
        <w:tc>
          <w:tcPr>
            <w:tcW w:w="726"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日期</w:t>
            </w:r>
          </w:p>
        </w:tc>
      </w:tr>
    </w:tbl>
    <w:p>
      <w:pPr>
        <w:rPr>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color w:val="auto"/>
          <w:kern w:val="2"/>
          <w:sz w:val="28"/>
          <w:szCs w:val="36"/>
          <w:highlight w:val="none"/>
          <w:lang w:val="en-US" w:eastAsia="zh-CN" w:bidi="ar-SA"/>
        </w:rPr>
        <w:id w:val="147475574"/>
        <w15:color w:val="DBDBDB"/>
        <w:docPartObj>
          <w:docPartGallery w:val="Table of Contents"/>
          <w:docPartUnique/>
        </w:docPartObj>
      </w:sdtPr>
      <w:sdtEndPr>
        <w:rPr>
          <w:rFonts w:ascii="宋体" w:hAnsi="宋体" w:eastAsia="宋体" w:cs="Times New Roman"/>
          <w:b/>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highlight w:val="none"/>
            </w:rPr>
          </w:pPr>
          <w:r>
            <w:rPr>
              <w:rFonts w:ascii="宋体" w:hAnsi="宋体" w:eastAsia="宋体"/>
              <w:color w:val="auto"/>
              <w:sz w:val="28"/>
              <w:szCs w:val="36"/>
              <w:highlight w:val="none"/>
            </w:rPr>
            <w:t>目</w:t>
          </w:r>
          <w:r>
            <w:rPr>
              <w:rFonts w:hint="eastAsia" w:ascii="宋体" w:hAnsi="宋体"/>
              <w:color w:val="auto"/>
              <w:sz w:val="28"/>
              <w:szCs w:val="36"/>
              <w:highlight w:val="none"/>
              <w:lang w:val="en-US" w:eastAsia="zh-CN"/>
            </w:rPr>
            <w:t xml:space="preserve">  </w:t>
          </w:r>
          <w:r>
            <w:rPr>
              <w:rFonts w:ascii="宋体" w:hAnsi="宋体" w:eastAsia="宋体"/>
              <w:color w:val="auto"/>
              <w:sz w:val="28"/>
              <w:szCs w:val="36"/>
              <w:highlight w:val="none"/>
            </w:rPr>
            <w:t>录</w:t>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TOC \o "1-2" \h \u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_Toc31240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44"/>
              <w:sz w:val="24"/>
              <w:szCs w:val="24"/>
              <w:lang w:val="zh-CN" w:eastAsia="zh-CN" w:bidi="ar-SA"/>
            </w:rPr>
            <w:t xml:space="preserve">1 </w:t>
          </w:r>
          <w:r>
            <w:rPr>
              <w:rFonts w:hint="eastAsia" w:asciiTheme="minorEastAsia" w:hAnsiTheme="minorEastAsia" w:eastAsiaTheme="minorEastAsia" w:cstheme="minorEastAsia"/>
              <w:kern w:val="44"/>
              <w:sz w:val="24"/>
              <w:szCs w:val="24"/>
              <w:highlight w:val="none"/>
              <w:lang w:val="zh-CN" w:eastAsia="zh-CN" w:bidi="ar-SA"/>
            </w:rPr>
            <w:t>总</w:t>
          </w:r>
          <w:r>
            <w:rPr>
              <w:rFonts w:hint="eastAsia" w:asciiTheme="minorEastAsia" w:hAnsiTheme="minorEastAsia" w:eastAsiaTheme="minorEastAsia" w:cstheme="minorEastAsia"/>
              <w:kern w:val="44"/>
              <w:sz w:val="24"/>
              <w:szCs w:val="24"/>
              <w:highlight w:val="none"/>
              <w:lang w:val="en-US" w:eastAsia="zh-CN" w:bidi="ar-SA"/>
            </w:rPr>
            <w:t>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_Toc31240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_Toc2587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44"/>
              <w:sz w:val="24"/>
              <w:szCs w:val="24"/>
              <w:lang w:val="zh-CN" w:eastAsia="zh-CN" w:bidi="ar-SA"/>
            </w:rPr>
            <w:t xml:space="preserve">2 </w:t>
          </w:r>
          <w:r>
            <w:rPr>
              <w:rFonts w:hint="eastAsia" w:asciiTheme="minorEastAsia" w:hAnsiTheme="minorEastAsia" w:eastAsiaTheme="minorEastAsia" w:cstheme="minorEastAsia"/>
              <w:kern w:val="44"/>
              <w:sz w:val="24"/>
              <w:szCs w:val="24"/>
              <w:highlight w:val="none"/>
              <w:lang w:val="en-US" w:eastAsia="zh-CN" w:bidi="ar-SA"/>
            </w:rPr>
            <w:t>工程概况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_Toc2587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_Toc5148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highlight w:val="none"/>
              <w:lang w:val="en-US" w:eastAsia="zh-CN"/>
            </w:rPr>
            <w:t>基本条件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_Toc5148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_Toc16799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rPr>
            <w:t xml:space="preserve">2.2 </w:t>
          </w:r>
          <w:r>
            <w:rPr>
              <w:rFonts w:hint="eastAsia" w:asciiTheme="minorEastAsia" w:hAnsiTheme="minorEastAsia" w:eastAsiaTheme="minorEastAsia" w:cstheme="minorEastAsia"/>
              <w:sz w:val="24"/>
              <w:szCs w:val="24"/>
              <w:highlight w:val="none"/>
              <w:lang w:val="en-US" w:eastAsia="zh-CN"/>
            </w:rPr>
            <w:t>气象条件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_Toc16799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_Toc10227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44"/>
              <w:sz w:val="24"/>
              <w:szCs w:val="24"/>
              <w:lang w:val="zh-CN" w:eastAsia="zh-CN" w:bidi="ar-SA"/>
            </w:rPr>
            <w:t xml:space="preserve">3 </w:t>
          </w:r>
          <w:r>
            <w:rPr>
              <w:rFonts w:hint="eastAsia" w:asciiTheme="minorEastAsia" w:hAnsiTheme="minorEastAsia" w:eastAsiaTheme="minorEastAsia" w:cstheme="minorEastAsia"/>
              <w:kern w:val="44"/>
              <w:sz w:val="24"/>
              <w:szCs w:val="24"/>
              <w:highlight w:val="none"/>
              <w:lang w:val="en-US" w:eastAsia="zh-CN" w:bidi="ar-SA"/>
            </w:rPr>
            <w:t>设计条件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_Toc10227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_Toc29707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44"/>
              <w:sz w:val="24"/>
              <w:szCs w:val="24"/>
              <w:lang w:val="zh-CN" w:eastAsia="zh-CN" w:bidi="ar-SA"/>
            </w:rPr>
            <w:t xml:space="preserve">4 </w:t>
          </w:r>
          <w:r>
            <w:rPr>
              <w:rFonts w:hint="eastAsia" w:asciiTheme="minorEastAsia" w:hAnsiTheme="minorEastAsia" w:eastAsiaTheme="minorEastAsia" w:cstheme="minorEastAsia"/>
              <w:kern w:val="44"/>
              <w:sz w:val="24"/>
              <w:szCs w:val="24"/>
              <w:highlight w:val="none"/>
              <w:lang w:val="en-US" w:eastAsia="zh-CN" w:bidi="ar-SA"/>
            </w:rPr>
            <w:t>配置条件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_Toc29707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_Toc28538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44"/>
              <w:sz w:val="24"/>
              <w:szCs w:val="24"/>
              <w:lang w:val="zh-CN" w:eastAsia="zh-CN" w:bidi="ar-SA"/>
            </w:rPr>
            <w:t xml:space="preserve">5 </w:t>
          </w:r>
          <w:r>
            <w:rPr>
              <w:rFonts w:hint="eastAsia" w:asciiTheme="minorEastAsia" w:hAnsiTheme="minorEastAsia" w:eastAsiaTheme="minorEastAsia" w:cstheme="minorEastAsia"/>
              <w:kern w:val="44"/>
              <w:sz w:val="24"/>
              <w:szCs w:val="24"/>
              <w:highlight w:val="none"/>
              <w:lang w:val="en-US" w:eastAsia="zh-CN" w:bidi="ar-SA"/>
            </w:rPr>
            <w:t>标准规范</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_Toc28538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_Toc1844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44"/>
              <w:sz w:val="24"/>
              <w:szCs w:val="24"/>
              <w:lang w:val="zh-CN" w:eastAsia="zh-CN" w:bidi="ar-SA"/>
            </w:rPr>
            <w:t xml:space="preserve">6 </w:t>
          </w:r>
          <w:r>
            <w:rPr>
              <w:rFonts w:hint="eastAsia" w:asciiTheme="minorEastAsia" w:hAnsiTheme="minorEastAsia" w:eastAsiaTheme="minorEastAsia" w:cstheme="minorEastAsia"/>
              <w:kern w:val="44"/>
              <w:sz w:val="24"/>
              <w:szCs w:val="24"/>
              <w:highlight w:val="none"/>
              <w:lang w:val="en-US" w:eastAsia="zh-CN" w:bidi="ar-SA"/>
            </w:rPr>
            <w:t>安装、调试、验收、培训</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_Toc1844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_Toc26211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lang w:val="en-US" w:eastAsia="zh-CN"/>
            </w:rPr>
            <w:t xml:space="preserve">6.1 </w:t>
          </w:r>
          <w:r>
            <w:rPr>
              <w:rFonts w:hint="eastAsia" w:asciiTheme="minorEastAsia" w:hAnsiTheme="minorEastAsia" w:eastAsiaTheme="minorEastAsia" w:cstheme="minorEastAsia"/>
              <w:sz w:val="24"/>
              <w:szCs w:val="24"/>
              <w:highlight w:val="none"/>
              <w:lang w:val="en-US" w:eastAsia="zh-CN"/>
            </w:rPr>
            <w:t>安装、调试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_Toc26211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_Toc18545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lang w:val="en-US" w:eastAsia="zh-CN"/>
            </w:rPr>
            <w:t xml:space="preserve">6.2 </w:t>
          </w:r>
          <w:r>
            <w:rPr>
              <w:rFonts w:hint="eastAsia" w:asciiTheme="minorEastAsia" w:hAnsiTheme="minorEastAsia" w:eastAsiaTheme="minorEastAsia" w:cstheme="minorEastAsia"/>
              <w:sz w:val="24"/>
              <w:szCs w:val="24"/>
              <w:highlight w:val="none"/>
              <w:lang w:val="en-US" w:eastAsia="zh-CN"/>
            </w:rPr>
            <w:t>试运行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_Toc18545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_Toc2922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lang w:val="en-US" w:eastAsia="zh-CN"/>
            </w:rPr>
            <w:t xml:space="preserve">6.3 </w:t>
          </w:r>
          <w:r>
            <w:rPr>
              <w:rFonts w:hint="eastAsia" w:asciiTheme="minorEastAsia" w:hAnsiTheme="minorEastAsia" w:eastAsiaTheme="minorEastAsia" w:cstheme="minorEastAsia"/>
              <w:kern w:val="0"/>
              <w:sz w:val="24"/>
              <w:szCs w:val="24"/>
              <w:lang w:val="en-US" w:eastAsia="zh-CN" w:bidi="ar"/>
            </w:rPr>
            <w:t>设备终验收标准和程序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_Toc2922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_Toc3907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lang w:val="en-US" w:eastAsia="zh-CN"/>
            </w:rPr>
            <w:t xml:space="preserve">6.4 </w:t>
          </w:r>
          <w:r>
            <w:rPr>
              <w:rFonts w:hint="eastAsia" w:asciiTheme="minorEastAsia" w:hAnsiTheme="minorEastAsia" w:eastAsiaTheme="minorEastAsia" w:cstheme="minorEastAsia"/>
              <w:kern w:val="0"/>
              <w:sz w:val="24"/>
              <w:szCs w:val="24"/>
              <w:lang w:val="en-US" w:eastAsia="zh-CN" w:bidi="ar"/>
            </w:rPr>
            <w:t>技术培训</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_Toc3907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_Toc17631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44"/>
              <w:sz w:val="24"/>
              <w:szCs w:val="24"/>
              <w:lang w:val="zh-CN" w:eastAsia="zh-CN" w:bidi="ar-SA"/>
            </w:rPr>
            <w:t xml:space="preserve">7 </w:t>
          </w:r>
          <w:r>
            <w:rPr>
              <w:rFonts w:hint="eastAsia" w:asciiTheme="minorEastAsia" w:hAnsiTheme="minorEastAsia" w:eastAsiaTheme="minorEastAsia" w:cstheme="minorEastAsia"/>
              <w:kern w:val="44"/>
              <w:sz w:val="24"/>
              <w:szCs w:val="24"/>
              <w:highlight w:val="none"/>
              <w:lang w:val="en-US" w:eastAsia="zh-CN" w:bidi="ar-SA"/>
            </w:rPr>
            <w:t>买卖双方责任范围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_Toc17631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_Toc10823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44"/>
              <w:sz w:val="24"/>
              <w:szCs w:val="24"/>
              <w:lang w:val="zh-CN" w:eastAsia="zh-CN" w:bidi="ar-SA"/>
            </w:rPr>
            <w:t xml:space="preserve">8 </w:t>
          </w:r>
          <w:r>
            <w:rPr>
              <w:rFonts w:hint="eastAsia" w:asciiTheme="minorEastAsia" w:hAnsiTheme="minorEastAsia" w:eastAsiaTheme="minorEastAsia" w:cstheme="minorEastAsia"/>
              <w:kern w:val="44"/>
              <w:sz w:val="24"/>
              <w:szCs w:val="24"/>
              <w:highlight w:val="none"/>
              <w:lang w:val="en-US" w:eastAsia="zh-CN" w:bidi="ar-SA"/>
            </w:rPr>
            <w:t>质量保证和售后服务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_Toc10823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_Toc19019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kern w:val="44"/>
              <w:sz w:val="24"/>
              <w:szCs w:val="24"/>
              <w:lang w:val="zh-CN" w:eastAsia="zh-CN" w:bidi="ar-SA"/>
            </w:rPr>
            <w:t xml:space="preserve">9 </w:t>
          </w:r>
          <w:r>
            <w:rPr>
              <w:rFonts w:hint="eastAsia" w:asciiTheme="minorEastAsia" w:hAnsiTheme="minorEastAsia" w:eastAsiaTheme="minorEastAsia" w:cstheme="minorEastAsia"/>
              <w:kern w:val="44"/>
              <w:sz w:val="24"/>
              <w:szCs w:val="24"/>
              <w:lang w:val="en-US" w:eastAsia="zh-CN" w:bidi="ar-SA"/>
            </w:rPr>
            <w:t>资料交付及服务要求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_Toc19019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_Toc4282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lang w:val="en-US" w:eastAsia="zh-CN"/>
            </w:rPr>
            <w:t>9.1 交付清单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_Toc4282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b/>
              <w:color w:val="auto"/>
              <w:sz w:val="24"/>
              <w:szCs w:val="24"/>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color w:val="auto"/>
              <w:sz w:val="24"/>
              <w:szCs w:val="24"/>
              <w:highlight w:val="none"/>
            </w:rPr>
            <w:fldChar w:fldCharType="end"/>
          </w:r>
        </w:p>
      </w:sdtContent>
    </w:sdt>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0" w:name="_Toc31240"/>
      <w:r>
        <w:rPr>
          <w:rFonts w:hint="eastAsia" w:ascii="Times New Roman" w:hAnsi="Times New Roman" w:eastAsia="宋体" w:cs="Times New Roman"/>
          <w:b/>
          <w:color w:val="auto"/>
          <w:kern w:val="44"/>
          <w:sz w:val="28"/>
          <w:szCs w:val="28"/>
          <w:highlight w:val="none"/>
          <w:lang w:val="zh-CN" w:eastAsia="zh-CN" w:bidi="ar-SA"/>
        </w:rPr>
        <w:t>总</w:t>
      </w:r>
      <w:r>
        <w:rPr>
          <w:rFonts w:hint="eastAsia" w:ascii="Times New Roman" w:hAnsi="Times New Roman" w:eastAsia="宋体" w:cs="Times New Roman"/>
          <w:b/>
          <w:color w:val="auto"/>
          <w:kern w:val="44"/>
          <w:sz w:val="28"/>
          <w:szCs w:val="28"/>
          <w:highlight w:val="none"/>
          <w:lang w:val="en-US" w:eastAsia="zh-CN" w:bidi="ar-SA"/>
        </w:rPr>
        <w:t>则</w:t>
      </w:r>
      <w:bookmarkEnd w:id="0"/>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本询价文件适用于湖南美特科研成果转化基地暨正极材料中试线建设项目</w:t>
      </w:r>
      <w:r>
        <w:rPr>
          <w:rFonts w:hint="eastAsia" w:cs="Times New Roman"/>
          <w:color w:val="auto"/>
          <w:highlight w:val="none"/>
          <w:lang w:val="en-US" w:eastAsia="zh-CN"/>
        </w:rPr>
        <w:t>辊道窑尾气喷淋塔系统</w:t>
      </w:r>
      <w:r>
        <w:rPr>
          <w:rFonts w:hint="eastAsia" w:ascii="Times New Roman" w:hAnsi="Times New Roman" w:cs="Times New Roman"/>
          <w:color w:val="auto"/>
          <w:highlight w:val="none"/>
          <w:lang w:val="zh-CN"/>
        </w:rPr>
        <w:t>的设计、制造、安装、检验</w:t>
      </w:r>
      <w:r>
        <w:rPr>
          <w:rFonts w:hint="eastAsia" w:cs="Times New Roman"/>
          <w:color w:val="auto"/>
          <w:highlight w:val="none"/>
          <w:lang w:val="zh-CN"/>
        </w:rPr>
        <w:t>、</w:t>
      </w:r>
      <w:r>
        <w:rPr>
          <w:rFonts w:hint="eastAsia" w:cs="Times New Roman"/>
          <w:color w:val="auto"/>
          <w:highlight w:val="none"/>
          <w:lang w:val="en-US" w:eastAsia="zh-CN"/>
        </w:rPr>
        <w:t>验收等</w:t>
      </w:r>
      <w:r>
        <w:rPr>
          <w:rFonts w:hint="eastAsia" w:ascii="Times New Roman" w:hAnsi="Times New Roman" w:cs="Times New Roman"/>
          <w:color w:val="auto"/>
          <w:highlight w:val="none"/>
          <w:lang w:val="zh-CN"/>
        </w:rPr>
        <w:t>。</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zh-CN"/>
        </w:rPr>
      </w:pPr>
      <w:r>
        <w:rPr>
          <w:rFonts w:hint="eastAsia" w:cs="Times New Roman"/>
          <w:color w:val="auto"/>
          <w:highlight w:val="none"/>
          <w:lang w:val="zh-CN"/>
        </w:rPr>
        <w:t>乙方</w:t>
      </w:r>
      <w:r>
        <w:rPr>
          <w:rFonts w:hint="eastAsia" w:ascii="Times New Roman" w:hAnsi="Times New Roman" w:cs="Times New Roman"/>
          <w:color w:val="auto"/>
          <w:highlight w:val="none"/>
          <w:lang w:val="zh-CN"/>
        </w:rPr>
        <w:t>应遵循项目规范和本询价文件的要求，并保证其分</w:t>
      </w:r>
      <w:r>
        <w:rPr>
          <w:rFonts w:hint="eastAsia" w:cs="Times New Roman"/>
          <w:color w:val="auto"/>
          <w:highlight w:val="none"/>
          <w:lang w:val="zh-CN"/>
        </w:rPr>
        <w:t>乙方</w:t>
      </w:r>
      <w:r>
        <w:rPr>
          <w:rFonts w:hint="eastAsia" w:ascii="Times New Roman" w:hAnsi="Times New Roman" w:cs="Times New Roman"/>
          <w:color w:val="auto"/>
          <w:highlight w:val="none"/>
          <w:lang w:val="zh-CN"/>
        </w:rPr>
        <w:t>也遵守上述要求。</w:t>
      </w:r>
      <w:r>
        <w:rPr>
          <w:rFonts w:hint="eastAsia" w:cs="Times New Roman"/>
          <w:color w:val="auto"/>
          <w:highlight w:val="none"/>
          <w:lang w:val="zh-CN"/>
        </w:rPr>
        <w:t>乙方</w:t>
      </w:r>
      <w:r>
        <w:rPr>
          <w:rFonts w:hint="eastAsia" w:ascii="Times New Roman" w:hAnsi="Times New Roman" w:cs="Times New Roman"/>
          <w:color w:val="auto"/>
          <w:highlight w:val="none"/>
          <w:lang w:val="zh-CN"/>
        </w:rPr>
        <w:t>对所报价的设备或材料负完全责任。</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 w:name="_Toc22337"/>
      <w:bookmarkStart w:id="2" w:name="_Toc2587"/>
      <w:r>
        <w:rPr>
          <w:rFonts w:hint="eastAsia" w:cs="Times New Roman"/>
          <w:b/>
          <w:color w:val="auto"/>
          <w:kern w:val="44"/>
          <w:sz w:val="28"/>
          <w:szCs w:val="28"/>
          <w:highlight w:val="none"/>
          <w:lang w:val="en-US" w:eastAsia="zh-CN" w:bidi="ar-SA"/>
        </w:rPr>
        <w:t>工程概况</w:t>
      </w:r>
      <w:bookmarkEnd w:id="1"/>
      <w:bookmarkEnd w:id="2"/>
    </w:p>
    <w:p>
      <w:pPr>
        <w:pStyle w:val="4"/>
        <w:pageBreakBefore w:val="0"/>
        <w:widowControl w:val="0"/>
        <w:kinsoku/>
        <w:wordWrap/>
        <w:overflowPunct/>
        <w:topLinePunct w:val="0"/>
        <w:bidi w:val="0"/>
        <w:spacing w:line="360" w:lineRule="auto"/>
        <w:textAlignment w:val="auto"/>
        <w:rPr>
          <w:color w:val="auto"/>
          <w:highlight w:val="none"/>
        </w:rPr>
      </w:pPr>
      <w:bookmarkStart w:id="3" w:name="_Toc31287"/>
      <w:bookmarkStart w:id="4" w:name="_Toc155446205"/>
      <w:bookmarkStart w:id="5" w:name="_Toc5148"/>
      <w:r>
        <w:rPr>
          <w:rFonts w:hint="eastAsia"/>
          <w:color w:val="auto"/>
          <w:highlight w:val="none"/>
          <w:lang w:val="en-US" w:eastAsia="zh-CN"/>
        </w:rPr>
        <w:t>基本条件</w:t>
      </w:r>
      <w:bookmarkEnd w:id="3"/>
      <w:bookmarkEnd w:id="4"/>
      <w:bookmarkEnd w:id="5"/>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工作制度：300天/年，</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zh-CN"/>
        </w:rPr>
        <w:t>班/天，</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val="zh-CN"/>
        </w:rPr>
        <w:t>小时/班。</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设备安装位置：</w:t>
      </w:r>
      <w:r>
        <w:rPr>
          <w:rFonts w:hint="eastAsia" w:ascii="Times New Roman" w:hAnsi="Times New Roman" w:cs="Times New Roman"/>
          <w:color w:val="auto"/>
          <w:highlight w:val="none"/>
          <w:lang w:val="en-US" w:eastAsia="zh-CN"/>
        </w:rPr>
        <w:t>湖南</w:t>
      </w:r>
      <w:r>
        <w:rPr>
          <w:rFonts w:hint="eastAsia" w:ascii="Times New Roman" w:hAnsi="Times New Roman" w:cs="Times New Roman"/>
          <w:color w:val="auto"/>
          <w:highlight w:val="none"/>
          <w:lang w:val="zh-CN"/>
        </w:rPr>
        <w:t>省</w:t>
      </w:r>
      <w:r>
        <w:rPr>
          <w:rFonts w:hint="eastAsia" w:ascii="Times New Roman" w:hAnsi="Times New Roman" w:cs="Times New Roman"/>
          <w:color w:val="auto"/>
          <w:highlight w:val="none"/>
          <w:lang w:val="en-US" w:eastAsia="zh-CN"/>
        </w:rPr>
        <w:t>长沙</w:t>
      </w:r>
      <w:r>
        <w:rPr>
          <w:rFonts w:hint="eastAsia" w:ascii="Times New Roman" w:hAnsi="Times New Roman" w:cs="Times New Roman"/>
          <w:color w:val="auto"/>
          <w:highlight w:val="none"/>
          <w:lang w:val="zh-CN"/>
        </w:rPr>
        <w:t>市</w:t>
      </w:r>
      <w:r>
        <w:rPr>
          <w:rFonts w:hint="eastAsia" w:ascii="Times New Roman" w:hAnsi="Times New Roman" w:cs="Times New Roman"/>
          <w:color w:val="auto"/>
          <w:highlight w:val="none"/>
          <w:lang w:val="en-US" w:eastAsia="zh-CN"/>
        </w:rPr>
        <w:t>望城</w:t>
      </w:r>
      <w:r>
        <w:rPr>
          <w:rFonts w:hint="eastAsia" w:ascii="Times New Roman" w:hAnsi="Times New Roman" w:cs="Times New Roman"/>
          <w:color w:val="auto"/>
          <w:highlight w:val="none"/>
          <w:lang w:val="zh-CN"/>
        </w:rPr>
        <w:t>区、室内。</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海拔高度：</w:t>
      </w:r>
      <w:r>
        <w:rPr>
          <w:rFonts w:hint="eastAsia" w:ascii="Times New Roman" w:hAnsi="Times New Roman" w:cs="Times New Roman"/>
          <w:color w:val="auto"/>
          <w:highlight w:val="none"/>
          <w:lang w:val="en-US" w:eastAsia="zh-CN"/>
        </w:rPr>
        <w:t>60</w:t>
      </w:r>
      <w:r>
        <w:rPr>
          <w:rFonts w:hint="eastAsia"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150</w:t>
      </w:r>
      <w:r>
        <w:rPr>
          <w:rFonts w:hint="eastAsia" w:ascii="Times New Roman" w:hAnsi="Times New Roman" w:cs="Times New Roman"/>
          <w:color w:val="auto"/>
          <w:highlight w:val="none"/>
          <w:lang w:val="zh-CN"/>
        </w:rPr>
        <w:t>m。</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大气压力：0.1 MPa。</w:t>
      </w:r>
    </w:p>
    <w:p>
      <w:pPr>
        <w:pStyle w:val="4"/>
        <w:pageBreakBefore w:val="0"/>
        <w:widowControl w:val="0"/>
        <w:kinsoku/>
        <w:wordWrap/>
        <w:overflowPunct/>
        <w:topLinePunct w:val="0"/>
        <w:bidi w:val="0"/>
        <w:spacing w:line="360" w:lineRule="auto"/>
        <w:textAlignment w:val="auto"/>
        <w:rPr>
          <w:color w:val="auto"/>
          <w:highlight w:val="none"/>
        </w:rPr>
      </w:pPr>
      <w:bookmarkStart w:id="6" w:name="_Toc18842"/>
      <w:bookmarkStart w:id="7" w:name="_Toc16799"/>
      <w:r>
        <w:rPr>
          <w:rFonts w:hint="eastAsia"/>
          <w:color w:val="auto"/>
          <w:highlight w:val="none"/>
          <w:lang w:val="en-US" w:eastAsia="zh-CN"/>
        </w:rPr>
        <w:t>气象条件</w:t>
      </w:r>
      <w:bookmarkEnd w:id="6"/>
      <w:bookmarkEnd w:id="7"/>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长沙市望城区地处</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"https://baike.baidu.com/item/%E6%B4%9E%E5%BA%AD%E6%B9%96/182539?fromModule=lemma_inlink"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洞庭湖</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南缘、长浏盆地的西部，长衡丘陵向滨湖平原过渡的地带，地理上位于位于</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"https://baike.baidu.com/item/%E6%B9%96%E5%8D%97/228213?fromModule=lemma_inlink"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湖南</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中部偏北、长沙城区北半部，位于东经112°35′48″—113°02′30″和北纬27°58′28″—28°33′45″之间，属</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"https://baike.baidu.com/item/%E4%BA%9A%E7%83%AD%E5%B8%A6%E5%AD%A3%E9%A3%8E%E6%B0%94%E5%80%99/875538?fromModule=lemma_inlink"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亚热带季风气候</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，气候特征是：气候温和，降水充沛，雨热同期，四季分明</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1）温度</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长沙市望城区年平均气温17℃，日照1610小时。1月为一年中气温最低的一个月，平均气温为4.4度，7月为气温最高，平均30℃。全年无霜期除高山的黑麋峰外，其他地区约为270—300天。</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2）降水</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长沙市望城区年降水约为1370毫米，年平均降水日达146天，五、六月份降水每月达200毫米以上，七、八月份每月100毫米以上。</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3）风</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基本风压：0.35kN/m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（50年一遇）；地面粗糙度类别：B类</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（风荷载体型系数按GB50009-2012第8.3节）</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基本雪压：0.50kN/m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 xml:space="preserve">（100年一遇）        </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（屋面积雪压分布系数按GB 50009-2012第7.2节）</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8" w:name="_Toc14415"/>
      <w:bookmarkStart w:id="9" w:name="_Toc10227"/>
      <w:r>
        <w:rPr>
          <w:rFonts w:hint="eastAsia" w:cs="Times New Roman"/>
          <w:b/>
          <w:color w:val="auto"/>
          <w:kern w:val="44"/>
          <w:sz w:val="28"/>
          <w:szCs w:val="28"/>
          <w:highlight w:val="none"/>
          <w:lang w:val="en-US" w:eastAsia="zh-CN" w:bidi="ar-SA"/>
        </w:rPr>
        <w:t>设计条件</w:t>
      </w:r>
      <w:bookmarkEnd w:id="8"/>
      <w:bookmarkEnd w:id="9"/>
    </w:p>
    <w:tbl>
      <w:tblPr>
        <w:tblStyle w:val="13"/>
        <w:tblW w:w="51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6"/>
        <w:gridCol w:w="2323"/>
        <w:gridCol w:w="3165"/>
        <w:gridCol w:w="2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1351"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名称</w:t>
            </w:r>
          </w:p>
        </w:tc>
        <w:tc>
          <w:tcPr>
            <w:tcW w:w="1841"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参数</w:t>
            </w:r>
          </w:p>
        </w:tc>
        <w:tc>
          <w:tcPr>
            <w:tcW w:w="1279"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产品类型</w:t>
            </w:r>
          </w:p>
        </w:tc>
        <w:tc>
          <w:tcPr>
            <w:tcW w:w="184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辊道窑尾气喷淋塔</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设备</w:t>
            </w:r>
            <w:r>
              <w:rPr>
                <w:rFonts w:hint="eastAsia" w:ascii="Times New Roman" w:hAnsi="Times New Roman" w:cs="Times New Roman"/>
                <w:color w:val="auto"/>
                <w:kern w:val="2"/>
                <w:sz w:val="21"/>
                <w:szCs w:val="24"/>
                <w:highlight w:val="none"/>
                <w:lang w:val="en-US" w:eastAsia="zh-CN" w:bidi="ar-SA"/>
              </w:rPr>
              <w:t>台数</w:t>
            </w:r>
          </w:p>
        </w:tc>
        <w:tc>
          <w:tcPr>
            <w:tcW w:w="184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单台最大尾气处理量</w:t>
            </w:r>
          </w:p>
        </w:tc>
        <w:tc>
          <w:tcPr>
            <w:tcW w:w="184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16500m³/h</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最高尾气温度</w:t>
            </w:r>
          </w:p>
        </w:tc>
        <w:tc>
          <w:tcPr>
            <w:tcW w:w="184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300℃</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尾气固体颗粒物</w:t>
            </w:r>
          </w:p>
        </w:tc>
        <w:tc>
          <w:tcPr>
            <w:tcW w:w="184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0000FF"/>
                <w:kern w:val="2"/>
                <w:sz w:val="21"/>
                <w:szCs w:val="24"/>
                <w:highlight w:val="none"/>
                <w:lang w:val="en-US" w:eastAsia="zh-CN" w:bidi="ar-SA"/>
              </w:rPr>
              <w:t>按50mg/m³计算</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处理后尾气颗粒物</w:t>
            </w:r>
          </w:p>
        </w:tc>
        <w:tc>
          <w:tcPr>
            <w:tcW w:w="184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＜10mg/m³</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喷淋塔材质</w:t>
            </w:r>
          </w:p>
        </w:tc>
        <w:tc>
          <w:tcPr>
            <w:tcW w:w="1841" w:type="pct"/>
            <w:vAlign w:val="center"/>
          </w:tcPr>
          <w:p>
            <w:pPr>
              <w:ind w:left="0" w:lef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304</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630" w:firstLineChars="3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尾气性质</w:t>
            </w:r>
          </w:p>
        </w:tc>
        <w:tc>
          <w:tcPr>
            <w:tcW w:w="184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酸性（聚阴离子）/碱性（层氧和钴酸锂）</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具备配酸、配碱洗涤功能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bookmarkStart w:id="10" w:name="_Toc2590"/>
            <w:r>
              <w:rPr>
                <w:rFonts w:hint="eastAsia" w:ascii="Times New Roman" w:hAnsi="Times New Roman" w:cs="Times New Roman"/>
                <w:color w:val="auto"/>
                <w:kern w:val="2"/>
                <w:sz w:val="21"/>
                <w:szCs w:val="24"/>
                <w:highlight w:val="none"/>
                <w:lang w:val="en-US" w:eastAsia="zh-CN" w:bidi="ar-SA"/>
              </w:rPr>
              <w:t>9</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630" w:firstLineChars="300"/>
              <w:jc w:val="both"/>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污泥清理</w:t>
            </w:r>
          </w:p>
        </w:tc>
        <w:tc>
          <w:tcPr>
            <w:tcW w:w="184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需具备人工清理污泥的条件</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10</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630" w:firstLineChars="300"/>
              <w:jc w:val="both"/>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其他</w:t>
            </w:r>
          </w:p>
        </w:tc>
        <w:tc>
          <w:tcPr>
            <w:tcW w:w="184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设计3个尾气进口，每个进口风量5500m³/h，分别配置手动阀门</w:t>
            </w:r>
          </w:p>
        </w:tc>
        <w:tc>
          <w:tcPr>
            <w:tcW w:w="127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1" w:name="_Toc29707"/>
      <w:r>
        <w:rPr>
          <w:rFonts w:hint="eastAsia" w:cs="Times New Roman"/>
          <w:b/>
          <w:color w:val="auto"/>
          <w:kern w:val="44"/>
          <w:sz w:val="28"/>
          <w:szCs w:val="28"/>
          <w:highlight w:val="none"/>
          <w:lang w:val="en-US" w:eastAsia="zh-CN" w:bidi="ar-SA"/>
        </w:rPr>
        <w:t>配置条件</w:t>
      </w:r>
      <w:bookmarkEnd w:id="11"/>
    </w:p>
    <w:p>
      <w:pPr>
        <w:pStyle w:val="2"/>
        <w:rPr>
          <w:rFonts w:hint="default"/>
          <w:lang w:val="en-US" w:eastAsia="zh-CN"/>
        </w:rPr>
      </w:pPr>
      <w:r>
        <w:rPr>
          <w:rFonts w:hint="eastAsia" w:ascii="Times New Roman" w:hAnsi="Times New Roman" w:cs="Times New Roman"/>
          <w:color w:val="auto"/>
          <w:highlight w:val="none"/>
          <w:lang w:val="en-US" w:eastAsia="zh-CN"/>
        </w:rPr>
        <w:t>单台喷淋系统配置不低于以下要求：</w:t>
      </w:r>
    </w:p>
    <w:tbl>
      <w:tblPr>
        <w:tblStyle w:val="13"/>
        <w:tblW w:w="51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5"/>
        <w:gridCol w:w="2320"/>
        <w:gridCol w:w="3031"/>
        <w:gridCol w:w="23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1351"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名称</w:t>
            </w:r>
          </w:p>
        </w:tc>
        <w:tc>
          <w:tcPr>
            <w:tcW w:w="1765"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参数</w:t>
            </w:r>
          </w:p>
        </w:tc>
        <w:tc>
          <w:tcPr>
            <w:tcW w:w="1355"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主体材质</w:t>
            </w:r>
          </w:p>
        </w:tc>
        <w:tc>
          <w:tcPr>
            <w:tcW w:w="176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304</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循环水泵</w:t>
            </w:r>
          </w:p>
        </w:tc>
        <w:tc>
          <w:tcPr>
            <w:tcW w:w="176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槽内泵，耐酸碱</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一开一备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除雾器</w:t>
            </w:r>
          </w:p>
        </w:tc>
        <w:tc>
          <w:tcPr>
            <w:tcW w:w="176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折流板+多面空心球除雾器，含观察口、加料口、排水阀等</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平台</w:t>
            </w:r>
          </w:p>
        </w:tc>
        <w:tc>
          <w:tcPr>
            <w:tcW w:w="176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含梯子、平台、围栏、爬梯等</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风机</w:t>
            </w:r>
          </w:p>
        </w:tc>
        <w:tc>
          <w:tcPr>
            <w:tcW w:w="176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静压＞2000Pa（具体厂家计算），变频电机</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单列报价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喷淋塔至风机风管</w:t>
            </w:r>
          </w:p>
        </w:tc>
        <w:tc>
          <w:tcPr>
            <w:tcW w:w="176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304，口径和壁厚由厂家计算</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排气烟囱</w:t>
            </w:r>
          </w:p>
        </w:tc>
        <w:tc>
          <w:tcPr>
            <w:tcW w:w="176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304，</w:t>
            </w:r>
            <w:r>
              <w:rPr>
                <w:rFonts w:hint="eastAsia" w:ascii="Times New Roman" w:hAnsi="Times New Roman" w:cs="Times New Roman"/>
                <w:color w:val="auto"/>
                <w:highlight w:val="none"/>
                <w:lang w:val="en-US" w:eastAsia="zh-CN"/>
              </w:rPr>
              <w:t>预留环保检测口</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电控系统</w:t>
            </w:r>
          </w:p>
        </w:tc>
        <w:tc>
          <w:tcPr>
            <w:tcW w:w="176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国产优质品牌</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1351"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烟囱外护支架</w:t>
            </w:r>
          </w:p>
        </w:tc>
        <w:tc>
          <w:tcPr>
            <w:tcW w:w="176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碳钢</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2" w:name="_Toc28538"/>
      <w:r>
        <w:rPr>
          <w:rFonts w:hint="eastAsia" w:cs="Times New Roman"/>
          <w:b/>
          <w:color w:val="auto"/>
          <w:kern w:val="44"/>
          <w:sz w:val="28"/>
          <w:szCs w:val="28"/>
          <w:highlight w:val="none"/>
          <w:lang w:val="en-US" w:eastAsia="zh-CN" w:bidi="ar-SA"/>
        </w:rPr>
        <w:t>标准规范</w:t>
      </w:r>
      <w:bookmarkEnd w:id="10"/>
      <w:bookmarkEnd w:id="12"/>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本项目所执行的主要设计、制造、施工和检验标准(部分，无特别说明，所采用的标准应为最新版)：</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《钢制焊接常压容器》                            NB/T 47003.1-2009</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《钢制化工容器制造技术要求》                    HG/T 20584-2011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《钢制化工容器结构设计规定》                    HG/T 20583-2011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《流体输送用不锈钢无缝钢管》                    GB/T 14976-2012</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《输送流体用无缝钢管》                          GB/T 8163-2018</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《化工配管用无缝及焊接钢管尺寸选用系列》        HG/T 20553-2011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《钢制管法兰、垫片、紧固件选用配合规定(PN系列)》  HG/T 20592-2009</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《现场设备、工业管道、焊接工程施工及验收规范》    GB50236-2011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《工业金属管道工程施工质量验收规范》              GB50184-2011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《现场设备、工业管道、焊接工程施工质量验收规范》    GB50683-2011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《自动化仪表选型设计规范》                       HG/T 20507-2014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《仪表供电设计规范》                             HG/T 20509-2014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《仪表供气设计规范》        </w:t>
      </w:r>
      <w:r>
        <w:rPr>
          <w:rFonts w:hint="eastAsia" w:ascii="Times New Roman" w:hAnsi="Times New Roman" w:cs="Times New Roman"/>
          <w:color w:val="auto"/>
          <w:highlight w:val="none"/>
        </w:rPr>
        <w:tab/>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HG/T 20510-2014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《信号报警及联锁系统设计规范》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HG/T 20511-2014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《低压配电设计规范》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GB50054-2011 </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《化工设备工程施工及验收规范》                   HG/T20275-2017</w:t>
      </w:r>
    </w:p>
    <w:p>
      <w:pPr>
        <w:autoSpaceDE w:val="0"/>
        <w:autoSpaceDN w:val="0"/>
        <w:adjustRightInd w:val="0"/>
        <w:snapToGrid w:val="0"/>
        <w:spacing w:line="560" w:lineRule="exact"/>
        <w:ind w:left="-120" w:leftChars="-50" w:right="-120" w:rightChars="-50" w:firstLine="48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动静设备都必须带配对法兰，标准HG/T20592</w:t>
      </w:r>
      <w:r>
        <w:rPr>
          <w:rFonts w:hint="eastAsia" w:cs="Times New Roman"/>
          <w:color w:val="auto"/>
          <w:highlight w:val="none"/>
          <w:lang w:val="en-US" w:eastAsia="zh-CN"/>
        </w:rPr>
        <w:t>B-</w:t>
      </w:r>
      <w:r>
        <w:rPr>
          <w:rFonts w:hint="eastAsia" w:ascii="Times New Roman" w:hAnsi="Times New Roman" w:cs="Times New Roman"/>
          <w:color w:val="auto"/>
          <w:highlight w:val="none"/>
        </w:rPr>
        <w:t>PN系列，钢管尺寸标准HG/T20553</w:t>
      </w:r>
      <w:r>
        <w:rPr>
          <w:rFonts w:hint="eastAsia" w:cs="Times New Roman"/>
          <w:color w:val="auto"/>
          <w:highlight w:val="none"/>
          <w:lang w:val="en-US" w:eastAsia="zh-CN"/>
        </w:rPr>
        <w:t>-II。</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以上标准按签订技术协议时最新版执行</w:t>
      </w:r>
      <w:r>
        <w:rPr>
          <w:rFonts w:hint="eastAsia" w:cs="Times New Roman"/>
          <w:color w:val="auto"/>
          <w:highlight w:val="none"/>
          <w:lang w:eastAsia="zh-CN"/>
        </w:rPr>
        <w:t>乙方</w:t>
      </w:r>
      <w:r>
        <w:rPr>
          <w:rFonts w:hint="eastAsia" w:ascii="Times New Roman" w:hAnsi="Times New Roman" w:cs="Times New Roman"/>
          <w:color w:val="auto"/>
          <w:highlight w:val="none"/>
        </w:rPr>
        <w:t>提供的制造商标准不低于或高于合同签定时的中国国家和行业规范标准的水平，并按最新版本执行。</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3" w:name="_Toc18494"/>
      <w:bookmarkStart w:id="14" w:name="_Toc10772"/>
      <w:bookmarkStart w:id="15" w:name="_Toc26696"/>
      <w:bookmarkStart w:id="16" w:name="_Toc1844"/>
      <w:r>
        <w:rPr>
          <w:rFonts w:hint="eastAsia" w:cs="Times New Roman"/>
          <w:b/>
          <w:color w:val="auto"/>
          <w:kern w:val="44"/>
          <w:sz w:val="28"/>
          <w:szCs w:val="28"/>
          <w:highlight w:val="none"/>
          <w:lang w:val="en-US" w:eastAsia="zh-CN" w:bidi="ar-SA"/>
        </w:rPr>
        <w:t>安装、调试</w:t>
      </w:r>
      <w:bookmarkEnd w:id="13"/>
      <w:bookmarkEnd w:id="14"/>
      <w:bookmarkEnd w:id="15"/>
      <w:r>
        <w:rPr>
          <w:rFonts w:hint="eastAsia" w:cs="Times New Roman"/>
          <w:b/>
          <w:color w:val="auto"/>
          <w:kern w:val="44"/>
          <w:sz w:val="28"/>
          <w:szCs w:val="28"/>
          <w:highlight w:val="none"/>
          <w:lang w:val="en-US" w:eastAsia="zh-CN" w:bidi="ar-SA"/>
        </w:rPr>
        <w:t>、验收、培训</w:t>
      </w:r>
      <w:bookmarkEnd w:id="16"/>
    </w:p>
    <w:p>
      <w:pPr>
        <w:pStyle w:val="4"/>
        <w:rPr>
          <w:rFonts w:hint="eastAsia" w:cs="Times New Roman"/>
          <w:color w:val="auto"/>
          <w:highlight w:val="none"/>
          <w:lang w:val="en-US" w:eastAsia="zh-CN"/>
        </w:rPr>
      </w:pPr>
      <w:bookmarkStart w:id="17" w:name="_Toc12855"/>
      <w:bookmarkStart w:id="18" w:name="_Toc26842"/>
      <w:bookmarkStart w:id="19" w:name="_Toc28591"/>
      <w:bookmarkStart w:id="20" w:name="_Toc26211"/>
      <w:r>
        <w:rPr>
          <w:rFonts w:hint="eastAsia" w:cs="Times New Roman"/>
          <w:color w:val="auto"/>
          <w:highlight w:val="none"/>
          <w:lang w:val="en-US" w:eastAsia="zh-CN"/>
        </w:rPr>
        <w:t>安装、调试</w:t>
      </w:r>
      <w:bookmarkEnd w:id="17"/>
      <w:bookmarkEnd w:id="18"/>
      <w:bookmarkEnd w:id="19"/>
      <w:bookmarkEnd w:id="20"/>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zh-CN" w:eastAsia="zh-CN"/>
        </w:rPr>
      </w:pPr>
      <w:r>
        <w:rPr>
          <w:rFonts w:hint="eastAsia" w:ascii="Arial" w:hAnsi="Arial" w:eastAsia="新宋体" w:cs="Arial"/>
          <w:kern w:val="0"/>
          <w:sz w:val="24"/>
          <w:szCs w:val="24"/>
          <w:lang w:val="en-US" w:eastAsia="zh-CN" w:bidi="ar"/>
        </w:rPr>
        <w:t>乙方必须提供设备现场安装指导及调试服务，并承担相应的全部费用。乙方或设备制造厂必须派遣技术人员到甲方现场负责设备安装和调试等工作，并有责任解答甲方技术人员提出的问题</w:t>
      </w:r>
      <w:r>
        <w:rPr>
          <w:rFonts w:hint="eastAsia" w:ascii="Times New Roman" w:hAnsi="Times New Roman" w:cs="Times New Roman"/>
          <w:color w:val="auto"/>
          <w:highlight w:val="none"/>
          <w:lang w:val="zh-CN" w:eastAsia="zh-CN"/>
        </w:rPr>
        <w:t>。</w:t>
      </w:r>
    </w:p>
    <w:p>
      <w:pPr>
        <w:pStyle w:val="4"/>
        <w:pageBreakBefore w:val="0"/>
        <w:widowControl w:val="0"/>
        <w:kinsoku/>
        <w:wordWrap/>
        <w:overflowPunct/>
        <w:topLinePunct w:val="0"/>
        <w:bidi w:val="0"/>
        <w:spacing w:line="360" w:lineRule="auto"/>
        <w:textAlignment w:val="auto"/>
        <w:rPr>
          <w:rFonts w:hint="eastAsia" w:cs="Times New Roman"/>
          <w:color w:val="auto"/>
          <w:highlight w:val="none"/>
          <w:lang w:val="en-US" w:eastAsia="zh-CN"/>
        </w:rPr>
      </w:pPr>
      <w:bookmarkStart w:id="21" w:name="_Toc28521"/>
      <w:bookmarkStart w:id="22" w:name="_Toc4304"/>
      <w:bookmarkStart w:id="23" w:name="_Toc10600"/>
      <w:bookmarkStart w:id="24" w:name="_Toc18545"/>
      <w:r>
        <w:rPr>
          <w:rFonts w:hint="eastAsia" w:cs="Times New Roman"/>
          <w:color w:val="auto"/>
          <w:highlight w:val="none"/>
          <w:lang w:val="en-US" w:eastAsia="zh-CN"/>
        </w:rPr>
        <w:t>试运行</w:t>
      </w:r>
      <w:bookmarkEnd w:id="21"/>
      <w:bookmarkEnd w:id="22"/>
      <w:bookmarkEnd w:id="23"/>
      <w:bookmarkEnd w:id="24"/>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en-GB" w:eastAsia="zh-CN"/>
        </w:rPr>
      </w:pPr>
      <w:r>
        <w:rPr>
          <w:rFonts w:hint="eastAsia" w:ascii="Arial" w:hAnsi="Arial" w:eastAsia="新宋体" w:cs="Arial"/>
          <w:kern w:val="0"/>
          <w:sz w:val="24"/>
          <w:szCs w:val="24"/>
          <w:lang w:val="en-US" w:eastAsia="zh-CN" w:bidi="ar"/>
        </w:rPr>
        <w:t>按照甲方工艺要求的条件及参数，设备带负载试运行一个月，试运行期间出现的任何设备问题，乙方须积极提出应急方案进行应对，避免再次发生该类问题。</w:t>
      </w:r>
    </w:p>
    <w:p>
      <w:pPr>
        <w:pStyle w:val="4"/>
        <w:pageBreakBefore w:val="0"/>
        <w:widowControl w:val="0"/>
        <w:kinsoku/>
        <w:wordWrap/>
        <w:overflowPunct/>
        <w:topLinePunct w:val="0"/>
        <w:bidi w:val="0"/>
        <w:spacing w:line="360" w:lineRule="auto"/>
        <w:textAlignment w:val="auto"/>
        <w:rPr>
          <w:rFonts w:hint="eastAsia" w:cs="Times New Roman"/>
          <w:color w:val="auto"/>
          <w:highlight w:val="none"/>
          <w:lang w:val="en-US" w:eastAsia="zh-CN"/>
        </w:rPr>
      </w:pPr>
      <w:bookmarkStart w:id="25" w:name="_Toc9231"/>
      <w:bookmarkStart w:id="26" w:name="_Toc2922"/>
      <w:r>
        <w:rPr>
          <w:rFonts w:hint="eastAsia" w:ascii="Arial" w:hAnsi="Arial" w:eastAsia="新宋体" w:cs="Arial"/>
          <w:kern w:val="0"/>
          <w:sz w:val="24"/>
          <w:szCs w:val="24"/>
          <w:lang w:val="en-US" w:eastAsia="zh-CN" w:bidi="ar"/>
        </w:rPr>
        <w:t>设备终验收标准和程序</w:t>
      </w:r>
      <w:bookmarkEnd w:id="25"/>
      <w:bookmarkEnd w:id="26"/>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1.</w:t>
      </w:r>
      <w:r>
        <w:rPr>
          <w:rFonts w:hint="eastAsia" w:ascii="Arial" w:hAnsi="Arial" w:eastAsia="新宋体" w:cs="Arial"/>
          <w:kern w:val="0"/>
          <w:sz w:val="24"/>
          <w:szCs w:val="24"/>
          <w:lang w:val="en-US" w:eastAsia="zh-CN" w:bidi="ar"/>
        </w:rPr>
        <w:t>终验收应按照招标文件技术要求、投标文件、合同及技术协议等作为标准进行验收</w:t>
      </w:r>
      <w:r>
        <w:rPr>
          <w:rFonts w:hint="eastAsia" w:ascii="Times New Roman" w:hAnsi="Times New Roman" w:cs="Times New Roman"/>
          <w:color w:val="auto"/>
          <w:highlight w:val="none"/>
          <w:lang w:val="en-GB" w:eastAsia="zh-CN"/>
        </w:rPr>
        <w:t>。</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设备使用现场安装、调试、试运行和阶段性带负载试运行达到要求，方可进行终验收。</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终验收在买卖双方授权代表在场的情况下在甲方现场逐项地进行。乙方需提供工作报告以证明向甲方提供的设备符合本招标文件、投标文件规定的各项要求。验收合格后，由双方签署验收报告，验收完毕并可正式交付甲方使用</w:t>
      </w:r>
      <w:r>
        <w:rPr>
          <w:rFonts w:hint="eastAsia" w:cs="Times New Roman"/>
          <w:color w:val="auto"/>
          <w:highlight w:val="none"/>
          <w:lang w:val="en-US" w:eastAsia="zh-CN"/>
        </w:rPr>
        <w:t>。</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若设备经检查或在运行时，发现与本招标文件、投标文件提出的要求不相符，甲方有权要求乙方减价或无偿更换和退货，并且乙方承担由此产生的费用及损失。</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乙方须无偿提供所供设备与甲方其它设备配合安装的服务</w:t>
      </w:r>
      <w:r>
        <w:rPr>
          <w:rFonts w:hint="eastAsia" w:cs="Times New Roman"/>
          <w:color w:val="auto"/>
          <w:highlight w:val="none"/>
          <w:lang w:val="en-US" w:eastAsia="zh-CN"/>
        </w:rPr>
        <w:t>。</w:t>
      </w:r>
    </w:p>
    <w:p>
      <w:pPr>
        <w:pStyle w:val="4"/>
        <w:pageBreakBefore w:val="0"/>
        <w:widowControl w:val="0"/>
        <w:kinsoku/>
        <w:wordWrap/>
        <w:overflowPunct/>
        <w:topLinePunct w:val="0"/>
        <w:bidi w:val="0"/>
        <w:spacing w:line="360" w:lineRule="auto"/>
        <w:textAlignment w:val="auto"/>
        <w:rPr>
          <w:rFonts w:hint="eastAsia" w:cs="Times New Roman"/>
          <w:color w:val="auto"/>
          <w:highlight w:val="none"/>
          <w:lang w:val="en-US" w:eastAsia="zh-CN"/>
        </w:rPr>
      </w:pPr>
      <w:bookmarkStart w:id="27" w:name="_Toc3295"/>
      <w:bookmarkStart w:id="28" w:name="_Toc3907"/>
      <w:r>
        <w:rPr>
          <w:rFonts w:hint="eastAsia" w:eastAsia="新宋体" w:cs="Arial"/>
          <w:kern w:val="0"/>
          <w:sz w:val="24"/>
          <w:szCs w:val="24"/>
          <w:lang w:val="en-US" w:eastAsia="zh-CN" w:bidi="ar"/>
        </w:rPr>
        <w:t>技术培训</w:t>
      </w:r>
      <w:bookmarkEnd w:id="27"/>
      <w:bookmarkEnd w:id="28"/>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Arial" w:hAnsi="Arial" w:eastAsia="新宋体" w:cs="Arial"/>
          <w:kern w:val="0"/>
          <w:sz w:val="24"/>
          <w:szCs w:val="24"/>
          <w:lang w:val="en-US" w:eastAsia="zh-CN" w:bidi="ar"/>
        </w:rPr>
        <w:t>乙方应在甲方使用现场（终验收时）就所供设备的安装、操作和维修等对甲方人员进行免费技术培训，直至甲方技术人员能够熟练的操作及使用</w:t>
      </w:r>
      <w:r>
        <w:rPr>
          <w:rFonts w:hint="eastAsia" w:ascii="Times New Roman" w:hAnsi="Times New Roman" w:cs="Times New Roman"/>
          <w:color w:val="auto"/>
          <w:highlight w:val="none"/>
          <w:lang w:val="en-GB" w:eastAsia="zh-CN"/>
        </w:rPr>
        <w:t>。</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乙方应根据设备使用的实际需要，在投标文件中提出详细的培训计划，明确课程内容、课程教材、培训时间、地点和培训人数。</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乙方应对培训的效果和质量负责，乙方应保证派有经验的工程技术人员担任教员，并保证甲方人员在培训后能够独立地完成设备操作和维护等工作。</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29" w:name="_Toc10019"/>
      <w:bookmarkStart w:id="30" w:name="_Toc9890"/>
      <w:bookmarkStart w:id="31" w:name="_Toc4984"/>
      <w:bookmarkStart w:id="32" w:name="_Toc17631"/>
      <w:r>
        <w:rPr>
          <w:rFonts w:hint="eastAsia" w:ascii="Times New Roman" w:hAnsi="Times New Roman" w:cs="Times New Roman"/>
          <w:b/>
          <w:color w:val="auto"/>
          <w:kern w:val="44"/>
          <w:sz w:val="28"/>
          <w:szCs w:val="28"/>
          <w:highlight w:val="none"/>
          <w:lang w:val="en-US" w:eastAsia="zh-CN" w:bidi="ar-SA"/>
        </w:rPr>
        <w:t>买卖双方责任范围</w:t>
      </w:r>
      <w:bookmarkEnd w:id="29"/>
      <w:bookmarkEnd w:id="30"/>
      <w:bookmarkEnd w:id="31"/>
      <w:bookmarkEnd w:id="32"/>
    </w:p>
    <w:p>
      <w:pPr>
        <w:pageBreakBefore w:val="0"/>
        <w:widowControl w:val="0"/>
        <w:numPr>
          <w:ilvl w:val="0"/>
          <w:numId w:val="0"/>
        </w:numPr>
        <w:kinsoku/>
        <w:wordWrap/>
        <w:overflowPunct/>
        <w:topLinePunct w:val="0"/>
        <w:autoSpaceDE w:val="0"/>
        <w:autoSpaceDN w:val="0"/>
        <w:bidi w:val="0"/>
        <w:adjustRightInd w:val="0"/>
        <w:snapToGrid w:val="0"/>
        <w:spacing w:line="360" w:lineRule="auto"/>
        <w:ind w:leftChars="150" w:right="-120" w:rightChars="-50"/>
        <w:textAlignment w:val="auto"/>
        <w:outlineLvl w:val="9"/>
        <w:rPr>
          <w:rFonts w:hint="default"/>
          <w:color w:val="auto"/>
          <w:highlight w:val="none"/>
          <w:lang w:val="en-US" w:eastAsia="zh-CN"/>
        </w:rPr>
      </w:pPr>
      <w:r>
        <w:rPr>
          <w:rFonts w:hint="default"/>
          <w:color w:val="auto"/>
          <w:highlight w:val="none"/>
          <w:lang w:val="en-US" w:eastAsia="zh-CN"/>
        </w:rPr>
        <w:t>○印：责任范围</w:t>
      </w:r>
      <w:r>
        <w:rPr>
          <w:rFonts w:hint="eastAsia"/>
          <w:color w:val="auto"/>
          <w:highlight w:val="none"/>
          <w:lang w:val="en-US" w:eastAsia="zh-CN"/>
        </w:rPr>
        <w:t xml:space="preserve">      </w:t>
      </w:r>
      <w:r>
        <w:rPr>
          <w:rFonts w:hint="default"/>
          <w:color w:val="auto"/>
          <w:highlight w:val="none"/>
          <w:lang w:val="en-US" w:eastAsia="zh-CN"/>
        </w:rPr>
        <w:t xml:space="preserve"> </w:t>
      </w:r>
      <w:r>
        <w:rPr>
          <w:rFonts w:hint="eastAsia"/>
          <w:color w:val="auto"/>
          <w:highlight w:val="none"/>
          <w:lang w:val="en-US" w:eastAsia="zh-CN"/>
        </w:rPr>
        <w:t>-</w:t>
      </w:r>
      <w:r>
        <w:rPr>
          <w:rFonts w:hint="default"/>
          <w:color w:val="auto"/>
          <w:highlight w:val="none"/>
          <w:lang w:val="en-US" w:eastAsia="zh-CN"/>
        </w:rPr>
        <w:t>印：责任范围外</w:t>
      </w:r>
    </w:p>
    <w:tbl>
      <w:tblPr>
        <w:tblStyle w:val="13"/>
        <w:tblW w:w="52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1"/>
        <w:gridCol w:w="1385"/>
        <w:gridCol w:w="1847"/>
        <w:gridCol w:w="1019"/>
        <w:gridCol w:w="970"/>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123" w:type="dxa"/>
            <w:gridSpan w:val="2"/>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业务区分</w:t>
            </w: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w:t>
            </w:r>
            <w:r>
              <w:rPr>
                <w:rFonts w:hint="eastAsia" w:ascii="Times New Roman" w:hAnsi="Times New Roman" w:cs="Times New Roman"/>
                <w:b/>
                <w:bCs/>
                <w:color w:val="auto"/>
                <w:kern w:val="2"/>
                <w:sz w:val="21"/>
                <w:szCs w:val="24"/>
                <w:highlight w:val="none"/>
                <w:lang w:val="en-US" w:eastAsia="zh-CN" w:bidi="ar-SA"/>
              </w:rPr>
              <w:tab/>
            </w:r>
            <w:r>
              <w:rPr>
                <w:rFonts w:hint="eastAsia" w:ascii="Times New Roman" w:hAnsi="Times New Roman" w:cs="Times New Roman"/>
                <w:b/>
                <w:bCs/>
                <w:color w:val="auto"/>
                <w:kern w:val="2"/>
                <w:sz w:val="21"/>
                <w:szCs w:val="24"/>
                <w:highlight w:val="none"/>
                <w:lang w:val="en-US" w:eastAsia="zh-CN" w:bidi="ar-SA"/>
              </w:rPr>
              <w:t>目</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乙方</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甲方</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383"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line="360" w:lineRule="auto"/>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最终规格确认</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line="360" w:lineRule="auto"/>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line="360" w:lineRule="auto"/>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line="360" w:lineRule="auto"/>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383"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设备制作部分</w:t>
            </w: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line="360" w:lineRule="auto"/>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line="360" w:lineRule="auto"/>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line="360" w:lineRule="auto"/>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line="360" w:lineRule="auto"/>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383"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运输相关</w:t>
            </w: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line="360" w:lineRule="auto"/>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运输捆包</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line="360" w:lineRule="auto"/>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line="360" w:lineRule="auto"/>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line="360" w:lineRule="auto"/>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line="360" w:lineRule="auto"/>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line="360" w:lineRule="auto"/>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line="360" w:lineRule="auto"/>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43" w:line="360" w:lineRule="auto"/>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line="360" w:lineRule="auto"/>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工场内搬运</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line="360" w:lineRule="auto"/>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line="360" w:lineRule="auto"/>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line="360" w:lineRule="auto"/>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383"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安装调试相关</w:t>
            </w: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安装、组装</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line="360" w:lineRule="auto"/>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line="360" w:lineRule="auto"/>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乙方指导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5"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line="360" w:lineRule="auto"/>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调试、试运行</w:t>
            </w:r>
          </w:p>
        </w:tc>
        <w:tc>
          <w:tcPr>
            <w:tcW w:w="101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line="360" w:lineRule="auto"/>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9"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line="360" w:lineRule="auto"/>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4"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乙方指导</w:t>
            </w: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33" w:name="_Toc11141"/>
      <w:bookmarkStart w:id="34" w:name="_Toc10823"/>
      <w:r>
        <w:rPr>
          <w:rFonts w:hint="eastAsia" w:cs="Times New Roman"/>
          <w:b/>
          <w:color w:val="auto"/>
          <w:kern w:val="44"/>
          <w:sz w:val="28"/>
          <w:szCs w:val="28"/>
          <w:highlight w:val="none"/>
          <w:lang w:val="en-US" w:eastAsia="zh-CN" w:bidi="ar-SA"/>
        </w:rPr>
        <w:t>质量保证和售后服务</w:t>
      </w:r>
      <w:bookmarkEnd w:id="33"/>
      <w:bookmarkEnd w:id="34"/>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Times New Roman" w:hAnsi="Times New Roman" w:cs="Times New Roman"/>
          <w:color w:val="auto"/>
          <w:highlight w:val="yellow"/>
          <w:lang w:val="en-US" w:eastAsia="zh-CN"/>
        </w:rPr>
        <w:t>设备保修期至少为</w:t>
      </w:r>
      <w:r>
        <w:rPr>
          <w:rFonts w:hint="default" w:ascii="Times New Roman" w:hAnsi="Times New Roman" w:cs="Times New Roman"/>
          <w:color w:val="auto"/>
          <w:highlight w:val="yellow"/>
          <w:lang w:val="en-US" w:eastAsia="zh-CN"/>
        </w:rPr>
        <w:t>1</w:t>
      </w:r>
      <w:r>
        <w:rPr>
          <w:rFonts w:hint="eastAsia" w:ascii="Times New Roman" w:hAnsi="Times New Roman" w:cs="Times New Roman"/>
          <w:color w:val="auto"/>
          <w:highlight w:val="yellow"/>
          <w:lang w:val="en-US" w:eastAsia="zh-CN"/>
        </w:rPr>
        <w:t>年</w:t>
      </w:r>
      <w:r>
        <w:rPr>
          <w:rFonts w:hint="eastAsia" w:ascii="Times New Roman" w:hAnsi="Times New Roman" w:cs="Times New Roman"/>
          <w:color w:val="auto"/>
          <w:highlight w:val="none"/>
          <w:lang w:val="en-US" w:eastAsia="zh-CN"/>
        </w:rPr>
        <w:t>（时间从双方签署终验收报告日起计算），甲方应在保修期内对设备进行定期巡检和维护。保修期内，设备因非甲方人为原因造成的缺陷和损坏时，乙方应负责修理和更换，由此产生的相关费用由乙方承担。同时，应按本条款的上述规定，相应延长所更换部件的保修期。</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乙方必须保证所供货物是全新的、未使用过的产品，无任何旧货或翻新的零件和附件。乙方应保证所提供的全部货物没有设计、材料或工艺上的缺陷。</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设备保修期满前一个月，买卖双方联合对设备进行复查检测，乙方必须对设备进行必要的调整，调整后设备应符合其出厂合格证的要求。</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在设备保修期内，如果设备发生故障，要求乙方在接到甲方故障信息通知后</w:t>
      </w:r>
      <w:r>
        <w:rPr>
          <w:rFonts w:hint="default" w:ascii="Times New Roman" w:hAnsi="Times New Roman" w:cs="Times New Roman"/>
          <w:color w:val="auto"/>
          <w:highlight w:val="none"/>
          <w:lang w:val="en-US" w:eastAsia="zh-CN"/>
        </w:rPr>
        <w:t>24</w:t>
      </w:r>
      <w:r>
        <w:rPr>
          <w:rFonts w:hint="eastAsia" w:ascii="Times New Roman" w:hAnsi="Times New Roman" w:cs="Times New Roman"/>
          <w:color w:val="auto"/>
          <w:highlight w:val="none"/>
          <w:lang w:val="en-US" w:eastAsia="zh-CN"/>
        </w:rPr>
        <w:t>小时内响应，并派有经验的技术人员在</w:t>
      </w:r>
      <w:r>
        <w:rPr>
          <w:rFonts w:hint="default" w:ascii="Times New Roman" w:hAnsi="Times New Roman" w:cs="Times New Roman"/>
          <w:color w:val="auto"/>
          <w:highlight w:val="none"/>
          <w:lang w:val="en-US" w:eastAsia="zh-CN"/>
        </w:rPr>
        <w:t>48</w:t>
      </w:r>
      <w:r>
        <w:rPr>
          <w:rFonts w:hint="eastAsia" w:ascii="Times New Roman" w:hAnsi="Times New Roman" w:cs="Times New Roman"/>
          <w:color w:val="auto"/>
          <w:highlight w:val="none"/>
          <w:lang w:val="en-US" w:eastAsia="zh-CN"/>
        </w:rPr>
        <w:t>小时内到达现场，免费维修或更换有缺陷的货物或部件。要求乙方应尽快排除故障从而使设备正常工作。</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如果乙方接到故障信息通知后在合同规定的时间内没有以合理的速度弥补缺陷，甲方可采取必要的补救措施，但其风险和由此产生的费用由乙方承担，甲方根据合同规定对乙方行使的其他权利不受影响。</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设备保修期过后，乙方或设备制造厂应保证对甲方所购设备提供终生优惠的备件供应、维修服务和技术支持。应对设备软、硬件升级及加工能力扩展所需的软、硬件购置费予以优惠。</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35" w:name="_Toc13385"/>
      <w:bookmarkStart w:id="36" w:name="_Toc19019"/>
      <w:r>
        <w:rPr>
          <w:rFonts w:hint="eastAsia" w:ascii="Times New Roman" w:hAnsi="Times New Roman" w:cs="Times New Roman"/>
          <w:b/>
          <w:kern w:val="44"/>
          <w:sz w:val="28"/>
          <w:szCs w:val="28"/>
          <w:lang w:val="en-US" w:eastAsia="zh-CN" w:bidi="ar-SA"/>
        </w:rPr>
        <w:t>资料交付及</w:t>
      </w:r>
      <w:r>
        <w:rPr>
          <w:rFonts w:hint="eastAsia" w:cs="Times New Roman"/>
          <w:b/>
          <w:kern w:val="44"/>
          <w:sz w:val="28"/>
          <w:szCs w:val="28"/>
          <w:lang w:val="en-US" w:eastAsia="zh-CN" w:bidi="ar-SA"/>
        </w:rPr>
        <w:t>服务</w:t>
      </w:r>
      <w:r>
        <w:rPr>
          <w:rFonts w:hint="eastAsia" w:ascii="Times New Roman" w:hAnsi="Times New Roman" w:cs="Times New Roman"/>
          <w:b/>
          <w:kern w:val="44"/>
          <w:sz w:val="28"/>
          <w:szCs w:val="28"/>
          <w:lang w:val="en-US" w:eastAsia="zh-CN" w:bidi="ar-SA"/>
        </w:rPr>
        <w:t>要求</w:t>
      </w:r>
      <w:bookmarkEnd w:id="35"/>
      <w:bookmarkEnd w:id="36"/>
    </w:p>
    <w:p>
      <w:pPr>
        <w:pStyle w:val="4"/>
        <w:pageBreakBefore w:val="0"/>
        <w:widowControl w:val="0"/>
        <w:kinsoku/>
        <w:wordWrap/>
        <w:overflowPunct/>
        <w:topLinePunct w:val="0"/>
        <w:bidi w:val="0"/>
        <w:spacing w:line="360" w:lineRule="auto"/>
        <w:textAlignment w:val="auto"/>
        <w:rPr>
          <w:rFonts w:hint="eastAsia" w:ascii="Times New Roman" w:hAnsi="Times New Roman" w:cs="Times New Roman"/>
          <w:lang w:val="en-US" w:eastAsia="zh-CN"/>
        </w:rPr>
      </w:pPr>
      <w:bookmarkStart w:id="37" w:name="_Toc1784"/>
      <w:bookmarkStart w:id="38" w:name="_Toc4282"/>
      <w:r>
        <w:rPr>
          <w:rFonts w:hint="eastAsia" w:cs="Times New Roman"/>
          <w:lang w:val="en-US" w:eastAsia="zh-CN"/>
        </w:rPr>
        <w:t>交付清单</w:t>
      </w:r>
      <w:bookmarkEnd w:id="37"/>
      <w:bookmarkEnd w:id="38"/>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1.外购件、外购件的质量合格证书、材质合格证书；</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2.制造、装配质量检查报告（无损检测记录，尺寸检查记录等）；</w:t>
      </w:r>
      <w:bookmarkStart w:id="39" w:name="_Toc363052560"/>
      <w:bookmarkStart w:id="40" w:name="_Toc21416"/>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3.技术资料、安装说明书及操作维修手册</w:t>
      </w:r>
      <w:bookmarkEnd w:id="39"/>
      <w:bookmarkEnd w:id="40"/>
      <w:r>
        <w:rPr>
          <w:rFonts w:hint="eastAsia" w:cs="Times New Roman"/>
          <w:lang w:val="en-US" w:eastAsia="zh-CN"/>
        </w:rPr>
        <w:t>；</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cs="Times New Roman"/>
          <w:lang w:val="en-US" w:eastAsia="zh-CN"/>
        </w:rPr>
        <w:t>乙方</w:t>
      </w:r>
      <w:r>
        <w:rPr>
          <w:rFonts w:hint="eastAsia" w:ascii="Times New Roman" w:hAnsi="Times New Roman" w:cs="Times New Roman"/>
          <w:lang w:val="en-US" w:eastAsia="zh-CN"/>
        </w:rPr>
        <w:t>在接到中标通知之日起</w:t>
      </w:r>
      <w:r>
        <w:rPr>
          <w:rFonts w:hint="eastAsia" w:cs="Times New Roman"/>
          <w:lang w:val="en-US" w:eastAsia="zh-CN"/>
        </w:rPr>
        <w:t>7</w:t>
      </w:r>
      <w:r>
        <w:rPr>
          <w:rFonts w:hint="eastAsia" w:ascii="Times New Roman" w:hAnsi="Times New Roman" w:cs="Times New Roman"/>
          <w:lang w:val="en-US" w:eastAsia="zh-CN"/>
        </w:rPr>
        <w:t>个工作日内向</w:t>
      </w:r>
      <w:r>
        <w:rPr>
          <w:rFonts w:hint="eastAsia" w:cs="Times New Roman"/>
          <w:lang w:val="en-US" w:eastAsia="zh-CN"/>
        </w:rPr>
        <w:t>甲方</w:t>
      </w:r>
      <w:r>
        <w:rPr>
          <w:rFonts w:hint="eastAsia" w:ascii="Times New Roman" w:hAnsi="Times New Roman" w:cs="Times New Roman"/>
          <w:lang w:val="en-US" w:eastAsia="zh-CN"/>
        </w:rPr>
        <w:t>提供设备基础条件图（含动静荷载及其分布、驱动装置位置）及供水电气条件</w:t>
      </w:r>
      <w:r>
        <w:rPr>
          <w:rFonts w:hint="eastAsia" w:cs="Times New Roman"/>
          <w:lang w:val="en-US" w:eastAsia="zh-CN"/>
        </w:rPr>
        <w:t>；</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2）设备说明书、操作维修手册必须明确地标明项目名称、订货单号和设备位号，这些手册里应含有与设备、材料系统或安装相关的数据，、操作顺序，这方面资料至少应包括以下内容：</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设备常见事故和处理办法说明</w:t>
      </w:r>
      <w:r>
        <w:rPr>
          <w:rFonts w:hint="eastAsia" w:cs="Times New Roman"/>
          <w:lang w:val="en-US" w:eastAsia="zh-CN"/>
        </w:rPr>
        <w:t>、</w:t>
      </w:r>
      <w:r>
        <w:rPr>
          <w:rFonts w:hint="eastAsia" w:ascii="Times New Roman" w:hAnsi="Times New Roman" w:cs="Times New Roman"/>
          <w:lang w:val="en-US" w:eastAsia="zh-CN"/>
        </w:rPr>
        <w:t>推荐特殊的预防性维修周期</w:t>
      </w:r>
      <w:r>
        <w:rPr>
          <w:rFonts w:hint="eastAsia" w:cs="Times New Roman"/>
          <w:lang w:val="en-US" w:eastAsia="zh-CN"/>
        </w:rPr>
        <w:t>、</w:t>
      </w:r>
      <w:r>
        <w:rPr>
          <w:rFonts w:hint="eastAsia" w:ascii="Times New Roman" w:hAnsi="Times New Roman" w:cs="Times New Roman"/>
          <w:lang w:val="en-US" w:eastAsia="zh-CN"/>
        </w:rPr>
        <w:t>推荐的润滑剂和润滑周期</w:t>
      </w:r>
      <w:r>
        <w:rPr>
          <w:rFonts w:hint="eastAsia" w:cs="Times New Roman"/>
          <w:lang w:val="en-US" w:eastAsia="zh-CN"/>
        </w:rPr>
        <w:t>、</w:t>
      </w:r>
      <w:r>
        <w:rPr>
          <w:rFonts w:hint="eastAsia" w:ascii="Times New Roman" w:hAnsi="Times New Roman" w:cs="Times New Roman"/>
          <w:lang w:val="en-US" w:eastAsia="zh-CN"/>
        </w:rPr>
        <w:t>设备可能出现的事故及对策和特殊安全说明</w:t>
      </w:r>
      <w:r>
        <w:rPr>
          <w:rFonts w:hint="eastAsia" w:cs="Times New Roman"/>
          <w:lang w:val="en-US" w:eastAsia="zh-CN"/>
        </w:rPr>
        <w:t>、</w:t>
      </w:r>
      <w:r>
        <w:rPr>
          <w:rFonts w:hint="eastAsia" w:ascii="Times New Roman" w:hAnsi="Times New Roman" w:cs="Times New Roman"/>
          <w:lang w:val="en-US" w:eastAsia="zh-CN"/>
        </w:rPr>
        <w:t>电气联锁图</w:t>
      </w:r>
      <w:r>
        <w:rPr>
          <w:rFonts w:hint="eastAsia" w:cs="Times New Roman"/>
          <w:lang w:val="en-US" w:eastAsia="zh-CN"/>
        </w:rPr>
        <w:t>等。</w:t>
      </w:r>
      <w:r>
        <w:rPr>
          <w:rFonts w:hint="eastAsia" w:ascii="Times New Roman" w:hAnsi="Times New Roman" w:cs="Times New Roman"/>
          <w:lang w:val="en-US" w:eastAsia="zh-CN"/>
        </w:rPr>
        <w:t xml:space="preserve"> </w:t>
      </w:r>
    </w:p>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4.资料交付清单</w:t>
      </w:r>
    </w:p>
    <w:tbl>
      <w:tblPr>
        <w:tblStyle w:val="13"/>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1"/>
        <w:gridCol w:w="3568"/>
        <w:gridCol w:w="133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资料名称</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提交时间</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设计方案、布置图、PID图</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公辅条件</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6"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电气原理图/端子接线图</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逻辑控制框图、I/O清单、通讯地址表</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PLC、触摸屏等应用程序</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设备调试完成后</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设备检验报告、产品质量合格证</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系统操作/维护手册</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易损件清单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设备配件清单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11</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培训项目内容/培训记录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12</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系统验收记录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13</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安装施工调试进度表</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发货前</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bl>
    <w:p>
      <w:pPr>
        <w:pageBreakBefore w:val="0"/>
        <w:widowControl w:val="0"/>
        <w:kinsoku/>
        <w:wordWrap/>
        <w:overflowPunct/>
        <w:topLinePunct w:val="0"/>
        <w:autoSpaceDE w:val="0"/>
        <w:autoSpaceDN w:val="0"/>
        <w:bidi w:val="0"/>
        <w:adjustRightInd w:val="0"/>
        <w:snapToGrid w:val="0"/>
        <w:spacing w:line="360" w:lineRule="auto"/>
        <w:ind w:left="-120" w:leftChars="-50" w:right="-120" w:rightChars="-50" w:firstLine="480"/>
        <w:textAlignment w:val="auto"/>
        <w:outlineLvl w:val="9"/>
        <w:rPr>
          <w:rFonts w:hint="default" w:ascii="Times New Roman" w:hAnsi="Times New Roman" w:cs="Times New Roman"/>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5"/>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BmYjFlZmNiZDlmMGVkNzdkZjVjNmFjZTY0ZDQifQ=="/>
  </w:docVars>
  <w:rsids>
    <w:rsidRoot w:val="420E3092"/>
    <w:rsid w:val="00D838B4"/>
    <w:rsid w:val="0150509E"/>
    <w:rsid w:val="027427F8"/>
    <w:rsid w:val="02BA3F8E"/>
    <w:rsid w:val="02EF1E8A"/>
    <w:rsid w:val="032A4C70"/>
    <w:rsid w:val="039667A9"/>
    <w:rsid w:val="03D3435B"/>
    <w:rsid w:val="040F15E8"/>
    <w:rsid w:val="04F6090B"/>
    <w:rsid w:val="05D46230"/>
    <w:rsid w:val="06050405"/>
    <w:rsid w:val="068E5516"/>
    <w:rsid w:val="06A73077"/>
    <w:rsid w:val="07CB25FF"/>
    <w:rsid w:val="07D94EB6"/>
    <w:rsid w:val="07DA314D"/>
    <w:rsid w:val="08113CF8"/>
    <w:rsid w:val="083E4D1A"/>
    <w:rsid w:val="08591B3E"/>
    <w:rsid w:val="088E3EF3"/>
    <w:rsid w:val="094840A2"/>
    <w:rsid w:val="096C2C18"/>
    <w:rsid w:val="0AB87005"/>
    <w:rsid w:val="0ABA2D7D"/>
    <w:rsid w:val="0ABE3E98"/>
    <w:rsid w:val="0AD556E1"/>
    <w:rsid w:val="0B572252"/>
    <w:rsid w:val="0B894E19"/>
    <w:rsid w:val="0BA15CEB"/>
    <w:rsid w:val="0C1B0959"/>
    <w:rsid w:val="0CAF4438"/>
    <w:rsid w:val="0CE31AF2"/>
    <w:rsid w:val="0D091860"/>
    <w:rsid w:val="0D447276"/>
    <w:rsid w:val="0E086D3A"/>
    <w:rsid w:val="0ECA5F52"/>
    <w:rsid w:val="0F011843"/>
    <w:rsid w:val="0F542EBC"/>
    <w:rsid w:val="10855BDB"/>
    <w:rsid w:val="10F90765"/>
    <w:rsid w:val="114809B7"/>
    <w:rsid w:val="11851C0B"/>
    <w:rsid w:val="11A1150F"/>
    <w:rsid w:val="11A92115"/>
    <w:rsid w:val="122D2087"/>
    <w:rsid w:val="12372F05"/>
    <w:rsid w:val="12751C80"/>
    <w:rsid w:val="128864C1"/>
    <w:rsid w:val="12CA1FCB"/>
    <w:rsid w:val="12D20E80"/>
    <w:rsid w:val="12FF7E1E"/>
    <w:rsid w:val="143C5DF0"/>
    <w:rsid w:val="145F282D"/>
    <w:rsid w:val="147C794F"/>
    <w:rsid w:val="149E54BE"/>
    <w:rsid w:val="15115C90"/>
    <w:rsid w:val="153450AA"/>
    <w:rsid w:val="157D131A"/>
    <w:rsid w:val="15A44D56"/>
    <w:rsid w:val="15BE749A"/>
    <w:rsid w:val="15F5735F"/>
    <w:rsid w:val="160E21CF"/>
    <w:rsid w:val="1611794F"/>
    <w:rsid w:val="16807D3E"/>
    <w:rsid w:val="17345C65"/>
    <w:rsid w:val="174D4F79"/>
    <w:rsid w:val="178F7340"/>
    <w:rsid w:val="18450EBF"/>
    <w:rsid w:val="18610CDC"/>
    <w:rsid w:val="186567A2"/>
    <w:rsid w:val="18823AC5"/>
    <w:rsid w:val="1917583F"/>
    <w:rsid w:val="19205870"/>
    <w:rsid w:val="192B3098"/>
    <w:rsid w:val="194D28A0"/>
    <w:rsid w:val="19F94F44"/>
    <w:rsid w:val="1A304E0A"/>
    <w:rsid w:val="1A516B2E"/>
    <w:rsid w:val="1A75281D"/>
    <w:rsid w:val="1B2B2550"/>
    <w:rsid w:val="1B34092A"/>
    <w:rsid w:val="1BA31557"/>
    <w:rsid w:val="1C093B64"/>
    <w:rsid w:val="1CA1608E"/>
    <w:rsid w:val="1CFA2C37"/>
    <w:rsid w:val="1DA47E88"/>
    <w:rsid w:val="1DD0420E"/>
    <w:rsid w:val="1DEE106A"/>
    <w:rsid w:val="1EBA2EF4"/>
    <w:rsid w:val="1ED41ADC"/>
    <w:rsid w:val="1EEC1400"/>
    <w:rsid w:val="1F134CFA"/>
    <w:rsid w:val="1F776CB3"/>
    <w:rsid w:val="1FCC304D"/>
    <w:rsid w:val="20254CE5"/>
    <w:rsid w:val="2033534F"/>
    <w:rsid w:val="20E5799A"/>
    <w:rsid w:val="213B4B89"/>
    <w:rsid w:val="218F2F30"/>
    <w:rsid w:val="222201C0"/>
    <w:rsid w:val="223C3A58"/>
    <w:rsid w:val="22985DCE"/>
    <w:rsid w:val="22D36C7A"/>
    <w:rsid w:val="231150AD"/>
    <w:rsid w:val="23645B24"/>
    <w:rsid w:val="23EE61D2"/>
    <w:rsid w:val="24BA6BD0"/>
    <w:rsid w:val="24D96C54"/>
    <w:rsid w:val="24EA1C9A"/>
    <w:rsid w:val="251327E7"/>
    <w:rsid w:val="25C94365"/>
    <w:rsid w:val="260C1468"/>
    <w:rsid w:val="2642684E"/>
    <w:rsid w:val="26FD3091"/>
    <w:rsid w:val="274719E5"/>
    <w:rsid w:val="28362562"/>
    <w:rsid w:val="288325A9"/>
    <w:rsid w:val="29130F5F"/>
    <w:rsid w:val="29590FEE"/>
    <w:rsid w:val="297E7214"/>
    <w:rsid w:val="29FD068D"/>
    <w:rsid w:val="2A2B2EF8"/>
    <w:rsid w:val="2A3F20F0"/>
    <w:rsid w:val="2A8820F8"/>
    <w:rsid w:val="2AB82F79"/>
    <w:rsid w:val="2AFA28CA"/>
    <w:rsid w:val="2B577D1D"/>
    <w:rsid w:val="2B786611"/>
    <w:rsid w:val="2BE47802"/>
    <w:rsid w:val="2BF612E4"/>
    <w:rsid w:val="2C11611D"/>
    <w:rsid w:val="2C1856FE"/>
    <w:rsid w:val="2C4B4913"/>
    <w:rsid w:val="2D4576F4"/>
    <w:rsid w:val="2D607A1D"/>
    <w:rsid w:val="2D7B5F44"/>
    <w:rsid w:val="2E5170FD"/>
    <w:rsid w:val="2F1E127D"/>
    <w:rsid w:val="2FD438CC"/>
    <w:rsid w:val="303020C3"/>
    <w:rsid w:val="306B3570"/>
    <w:rsid w:val="30FA7AC8"/>
    <w:rsid w:val="311A2A47"/>
    <w:rsid w:val="317E1FB4"/>
    <w:rsid w:val="32191399"/>
    <w:rsid w:val="322261C5"/>
    <w:rsid w:val="32A81C47"/>
    <w:rsid w:val="32B60E5B"/>
    <w:rsid w:val="32DF0D23"/>
    <w:rsid w:val="33016EEC"/>
    <w:rsid w:val="33A03EC8"/>
    <w:rsid w:val="33D82342"/>
    <w:rsid w:val="344F5230"/>
    <w:rsid w:val="352262AE"/>
    <w:rsid w:val="354210DC"/>
    <w:rsid w:val="354F7EAB"/>
    <w:rsid w:val="362751F3"/>
    <w:rsid w:val="373D1765"/>
    <w:rsid w:val="38A73DEA"/>
    <w:rsid w:val="38C77023"/>
    <w:rsid w:val="38E52E0C"/>
    <w:rsid w:val="39677CC5"/>
    <w:rsid w:val="3A4158CD"/>
    <w:rsid w:val="3AE27603"/>
    <w:rsid w:val="3AEA6D99"/>
    <w:rsid w:val="3B5B73B5"/>
    <w:rsid w:val="3BC808FC"/>
    <w:rsid w:val="3C291261"/>
    <w:rsid w:val="3D202664"/>
    <w:rsid w:val="3E3A0337"/>
    <w:rsid w:val="3ECD2378"/>
    <w:rsid w:val="3FC90D91"/>
    <w:rsid w:val="3FF102E8"/>
    <w:rsid w:val="40182F76"/>
    <w:rsid w:val="405A5E8D"/>
    <w:rsid w:val="40D71201"/>
    <w:rsid w:val="42097B6B"/>
    <w:rsid w:val="420E3092"/>
    <w:rsid w:val="43543068"/>
    <w:rsid w:val="43A15159"/>
    <w:rsid w:val="4473751E"/>
    <w:rsid w:val="44C47D79"/>
    <w:rsid w:val="450E0B97"/>
    <w:rsid w:val="45236DFE"/>
    <w:rsid w:val="452B7DF8"/>
    <w:rsid w:val="454315E6"/>
    <w:rsid w:val="4588349D"/>
    <w:rsid w:val="45ED4C6E"/>
    <w:rsid w:val="463158E2"/>
    <w:rsid w:val="465F24EE"/>
    <w:rsid w:val="47523D62"/>
    <w:rsid w:val="479B5ECC"/>
    <w:rsid w:val="47AA76FA"/>
    <w:rsid w:val="48007537"/>
    <w:rsid w:val="4840005F"/>
    <w:rsid w:val="48BB76E5"/>
    <w:rsid w:val="48D545A8"/>
    <w:rsid w:val="49E3580E"/>
    <w:rsid w:val="4A0D48DF"/>
    <w:rsid w:val="4A6F2535"/>
    <w:rsid w:val="4A761B16"/>
    <w:rsid w:val="4B194FB1"/>
    <w:rsid w:val="4BA97CC9"/>
    <w:rsid w:val="4BAE642A"/>
    <w:rsid w:val="4C030EA3"/>
    <w:rsid w:val="4C3C5D94"/>
    <w:rsid w:val="4C65665F"/>
    <w:rsid w:val="4C9E3EDB"/>
    <w:rsid w:val="4CC43A0A"/>
    <w:rsid w:val="4CDC7F9F"/>
    <w:rsid w:val="4CDE39A2"/>
    <w:rsid w:val="4D057181"/>
    <w:rsid w:val="4D1B69A4"/>
    <w:rsid w:val="4D41465D"/>
    <w:rsid w:val="4D6C7200"/>
    <w:rsid w:val="4DD37564"/>
    <w:rsid w:val="4DE41E5A"/>
    <w:rsid w:val="4DFF7D33"/>
    <w:rsid w:val="4EC0252F"/>
    <w:rsid w:val="4EE03A01"/>
    <w:rsid w:val="4FEE03A0"/>
    <w:rsid w:val="51300872"/>
    <w:rsid w:val="51312C3A"/>
    <w:rsid w:val="51B80C66"/>
    <w:rsid w:val="528E50AB"/>
    <w:rsid w:val="529214B7"/>
    <w:rsid w:val="52932D4B"/>
    <w:rsid w:val="52D52DC9"/>
    <w:rsid w:val="52E33AC0"/>
    <w:rsid w:val="53591C57"/>
    <w:rsid w:val="53626B28"/>
    <w:rsid w:val="53D13A7E"/>
    <w:rsid w:val="54AD0A81"/>
    <w:rsid w:val="54D71F1A"/>
    <w:rsid w:val="54EB3100"/>
    <w:rsid w:val="55CC2F32"/>
    <w:rsid w:val="561D56D6"/>
    <w:rsid w:val="5635234A"/>
    <w:rsid w:val="56446F6C"/>
    <w:rsid w:val="566A33AF"/>
    <w:rsid w:val="569A6B8C"/>
    <w:rsid w:val="56C836F9"/>
    <w:rsid w:val="56C85879"/>
    <w:rsid w:val="56F02C50"/>
    <w:rsid w:val="577E0EF6"/>
    <w:rsid w:val="579655A5"/>
    <w:rsid w:val="58112E7E"/>
    <w:rsid w:val="58EE7121"/>
    <w:rsid w:val="59427955"/>
    <w:rsid w:val="5A6B4F46"/>
    <w:rsid w:val="5A737E20"/>
    <w:rsid w:val="5A9164F8"/>
    <w:rsid w:val="5ACB58C2"/>
    <w:rsid w:val="5AD308BE"/>
    <w:rsid w:val="5B4B5F67"/>
    <w:rsid w:val="5B5B1DC7"/>
    <w:rsid w:val="5B8322E4"/>
    <w:rsid w:val="5C142F3C"/>
    <w:rsid w:val="5C8E3E98"/>
    <w:rsid w:val="5D036E05"/>
    <w:rsid w:val="5D1256CE"/>
    <w:rsid w:val="5D6972B8"/>
    <w:rsid w:val="5E4E4E2C"/>
    <w:rsid w:val="5E6A7F4A"/>
    <w:rsid w:val="5E9B7945"/>
    <w:rsid w:val="5F6E6E08"/>
    <w:rsid w:val="5F7E1A2B"/>
    <w:rsid w:val="5FA50701"/>
    <w:rsid w:val="5FAE166A"/>
    <w:rsid w:val="5FC2117B"/>
    <w:rsid w:val="5FF3469A"/>
    <w:rsid w:val="60932FCA"/>
    <w:rsid w:val="60BA67A8"/>
    <w:rsid w:val="61AD324A"/>
    <w:rsid w:val="61C96FB8"/>
    <w:rsid w:val="61F41846"/>
    <w:rsid w:val="6264175C"/>
    <w:rsid w:val="628A6E98"/>
    <w:rsid w:val="62FB101D"/>
    <w:rsid w:val="63786A4D"/>
    <w:rsid w:val="64041226"/>
    <w:rsid w:val="64572CE8"/>
    <w:rsid w:val="64740A1C"/>
    <w:rsid w:val="64983A7B"/>
    <w:rsid w:val="64A137DB"/>
    <w:rsid w:val="64D1412A"/>
    <w:rsid w:val="65F00576"/>
    <w:rsid w:val="65FB6435"/>
    <w:rsid w:val="6626463C"/>
    <w:rsid w:val="662E0646"/>
    <w:rsid w:val="67632B84"/>
    <w:rsid w:val="676905E0"/>
    <w:rsid w:val="67AA12EC"/>
    <w:rsid w:val="67AE06E9"/>
    <w:rsid w:val="68336137"/>
    <w:rsid w:val="689F6284"/>
    <w:rsid w:val="68B7537B"/>
    <w:rsid w:val="69BD10B7"/>
    <w:rsid w:val="6A020035"/>
    <w:rsid w:val="6A055354"/>
    <w:rsid w:val="6AEA1F10"/>
    <w:rsid w:val="6AFC79BD"/>
    <w:rsid w:val="6AFF5CBC"/>
    <w:rsid w:val="6B2B2F69"/>
    <w:rsid w:val="6B535953"/>
    <w:rsid w:val="6B7B3CF2"/>
    <w:rsid w:val="6C0F54CE"/>
    <w:rsid w:val="6C3A4645"/>
    <w:rsid w:val="6C3B7BA1"/>
    <w:rsid w:val="6C4258A4"/>
    <w:rsid w:val="6CAD4A62"/>
    <w:rsid w:val="6CC87B57"/>
    <w:rsid w:val="6D7A175E"/>
    <w:rsid w:val="6DAD383C"/>
    <w:rsid w:val="6DC9002B"/>
    <w:rsid w:val="6E2E4332"/>
    <w:rsid w:val="6E3661C1"/>
    <w:rsid w:val="6EB760D5"/>
    <w:rsid w:val="6F5B1156"/>
    <w:rsid w:val="6F9155E0"/>
    <w:rsid w:val="6F9957DB"/>
    <w:rsid w:val="6FB803AC"/>
    <w:rsid w:val="6FEA24DA"/>
    <w:rsid w:val="70250EE0"/>
    <w:rsid w:val="70514307"/>
    <w:rsid w:val="70D72A5F"/>
    <w:rsid w:val="70E64A50"/>
    <w:rsid w:val="721A7EDD"/>
    <w:rsid w:val="72730565"/>
    <w:rsid w:val="72AE3C93"/>
    <w:rsid w:val="72B56DCF"/>
    <w:rsid w:val="72E90827"/>
    <w:rsid w:val="737E0B7F"/>
    <w:rsid w:val="73BE0114"/>
    <w:rsid w:val="73C240F0"/>
    <w:rsid w:val="73CC4AA8"/>
    <w:rsid w:val="73F9505A"/>
    <w:rsid w:val="74AA3682"/>
    <w:rsid w:val="75265CF8"/>
    <w:rsid w:val="755A415C"/>
    <w:rsid w:val="75706DE7"/>
    <w:rsid w:val="757C596C"/>
    <w:rsid w:val="763B4B15"/>
    <w:rsid w:val="779954A2"/>
    <w:rsid w:val="77DB1332"/>
    <w:rsid w:val="78090224"/>
    <w:rsid w:val="784309DA"/>
    <w:rsid w:val="7881541D"/>
    <w:rsid w:val="78C00DE1"/>
    <w:rsid w:val="78CE0BEB"/>
    <w:rsid w:val="78EE303B"/>
    <w:rsid w:val="796E3EA9"/>
    <w:rsid w:val="797352EE"/>
    <w:rsid w:val="79A951B4"/>
    <w:rsid w:val="7A6A66F1"/>
    <w:rsid w:val="7A7D77DF"/>
    <w:rsid w:val="7AEC4A35"/>
    <w:rsid w:val="7B220D7A"/>
    <w:rsid w:val="7B340AAD"/>
    <w:rsid w:val="7B9C6D7F"/>
    <w:rsid w:val="7BBE768A"/>
    <w:rsid w:val="7BEC3136"/>
    <w:rsid w:val="7C240B22"/>
    <w:rsid w:val="7CF20C20"/>
    <w:rsid w:val="7D6E7A4E"/>
    <w:rsid w:val="7E6410D2"/>
    <w:rsid w:val="7F0F5AB9"/>
    <w:rsid w:val="7F2A26A9"/>
    <w:rsid w:val="7FBB40E3"/>
    <w:rsid w:val="7FC5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5">
    <w:name w:val="heading 3"/>
    <w:basedOn w:val="1"/>
    <w:next w:val="6"/>
    <w:autoRedefine/>
    <w:unhideWhenUsed/>
    <w:qFormat/>
    <w:uiPriority w:val="0"/>
    <w:pPr>
      <w:keepNext/>
      <w:keepLines/>
      <w:numPr>
        <w:ilvl w:val="2"/>
        <w:numId w:val="2"/>
      </w:numPr>
      <w:ind w:firstLineChars="0"/>
      <w:outlineLvl w:val="2"/>
    </w:p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6">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7">
    <w:name w:val="Normal Indent"/>
    <w:basedOn w:val="1"/>
    <w:autoRedefine/>
    <w:qFormat/>
    <w:uiPriority w:val="0"/>
    <w:pPr>
      <w:ind w:firstLine="420"/>
    </w:pPr>
    <w:rPr>
      <w:szCs w:val="20"/>
    </w:rPr>
  </w:style>
  <w:style w:type="paragraph" w:styleId="8">
    <w:name w:val="Body Text"/>
    <w:basedOn w:val="1"/>
    <w:next w:val="1"/>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next w:val="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dot" w:pos="9628"/>
      </w:tabs>
      <w:spacing w:line="240" w:lineRule="auto"/>
    </w:pPr>
    <w:rPr>
      <w:rFonts w:ascii="宋体" w:hAnsi="宋体"/>
      <w:b/>
      <w:sz w:val="28"/>
    </w:rPr>
  </w:style>
  <w:style w:type="paragraph" w:styleId="12">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customStyle="1" w:styleId="15">
    <w:name w:val="Table Paragraph"/>
    <w:basedOn w:val="1"/>
    <w:autoRedefine/>
    <w:qFormat/>
    <w:uiPriority w:val="1"/>
    <w:pPr>
      <w:spacing w:before="178"/>
      <w:ind w:left="105"/>
    </w:pPr>
    <w:rPr>
      <w:rFonts w:ascii="宋体" w:hAnsi="宋体" w:eastAsia="宋体" w:cs="宋体"/>
      <w:lang w:val="en-US" w:eastAsia="zh-CN" w:bidi="ar-SA"/>
    </w:rPr>
  </w:style>
  <w:style w:type="paragraph" w:customStyle="1" w:styleId="16">
    <w:name w:val="表格内文字"/>
    <w:basedOn w:val="1"/>
    <w:next w:val="1"/>
    <w:autoRedefine/>
    <w:qFormat/>
    <w:uiPriority w:val="0"/>
    <w:pPr>
      <w:spacing w:line="240" w:lineRule="auto"/>
      <w:ind w:firstLine="0" w:firstLineChars="0"/>
      <w:jc w:val="center"/>
    </w:pPr>
    <w:rPr>
      <w:sz w:val="21"/>
    </w:rPr>
  </w:style>
  <w:style w:type="paragraph" w:styleId="17">
    <w:name w:val="List Paragraph"/>
    <w:basedOn w:val="1"/>
    <w:autoRedefine/>
    <w:qFormat/>
    <w:uiPriority w:val="1"/>
    <w:pPr>
      <w:ind w:left="830" w:hanging="590"/>
    </w:pPr>
    <w:rPr>
      <w:rFonts w:ascii="宋体" w:hAnsi="宋体" w:eastAsia="宋体" w:cs="宋体"/>
      <w:lang w:val="en-US" w:eastAsia="zh-CN" w:bidi="ar-SA"/>
    </w:rPr>
  </w:style>
  <w:style w:type="paragraph" w:customStyle="1" w:styleId="1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9">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梦☆忆紫筱生</dc:creator>
  <cp:lastModifiedBy>WPS_1645609622</cp:lastModifiedBy>
  <dcterms:modified xsi:type="dcterms:W3CDTF">2024-06-28T17:07:45Z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16EB020F2B9140789B253D47D4CDFE01_13</vt:lpwstr>
  </property>
</Properties>
</file>