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cs="Times New Roman" w:eastAsiaTheme="minorEastAsia"/>
          <w:b/>
          <w:color w:val="FF0000"/>
        </w:rPr>
      </w:pPr>
      <w:r>
        <w:rPr>
          <w:rFonts w:cs="Times New Roman" w:eastAsiaTheme="minorEastAsia"/>
          <w:b/>
          <w:color w:val="FF0000"/>
        </w:rPr>
        <w:t>合同编号：</w:t>
      </w:r>
    </w:p>
    <w:p>
      <w:pPr>
        <w:jc w:val="right"/>
        <w:rPr>
          <w:rFonts w:cs="Times New Roman" w:eastAsiaTheme="minorEastAsia"/>
          <w:b/>
          <w:color w:val="FF0000"/>
          <w:szCs w:val="24"/>
        </w:rPr>
      </w:pPr>
    </w:p>
    <w:p>
      <w:pPr>
        <w:spacing w:before="312" w:beforeLines="100" w:after="312" w:afterLines="100" w:line="480" w:lineRule="auto"/>
        <w:jc w:val="center"/>
        <w:rPr>
          <w:rFonts w:cs="Times New Roman"/>
          <w:b/>
          <w:bCs/>
          <w:kern w:val="44"/>
          <w:sz w:val="44"/>
          <w:szCs w:val="44"/>
        </w:rPr>
      </w:pPr>
      <w:r>
        <w:rPr>
          <w:rFonts w:cs="Times New Roman"/>
          <w:b/>
          <w:bCs/>
          <w:kern w:val="44"/>
          <w:sz w:val="44"/>
          <w:szCs w:val="44"/>
        </w:rPr>
        <w:t>华能国际电力股份有限公司上安电厂</w:t>
      </w:r>
    </w:p>
    <w:p>
      <w:pPr>
        <w:spacing w:before="312" w:beforeLines="100" w:after="312" w:afterLines="100" w:line="480" w:lineRule="auto"/>
        <w:jc w:val="center"/>
        <w:rPr>
          <w:rFonts w:cs="Times New Roman"/>
          <w:b/>
          <w:bCs/>
          <w:kern w:val="44"/>
          <w:sz w:val="44"/>
          <w:szCs w:val="44"/>
        </w:rPr>
      </w:pPr>
      <w:r>
        <w:rPr>
          <w:rFonts w:cs="Times New Roman"/>
          <w:b/>
          <w:bCs/>
          <w:kern w:val="44"/>
          <w:sz w:val="44"/>
          <w:szCs w:val="44"/>
        </w:rPr>
        <w:t>上安4号机组低压缸零出力改造项目</w:t>
      </w:r>
    </w:p>
    <w:p>
      <w:pPr>
        <w:spacing w:before="312" w:beforeLines="100" w:after="312" w:afterLines="100" w:line="480" w:lineRule="auto"/>
        <w:jc w:val="center"/>
        <w:rPr>
          <w:rFonts w:cs="Times New Roman"/>
          <w:b/>
          <w:bCs/>
          <w:kern w:val="44"/>
          <w:sz w:val="44"/>
          <w:szCs w:val="44"/>
          <w:u w:val="single"/>
        </w:rPr>
      </w:pPr>
      <w:r>
        <w:rPr>
          <w:rFonts w:cs="Times New Roman"/>
          <w:b/>
          <w:bCs/>
          <w:kern w:val="44"/>
          <w:sz w:val="44"/>
          <w:szCs w:val="44"/>
          <w:u w:val="single"/>
        </w:rPr>
        <w:t>机务电控成套供货采购</w:t>
      </w:r>
    </w:p>
    <w:p>
      <w:pPr>
        <w:jc w:val="center"/>
        <w:rPr>
          <w:rFonts w:eastAsia="楷体" w:cs="Times New Roman"/>
          <w:b/>
          <w:sz w:val="32"/>
          <w:szCs w:val="32"/>
        </w:rPr>
      </w:pPr>
    </w:p>
    <w:p>
      <w:pPr>
        <w:jc w:val="center"/>
        <w:rPr>
          <w:rFonts w:eastAsia="楷体" w:cs="Times New Roman"/>
          <w:b/>
          <w:sz w:val="52"/>
          <w:szCs w:val="52"/>
        </w:rPr>
      </w:pPr>
      <w:r>
        <w:rPr>
          <w:rFonts w:eastAsia="楷体" w:cs="Times New Roman"/>
          <w:b/>
          <w:sz w:val="52"/>
          <w:szCs w:val="52"/>
        </w:rPr>
        <w:t>技术协议</w:t>
      </w:r>
    </w:p>
    <w:p>
      <w:pPr>
        <w:jc w:val="center"/>
        <w:rPr>
          <w:rFonts w:eastAsia="楷体" w:cs="Times New Roman"/>
          <w:b/>
          <w:sz w:val="52"/>
          <w:szCs w:val="52"/>
        </w:rPr>
      </w:pPr>
    </w:p>
    <w:p>
      <w:pPr>
        <w:jc w:val="center"/>
        <w:rPr>
          <w:rFonts w:eastAsia="楷体" w:cs="Times New Roman"/>
          <w:b/>
          <w:sz w:val="36"/>
          <w:szCs w:val="36"/>
        </w:rPr>
      </w:pPr>
    </w:p>
    <w:p>
      <w:pPr>
        <w:jc w:val="center"/>
        <w:rPr>
          <w:rFonts w:eastAsia="楷体" w:cs="Times New Roman"/>
          <w:b/>
          <w:sz w:val="36"/>
          <w:szCs w:val="36"/>
        </w:rPr>
      </w:pPr>
    </w:p>
    <w:p>
      <w:pPr>
        <w:jc w:val="center"/>
        <w:rPr>
          <w:rFonts w:eastAsia="楷体" w:cs="Times New Roman"/>
          <w:b/>
          <w:sz w:val="36"/>
          <w:szCs w:val="36"/>
        </w:rPr>
      </w:pPr>
    </w:p>
    <w:p>
      <w:pPr>
        <w:jc w:val="center"/>
        <w:rPr>
          <w:rFonts w:eastAsia="楷体" w:cs="Times New Roman"/>
          <w:b/>
          <w:sz w:val="36"/>
          <w:szCs w:val="36"/>
        </w:rPr>
      </w:pPr>
    </w:p>
    <w:p>
      <w:pPr>
        <w:jc w:val="center"/>
        <w:rPr>
          <w:rFonts w:eastAsia="楷体" w:cs="Times New Roman"/>
          <w:b/>
          <w:sz w:val="36"/>
          <w:szCs w:val="36"/>
        </w:rPr>
      </w:pPr>
    </w:p>
    <w:p>
      <w:pPr>
        <w:spacing w:before="100" w:beforeAutospacing="1" w:after="100" w:afterAutospacing="1"/>
        <w:ind w:firstLine="1270" w:firstLineChars="397"/>
        <w:jc w:val="left"/>
        <w:rPr>
          <w:rFonts w:cs="Times New Roman" w:eastAsiaTheme="minorEastAsia"/>
          <w:sz w:val="32"/>
          <w:szCs w:val="32"/>
        </w:rPr>
      </w:pPr>
      <w:r>
        <w:rPr>
          <w:rFonts w:cs="Times New Roman" w:eastAsiaTheme="minorEastAsia"/>
          <w:sz w:val="32"/>
          <w:szCs w:val="32"/>
        </w:rPr>
        <w:t>需方：中机国际工程设计研究院有限责任公司</w:t>
      </w:r>
    </w:p>
    <w:p>
      <w:pPr>
        <w:spacing w:before="100" w:beforeAutospacing="1" w:after="100" w:afterAutospacing="1"/>
        <w:ind w:firstLine="1270" w:firstLineChars="397"/>
        <w:jc w:val="left"/>
        <w:rPr>
          <w:rFonts w:hint="eastAsia" w:cs="Times New Roman" w:eastAsiaTheme="minorEastAsia"/>
          <w:sz w:val="32"/>
          <w:szCs w:val="32"/>
          <w:lang w:eastAsia="zh-CN"/>
        </w:rPr>
      </w:pPr>
      <w:r>
        <w:rPr>
          <w:rFonts w:cs="Times New Roman" w:eastAsiaTheme="minorEastAsia"/>
          <w:sz w:val="32"/>
          <w:szCs w:val="32"/>
        </w:rPr>
        <w:t>供方：</w:t>
      </w:r>
      <w:r>
        <w:rPr>
          <w:rFonts w:hint="eastAsia" w:cs="Times New Roman" w:eastAsiaTheme="minorEastAsia"/>
          <w:sz w:val="32"/>
          <w:szCs w:val="32"/>
          <w:lang w:eastAsia="zh-CN"/>
        </w:rPr>
        <w:t>AAAA</w:t>
      </w:r>
    </w:p>
    <w:p>
      <w:pPr>
        <w:jc w:val="center"/>
        <w:rPr>
          <w:rFonts w:cs="Times New Roman" w:eastAsiaTheme="minorEastAsia"/>
          <w:sz w:val="36"/>
          <w:szCs w:val="36"/>
        </w:rPr>
      </w:pPr>
    </w:p>
    <w:p>
      <w:pPr>
        <w:jc w:val="center"/>
        <w:rPr>
          <w:rFonts w:cs="Times New Roman" w:eastAsiaTheme="minorEastAsia"/>
          <w:snapToGrid w:val="0"/>
          <w:color w:val="000000"/>
          <w:spacing w:val="30"/>
          <w:kern w:val="0"/>
          <w:sz w:val="32"/>
          <w:szCs w:val="32"/>
        </w:rPr>
      </w:pPr>
      <w:r>
        <w:rPr>
          <w:rFonts w:cs="Times New Roman" w:eastAsiaTheme="minorEastAsia"/>
          <w:sz w:val="36"/>
          <w:szCs w:val="36"/>
        </w:rPr>
        <w:t>二O二四年三月</w:t>
      </w:r>
    </w:p>
    <w:p>
      <w:pPr>
        <w:jc w:val="left"/>
        <w:rPr>
          <w:rFonts w:eastAsia="黑体" w:cs="Times New Roman"/>
          <w:snapToGrid w:val="0"/>
          <w:color w:val="000000"/>
          <w:spacing w:val="30"/>
          <w:kern w:val="0"/>
          <w:sz w:val="32"/>
          <w:szCs w:val="32"/>
        </w:rPr>
      </w:pPr>
    </w:p>
    <w:p>
      <w:pPr>
        <w:jc w:val="center"/>
        <w:rPr>
          <w:rFonts w:eastAsia="黑体" w:cs="Times New Roman"/>
          <w:snapToGrid w:val="0"/>
          <w:color w:val="000000"/>
          <w:spacing w:val="30"/>
          <w:kern w:val="0"/>
          <w:sz w:val="32"/>
          <w:szCs w:val="32"/>
        </w:rPr>
        <w:sectPr>
          <w:headerReference r:id="rId3" w:type="default"/>
          <w:pgSz w:w="11906" w:h="16838"/>
          <w:pgMar w:top="1440" w:right="1800" w:bottom="1440" w:left="1800" w:header="851" w:footer="992" w:gutter="0"/>
          <w:cols w:space="425" w:num="1"/>
          <w:docGrid w:type="lines" w:linePitch="312" w:charSpace="0"/>
        </w:sectPr>
      </w:pPr>
    </w:p>
    <w:p>
      <w:pPr>
        <w:jc w:val="center"/>
        <w:rPr>
          <w:rFonts w:eastAsia="黑体" w:cs="Times New Roman"/>
          <w:snapToGrid w:val="0"/>
          <w:color w:val="000000"/>
          <w:spacing w:val="30"/>
          <w:kern w:val="0"/>
          <w:sz w:val="32"/>
          <w:szCs w:val="32"/>
        </w:rPr>
      </w:pPr>
      <w:r>
        <w:rPr>
          <w:rFonts w:eastAsia="黑体" w:cs="Times New Roman"/>
          <w:snapToGrid w:val="0"/>
          <w:color w:val="000000"/>
          <w:spacing w:val="30"/>
          <w:kern w:val="0"/>
          <w:sz w:val="32"/>
          <w:szCs w:val="32"/>
        </w:rPr>
        <w:t>目 录</w:t>
      </w:r>
    </w:p>
    <w:p>
      <w:pPr>
        <w:pStyle w:val="24"/>
        <w:tabs>
          <w:tab w:val="right" w:leader="dot" w:pos="9060"/>
        </w:tabs>
        <w:rPr>
          <w:rFonts w:cs="Times New Roman" w:eastAsiaTheme="minorEastAsia"/>
          <w:sz w:val="21"/>
        </w:rPr>
      </w:pPr>
      <w:r>
        <w:rPr>
          <w:rFonts w:cs="Times New Roman"/>
          <w:snapToGrid w:val="0"/>
          <w:color w:val="000000"/>
          <w:spacing w:val="30"/>
          <w:kern w:val="0"/>
          <w:szCs w:val="24"/>
        </w:rPr>
        <w:fldChar w:fldCharType="begin"/>
      </w:r>
      <w:r>
        <w:rPr>
          <w:rFonts w:cs="Times New Roman"/>
          <w:snapToGrid w:val="0"/>
          <w:color w:val="000000"/>
          <w:spacing w:val="30"/>
          <w:kern w:val="0"/>
          <w:szCs w:val="24"/>
        </w:rPr>
        <w:instrText xml:space="preserve"> TOC \o "1-2" \h \z \u </w:instrText>
      </w:r>
      <w:r>
        <w:rPr>
          <w:rFonts w:cs="Times New Roman"/>
          <w:snapToGrid w:val="0"/>
          <w:color w:val="000000"/>
          <w:spacing w:val="30"/>
          <w:kern w:val="0"/>
          <w:szCs w:val="24"/>
        </w:rPr>
        <w:fldChar w:fldCharType="separate"/>
      </w:r>
      <w:r>
        <w:fldChar w:fldCharType="begin"/>
      </w:r>
      <w:r>
        <w:instrText xml:space="preserve"> HYPERLINK \l "_Toc161505597" </w:instrText>
      </w:r>
      <w:r>
        <w:fldChar w:fldCharType="separate"/>
      </w:r>
      <w:r>
        <w:rPr>
          <w:rStyle w:val="39"/>
          <w:rFonts w:cs="Times New Roman"/>
        </w:rPr>
        <w:t>1 项目概况及总体要求</w:t>
      </w:r>
      <w:r>
        <w:rPr>
          <w:rFonts w:cs="Times New Roman"/>
        </w:rPr>
        <w:tab/>
      </w:r>
      <w:r>
        <w:rPr>
          <w:rFonts w:cs="Times New Roman"/>
        </w:rPr>
        <w:fldChar w:fldCharType="begin"/>
      </w:r>
      <w:r>
        <w:rPr>
          <w:rFonts w:cs="Times New Roman"/>
        </w:rPr>
        <w:instrText xml:space="preserve"> PAGEREF _Toc161505597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"_Toc161505598" </w:instrText>
      </w:r>
      <w:r>
        <w:fldChar w:fldCharType="separate"/>
      </w:r>
      <w:r>
        <w:rPr>
          <w:rStyle w:val="39"/>
          <w:rFonts w:cs="Times New Roman"/>
        </w:rPr>
        <w:t>1.1 项目基本信息</w:t>
      </w:r>
      <w:r>
        <w:rPr>
          <w:rFonts w:cs="Times New Roman"/>
        </w:rPr>
        <w:tab/>
      </w:r>
      <w:r>
        <w:rPr>
          <w:rFonts w:cs="Times New Roman"/>
        </w:rPr>
        <w:fldChar w:fldCharType="begin"/>
      </w:r>
      <w:r>
        <w:rPr>
          <w:rFonts w:cs="Times New Roman"/>
        </w:rPr>
        <w:instrText xml:space="preserve"> PAGEREF _Toc161505598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"_Toc161505599" </w:instrText>
      </w:r>
      <w:r>
        <w:fldChar w:fldCharType="separate"/>
      </w:r>
      <w:r>
        <w:rPr>
          <w:rStyle w:val="39"/>
          <w:rFonts w:cs="Times New Roman"/>
        </w:rPr>
        <w:t>1.2 总则</w:t>
      </w:r>
      <w:r>
        <w:rPr>
          <w:rFonts w:cs="Times New Roman"/>
        </w:rPr>
        <w:tab/>
      </w:r>
      <w:r>
        <w:rPr>
          <w:rFonts w:cs="Times New Roman"/>
        </w:rPr>
        <w:fldChar w:fldCharType="begin"/>
      </w:r>
      <w:r>
        <w:rPr>
          <w:rFonts w:cs="Times New Roman"/>
        </w:rPr>
        <w:instrText xml:space="preserve"> PAGEREF _Toc161505599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"_Toc161505600" </w:instrText>
      </w:r>
      <w:r>
        <w:fldChar w:fldCharType="separate"/>
      </w:r>
      <w:r>
        <w:rPr>
          <w:rStyle w:val="39"/>
          <w:rFonts w:cs="Times New Roman"/>
        </w:rPr>
        <w:t>2 项目概况</w:t>
      </w:r>
      <w:r>
        <w:rPr>
          <w:rFonts w:cs="Times New Roman"/>
        </w:rPr>
        <w:tab/>
      </w:r>
      <w:r>
        <w:rPr>
          <w:rFonts w:cs="Times New Roman"/>
        </w:rPr>
        <w:fldChar w:fldCharType="begin"/>
      </w:r>
      <w:r>
        <w:rPr>
          <w:rFonts w:cs="Times New Roman"/>
        </w:rPr>
        <w:instrText xml:space="preserve"> PAGEREF _Toc161505600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"_Toc161505601" </w:instrText>
      </w:r>
      <w:r>
        <w:fldChar w:fldCharType="separate"/>
      </w:r>
      <w:r>
        <w:rPr>
          <w:rStyle w:val="39"/>
          <w:rFonts w:cs="Times New Roman"/>
        </w:rPr>
        <w:t>3 供货范围</w:t>
      </w:r>
      <w:r>
        <w:rPr>
          <w:rFonts w:cs="Times New Roman"/>
        </w:rPr>
        <w:tab/>
      </w:r>
      <w:r>
        <w:rPr>
          <w:rFonts w:cs="Times New Roman"/>
        </w:rPr>
        <w:fldChar w:fldCharType="begin"/>
      </w:r>
      <w:r>
        <w:rPr>
          <w:rFonts w:cs="Times New Roman"/>
        </w:rPr>
        <w:instrText xml:space="preserve"> PAGEREF _Toc161505601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"_Toc161505602" </w:instrText>
      </w:r>
      <w:r>
        <w:fldChar w:fldCharType="separate"/>
      </w:r>
      <w:r>
        <w:rPr>
          <w:rStyle w:val="39"/>
          <w:rFonts w:cs="Times New Roman"/>
        </w:rPr>
        <w:t>3.1 一般要求</w:t>
      </w:r>
      <w:r>
        <w:rPr>
          <w:rFonts w:cs="Times New Roman"/>
        </w:rPr>
        <w:tab/>
      </w:r>
      <w:r>
        <w:rPr>
          <w:rFonts w:cs="Times New Roman"/>
        </w:rPr>
        <w:fldChar w:fldCharType="begin"/>
      </w:r>
      <w:r>
        <w:rPr>
          <w:rFonts w:cs="Times New Roman"/>
        </w:rPr>
        <w:instrText xml:space="preserve"> PAGEREF _Toc161505602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"_Toc161505603" </w:instrText>
      </w:r>
      <w:r>
        <w:fldChar w:fldCharType="separate"/>
      </w:r>
      <w:r>
        <w:rPr>
          <w:rStyle w:val="39"/>
          <w:rFonts w:cs="Times New Roman"/>
        </w:rPr>
        <w:t>3.2 供货清单</w:t>
      </w:r>
      <w:r>
        <w:rPr>
          <w:rFonts w:cs="Times New Roman"/>
        </w:rPr>
        <w:tab/>
      </w:r>
      <w:r>
        <w:rPr>
          <w:rFonts w:cs="Times New Roman"/>
        </w:rPr>
        <w:fldChar w:fldCharType="begin"/>
      </w:r>
      <w:r>
        <w:rPr>
          <w:rFonts w:cs="Times New Roman"/>
        </w:rPr>
        <w:instrText xml:space="preserve"> PAGEREF _Toc161505603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"_Toc161505604" </w:instrText>
      </w:r>
      <w:r>
        <w:fldChar w:fldCharType="separate"/>
      </w:r>
      <w:r>
        <w:rPr>
          <w:rStyle w:val="39"/>
          <w:rFonts w:cs="Times New Roman"/>
        </w:rPr>
        <w:t>4 标准及规范</w:t>
      </w:r>
      <w:r>
        <w:rPr>
          <w:rFonts w:cs="Times New Roman"/>
        </w:rPr>
        <w:tab/>
      </w:r>
      <w:r>
        <w:rPr>
          <w:rFonts w:cs="Times New Roman"/>
        </w:rPr>
        <w:fldChar w:fldCharType="begin"/>
      </w:r>
      <w:r>
        <w:rPr>
          <w:rFonts w:cs="Times New Roman"/>
        </w:rPr>
        <w:instrText xml:space="preserve"> PAGEREF _Toc161505604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"_Toc161505605" </w:instrText>
      </w:r>
      <w:r>
        <w:fldChar w:fldCharType="separate"/>
      </w:r>
      <w:r>
        <w:rPr>
          <w:rStyle w:val="39"/>
          <w:rFonts w:cs="Times New Roman"/>
        </w:rPr>
        <w:t>5 技术要求</w:t>
      </w:r>
      <w:r>
        <w:rPr>
          <w:rFonts w:cs="Times New Roman"/>
        </w:rPr>
        <w:tab/>
      </w:r>
      <w:r>
        <w:rPr>
          <w:rFonts w:cs="Times New Roman"/>
        </w:rPr>
        <w:fldChar w:fldCharType="begin"/>
      </w:r>
      <w:r>
        <w:rPr>
          <w:rFonts w:cs="Times New Roman"/>
        </w:rPr>
        <w:instrText xml:space="preserve"> PAGEREF _Toc161505605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"_Toc161505606" </w:instrText>
      </w:r>
      <w:r>
        <w:fldChar w:fldCharType="separate"/>
      </w:r>
      <w:r>
        <w:rPr>
          <w:rStyle w:val="39"/>
          <w:rFonts w:cs="Times New Roman"/>
        </w:rPr>
        <w:t>6 包装、标志、运输、验收和保管</w:t>
      </w:r>
      <w:r>
        <w:rPr>
          <w:rFonts w:cs="Times New Roman"/>
        </w:rPr>
        <w:tab/>
      </w:r>
      <w:r>
        <w:rPr>
          <w:rFonts w:cs="Times New Roman"/>
        </w:rPr>
        <w:fldChar w:fldCharType="begin"/>
      </w:r>
      <w:r>
        <w:rPr>
          <w:rFonts w:cs="Times New Roman"/>
        </w:rPr>
        <w:instrText xml:space="preserve"> PAGEREF _Toc161505606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"_Toc161505607" </w:instrText>
      </w:r>
      <w:r>
        <w:fldChar w:fldCharType="separate"/>
      </w:r>
      <w:r>
        <w:rPr>
          <w:rStyle w:val="39"/>
          <w:rFonts w:cs="Times New Roman"/>
        </w:rPr>
        <w:t>7 技术资料及交付进度</w:t>
      </w:r>
      <w:r>
        <w:rPr>
          <w:rFonts w:cs="Times New Roman"/>
        </w:rPr>
        <w:tab/>
      </w:r>
      <w:r>
        <w:rPr>
          <w:rFonts w:cs="Times New Roman"/>
        </w:rPr>
        <w:fldChar w:fldCharType="begin"/>
      </w:r>
      <w:r>
        <w:rPr>
          <w:rFonts w:cs="Times New Roman"/>
        </w:rPr>
        <w:instrText xml:space="preserve"> PAGEREF _Toc161505607 \h </w:instrText>
      </w:r>
      <w:r>
        <w:rPr>
          <w:rFonts w:cs="Times New Roman"/>
        </w:rPr>
        <w:fldChar w:fldCharType="separate"/>
      </w:r>
      <w:r>
        <w:rPr>
          <w:rFonts w:cs="Times New Roman"/>
        </w:rPr>
        <w:t>22</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"_Toc161505608" </w:instrText>
      </w:r>
      <w:r>
        <w:fldChar w:fldCharType="separate"/>
      </w:r>
      <w:r>
        <w:rPr>
          <w:rStyle w:val="39"/>
          <w:rFonts w:cs="Times New Roman"/>
        </w:rPr>
        <w:t>8 设备监造、检验和性能验收试验</w:t>
      </w:r>
      <w:r>
        <w:rPr>
          <w:rFonts w:cs="Times New Roman"/>
        </w:rPr>
        <w:tab/>
      </w:r>
      <w:r>
        <w:rPr>
          <w:rFonts w:cs="Times New Roman"/>
        </w:rPr>
        <w:fldChar w:fldCharType="begin"/>
      </w:r>
      <w:r>
        <w:rPr>
          <w:rFonts w:cs="Times New Roman"/>
        </w:rPr>
        <w:instrText xml:space="preserve"> PAGEREF _Toc161505608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"_Toc161505609" </w:instrText>
      </w:r>
      <w:r>
        <w:fldChar w:fldCharType="separate"/>
      </w:r>
      <w:r>
        <w:rPr>
          <w:rStyle w:val="39"/>
          <w:rFonts w:cs="Times New Roman"/>
        </w:rPr>
        <w:t>8.1 工厂检验</w:t>
      </w:r>
      <w:r>
        <w:rPr>
          <w:rFonts w:cs="Times New Roman"/>
        </w:rPr>
        <w:tab/>
      </w:r>
      <w:r>
        <w:rPr>
          <w:rFonts w:cs="Times New Roman"/>
        </w:rPr>
        <w:fldChar w:fldCharType="begin"/>
      </w:r>
      <w:r>
        <w:rPr>
          <w:rFonts w:cs="Times New Roman"/>
        </w:rPr>
        <w:instrText xml:space="preserve"> PAGEREF _Toc161505609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"_Toc161505610" </w:instrText>
      </w:r>
      <w:r>
        <w:fldChar w:fldCharType="separate"/>
      </w:r>
      <w:r>
        <w:rPr>
          <w:rStyle w:val="39"/>
          <w:rFonts w:cs="Times New Roman"/>
        </w:rPr>
        <w:t>8.2 设备监造</w:t>
      </w:r>
      <w:r>
        <w:rPr>
          <w:rFonts w:cs="Times New Roman"/>
        </w:rPr>
        <w:tab/>
      </w:r>
      <w:r>
        <w:rPr>
          <w:rFonts w:cs="Times New Roman"/>
        </w:rPr>
        <w:fldChar w:fldCharType="begin"/>
      </w:r>
      <w:r>
        <w:rPr>
          <w:rFonts w:cs="Times New Roman"/>
        </w:rPr>
        <w:instrText xml:space="preserve"> PAGEREF _Toc161505610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"_Toc161505611" </w:instrText>
      </w:r>
      <w:r>
        <w:fldChar w:fldCharType="separate"/>
      </w:r>
      <w:r>
        <w:rPr>
          <w:rStyle w:val="39"/>
          <w:rFonts w:cs="Times New Roman"/>
        </w:rPr>
        <w:t>8.4 制造、安装和性能验收试验的内容:</w:t>
      </w:r>
      <w:r>
        <w:rPr>
          <w:rFonts w:cs="Times New Roman"/>
        </w:rPr>
        <w:tab/>
      </w:r>
      <w:r>
        <w:rPr>
          <w:rFonts w:cs="Times New Roman"/>
        </w:rPr>
        <w:fldChar w:fldCharType="begin"/>
      </w:r>
      <w:r>
        <w:rPr>
          <w:rFonts w:cs="Times New Roman"/>
        </w:rPr>
        <w:instrText xml:space="preserve"> PAGEREF _Toc161505611 \h </w:instrText>
      </w:r>
      <w:r>
        <w:rPr>
          <w:rFonts w:cs="Times New Roman"/>
        </w:rPr>
        <w:fldChar w:fldCharType="separate"/>
      </w:r>
      <w:r>
        <w:rPr>
          <w:rFonts w:cs="Times New Roman"/>
        </w:rPr>
        <w:t>24</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"_Toc161505612" </w:instrText>
      </w:r>
      <w:r>
        <w:fldChar w:fldCharType="separate"/>
      </w:r>
      <w:r>
        <w:rPr>
          <w:rStyle w:val="39"/>
          <w:rFonts w:cs="Times New Roman"/>
        </w:rPr>
        <w:t>8.6性能验收试验结果的确认</w:t>
      </w:r>
      <w:r>
        <w:rPr>
          <w:rFonts w:cs="Times New Roman"/>
        </w:rPr>
        <w:tab/>
      </w:r>
      <w:r>
        <w:rPr>
          <w:rFonts w:cs="Times New Roman"/>
        </w:rPr>
        <w:fldChar w:fldCharType="begin"/>
      </w:r>
      <w:r>
        <w:rPr>
          <w:rFonts w:cs="Times New Roman"/>
        </w:rPr>
        <w:instrText xml:space="preserve"> PAGEREF _Toc161505612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"_Toc161505613" </w:instrText>
      </w:r>
      <w:r>
        <w:fldChar w:fldCharType="separate"/>
      </w:r>
      <w:r>
        <w:rPr>
          <w:rStyle w:val="39"/>
          <w:rFonts w:cs="Times New Roman"/>
        </w:rPr>
        <w:t>9 供方现场技术服务</w:t>
      </w:r>
      <w:r>
        <w:rPr>
          <w:rFonts w:cs="Times New Roman"/>
        </w:rPr>
        <w:tab/>
      </w:r>
      <w:r>
        <w:rPr>
          <w:rFonts w:cs="Times New Roman"/>
        </w:rPr>
        <w:fldChar w:fldCharType="begin"/>
      </w:r>
      <w:r>
        <w:rPr>
          <w:rFonts w:cs="Times New Roman"/>
        </w:rPr>
        <w:instrText xml:space="preserve"> PAGEREF _Toc161505613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"_Toc161505614" </w:instrText>
      </w:r>
      <w:r>
        <w:fldChar w:fldCharType="separate"/>
      </w:r>
      <w:r>
        <w:rPr>
          <w:rStyle w:val="39"/>
          <w:rFonts w:cs="Times New Roman"/>
        </w:rPr>
        <w:t>9.3 服务人员计划表</w:t>
      </w:r>
      <w:r>
        <w:rPr>
          <w:rFonts w:cs="Times New Roman"/>
        </w:rPr>
        <w:tab/>
      </w:r>
      <w:r>
        <w:rPr>
          <w:rFonts w:cs="Times New Roman"/>
        </w:rPr>
        <w:fldChar w:fldCharType="begin"/>
      </w:r>
      <w:r>
        <w:rPr>
          <w:rFonts w:cs="Times New Roman"/>
        </w:rPr>
        <w:instrText xml:space="preserve"> PAGEREF _Toc161505614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"_Toc161505615" </w:instrText>
      </w:r>
      <w:r>
        <w:fldChar w:fldCharType="separate"/>
      </w:r>
      <w:r>
        <w:rPr>
          <w:rStyle w:val="39"/>
          <w:rFonts w:cs="Times New Roman"/>
        </w:rPr>
        <w:t>9.4 供方现场技术服务</w:t>
      </w:r>
      <w:r>
        <w:rPr>
          <w:rFonts w:cs="Times New Roman"/>
        </w:rPr>
        <w:tab/>
      </w:r>
      <w:r>
        <w:rPr>
          <w:rFonts w:cs="Times New Roman"/>
        </w:rPr>
        <w:fldChar w:fldCharType="begin"/>
      </w:r>
      <w:r>
        <w:rPr>
          <w:rFonts w:cs="Times New Roman"/>
        </w:rPr>
        <w:instrText xml:space="preserve"> PAGEREF _Toc161505615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"_Toc161505616" </w:instrText>
      </w:r>
      <w:r>
        <w:fldChar w:fldCharType="separate"/>
      </w:r>
      <w:r>
        <w:rPr>
          <w:rStyle w:val="39"/>
          <w:rFonts w:cs="Times New Roman"/>
        </w:rPr>
        <w:t>9.5 供方现场服务人员的条件</w:t>
      </w:r>
      <w:r>
        <w:rPr>
          <w:rFonts w:cs="Times New Roman"/>
        </w:rPr>
        <w:tab/>
      </w:r>
      <w:r>
        <w:rPr>
          <w:rFonts w:cs="Times New Roman"/>
        </w:rPr>
        <w:fldChar w:fldCharType="begin"/>
      </w:r>
      <w:r>
        <w:rPr>
          <w:rFonts w:cs="Times New Roman"/>
        </w:rPr>
        <w:instrText xml:space="preserve"> PAGEREF _Toc161505616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"_Toc161505617" </w:instrText>
      </w:r>
      <w:r>
        <w:fldChar w:fldCharType="separate"/>
      </w:r>
      <w:r>
        <w:rPr>
          <w:rStyle w:val="39"/>
          <w:rFonts w:cs="Times New Roman"/>
        </w:rPr>
        <w:t>9.6 供方现场服务人员的职责</w:t>
      </w:r>
      <w:r>
        <w:rPr>
          <w:rFonts w:cs="Times New Roman"/>
        </w:rPr>
        <w:tab/>
      </w:r>
      <w:r>
        <w:rPr>
          <w:rFonts w:cs="Times New Roman"/>
        </w:rPr>
        <w:fldChar w:fldCharType="begin"/>
      </w:r>
      <w:r>
        <w:rPr>
          <w:rFonts w:cs="Times New Roman"/>
        </w:rPr>
        <w:instrText xml:space="preserve"> PAGEREF _Toc161505617 \h </w:instrText>
      </w:r>
      <w:r>
        <w:rPr>
          <w:rFonts w:cs="Times New Roman"/>
        </w:rPr>
        <w:fldChar w:fldCharType="separate"/>
      </w:r>
      <w:r>
        <w:rPr>
          <w:rFonts w:cs="Times New Roman"/>
        </w:rPr>
        <w:t>26</w:t>
      </w:r>
      <w:r>
        <w:rPr>
          <w:rFonts w:cs="Times New Roman"/>
        </w:rPr>
        <w:fldChar w:fldCharType="end"/>
      </w:r>
      <w:r>
        <w:rPr>
          <w:rFonts w:cs="Times New Roman"/>
        </w:rPr>
        <w:fldChar w:fldCharType="end"/>
      </w:r>
    </w:p>
    <w:p>
      <w:pPr>
        <w:pStyle w:val="29"/>
        <w:tabs>
          <w:tab w:val="right" w:leader="dot" w:pos="9060"/>
        </w:tabs>
        <w:ind w:left="480"/>
        <w:rPr>
          <w:rFonts w:cs="Times New Roman" w:eastAsiaTheme="minorEastAsia"/>
          <w:sz w:val="21"/>
        </w:rPr>
      </w:pPr>
      <w:r>
        <w:fldChar w:fldCharType="begin"/>
      </w:r>
      <w:r>
        <w:instrText xml:space="preserve"> HYPERLINK \l "_Toc161505618" </w:instrText>
      </w:r>
      <w:r>
        <w:fldChar w:fldCharType="separate"/>
      </w:r>
      <w:r>
        <w:rPr>
          <w:rStyle w:val="39"/>
          <w:rFonts w:cs="Times New Roman"/>
        </w:rPr>
        <w:t>9.6 需方的义务</w:t>
      </w:r>
      <w:r>
        <w:rPr>
          <w:rFonts w:cs="Times New Roman"/>
        </w:rPr>
        <w:tab/>
      </w:r>
      <w:r>
        <w:rPr>
          <w:rFonts w:cs="Times New Roman"/>
        </w:rPr>
        <w:fldChar w:fldCharType="begin"/>
      </w:r>
      <w:r>
        <w:rPr>
          <w:rFonts w:cs="Times New Roman"/>
        </w:rPr>
        <w:instrText xml:space="preserve"> PAGEREF _Toc161505618 \h </w:instrText>
      </w:r>
      <w:r>
        <w:rPr>
          <w:rFonts w:cs="Times New Roman"/>
        </w:rPr>
        <w:fldChar w:fldCharType="separate"/>
      </w:r>
      <w:r>
        <w:rPr>
          <w:rFonts w:cs="Times New Roman"/>
        </w:rPr>
        <w:t>26</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"_Toc161505619" </w:instrText>
      </w:r>
      <w:r>
        <w:fldChar w:fldCharType="separate"/>
      </w:r>
      <w:r>
        <w:rPr>
          <w:rStyle w:val="39"/>
          <w:rFonts w:cs="Times New Roman"/>
        </w:rPr>
        <w:t>附件1、阀门采购技术要求</w:t>
      </w:r>
      <w:r>
        <w:rPr>
          <w:rFonts w:cs="Times New Roman"/>
        </w:rPr>
        <w:tab/>
      </w:r>
      <w:r>
        <w:rPr>
          <w:rFonts w:cs="Times New Roman"/>
        </w:rPr>
        <w:fldChar w:fldCharType="begin"/>
      </w:r>
      <w:r>
        <w:rPr>
          <w:rFonts w:cs="Times New Roman"/>
        </w:rPr>
        <w:instrText xml:space="preserve"> PAGEREF _Toc161505619 \h </w:instrText>
      </w:r>
      <w:r>
        <w:rPr>
          <w:rFonts w:cs="Times New Roman"/>
        </w:rPr>
        <w:fldChar w:fldCharType="separate"/>
      </w:r>
      <w:r>
        <w:rPr>
          <w:rFonts w:cs="Times New Roman"/>
        </w:rPr>
        <w:t>27</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"_Toc161505638" </w:instrText>
      </w:r>
      <w:r>
        <w:fldChar w:fldCharType="separate"/>
      </w:r>
      <w:r>
        <w:rPr>
          <w:rStyle w:val="39"/>
          <w:rFonts w:cs="Times New Roman"/>
        </w:rPr>
        <w:t>附件2、仪表、仪表阀及附件采购技术要求</w:t>
      </w:r>
      <w:r>
        <w:rPr>
          <w:rFonts w:cs="Times New Roman"/>
        </w:rPr>
        <w:tab/>
      </w:r>
      <w:r>
        <w:rPr>
          <w:rFonts w:cs="Times New Roman"/>
        </w:rPr>
        <w:fldChar w:fldCharType="begin"/>
      </w:r>
      <w:r>
        <w:rPr>
          <w:rFonts w:cs="Times New Roman"/>
        </w:rPr>
        <w:instrText xml:space="preserve"> PAGEREF _Toc161505638 \h </w:instrText>
      </w:r>
      <w:r>
        <w:rPr>
          <w:rFonts w:cs="Times New Roman"/>
        </w:rPr>
        <w:fldChar w:fldCharType="separate"/>
      </w:r>
      <w:r>
        <w:rPr>
          <w:rFonts w:cs="Times New Roman"/>
        </w:rPr>
        <w:t>53</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"_Toc161505681" </w:instrText>
      </w:r>
      <w:r>
        <w:fldChar w:fldCharType="separate"/>
      </w:r>
      <w:r>
        <w:rPr>
          <w:rStyle w:val="39"/>
          <w:rFonts w:cs="Times New Roman"/>
        </w:rPr>
        <w:t>附件3、DCS部分采购技术要求</w:t>
      </w:r>
      <w:r>
        <w:rPr>
          <w:rFonts w:cs="Times New Roman"/>
        </w:rPr>
        <w:tab/>
      </w:r>
      <w:r>
        <w:rPr>
          <w:rFonts w:cs="Times New Roman"/>
        </w:rPr>
        <w:fldChar w:fldCharType="begin"/>
      </w:r>
      <w:r>
        <w:rPr>
          <w:rFonts w:cs="Times New Roman"/>
        </w:rPr>
        <w:instrText xml:space="preserve"> PAGEREF _Toc161505681 \h </w:instrText>
      </w:r>
      <w:r>
        <w:rPr>
          <w:rFonts w:cs="Times New Roman"/>
        </w:rPr>
        <w:fldChar w:fldCharType="separate"/>
      </w:r>
      <w:r>
        <w:rPr>
          <w:rFonts w:cs="Times New Roman"/>
        </w:rPr>
        <w:t>63</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"_Toc161505700" </w:instrText>
      </w:r>
      <w:r>
        <w:fldChar w:fldCharType="separate"/>
      </w:r>
      <w:r>
        <w:rPr>
          <w:rStyle w:val="39"/>
          <w:rFonts w:cs="Times New Roman"/>
        </w:rPr>
        <w:t>附件4、机务管道管件采购技术要求</w:t>
      </w:r>
      <w:r>
        <w:rPr>
          <w:rFonts w:cs="Times New Roman"/>
        </w:rPr>
        <w:tab/>
      </w:r>
      <w:r>
        <w:rPr>
          <w:rFonts w:cs="Times New Roman"/>
        </w:rPr>
        <w:fldChar w:fldCharType="begin"/>
      </w:r>
      <w:r>
        <w:rPr>
          <w:rFonts w:cs="Times New Roman"/>
        </w:rPr>
        <w:instrText xml:space="preserve"> PAGEREF _Toc161505700 \h </w:instrText>
      </w:r>
      <w:r>
        <w:rPr>
          <w:rFonts w:cs="Times New Roman"/>
        </w:rPr>
        <w:fldChar w:fldCharType="separate"/>
      </w:r>
      <w:r>
        <w:rPr>
          <w:rFonts w:cs="Times New Roman"/>
        </w:rPr>
        <w:t>70</w:t>
      </w:r>
      <w:r>
        <w:rPr>
          <w:rFonts w:cs="Times New Roman"/>
        </w:rPr>
        <w:fldChar w:fldCharType="end"/>
      </w:r>
      <w:r>
        <w:rPr>
          <w:rFonts w:cs="Times New Roman"/>
        </w:rPr>
        <w:fldChar w:fldCharType="end"/>
      </w:r>
    </w:p>
    <w:p>
      <w:pPr>
        <w:pStyle w:val="24"/>
        <w:tabs>
          <w:tab w:val="right" w:leader="dot" w:pos="9060"/>
        </w:tabs>
        <w:rPr>
          <w:rFonts w:cs="Times New Roman" w:eastAsiaTheme="minorEastAsia"/>
          <w:sz w:val="21"/>
        </w:rPr>
      </w:pPr>
      <w:r>
        <w:fldChar w:fldCharType="begin"/>
      </w:r>
      <w:r>
        <w:instrText xml:space="preserve"> HYPERLINK \l "_Toc161505713" </w:instrText>
      </w:r>
      <w:r>
        <w:fldChar w:fldCharType="separate"/>
      </w:r>
      <w:r>
        <w:rPr>
          <w:rStyle w:val="39"/>
          <w:rFonts w:cs="Times New Roman"/>
        </w:rPr>
        <w:t>附件5、机务管道支吊架采购技术要求</w:t>
      </w:r>
      <w:r>
        <w:rPr>
          <w:rFonts w:cs="Times New Roman"/>
        </w:rPr>
        <w:tab/>
      </w:r>
      <w:r>
        <w:rPr>
          <w:rFonts w:cs="Times New Roman"/>
        </w:rPr>
        <w:fldChar w:fldCharType="begin"/>
      </w:r>
      <w:r>
        <w:rPr>
          <w:rFonts w:cs="Times New Roman"/>
        </w:rPr>
        <w:instrText xml:space="preserve"> PAGEREF _Toc161505713 \h </w:instrText>
      </w:r>
      <w:r>
        <w:rPr>
          <w:rFonts w:cs="Times New Roman"/>
        </w:rPr>
        <w:fldChar w:fldCharType="separate"/>
      </w:r>
      <w:r>
        <w:rPr>
          <w:rFonts w:cs="Times New Roman"/>
        </w:rPr>
        <w:t>78</w:t>
      </w:r>
      <w:r>
        <w:rPr>
          <w:rFonts w:cs="Times New Roman"/>
        </w:rPr>
        <w:fldChar w:fldCharType="end"/>
      </w:r>
      <w:r>
        <w:rPr>
          <w:rFonts w:cs="Times New Roman"/>
        </w:rPr>
        <w:fldChar w:fldCharType="end"/>
      </w:r>
    </w:p>
    <w:p>
      <w:pPr>
        <w:tabs>
          <w:tab w:val="right" w:leader="dot" w:pos="9072"/>
        </w:tabs>
        <w:spacing w:line="420" w:lineRule="auto"/>
        <w:rPr>
          <w:rFonts w:cs="Times New Roman"/>
          <w:snapToGrid w:val="0"/>
          <w:szCs w:val="24"/>
        </w:rPr>
        <w:sectPr>
          <w:headerReference r:id="rId4" w:type="default"/>
          <w:footerReference r:id="rId5" w:type="default"/>
          <w:pgSz w:w="11906" w:h="16838"/>
          <w:pgMar w:top="1474" w:right="1418" w:bottom="1134" w:left="1418" w:header="567" w:footer="567" w:gutter="0"/>
          <w:pgNumType w:fmt="upperRoman" w:start="1"/>
          <w:cols w:space="425" w:num="1"/>
          <w:docGrid w:type="lines" w:linePitch="326" w:charSpace="0"/>
        </w:sectPr>
      </w:pPr>
      <w:r>
        <w:rPr>
          <w:rFonts w:cs="Times New Roman"/>
          <w:snapToGrid w:val="0"/>
          <w:szCs w:val="24"/>
        </w:rPr>
        <w:fldChar w:fldCharType="end"/>
      </w:r>
    </w:p>
    <w:p>
      <w:pPr>
        <w:pStyle w:val="2"/>
        <w:keepNext/>
        <w:keepLines/>
        <w:numPr>
          <w:ilvl w:val="0"/>
          <w:numId w:val="3"/>
        </w:numPr>
        <w:tabs>
          <w:tab w:val="left" w:pos="360"/>
        </w:tabs>
        <w:adjustRightInd w:val="0"/>
        <w:spacing w:before="163" w:beforeLines="50"/>
        <w:textAlignment w:val="baseline"/>
      </w:pPr>
      <w:bookmarkStart w:id="0" w:name="_Toc47711072"/>
      <w:bookmarkStart w:id="1" w:name="_Toc56520530"/>
      <w:bookmarkStart w:id="2" w:name="_Toc47710644"/>
      <w:bookmarkStart w:id="3" w:name="_Toc389652643"/>
      <w:bookmarkStart w:id="4" w:name="_Toc112742652"/>
      <w:bookmarkStart w:id="5" w:name="_Toc104345443"/>
      <w:r>
        <w:t xml:space="preserve"> </w:t>
      </w:r>
      <w:bookmarkStart w:id="6" w:name="_Toc161505597"/>
      <w:r>
        <w:t>项目概况及总体要求</w:t>
      </w:r>
      <w:bookmarkEnd w:id="0"/>
      <w:bookmarkEnd w:id="1"/>
      <w:bookmarkEnd w:id="2"/>
      <w:bookmarkEnd w:id="6"/>
    </w:p>
    <w:p>
      <w:pPr>
        <w:pStyle w:val="3"/>
        <w:numPr>
          <w:ilvl w:val="1"/>
          <w:numId w:val="3"/>
        </w:numPr>
        <w:tabs>
          <w:tab w:val="left" w:pos="360"/>
        </w:tabs>
      </w:pPr>
      <w:bookmarkStart w:id="7" w:name="_Toc161505598"/>
      <w:bookmarkStart w:id="8" w:name="_Toc56520531"/>
      <w:bookmarkStart w:id="9" w:name="_Toc47710645"/>
      <w:bookmarkStart w:id="10" w:name="_Toc47711073"/>
      <w:r>
        <w:t>项目基本信息</w:t>
      </w:r>
      <w:bookmarkEnd w:id="7"/>
      <w:bookmarkEnd w:id="8"/>
      <w:bookmarkEnd w:id="9"/>
      <w:bookmarkEnd w:id="10"/>
    </w:p>
    <w:p>
      <w:pPr>
        <w:pStyle w:val="69"/>
        <w:rPr>
          <w:color w:val="FF0000"/>
        </w:rPr>
      </w:pPr>
      <w:r>
        <w:rPr>
          <w:color w:val="FF0000"/>
        </w:rPr>
        <w:t>建设单位：</w:t>
      </w:r>
      <w:r>
        <w:rPr>
          <w:rFonts w:eastAsiaTheme="minorEastAsia"/>
          <w:color w:val="FF0000"/>
          <w:szCs w:val="24"/>
          <w:u w:val="single"/>
        </w:rPr>
        <w:t>华能国际电力股份有限公司上安电厂</w:t>
      </w:r>
      <w:r>
        <w:rPr>
          <w:color w:val="FF0000"/>
        </w:rPr>
        <w:t>；</w:t>
      </w:r>
    </w:p>
    <w:p>
      <w:pPr>
        <w:pStyle w:val="69"/>
        <w:rPr>
          <w:color w:val="FF0000"/>
        </w:rPr>
      </w:pPr>
      <w:r>
        <w:rPr>
          <w:color w:val="FF0000"/>
        </w:rPr>
        <w:t>项目名称：</w:t>
      </w:r>
      <w:r>
        <w:rPr>
          <w:rFonts w:eastAsiaTheme="minorEastAsia"/>
          <w:color w:val="FF0000"/>
          <w:szCs w:val="24"/>
          <w:u w:val="single"/>
        </w:rPr>
        <w:t>上安4号机组低压缸零出力改造项目</w:t>
      </w:r>
      <w:r>
        <w:rPr>
          <w:color w:val="FF0000"/>
        </w:rPr>
        <w:t>；</w:t>
      </w:r>
    </w:p>
    <w:p>
      <w:pPr>
        <w:pStyle w:val="69"/>
        <w:rPr>
          <w:color w:val="FF0000"/>
        </w:rPr>
      </w:pPr>
      <w:r>
        <w:rPr>
          <w:color w:val="FF0000"/>
        </w:rPr>
        <w:t>建设地点：</w:t>
      </w:r>
      <w:r>
        <w:rPr>
          <w:rFonts w:eastAsiaTheme="minorEastAsia"/>
          <w:color w:val="FF0000"/>
          <w:szCs w:val="24"/>
          <w:u w:val="single"/>
        </w:rPr>
        <w:t>河北省井陉县上安镇华能国际电力股份有限公司上安电厂</w:t>
      </w:r>
      <w:r>
        <w:rPr>
          <w:color w:val="FF0000"/>
        </w:rPr>
        <w:t>；</w:t>
      </w:r>
    </w:p>
    <w:p>
      <w:pPr>
        <w:pStyle w:val="3"/>
        <w:numPr>
          <w:ilvl w:val="1"/>
          <w:numId w:val="3"/>
        </w:numPr>
        <w:tabs>
          <w:tab w:val="left" w:pos="360"/>
        </w:tabs>
      </w:pPr>
      <w:bookmarkStart w:id="11" w:name="_Toc161505599"/>
      <w:bookmarkStart w:id="12" w:name="_Toc47710646"/>
      <w:bookmarkStart w:id="13" w:name="_Toc56520532"/>
      <w:bookmarkStart w:id="14" w:name="_Toc47711074"/>
      <w:r>
        <w:t>总则</w:t>
      </w:r>
      <w:bookmarkEnd w:id="11"/>
      <w:bookmarkEnd w:id="12"/>
      <w:bookmarkEnd w:id="13"/>
      <w:bookmarkEnd w:id="14"/>
    </w:p>
    <w:p>
      <w:pPr>
        <w:pStyle w:val="4"/>
        <w:numPr>
          <w:ilvl w:val="2"/>
          <w:numId w:val="3"/>
        </w:numPr>
        <w:tabs>
          <w:tab w:val="left" w:pos="360"/>
        </w:tabs>
        <w:snapToGrid/>
      </w:pPr>
      <w:r>
        <w:t>本技术协议仅适用于</w:t>
      </w:r>
      <w:r>
        <w:rPr>
          <w:color w:val="FF0000"/>
        </w:rPr>
        <w:t>“</w:t>
      </w:r>
      <w:r>
        <w:rPr>
          <w:rFonts w:eastAsiaTheme="minorEastAsia"/>
          <w:color w:val="FF0000"/>
          <w:szCs w:val="24"/>
          <w:u w:val="single"/>
        </w:rPr>
        <w:t>华能国际电力股份有限公司上安电厂上安4号机组低压缸零出力改造项目机务电控成套供货采购</w:t>
      </w:r>
      <w:r>
        <w:rPr>
          <w:color w:val="FF0000"/>
        </w:rPr>
        <w:t>”</w:t>
      </w:r>
      <w:r>
        <w:t>的相关部件。它包括该设备的功能及性能、工艺制造、检验及实验、安装服务等方面的技术要求。</w:t>
      </w:r>
    </w:p>
    <w:p>
      <w:pPr>
        <w:pStyle w:val="4"/>
        <w:numPr>
          <w:ilvl w:val="2"/>
          <w:numId w:val="3"/>
        </w:numPr>
        <w:tabs>
          <w:tab w:val="left" w:pos="360"/>
        </w:tabs>
        <w:snapToGrid/>
      </w:pPr>
      <w:r>
        <w:t>本技术协议书提出的是最低限度的技术要求，并未对一切技术要求作出详细规定，也未充分引述有关标准和规范的条文，供方应保证提供符合本技术协议和现行国家标准的高质量产品及其相应的服务。同时对国家有关安全、职业病危害等强制性标准，必须满足其要求。</w:t>
      </w:r>
    </w:p>
    <w:p>
      <w:pPr>
        <w:pStyle w:val="4"/>
        <w:numPr>
          <w:ilvl w:val="2"/>
          <w:numId w:val="3"/>
        </w:numPr>
        <w:tabs>
          <w:tab w:val="left" w:pos="360"/>
        </w:tabs>
        <w:snapToGrid/>
      </w:pPr>
      <w:r>
        <w:t>本规范书所使用的标准如遇与供方所执行的标准不一致时，按较高标准执行。</w:t>
      </w:r>
    </w:p>
    <w:p>
      <w:pPr>
        <w:pStyle w:val="4"/>
        <w:numPr>
          <w:ilvl w:val="2"/>
          <w:numId w:val="3"/>
        </w:numPr>
        <w:tabs>
          <w:tab w:val="left" w:pos="360"/>
        </w:tabs>
        <w:snapToGrid/>
      </w:pPr>
      <w:r>
        <w:t>供方应采用符合国家最新标准化的元件和标准化的设备组件，以适合本工程改造的需要。供方提供的仪表和检测设备</w:t>
      </w:r>
      <w:bookmarkStart w:id="103" w:name="_GoBack"/>
      <w:bookmarkEnd w:id="103"/>
      <w:r>
        <w:t>的设置应满足远方监视和联锁保护及实现就地控制的要求。供方在本项目中所采用的技术和工艺必须是成熟的，且具备当今国内最先进技术，在设计和制造上满足《防止电力生产重大事故的二十五项重点要求》等有关规定。</w:t>
      </w:r>
    </w:p>
    <w:p>
      <w:pPr>
        <w:pStyle w:val="4"/>
        <w:numPr>
          <w:ilvl w:val="2"/>
          <w:numId w:val="3"/>
        </w:numPr>
        <w:tabs>
          <w:tab w:val="left" w:pos="360"/>
        </w:tabs>
        <w:snapToGrid/>
      </w:pPr>
      <w:r>
        <w:t>需方对本项目的全过程有权进行检查和监督，但是并不因此免除供方的责任。供方应严格遵守本技术规范书，保证所供设备安全、可靠、合理、完整和性能优良。</w:t>
      </w:r>
    </w:p>
    <w:p>
      <w:pPr>
        <w:pStyle w:val="4"/>
        <w:numPr>
          <w:ilvl w:val="2"/>
          <w:numId w:val="3"/>
        </w:numPr>
        <w:tabs>
          <w:tab w:val="left" w:pos="360"/>
        </w:tabs>
        <w:snapToGrid/>
      </w:pPr>
      <w:r>
        <w:t>在签订合同之后，需方有权提出因规范标准和规程发生变化而产生的一些补充要求，具体项目由供方、需方共同商定。如供方有除本规范以外的其他要求，应以书面形式提出，经买卖双方讨论后附于本技术协议。由于设计不合理等供方原因，需要设计变更时，供方负责重新设计及供货，且不增加费用。</w:t>
      </w:r>
    </w:p>
    <w:p>
      <w:pPr>
        <w:pStyle w:val="4"/>
        <w:numPr>
          <w:ilvl w:val="2"/>
          <w:numId w:val="3"/>
        </w:numPr>
        <w:tabs>
          <w:tab w:val="left" w:pos="360"/>
        </w:tabs>
        <w:snapToGrid/>
      </w:pPr>
      <w:r>
        <w:t>供方图纸在定版之后，若有变更引起材料补供，由供方负责提供材料并应满足现场施工需求，同时收换电子版、纸质版图纸重新按规范书要求提供给需方和业主。</w:t>
      </w:r>
    </w:p>
    <w:p>
      <w:pPr>
        <w:pStyle w:val="4"/>
        <w:numPr>
          <w:ilvl w:val="2"/>
          <w:numId w:val="3"/>
        </w:numPr>
        <w:tabs>
          <w:tab w:val="left" w:pos="360"/>
        </w:tabs>
        <w:snapToGrid/>
      </w:pPr>
      <w:r>
        <w:t>供方应对提供的设备负有全责，即包括分包或采购的产品。分包或采购的重要产品制造商应事先征得需方的认可。</w:t>
      </w:r>
    </w:p>
    <w:p>
      <w:pPr>
        <w:pStyle w:val="4"/>
        <w:numPr>
          <w:ilvl w:val="2"/>
          <w:numId w:val="3"/>
        </w:numPr>
        <w:tabs>
          <w:tab w:val="left" w:pos="360"/>
        </w:tabs>
        <w:snapToGrid/>
      </w:pPr>
      <w:r>
        <w:t>本技术协议内涉及到的专项方案、专题报告、论证结果等必须出具正式文本。</w:t>
      </w:r>
    </w:p>
    <w:p>
      <w:pPr>
        <w:pStyle w:val="4"/>
        <w:numPr>
          <w:ilvl w:val="2"/>
          <w:numId w:val="3"/>
        </w:numPr>
        <w:tabs>
          <w:tab w:val="left" w:pos="360"/>
        </w:tabs>
        <w:snapToGrid/>
      </w:pPr>
      <w:r>
        <w:t>如供方没有对本技术协议书提出书面异议，需方则可认为供方提供的产品完全满足本技术协议的要求。</w:t>
      </w:r>
    </w:p>
    <w:p>
      <w:pPr>
        <w:pStyle w:val="4"/>
        <w:numPr>
          <w:ilvl w:val="2"/>
          <w:numId w:val="3"/>
        </w:numPr>
        <w:tabs>
          <w:tab w:val="left" w:pos="360"/>
        </w:tabs>
        <w:snapToGrid/>
      </w:pPr>
      <w:r>
        <w:rPr>
          <w:rFonts w:eastAsiaTheme="minorEastAsia"/>
          <w:color w:val="FF0000"/>
          <w:szCs w:val="24"/>
          <w:u w:val="single"/>
        </w:rPr>
        <w:t>华能国际电力股份有限公司上安电厂4号机</w:t>
      </w:r>
      <w:r>
        <w:t>计划在</w:t>
      </w:r>
      <w:r>
        <w:rPr>
          <w:b/>
          <w:color w:val="FF0000"/>
        </w:rPr>
        <w:t>2024年4月10日到5月30日</w:t>
      </w:r>
      <w:r>
        <w:t>期间进行汽轮机灵活性改造，改造工期为</w:t>
      </w:r>
      <w:r>
        <w:rPr>
          <w:color w:val="FF0000"/>
        </w:rPr>
        <w:t>50</w:t>
      </w:r>
      <w:r>
        <w:t>天。</w:t>
      </w:r>
      <w:r>
        <w:rPr>
          <w:color w:val="FF0000"/>
        </w:rPr>
        <w:t>供方于2024年4月15日前发货，4月20日前全部到货。</w:t>
      </w:r>
    </w:p>
    <w:p>
      <w:pPr>
        <w:pStyle w:val="4"/>
        <w:numPr>
          <w:ilvl w:val="2"/>
          <w:numId w:val="3"/>
        </w:numPr>
        <w:tabs>
          <w:tab w:val="left" w:pos="360"/>
        </w:tabs>
        <w:snapToGrid/>
      </w:pPr>
      <w:r>
        <w:t>供方提供的资料应使用国家法定单位制即国际单位制，语言为中文，进口设备应在提供中文资料的基础上，再提供原文资料，并以中文版本为准。</w:t>
      </w:r>
    </w:p>
    <w:p>
      <w:pPr>
        <w:pStyle w:val="4"/>
        <w:numPr>
          <w:ilvl w:val="2"/>
          <w:numId w:val="3"/>
        </w:numPr>
        <w:tabs>
          <w:tab w:val="left" w:pos="360"/>
        </w:tabs>
        <w:snapToGrid/>
      </w:pPr>
      <w:r>
        <w:t>本项目质保期为改造后性能试验验收后12个月。</w:t>
      </w:r>
    </w:p>
    <w:p>
      <w:pPr>
        <w:pStyle w:val="4"/>
        <w:numPr>
          <w:ilvl w:val="2"/>
          <w:numId w:val="3"/>
        </w:numPr>
        <w:tabs>
          <w:tab w:val="left" w:pos="360"/>
        </w:tabs>
        <w:snapToGrid/>
      </w:pPr>
      <w:r>
        <w:t>本技术协议经供需双方共同确认和签字后作为订货合同的附件，与订货合同正文具有同等效力。未尽事宜由双方协商解决。</w:t>
      </w:r>
    </w:p>
    <w:p>
      <w:pPr>
        <w:pStyle w:val="4"/>
        <w:numPr>
          <w:ilvl w:val="2"/>
          <w:numId w:val="3"/>
        </w:numPr>
        <w:tabs>
          <w:tab w:val="left" w:pos="360"/>
        </w:tabs>
        <w:snapToGrid/>
      </w:pPr>
      <w:r>
        <w:t>在合同签订后，需方有权因规范、标准、规程发生变化而提出一些补充要求，具体内容双方共同商定。</w:t>
      </w:r>
    </w:p>
    <w:p>
      <w:pPr>
        <w:rPr>
          <w:rFonts w:cs="Times New Roman"/>
        </w:rPr>
        <w:sectPr>
          <w:footerReference r:id="rId6" w:type="default"/>
          <w:pgSz w:w="11906" w:h="16838"/>
          <w:pgMar w:top="1474" w:right="1418" w:bottom="1134" w:left="1418" w:header="567" w:footer="567" w:gutter="0"/>
          <w:pgNumType w:start="1"/>
          <w:cols w:space="425" w:num="1"/>
          <w:docGrid w:type="lines" w:linePitch="326" w:charSpace="0"/>
        </w:sectPr>
      </w:pPr>
      <w:r>
        <w:rPr>
          <w:rFonts w:cs="Times New Roman"/>
        </w:rPr>
        <w:t xml:space="preserve"> </w:t>
      </w:r>
      <w:bookmarkStart w:id="15" w:name="_Toc161505600"/>
    </w:p>
    <w:p>
      <w:pPr>
        <w:pStyle w:val="2"/>
        <w:keepNext/>
        <w:keepLines/>
        <w:numPr>
          <w:ilvl w:val="0"/>
          <w:numId w:val="3"/>
        </w:numPr>
        <w:tabs>
          <w:tab w:val="left" w:pos="360"/>
        </w:tabs>
        <w:adjustRightInd w:val="0"/>
        <w:spacing w:before="163" w:beforeLines="50"/>
        <w:textAlignment w:val="baseline"/>
      </w:pPr>
      <w:r>
        <w:t>项目概况</w:t>
      </w:r>
      <w:bookmarkEnd w:id="15"/>
    </w:p>
    <w:p>
      <w:pPr>
        <w:pStyle w:val="3"/>
        <w:numPr>
          <w:ilvl w:val="1"/>
          <w:numId w:val="3"/>
        </w:numPr>
        <w:tabs>
          <w:tab w:val="left" w:pos="360"/>
        </w:tabs>
        <w:rPr>
          <w:bCs w:val="0"/>
        </w:rPr>
      </w:pPr>
      <w:r>
        <w:t>改造前机组概况</w:t>
      </w:r>
    </w:p>
    <w:p>
      <w:pPr>
        <w:pStyle w:val="72"/>
        <w:rPr>
          <w:rFonts w:ascii="Times New Roman" w:hAnsi="Times New Roman"/>
          <w:bCs/>
        </w:rPr>
      </w:pPr>
      <w:r>
        <w:rPr>
          <w:rFonts w:ascii="Times New Roman" w:hAnsi="Times New Roman"/>
        </w:rPr>
        <w:t>华能上安电厂4号机汽轮机采用东方电气集团东方汽轮机有限公司生产的N330-16.7/537/537 亚临界、中间再热，两缸两排汽凝汽式汽轮机组，机组额定出力330MW。</w:t>
      </w:r>
    </w:p>
    <w:p>
      <w:pPr>
        <w:pStyle w:val="3"/>
        <w:numPr>
          <w:ilvl w:val="1"/>
          <w:numId w:val="3"/>
        </w:numPr>
        <w:tabs>
          <w:tab w:val="left" w:pos="360"/>
        </w:tabs>
        <w:rPr>
          <w:bCs w:val="0"/>
        </w:rPr>
      </w:pPr>
      <w:r>
        <w:t>原机组的技术参数</w:t>
      </w:r>
    </w:p>
    <w:p>
      <w:pPr>
        <w:tabs>
          <w:tab w:val="left" w:pos="709"/>
        </w:tabs>
        <w:rPr>
          <w:rFonts w:cs="Times New Roman"/>
          <w:szCs w:val="24"/>
          <w:u w:val="single"/>
        </w:rPr>
      </w:pPr>
      <w:r>
        <w:rPr>
          <w:rFonts w:cs="Times New Roman"/>
          <w:szCs w:val="24"/>
        </w:rPr>
        <w:t>制造厂：</w:t>
      </w:r>
      <w:r>
        <w:rPr>
          <w:rFonts w:cs="Times New Roman"/>
          <w:szCs w:val="24"/>
          <w:u w:val="single"/>
        </w:rPr>
        <w:t>东方电气集团东方汽轮机有限公司</w:t>
      </w:r>
    </w:p>
    <w:p>
      <w:pPr>
        <w:tabs>
          <w:tab w:val="left" w:pos="709"/>
        </w:tabs>
        <w:rPr>
          <w:rFonts w:cs="Times New Roman"/>
          <w:szCs w:val="24"/>
          <w:u w:val="single"/>
        </w:rPr>
      </w:pPr>
      <w:r>
        <w:rPr>
          <w:rFonts w:cs="Times New Roman"/>
          <w:szCs w:val="24"/>
        </w:rPr>
        <w:t>型号：</w:t>
      </w:r>
      <w:r>
        <w:rPr>
          <w:rFonts w:cs="Times New Roman"/>
          <w:szCs w:val="24"/>
          <w:u w:val="single"/>
        </w:rPr>
        <w:t>N330-16.7/537/537</w:t>
      </w:r>
    </w:p>
    <w:p>
      <w:pPr>
        <w:tabs>
          <w:tab w:val="left" w:pos="709"/>
        </w:tabs>
        <w:rPr>
          <w:rFonts w:cs="Times New Roman"/>
          <w:szCs w:val="24"/>
          <w:u w:val="single"/>
        </w:rPr>
      </w:pPr>
      <w:r>
        <w:rPr>
          <w:rFonts w:cs="Times New Roman"/>
          <w:szCs w:val="24"/>
        </w:rPr>
        <w:t>型式：亚临界、中间再热，两缸两排汽凝汽式</w:t>
      </w:r>
    </w:p>
    <w:p>
      <w:pPr>
        <w:tabs>
          <w:tab w:val="left" w:pos="709"/>
        </w:tabs>
        <w:rPr>
          <w:rFonts w:cs="Times New Roman"/>
          <w:szCs w:val="24"/>
          <w:u w:val="single"/>
        </w:rPr>
      </w:pPr>
      <w:r>
        <w:rPr>
          <w:rFonts w:cs="Times New Roman"/>
          <w:szCs w:val="24"/>
        </w:rPr>
        <w:t>设计参数：</w:t>
      </w:r>
    </w:p>
    <w:p>
      <w:pPr>
        <w:pStyle w:val="60"/>
        <w:rPr>
          <w:rFonts w:cs="Times New Roman"/>
        </w:rPr>
      </w:pPr>
      <w:r>
        <w:rPr>
          <w:rFonts w:cs="Times New Roman"/>
        </w:rPr>
        <w:t xml:space="preserve">额定背压： 5.2kPa </w:t>
      </w:r>
    </w:p>
    <w:p>
      <w:pPr>
        <w:pStyle w:val="60"/>
        <w:rPr>
          <w:rFonts w:cs="Times New Roman"/>
        </w:rPr>
      </w:pPr>
      <w:r>
        <w:rPr>
          <w:rFonts w:cs="Times New Roman"/>
        </w:rPr>
        <w:t>回热级数:由三个高压加热器、四个低压加热器和一个除氧器构成。</w:t>
      </w:r>
    </w:p>
    <w:p>
      <w:pPr>
        <w:pStyle w:val="3"/>
        <w:numPr>
          <w:ilvl w:val="1"/>
          <w:numId w:val="3"/>
        </w:numPr>
        <w:tabs>
          <w:tab w:val="left" w:pos="360"/>
        </w:tabs>
      </w:pPr>
      <w:r>
        <w:t>改造范围</w:t>
      </w:r>
    </w:p>
    <w:p>
      <w:pPr>
        <w:pStyle w:val="72"/>
        <w:rPr>
          <w:rFonts w:ascii="Times New Roman" w:hAnsi="Times New Roman"/>
        </w:rPr>
      </w:pPr>
      <w:r>
        <w:rPr>
          <w:rFonts w:ascii="Times New Roman" w:hAnsi="Times New Roman"/>
        </w:rPr>
        <w:t>上安4#切缸改造项目主要包含以下内容：</w:t>
      </w:r>
    </w:p>
    <w:p>
      <w:pPr>
        <w:pStyle w:val="72"/>
        <w:rPr>
          <w:rFonts w:ascii="Times New Roman" w:hAnsi="Times New Roman"/>
        </w:rPr>
      </w:pPr>
      <w:r>
        <w:rPr>
          <w:rFonts w:ascii="Times New Roman" w:hAnsi="Times New Roman"/>
          <w:kern w:val="56"/>
          <w:szCs w:val="21"/>
        </w:rPr>
        <w:t>中低压联</w:t>
      </w:r>
      <w:r>
        <w:rPr>
          <w:rFonts w:ascii="Times New Roman" w:hAnsi="Times New Roman"/>
        </w:rPr>
        <w:t>通管及抽汽系统包括联通管、低压缸进汽蝶阀、抽汽快关阀、电动隔离阀、气动逆止阀、冷却蒸汽系统，及附属油站、安全门、膨胀节等；低压缸切缸用冷却旁路，低压末两级测温系统和低压缸喷水系统。</w:t>
      </w:r>
    </w:p>
    <w:p>
      <w:pPr>
        <w:pStyle w:val="72"/>
        <w:rPr>
          <w:rFonts w:ascii="Times New Roman" w:hAnsi="Times New Roman"/>
        </w:rPr>
      </w:pPr>
      <w:r>
        <w:rPr>
          <w:rFonts w:ascii="Times New Roman" w:hAnsi="Times New Roman"/>
        </w:rPr>
        <w:t>本工程含相关设备设计及物资采购、制造及供货、设备各系统的控制、电气、土建、安装、本体调试等工作内容。以上为总体范围，总包方、需方及供方范围按照下文描述。</w:t>
      </w:r>
    </w:p>
    <w:p>
      <w:pPr>
        <w:pStyle w:val="72"/>
        <w:rPr>
          <w:rFonts w:ascii="Times New Roman" w:hAnsi="Times New Roman"/>
        </w:rPr>
      </w:pPr>
      <w:r>
        <w:rPr>
          <w:rFonts w:ascii="Times New Roman" w:hAnsi="Times New Roman"/>
        </w:rPr>
        <w:t>2.3.1、中低压缸连通管及连通管蝶阀控制系统改造设计；（总包方负责连通管改造，供方负责蝶阀供货）</w:t>
      </w:r>
    </w:p>
    <w:p>
      <w:pPr>
        <w:pStyle w:val="72"/>
        <w:rPr>
          <w:rFonts w:ascii="Times New Roman" w:hAnsi="Times New Roman"/>
        </w:rPr>
      </w:pPr>
      <w:r>
        <w:rPr>
          <w:rFonts w:ascii="Times New Roman" w:hAnsi="Times New Roman"/>
        </w:rPr>
        <w:t>2.3.2、低压缸冷却蒸汽管道系统及控制系统设计；（需方负责设计，供方负责成套供货）</w:t>
      </w:r>
    </w:p>
    <w:p>
      <w:pPr>
        <w:pStyle w:val="72"/>
        <w:rPr>
          <w:rFonts w:ascii="Times New Roman" w:hAnsi="Times New Roman"/>
        </w:rPr>
      </w:pPr>
      <w:r>
        <w:rPr>
          <w:rFonts w:ascii="Times New Roman" w:hAnsi="Times New Roman"/>
        </w:rPr>
        <w:t>2.3.3、低压缸喷水减温系统改造设计；（总包方负责缸内，其余需方负责设计，供方负责成套供货）</w:t>
      </w:r>
    </w:p>
    <w:p>
      <w:pPr>
        <w:pStyle w:val="72"/>
        <w:rPr>
          <w:rFonts w:ascii="Times New Roman" w:hAnsi="Times New Roman"/>
        </w:rPr>
      </w:pPr>
      <w:r>
        <w:rPr>
          <w:rFonts w:ascii="Times New Roman" w:hAnsi="Times New Roman"/>
        </w:rPr>
        <w:t>2.3.4、低压缸运行监视改造设计；（总包方负责缸内，其余需方负责设计，供方负责成套供货）</w:t>
      </w:r>
    </w:p>
    <w:p>
      <w:pPr>
        <w:pStyle w:val="72"/>
        <w:rPr>
          <w:rFonts w:ascii="Times New Roman" w:hAnsi="Times New Roman"/>
        </w:rPr>
      </w:pPr>
      <w:r>
        <w:rPr>
          <w:rFonts w:ascii="Times New Roman" w:hAnsi="Times New Roman"/>
        </w:rPr>
        <w:t>2.3.6、控制和电气改造，逻辑组态，控制调试，施工性能验收；（总包方负责，需方配合，供方负责成套供货）</w:t>
      </w:r>
    </w:p>
    <w:bookmarkEnd w:id="3"/>
    <w:bookmarkEnd w:id="4"/>
    <w:bookmarkEnd w:id="5"/>
    <w:p>
      <w:pPr>
        <w:pStyle w:val="2"/>
        <w:keepNext/>
        <w:keepLines/>
        <w:numPr>
          <w:ilvl w:val="0"/>
          <w:numId w:val="3"/>
        </w:numPr>
        <w:tabs>
          <w:tab w:val="left" w:pos="360"/>
        </w:tabs>
        <w:adjustRightInd w:val="0"/>
        <w:spacing w:before="163" w:beforeLines="50"/>
        <w:textAlignment w:val="baseline"/>
      </w:pPr>
      <w:bookmarkStart w:id="16" w:name="_Toc161505601"/>
      <w:r>
        <w:t>供货范围</w:t>
      </w:r>
      <w:bookmarkEnd w:id="16"/>
    </w:p>
    <w:p>
      <w:pPr>
        <w:pStyle w:val="3"/>
        <w:numPr>
          <w:ilvl w:val="1"/>
          <w:numId w:val="3"/>
        </w:numPr>
        <w:tabs>
          <w:tab w:val="left" w:pos="360"/>
        </w:tabs>
      </w:pPr>
      <w:bookmarkStart w:id="17" w:name="_Toc161505602"/>
      <w:r>
        <w:t>一般要求</w:t>
      </w:r>
      <w:bookmarkEnd w:id="17"/>
    </w:p>
    <w:p>
      <w:pPr>
        <w:spacing w:line="420" w:lineRule="auto"/>
        <w:ind w:firstLine="480"/>
        <w:rPr>
          <w:rFonts w:cs="Times New Roman"/>
        </w:rPr>
      </w:pPr>
      <w:r>
        <w:rPr>
          <w:rFonts w:cs="Times New Roman"/>
        </w:rPr>
        <w:t xml:space="preserve">3.1.1 供方保证提供设备为全新的、先进的、成熟的、完整的和安全可靠的，且设备的技术经济性能符合本规范书的要求。 </w:t>
      </w:r>
    </w:p>
    <w:p>
      <w:pPr>
        <w:spacing w:line="420" w:lineRule="auto"/>
        <w:ind w:firstLine="480"/>
        <w:rPr>
          <w:rFonts w:cs="Times New Roman"/>
        </w:rPr>
      </w:pPr>
      <w:r>
        <w:rPr>
          <w:rFonts w:cs="Times New Roman"/>
        </w:rPr>
        <w:t>3.1.2 供方所提供的设备应在低压缸零出力工况下及低压缸非零出力工况下均能保证汽轮机机组运行安全，并承诺对联通管组件范围以外的设备（包括但不限于汽轮机转子等设备）寿命无不良影响。</w:t>
      </w:r>
    </w:p>
    <w:p>
      <w:pPr>
        <w:spacing w:line="420" w:lineRule="auto"/>
        <w:ind w:firstLine="480"/>
        <w:rPr>
          <w:rFonts w:cs="Times New Roman"/>
        </w:rPr>
      </w:pPr>
      <w:r>
        <w:rPr>
          <w:rFonts w:cs="Times New Roman"/>
        </w:rPr>
        <w:t>3.1.3供方按项目的功能和确定的供货范围成套供货，供方的供货应满足系统改造的要求并提供相关的技术服务。</w:t>
      </w:r>
    </w:p>
    <w:p>
      <w:pPr>
        <w:spacing w:line="420" w:lineRule="auto"/>
        <w:ind w:firstLine="480"/>
        <w:rPr>
          <w:rFonts w:cs="Times New Roman"/>
        </w:rPr>
      </w:pPr>
      <w:r>
        <w:rPr>
          <w:rFonts w:cs="Times New Roman"/>
        </w:rPr>
        <w:t>3.1.4 供方应根据需方和电厂提供的原始数据、技术要求和现场限定的条件，合理选择其供货范围内的设备和材料，保证其性能指标和系统安全可靠地运行，保证运行经济性。</w:t>
      </w:r>
    </w:p>
    <w:p>
      <w:pPr>
        <w:spacing w:line="420" w:lineRule="auto"/>
        <w:ind w:firstLine="480"/>
        <w:rPr>
          <w:rFonts w:cs="Times New Roman"/>
        </w:rPr>
      </w:pPr>
      <w:r>
        <w:rPr>
          <w:rFonts w:cs="Times New Roman"/>
        </w:rPr>
        <w:t>3.1.5 供方应提供详细供货清单，清单中依次说明产品型号、数量等内容。对于属于整套设备运行和施工所必需的部件，即使本合同附件未列出和／或数目不足，供方仍须在执行合同时补足。</w:t>
      </w:r>
    </w:p>
    <w:p>
      <w:pPr>
        <w:spacing w:line="420" w:lineRule="auto"/>
        <w:ind w:firstLine="480"/>
        <w:rPr>
          <w:rFonts w:cs="Times New Roman"/>
        </w:rPr>
      </w:pPr>
      <w:r>
        <w:rPr>
          <w:rFonts w:cs="Times New Roman"/>
        </w:rPr>
        <w:t>3.1.6 供方应提供本供货范围内所有安装和检修所需专用工具和消耗材料等，并提供详细供货清单。</w:t>
      </w:r>
    </w:p>
    <w:p>
      <w:pPr>
        <w:spacing w:line="420" w:lineRule="auto"/>
        <w:ind w:firstLine="480"/>
        <w:rPr>
          <w:rFonts w:cs="Times New Roman"/>
        </w:rPr>
      </w:pPr>
      <w:r>
        <w:rPr>
          <w:rFonts w:cs="Times New Roman"/>
        </w:rPr>
        <w:t>3.1.7 供方应提供一个大修期所需的备品备件清单，需方对备品备件的采购在合同谈判时确定，供方对这部分供货的报价应单独列出。</w:t>
      </w:r>
    </w:p>
    <w:p>
      <w:pPr>
        <w:spacing w:line="420" w:lineRule="auto"/>
        <w:ind w:firstLine="480"/>
        <w:rPr>
          <w:rFonts w:cs="Times New Roman"/>
        </w:rPr>
      </w:pPr>
      <w:r>
        <w:rPr>
          <w:rFonts w:cs="Times New Roman"/>
        </w:rPr>
        <w:t>3.1.8 供方应提供随机备品备件清单（包括安装、调试、试运行及质保期内所需要的）。</w:t>
      </w:r>
    </w:p>
    <w:p>
      <w:pPr>
        <w:spacing w:line="420" w:lineRule="auto"/>
        <w:ind w:firstLine="480"/>
        <w:rPr>
          <w:rFonts w:cs="Times New Roman"/>
        </w:rPr>
      </w:pPr>
      <w:r>
        <w:rPr>
          <w:rFonts w:cs="Times New Roman"/>
        </w:rPr>
        <w:t>3.1.8 供方应提供所供设备中的进口件清单。</w:t>
      </w:r>
    </w:p>
    <w:p>
      <w:pPr>
        <w:spacing w:line="420" w:lineRule="auto"/>
        <w:ind w:firstLine="480"/>
        <w:rPr>
          <w:rFonts w:cs="Times New Roman"/>
        </w:rPr>
      </w:pPr>
      <w:r>
        <w:rPr>
          <w:rFonts w:cs="Times New Roman"/>
        </w:rPr>
        <w:t>3.1.9 按低压缸零出力方案设计如下：</w:t>
      </w:r>
    </w:p>
    <w:p>
      <w:pPr>
        <w:pStyle w:val="60"/>
        <w:numPr>
          <w:ilvl w:val="2"/>
          <w:numId w:val="4"/>
        </w:numPr>
        <w:ind w:left="0" w:firstLine="480" w:firstLineChars="200"/>
        <w:rPr>
          <w:rFonts w:cs="Times New Roman"/>
        </w:rPr>
      </w:pPr>
      <w:r>
        <w:rPr>
          <w:rFonts w:cs="Times New Roman"/>
        </w:rPr>
        <w:t>实施低压缸零出力改造后，机组低压缸零出力运行时，低压缸通流部分运行条件大幅偏离设计工况，处于极低容积流量条件下运行，为充分监视低压缸通流部分运行状态，确保机组安全运行，需增加或改造以下运行监视测点：</w:t>
      </w:r>
    </w:p>
    <w:p>
      <w:pPr>
        <w:pStyle w:val="60"/>
        <w:numPr>
          <w:ilvl w:val="2"/>
          <w:numId w:val="4"/>
        </w:numPr>
        <w:ind w:left="0" w:firstLine="480" w:firstLineChars="200"/>
        <w:rPr>
          <w:rFonts w:cs="Times New Roman"/>
        </w:rPr>
      </w:pPr>
      <w:r>
        <w:rPr>
          <w:rFonts w:cs="Times New Roman"/>
        </w:rPr>
        <w:t>增加低压缸末级、次末级温度测点；</w:t>
      </w:r>
    </w:p>
    <w:p>
      <w:pPr>
        <w:pStyle w:val="60"/>
        <w:numPr>
          <w:ilvl w:val="2"/>
          <w:numId w:val="4"/>
        </w:numPr>
        <w:ind w:left="0" w:firstLine="480" w:firstLineChars="200"/>
        <w:rPr>
          <w:rFonts w:cs="Times New Roman"/>
        </w:rPr>
      </w:pPr>
      <w:r>
        <w:rPr>
          <w:rFonts w:cs="Times New Roman"/>
        </w:rPr>
        <w:t>增加中压缸排汽压力测点和温度测点；压力测点采用绝压变送器；</w:t>
      </w:r>
    </w:p>
    <w:p>
      <w:pPr>
        <w:pStyle w:val="60"/>
        <w:numPr>
          <w:ilvl w:val="2"/>
          <w:numId w:val="4"/>
        </w:numPr>
        <w:ind w:left="0" w:firstLine="480" w:firstLineChars="200"/>
        <w:rPr>
          <w:rFonts w:cs="Times New Roman"/>
        </w:rPr>
      </w:pPr>
      <w:r>
        <w:rPr>
          <w:rFonts w:cs="Times New Roman"/>
        </w:rPr>
        <w:t>增加低压缸进汽压力测点和温度测点；压力测点采用绝压变送器；</w:t>
      </w:r>
    </w:p>
    <w:p>
      <w:pPr>
        <w:pStyle w:val="60"/>
        <w:numPr>
          <w:ilvl w:val="2"/>
          <w:numId w:val="4"/>
        </w:numPr>
        <w:ind w:left="0" w:firstLine="480" w:firstLineChars="200"/>
        <w:rPr>
          <w:rFonts w:cs="Times New Roman"/>
        </w:rPr>
      </w:pPr>
      <w:r>
        <w:rPr>
          <w:rFonts w:cs="Times New Roman"/>
        </w:rPr>
        <w:t>其他相关测点；</w:t>
      </w:r>
    </w:p>
    <w:p>
      <w:pPr>
        <w:pStyle w:val="60"/>
        <w:numPr>
          <w:ilvl w:val="0"/>
          <w:numId w:val="0"/>
        </w:numPr>
        <w:ind w:left="480"/>
        <w:rPr>
          <w:rFonts w:cs="Times New Roman"/>
        </w:rPr>
      </w:pPr>
      <w:r>
        <w:rPr>
          <w:rFonts w:cs="Times New Roman"/>
        </w:rPr>
        <w:t>上述所有改造测点均需接入机组DCS系统。</w:t>
      </w:r>
    </w:p>
    <w:p>
      <w:pPr>
        <w:spacing w:line="420" w:lineRule="auto"/>
        <w:ind w:firstLine="480"/>
        <w:rPr>
          <w:rFonts w:cs="Times New Roman"/>
          <w:bCs/>
        </w:rPr>
      </w:pPr>
      <w:r>
        <w:rPr>
          <w:rFonts w:cs="Times New Roman"/>
        </w:rPr>
        <w:t>3.1.10 在汽轮机中、低压联通管上加装抽汽压力调控蝶阀实现调整抽汽供热，改造为热、电联供机组，供热改造后供热工况下单台机额定抽汽量600t/h。联通管道公称直径按φ1424×12mm（阀门和三通处考虑补强）设计，位于联通管上的供热蝶阀为DN1400，供热安全阀DN450/500，其中联通管上调节蝶阀用于低压缸零出力，必须保证关闭严密。联通管以外的快关阀、逆止阀和电动隔离阀均按不低于DN1200设计。为方便安装和检修，联通管上设置必要的连接法兰。</w:t>
      </w:r>
    </w:p>
    <w:p>
      <w:pPr>
        <w:spacing w:line="420" w:lineRule="auto"/>
        <w:ind w:firstLine="480"/>
        <w:rPr>
          <w:rFonts w:cs="Times New Roman"/>
          <w:bCs/>
        </w:rPr>
      </w:pPr>
      <w:r>
        <w:rPr>
          <w:rFonts w:cs="Times New Roman"/>
        </w:rPr>
        <w:t>3.1.11 液压油站需配置控制油泵启停的电控箱，电控箱应至少具备如下功能：具有启停自保持功能，能够接受DCS脉冲指令启停；能够提供油泵运行/停止状态指示的干接点。油泵联锁通过DCS实现，电控箱无需配置PLC等设备。油站至少应设计有出口母管压力变送器（用于远方显示）、出口母管压力开关（用于备用泵联启）、滤网前后差压开关、油箱温度、油箱油位（导波雷达液位计）等远传监视测点，此外还需提供各油泵出口及母管压力表（耐震）用于就地监视。</w:t>
      </w:r>
    </w:p>
    <w:p>
      <w:pPr>
        <w:spacing w:line="420" w:lineRule="auto"/>
        <w:ind w:firstLine="480"/>
        <w:rPr>
          <w:rFonts w:cs="Times New Roman"/>
          <w:bCs/>
        </w:rPr>
      </w:pPr>
      <w:r>
        <w:rPr>
          <w:rFonts w:cs="Times New Roman"/>
        </w:rPr>
        <w:t>3.1.12 抽汽快关调节阀（液动）、电动隔离阀以及联通管上的抽汽压力调控蝶阀有远动、手动两种操作功能；远动控制信号均采用标准信号，以便接入机组DCS控制。电动隔离阀需采用分体式电动执行机构。</w:t>
      </w:r>
    </w:p>
    <w:p>
      <w:pPr>
        <w:spacing w:line="420" w:lineRule="auto"/>
        <w:ind w:firstLine="480"/>
        <w:rPr>
          <w:rFonts w:cs="Times New Roman"/>
          <w:bCs/>
        </w:rPr>
      </w:pPr>
      <w:r>
        <w:rPr>
          <w:rFonts w:cs="Times New Roman"/>
        </w:rPr>
        <w:t>3.1.13 改造后抽汽管道应安装合适范围的蒸汽流量、热量测量装置和各阀门前后上下管道壁温元件、压力、温度等远方测点和就地仪表，便于控制设备和监视抽汽系统工况（详见供货清单）。</w:t>
      </w:r>
    </w:p>
    <w:p>
      <w:pPr>
        <w:spacing w:line="420" w:lineRule="auto"/>
        <w:ind w:firstLine="480"/>
        <w:rPr>
          <w:rFonts w:cs="Times New Roman"/>
          <w:bCs/>
        </w:rPr>
      </w:pPr>
      <w:r>
        <w:rPr>
          <w:rFonts w:cs="Times New Roman"/>
        </w:rPr>
        <w:t>3.1.14 改造后新供设备寿命不低于30年。</w:t>
      </w:r>
    </w:p>
    <w:p>
      <w:pPr>
        <w:rPr>
          <w:rFonts w:cs="Times New Roman"/>
          <w:snapToGrid w:val="0"/>
        </w:rPr>
      </w:pPr>
    </w:p>
    <w:p>
      <w:pPr>
        <w:jc w:val="center"/>
        <w:rPr>
          <w:rFonts w:cs="Times New Roman"/>
          <w:sz w:val="32"/>
          <w:szCs w:val="32"/>
        </w:rPr>
        <w:sectPr>
          <w:pgSz w:w="11906" w:h="16838"/>
          <w:pgMar w:top="1474" w:right="1418" w:bottom="1134" w:left="1418" w:header="567" w:footer="567" w:gutter="0"/>
          <w:pgNumType w:start="1"/>
          <w:cols w:space="425" w:num="1"/>
          <w:docGrid w:type="lines" w:linePitch="326" w:charSpace="0"/>
        </w:sectPr>
      </w:pPr>
    </w:p>
    <w:p>
      <w:pPr>
        <w:pStyle w:val="3"/>
        <w:numPr>
          <w:ilvl w:val="1"/>
          <w:numId w:val="3"/>
        </w:numPr>
        <w:tabs>
          <w:tab w:val="left" w:pos="360"/>
        </w:tabs>
      </w:pPr>
      <w:bookmarkStart w:id="18" w:name="_Toc161505603"/>
      <w:r>
        <w:t>供货清单</w:t>
      </w:r>
      <w:bookmarkEnd w:id="18"/>
    </w:p>
    <w:p>
      <w:pPr>
        <w:pStyle w:val="4"/>
        <w:numPr>
          <w:ilvl w:val="2"/>
          <w:numId w:val="3"/>
        </w:numPr>
        <w:tabs>
          <w:tab w:val="left" w:pos="360"/>
        </w:tabs>
        <w:snapToGrid/>
        <w:rPr>
          <w:rFonts w:eastAsiaTheme="minorEastAsia"/>
        </w:rPr>
      </w:pPr>
      <w:r>
        <w:t>阀门部分</w:t>
      </w:r>
    </w:p>
    <w:p>
      <w:pPr>
        <w:ind w:firstLine="409" w:firstLineChars="177"/>
        <w:rPr>
          <w:rFonts w:cs="Times New Roman" w:eastAsiaTheme="minorEastAsia"/>
          <w:b/>
        </w:rPr>
      </w:pPr>
      <w:r>
        <w:rPr>
          <w:rFonts w:cs="Times New Roman"/>
          <w:b/>
          <w:sz w:val="23"/>
          <w:szCs w:val="23"/>
        </w:rPr>
        <w:t>本项目采购阀门清单如下，阀门的具体选型参数、技术要求等见附件1。</w:t>
      </w:r>
    </w:p>
    <w:tbl>
      <w:tblPr>
        <w:tblStyle w:val="3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255"/>
        <w:gridCol w:w="3621"/>
        <w:gridCol w:w="814"/>
        <w:gridCol w:w="813"/>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序号</w:t>
            </w:r>
          </w:p>
        </w:tc>
        <w:tc>
          <w:tcPr>
            <w:tcW w:w="4255" w:type="dxa"/>
            <w:shd w:val="clear" w:color="auto" w:fill="auto"/>
            <w:noWrap/>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名称</w:t>
            </w:r>
          </w:p>
        </w:tc>
        <w:tc>
          <w:tcPr>
            <w:tcW w:w="3621"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 xml:space="preserve">型号规格   </w:t>
            </w: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数量</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单位</w:t>
            </w:r>
          </w:p>
        </w:tc>
        <w:tc>
          <w:tcPr>
            <w:tcW w:w="3901"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快</w:t>
            </w:r>
            <w:r>
              <w:rPr>
                <w:rFonts w:cs="Times New Roman" w:eastAsiaTheme="minorEastAsia"/>
                <w:b/>
                <w:color w:val="FF0000"/>
                <w:kern w:val="0"/>
                <w:sz w:val="21"/>
                <w:szCs w:val="21"/>
              </w:rPr>
              <w:t>开</w:t>
            </w:r>
            <w:r>
              <w:rPr>
                <w:rFonts w:cs="Times New Roman" w:eastAsiaTheme="minorEastAsia"/>
                <w:b/>
                <w:kern w:val="0"/>
                <w:sz w:val="21"/>
                <w:szCs w:val="21"/>
              </w:rPr>
              <w:t>调节蝶阀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YTKD743H-25C DN1400 PN25</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比例电磁阀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快开电磁阀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保位电磁阀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1.4</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LVDT及热工附属控制元件等配件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1.5</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1.6</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2</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快</w:t>
            </w:r>
            <w:r>
              <w:rPr>
                <w:rFonts w:cs="Times New Roman" w:eastAsiaTheme="minorEastAsia"/>
                <w:b/>
                <w:color w:val="FF0000"/>
                <w:kern w:val="0"/>
                <w:sz w:val="21"/>
                <w:szCs w:val="21"/>
              </w:rPr>
              <w:t>关</w:t>
            </w:r>
            <w:r>
              <w:rPr>
                <w:rFonts w:cs="Times New Roman" w:eastAsiaTheme="minorEastAsia"/>
                <w:b/>
                <w:kern w:val="0"/>
                <w:sz w:val="21"/>
                <w:szCs w:val="21"/>
              </w:rPr>
              <w:t>调节蝶阀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YTKD743H-25C DN1200 PN25</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比例电磁阀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FF0000"/>
                <w:kern w:val="0"/>
                <w:sz w:val="21"/>
                <w:szCs w:val="21"/>
              </w:rPr>
              <w:t>快关电磁阀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保位电磁阀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2.4</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LVDT及热工附属控制元件等配件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2.5</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2.6</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3</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液压油站</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KYZ63</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　见注1、2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4</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气动止回阀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CKH647H-25C DN1200 PN25</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法兰连接，</w:t>
            </w:r>
            <w:r>
              <w:rPr>
                <w:rFonts w:cs="Times New Roman" w:eastAsiaTheme="minorEastAsia"/>
                <w:b/>
                <w:color w:val="000000"/>
                <w:sz w:val="21"/>
                <w:szCs w:val="21"/>
              </w:rPr>
              <w:t>电磁阀采用ASCO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4.1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气动止回阀附件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4.2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气动止回阀附件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5</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电动蝶阀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DTD943H-25C DN1200 PN25</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EMG分体式，法兰连接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5.1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电动蝶阀附件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5.2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电动蝶阀附件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5.3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旁路阀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J(9)61H-25C-DN80</w:t>
            </w: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上海行力电装，电动蝶阀附件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6</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旁路调节蝶阀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DTD(9)43H-25C DN300</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EMG分体式调节型，法兰连接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6.1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noWrap/>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旁路调节蝶阀附件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6.2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noWrap/>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旁路调节蝶阀附件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7</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手动截止阀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J41H-25C-DN100</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5</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8</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自动疏水器</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CS61H-25C-DN50</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6</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9</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备件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比例电磁阀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快开电磁阀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保位电磁阀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9.4</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9.5</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比例电磁阀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9.6</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FF0000"/>
                <w:kern w:val="0"/>
                <w:sz w:val="21"/>
                <w:szCs w:val="21"/>
              </w:rPr>
              <w:t>快关电磁阀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9.7</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保位电磁阀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9.8</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9.9</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电动蝶阀法兰用备件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9.10</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气动止回阀法兰用备件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旁路调节蝶阀法兰用备件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LVDT反馈装置</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color w:val="FF0000"/>
                <w:kern w:val="0"/>
                <w:sz w:val="21"/>
                <w:szCs w:val="21"/>
              </w:rPr>
              <w:t>4</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油泵电机</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9.14</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液压站滤芯</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9.15</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蓄能器皮囊</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9.16</w:t>
            </w:r>
          </w:p>
        </w:tc>
        <w:tc>
          <w:tcPr>
            <w:tcW w:w="4255" w:type="dxa"/>
            <w:shd w:val="clear" w:color="auto" w:fill="auto"/>
            <w:noWrap/>
            <w:vAlign w:val="center"/>
          </w:tcPr>
          <w:p>
            <w:pPr>
              <w:widowControl/>
              <w:spacing w:line="240" w:lineRule="auto"/>
              <w:contextualSpacing/>
              <w:jc w:val="left"/>
              <w:rPr>
                <w:rFonts w:cs="Times New Roman" w:eastAsiaTheme="minorEastAsia"/>
                <w:color w:val="000000"/>
                <w:sz w:val="21"/>
                <w:szCs w:val="21"/>
              </w:rPr>
            </w:pPr>
            <w:r>
              <w:rPr>
                <w:rFonts w:cs="Times New Roman" w:eastAsiaTheme="minorEastAsia"/>
                <w:color w:val="000000"/>
                <w:sz w:val="21"/>
                <w:szCs w:val="21"/>
              </w:rPr>
              <w:t>24VDC电源模块</w:t>
            </w:r>
          </w:p>
        </w:tc>
        <w:tc>
          <w:tcPr>
            <w:tcW w:w="3621" w:type="dxa"/>
            <w:shd w:val="clear" w:color="auto" w:fill="auto"/>
            <w:vAlign w:val="center"/>
          </w:tcPr>
          <w:p>
            <w:pPr>
              <w:widowControl/>
              <w:spacing w:line="240" w:lineRule="auto"/>
              <w:contextualSpacing/>
              <w:jc w:val="left"/>
              <w:rPr>
                <w:rFonts w:cs="Times New Roman" w:eastAsiaTheme="minorEastAsia"/>
                <w:color w:val="000000"/>
                <w:sz w:val="21"/>
                <w:szCs w:val="21"/>
              </w:rPr>
            </w:pPr>
            <w:r>
              <w:rPr>
                <w:rFonts w:cs="Times New Roman" w:eastAsiaTheme="minorEastAsia"/>
                <w:color w:val="000000"/>
                <w:sz w:val="21"/>
                <w:szCs w:val="21"/>
              </w:rPr>
              <w:t>110-220VAC转24VDC</w:t>
            </w:r>
          </w:p>
        </w:tc>
        <w:tc>
          <w:tcPr>
            <w:tcW w:w="814" w:type="dxa"/>
            <w:shd w:val="clear" w:color="auto" w:fill="auto"/>
            <w:vAlign w:val="center"/>
          </w:tcPr>
          <w:p>
            <w:pPr>
              <w:widowControl/>
              <w:spacing w:line="240" w:lineRule="auto"/>
              <w:contextualSpacing/>
              <w:jc w:val="center"/>
              <w:rPr>
                <w:rFonts w:cs="Times New Roman" w:eastAsiaTheme="minorEastAsia"/>
                <w:color w:val="FF0000"/>
                <w:kern w:val="0"/>
                <w:sz w:val="21"/>
                <w:szCs w:val="21"/>
              </w:rPr>
            </w:pPr>
            <w:r>
              <w:rPr>
                <w:rFonts w:cs="Times New Roman" w:eastAsiaTheme="minorEastAsia"/>
                <w:color w:val="FF0000"/>
                <w:kern w:val="0"/>
                <w:sz w:val="21"/>
                <w:szCs w:val="21"/>
              </w:rPr>
              <w:t>4</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9.17</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模拟量输入模块</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color w:val="FF0000"/>
                <w:kern w:val="0"/>
                <w:sz w:val="21"/>
                <w:szCs w:val="21"/>
              </w:rPr>
            </w:pPr>
            <w:r>
              <w:rPr>
                <w:rFonts w:cs="Times New Roman" w:eastAsiaTheme="minorEastAsia"/>
                <w:color w:val="FF0000"/>
                <w:kern w:val="0"/>
                <w:sz w:val="21"/>
                <w:szCs w:val="21"/>
              </w:rPr>
              <w:t>4</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9.18</w:t>
            </w:r>
          </w:p>
        </w:tc>
        <w:tc>
          <w:tcPr>
            <w:tcW w:w="4255"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模拟量模块</w:t>
            </w:r>
          </w:p>
        </w:tc>
        <w:tc>
          <w:tcPr>
            <w:tcW w:w="3621" w:type="dxa"/>
            <w:shd w:val="clear" w:color="auto" w:fill="auto"/>
            <w:noWrap/>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color w:val="FF0000"/>
                <w:kern w:val="0"/>
                <w:sz w:val="21"/>
                <w:szCs w:val="21"/>
              </w:rPr>
            </w:pPr>
            <w:r>
              <w:rPr>
                <w:rFonts w:cs="Times New Roman" w:eastAsiaTheme="minorEastAsia"/>
                <w:color w:val="FF0000"/>
                <w:kern w:val="0"/>
                <w:sz w:val="21"/>
                <w:szCs w:val="21"/>
              </w:rPr>
              <w:t>4</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9.19</w:t>
            </w:r>
          </w:p>
        </w:tc>
        <w:tc>
          <w:tcPr>
            <w:tcW w:w="4255"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液动阀门及油站对应密封垫</w:t>
            </w:r>
          </w:p>
        </w:tc>
        <w:tc>
          <w:tcPr>
            <w:tcW w:w="3621" w:type="dxa"/>
            <w:shd w:val="clear" w:color="auto" w:fill="auto"/>
            <w:noWrap/>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color w:val="FF0000"/>
                <w:kern w:val="0"/>
                <w:sz w:val="21"/>
                <w:szCs w:val="21"/>
              </w:rPr>
            </w:pPr>
            <w:r>
              <w:rPr>
                <w:rFonts w:cs="Times New Roman" w:eastAsiaTheme="minorEastAsia"/>
                <w:color w:val="FF0000"/>
                <w:kern w:val="0"/>
                <w:sz w:val="21"/>
                <w:szCs w:val="21"/>
              </w:rPr>
              <w:t>2</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bl>
    <w:p>
      <w:pPr>
        <w:pStyle w:val="73"/>
        <w:adjustRightInd/>
        <w:spacing w:line="360" w:lineRule="auto"/>
        <w:ind w:firstLine="241"/>
        <w:contextualSpacing/>
        <w:jc w:val="both"/>
        <w:rPr>
          <w:rFonts w:eastAsiaTheme="minorEastAsia"/>
        </w:rPr>
      </w:pPr>
      <w:r>
        <w:rPr>
          <w:rFonts w:eastAsiaTheme="minorEastAsia"/>
          <w:b/>
          <w:color w:val="000000" w:themeColor="text1"/>
          <w14:textFill>
            <w14:solidFill>
              <w14:schemeClr w14:val="tx1"/>
            </w14:solidFill>
          </w14:textFill>
        </w:rPr>
        <w:t>注：</w:t>
      </w:r>
      <w:r>
        <w:rPr>
          <w:rFonts w:eastAsiaTheme="minorEastAsia"/>
          <w:color w:val="000000" w:themeColor="text1"/>
          <w14:textFill>
            <w14:solidFill>
              <w14:schemeClr w14:val="tx1"/>
            </w14:solidFill>
          </w14:textFill>
        </w:rPr>
        <w:t>1、</w:t>
      </w:r>
      <w:r>
        <w:rPr>
          <w:rFonts w:eastAsiaTheme="minorEastAsia"/>
        </w:rPr>
        <w:t>包括压力表、油泵2台、抗燃油冷却器、泄压阀、蓄能器2台、滤网、阀门等，油管及管件材质为0Cr18Ni9、阀门为不锈钢且需要硬密封（蘑菇头）</w:t>
      </w:r>
      <w:r>
        <w:rPr>
          <w:rFonts w:eastAsiaTheme="minorEastAsia"/>
          <w:color w:val="FF0000"/>
        </w:rPr>
        <w:t>。</w:t>
      </w:r>
    </w:p>
    <w:p>
      <w:pPr>
        <w:ind w:firstLine="424" w:firstLineChars="177"/>
        <w:rPr>
          <w:rFonts w:cs="Times New Roman" w:eastAsiaTheme="minorEastAsia"/>
        </w:rPr>
      </w:pPr>
      <w:r>
        <w:rPr>
          <w:rFonts w:cs="Times New Roman" w:eastAsiaTheme="minorEastAsia"/>
        </w:rPr>
        <w:t>2、油系统除了电磁阀及集成块结合面可以使用O环以外，O环材质为氟橡胶，其他接头必须使用铜垫或蘑菇头密封。</w:t>
      </w:r>
    </w:p>
    <w:p>
      <w:pPr>
        <w:pStyle w:val="4"/>
        <w:numPr>
          <w:ilvl w:val="2"/>
          <w:numId w:val="3"/>
        </w:numPr>
        <w:tabs>
          <w:tab w:val="left" w:pos="360"/>
        </w:tabs>
        <w:snapToGrid/>
        <w:rPr>
          <w:rFonts w:eastAsiaTheme="minorEastAsia"/>
        </w:rPr>
      </w:pPr>
      <w:r>
        <w:rPr>
          <w:rFonts w:eastAsiaTheme="minorEastAsia"/>
        </w:rPr>
        <w:t>机务管道管件</w:t>
      </w:r>
    </w:p>
    <w:tbl>
      <w:tblPr>
        <w:tblStyle w:val="35"/>
        <w:tblW w:w="14218" w:type="dxa"/>
        <w:tblInd w:w="0" w:type="dxa"/>
        <w:tblLayout w:type="fixed"/>
        <w:tblCellMar>
          <w:top w:w="0" w:type="dxa"/>
          <w:left w:w="108" w:type="dxa"/>
          <w:bottom w:w="0" w:type="dxa"/>
          <w:right w:w="108" w:type="dxa"/>
        </w:tblCellMar>
      </w:tblPr>
      <w:tblGrid>
        <w:gridCol w:w="526"/>
        <w:gridCol w:w="1433"/>
        <w:gridCol w:w="2204"/>
        <w:gridCol w:w="2775"/>
        <w:gridCol w:w="453"/>
        <w:gridCol w:w="615"/>
        <w:gridCol w:w="1292"/>
        <w:gridCol w:w="894"/>
        <w:gridCol w:w="931"/>
        <w:gridCol w:w="3095"/>
      </w:tblGrid>
      <w:tr>
        <w:tblPrEx>
          <w:tblLayout w:type="fixed"/>
          <w:tblCellMar>
            <w:top w:w="0" w:type="dxa"/>
            <w:left w:w="108" w:type="dxa"/>
            <w:bottom w:w="0" w:type="dxa"/>
            <w:right w:w="108" w:type="dxa"/>
          </w:tblCellMar>
        </w:tblPrEx>
        <w:trPr>
          <w:cantSplit/>
          <w:trHeight w:val="454"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序号</w:t>
            </w: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图号或代号</w:t>
            </w:r>
          </w:p>
        </w:tc>
        <w:tc>
          <w:tcPr>
            <w:tcW w:w="220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名称</w:t>
            </w:r>
          </w:p>
        </w:tc>
        <w:tc>
          <w:tcPr>
            <w:tcW w:w="27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规格</w:t>
            </w:r>
          </w:p>
        </w:tc>
        <w:tc>
          <w:tcPr>
            <w:tcW w:w="4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单位</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总数</w:t>
            </w:r>
          </w:p>
        </w:tc>
        <w:tc>
          <w:tcPr>
            <w:tcW w:w="12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材料</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单重（kg）</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总重（kg）</w:t>
            </w:r>
          </w:p>
        </w:tc>
        <w:tc>
          <w:tcPr>
            <w:tcW w:w="30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备注</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3091-2015</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直缝埋弧焊钢管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Ф1220x16</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15</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Q245R</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475.58</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7133.7</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3087-2022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无缝钢管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Ф457x11</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120.98</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4839.2</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3087-2022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无缝钢管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Ф406x9</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88.2</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176.4</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3087-2022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无缝钢管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Ф377x9</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15</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81.67</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1225.05</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3087-2022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无缝钢管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Ф10x1</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0.222</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11.1</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DL/T 695-2014</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90°有缝热压弯头（无直段）</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PN16，DN1200，Ф1220x16，R=1250</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Q245R</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933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3732</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7</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E1.6C12SON</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90°无缝热压弯头（无直段）</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PN16，DN450，Ф457x11，R=686</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130</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1300</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GD2000</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8</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E1.6C11SON</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90°无缝热压弯头（无直段）</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PN16，DN350，Ф377x9，R=533</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68.3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136.6</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GD2000</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参考R2.5C12SO</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钢管模压异径管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PN16，DN450x300，Ф457x11/Ф325x8，L=370</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38.3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38.3</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GD2000</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10</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参考R2.5C12SO</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钢管模压异径管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PN16，DN350Ax300，Ф377x9/Ф325x8，L=200</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15.3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15.3</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GD2000</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9124.1-2019</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突面对焊法兰</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WN DN1200(II)-16 RF 接管Ф1220x16</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Q245R</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390</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780</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GD2016，含安装附件</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4622.1-2022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柔性石墨金属缠绕垫片</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D1200-16 1222</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组合件</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3.777</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3.777</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9125.1-2020</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全螺纹螺柱</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M45-320</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32</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35CrMo</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3.488</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111.616</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9125.1-2020</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II型六角螺母</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M45</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64</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30CrMo</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0.989</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63.296</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97.2-2002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平垫圈</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M45  300HV</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64</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Q235A</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0.243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15.552</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12</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9124.1-2019</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突面对焊法兰</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WN DN350(II)-16 RF 接管Ф377x9</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Q245R</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32.8</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131.2</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GD2016，含安装附件</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4622.1-2022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柔性石墨金属缠绕垫片</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D350-16 1222</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组合件</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0.583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1.166</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9125.1-2020</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全螺纹螺柱</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M24-320</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32</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35CrMo</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0.472</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15.104</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9125.1-2020</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II型六角螺母</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M24</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64</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30CrMo</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0.203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12.992</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97.2-2002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平垫圈</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M24  300HV</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64</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Q235A</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0.032</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2.048</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13</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9124.1-2019</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突面对焊法兰</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WN DN450(I)-16 RF 接管Ф457x11</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Q245R</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50.6</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202.4</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GD2016，含安装附件</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4622.1-2022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柔性石墨金属缠绕垫片</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D450-16 1222</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组合件</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0.925</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1.85</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9125.1-2020</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全螺纹螺柱</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M27-320</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35CrMo</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0.648</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25.92</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9125.1-2020</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II型六角螺母</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M27</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80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30CrMo</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0.289</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23.12</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97.2-2002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平垫圈</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M27  300HV</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80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Q235A</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0.042</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3.36</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14</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曲管压力平衡型补偿器（轴向与横向补偿）</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PN16，DN1200，设计温度350</w:t>
            </w:r>
            <w:r>
              <w:rPr>
                <w:rFonts w:hint="eastAsia" w:ascii="宋体" w:hAnsi="宋体" w:cs="宋体"/>
                <w:kern w:val="0"/>
                <w:sz w:val="22"/>
              </w:rPr>
              <w:t>℃</w:t>
            </w:r>
            <w:r>
              <w:rPr>
                <w:rFonts w:cs="Times New Roman"/>
                <w:kern w:val="0"/>
                <w:sz w:val="22"/>
              </w:rPr>
              <w:t>，设计压力1.6MPa，接管尺寸Ф1220×16，接管材质Q234R，L=3400mm。</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组合件</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color w:val="FF0000"/>
                <w:kern w:val="0"/>
                <w:sz w:val="22"/>
              </w:rPr>
            </w:pPr>
            <w:r>
              <w:rPr>
                <w:rFonts w:cs="Times New Roman"/>
                <w:color w:val="FF0000"/>
                <w:kern w:val="0"/>
                <w:sz w:val="22"/>
              </w:rPr>
              <w:t>横向补偿量≥50mm，轴向补偿量≥50mm，横向刚度≤300N/mm，轴向刚度≤1400N/mm，进口焊接连接，出口突面对焊法兰连接，带反法兰及附件。</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24</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3087-2022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无缝钢管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Ф89x4</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80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8.38</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670.4</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疏放水，估列</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25</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3087-2022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无缝钢管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Ф76x4</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7.1</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284</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疏放水，估列</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26</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GB/T 3087-2022</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无缝钢管</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Ф38x3</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100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2.89</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289</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疏放水，估列</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27</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E2.5C11SON</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90°无缝热压弯头（无直段）</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PN25，DN80，Ф89x4，R=114</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1.6</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48</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GD2016，疏放水</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28</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E2.5C11SON</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90°无缝热压弯头（无直段）</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PN25，DN65，Ф76x4，R=95</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33</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GD2016，疏放水</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29</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E2.5C11SON</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90°无缝热压弯头（无直段）</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PN25，DN32，Ф38x3，R=48</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50</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15</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GD2016，疏放水</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30</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xml:space="preserve">T5.3C51FO </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锻制三通</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PN53，DN80x65x80，接Ф89x4/</w:t>
            </w:r>
            <w:r>
              <w:rPr>
                <w:rFonts w:ascii="Cambria Math" w:hAnsi="Cambria Math" w:cs="Cambria Math"/>
                <w:kern w:val="0"/>
                <w:sz w:val="22"/>
              </w:rPr>
              <w:t>∅</w:t>
            </w:r>
            <w:r>
              <w:rPr>
                <w:rFonts w:cs="Times New Roman"/>
                <w:kern w:val="0"/>
                <w:sz w:val="22"/>
              </w:rPr>
              <w:t>76x4</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11.9</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47.6</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GD2016，疏放水</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31</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xml:space="preserve">T5.3C51FO </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锻制三通</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PN53，DN65x65x65，接</w:t>
            </w:r>
            <w:r>
              <w:rPr>
                <w:rFonts w:ascii="Cambria Math" w:hAnsi="Cambria Math" w:cs="Cambria Math"/>
                <w:kern w:val="0"/>
                <w:sz w:val="22"/>
              </w:rPr>
              <w:t>∅</w:t>
            </w:r>
            <w:r>
              <w:rPr>
                <w:rFonts w:cs="Times New Roman"/>
                <w:kern w:val="0"/>
                <w:sz w:val="22"/>
              </w:rPr>
              <w:t>76x4/</w:t>
            </w:r>
            <w:r>
              <w:rPr>
                <w:rFonts w:ascii="Cambria Math" w:hAnsi="Cambria Math" w:cs="Cambria Math"/>
                <w:kern w:val="0"/>
                <w:sz w:val="22"/>
              </w:rPr>
              <w:t>∅</w:t>
            </w:r>
            <w:r>
              <w:rPr>
                <w:rFonts w:cs="Times New Roman"/>
                <w:kern w:val="0"/>
                <w:sz w:val="22"/>
              </w:rPr>
              <w:t>76x4</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18.6</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GD2016，疏放水</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32</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 xml:space="preserve">T5.3C51FO </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锻制三通</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PN53，DN32x32x32，接</w:t>
            </w:r>
            <w:r>
              <w:rPr>
                <w:rFonts w:ascii="Cambria Math" w:hAnsi="Cambria Math" w:cs="Cambria Math"/>
                <w:kern w:val="0"/>
                <w:sz w:val="22"/>
              </w:rPr>
              <w:t>∅</w:t>
            </w:r>
            <w:r>
              <w:rPr>
                <w:rFonts w:cs="Times New Roman"/>
                <w:kern w:val="0"/>
                <w:sz w:val="22"/>
              </w:rPr>
              <w:t>38x3/</w:t>
            </w:r>
            <w:r>
              <w:rPr>
                <w:rFonts w:ascii="Cambria Math" w:hAnsi="Cambria Math" w:cs="Cambria Math"/>
                <w:kern w:val="0"/>
                <w:sz w:val="22"/>
              </w:rPr>
              <w:t>∅</w:t>
            </w:r>
            <w:r>
              <w:rPr>
                <w:rFonts w:cs="Times New Roman"/>
                <w:kern w:val="0"/>
                <w:sz w:val="22"/>
              </w:rPr>
              <w:t>38x3</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1.8</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3.6</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GD2016，疏放水</w:t>
            </w:r>
          </w:p>
        </w:tc>
      </w:tr>
      <w:tr>
        <w:tblPrEx>
          <w:tblLayout w:type="fixed"/>
          <w:tblCellMar>
            <w:top w:w="0" w:type="dxa"/>
            <w:left w:w="108" w:type="dxa"/>
            <w:bottom w:w="0" w:type="dxa"/>
            <w:right w:w="108" w:type="dxa"/>
          </w:tblCellMar>
        </w:tblPrEx>
        <w:trPr>
          <w:cantSplit/>
          <w:trHeight w:val="454" w:hRule="atLeast"/>
        </w:trPr>
        <w:tc>
          <w:tcPr>
            <w:tcW w:w="52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33</w:t>
            </w:r>
          </w:p>
        </w:tc>
        <w:tc>
          <w:tcPr>
            <w:tcW w:w="14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参考H1.6A43FB</w:t>
            </w:r>
          </w:p>
        </w:tc>
        <w:tc>
          <w:tcPr>
            <w:tcW w:w="220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对焊平封头</w:t>
            </w:r>
          </w:p>
        </w:tc>
        <w:tc>
          <w:tcPr>
            <w:tcW w:w="277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PN16，DN80，接Ф89x4</w:t>
            </w:r>
          </w:p>
        </w:tc>
        <w:tc>
          <w:tcPr>
            <w:tcW w:w="4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w:t>
            </w:r>
          </w:p>
        </w:tc>
        <w:tc>
          <w:tcPr>
            <w:tcW w:w="129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20</w:t>
            </w:r>
          </w:p>
        </w:tc>
        <w:tc>
          <w:tcPr>
            <w:tcW w:w="8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0.3</w:t>
            </w:r>
          </w:p>
        </w:tc>
        <w:tc>
          <w:tcPr>
            <w:tcW w:w="93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0.3</w:t>
            </w:r>
          </w:p>
        </w:tc>
        <w:tc>
          <w:tcPr>
            <w:tcW w:w="30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GD2016，疏放水</w:t>
            </w:r>
          </w:p>
        </w:tc>
      </w:tr>
      <w:tr>
        <w:tblPrEx>
          <w:tblLayout w:type="fixed"/>
          <w:tblCellMar>
            <w:top w:w="0" w:type="dxa"/>
            <w:left w:w="108" w:type="dxa"/>
            <w:bottom w:w="0" w:type="dxa"/>
            <w:right w:w="108" w:type="dxa"/>
          </w:tblCellMar>
        </w:tblPrEx>
        <w:trPr>
          <w:cantSplit/>
          <w:trHeight w:val="454" w:hRule="atLeast"/>
        </w:trPr>
        <w:tc>
          <w:tcPr>
            <w:tcW w:w="52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34</w:t>
            </w:r>
          </w:p>
        </w:tc>
        <w:tc>
          <w:tcPr>
            <w:tcW w:w="143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GB/T 14976-2012</w:t>
            </w:r>
          </w:p>
        </w:tc>
        <w:tc>
          <w:tcPr>
            <w:tcW w:w="220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不锈钢无缝钢管</w:t>
            </w:r>
          </w:p>
        </w:tc>
        <w:tc>
          <w:tcPr>
            <w:tcW w:w="277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ascii="Cambria Math" w:hAnsi="Cambria Math" w:cs="Cambria Math"/>
                <w:kern w:val="0"/>
                <w:sz w:val="22"/>
              </w:rPr>
              <w:t>∅</w:t>
            </w:r>
            <w:r>
              <w:rPr>
                <w:rFonts w:cs="Times New Roman"/>
                <w:kern w:val="0"/>
                <w:sz w:val="22"/>
              </w:rPr>
              <w:t>42x5，内外抛光，钝化处理</w:t>
            </w:r>
          </w:p>
        </w:tc>
        <w:tc>
          <w:tcPr>
            <w:tcW w:w="45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50</w:t>
            </w:r>
          </w:p>
        </w:tc>
        <w:tc>
          <w:tcPr>
            <w:tcW w:w="1292"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0Cr18Ni9Ti</w:t>
            </w:r>
          </w:p>
        </w:tc>
        <w:tc>
          <w:tcPr>
            <w:tcW w:w="89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4.6</w:t>
            </w:r>
          </w:p>
        </w:tc>
        <w:tc>
          <w:tcPr>
            <w:tcW w:w="931"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230</w:t>
            </w:r>
          </w:p>
        </w:tc>
        <w:tc>
          <w:tcPr>
            <w:tcW w:w="309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配套油管专用管夹及导轨</w:t>
            </w:r>
          </w:p>
        </w:tc>
      </w:tr>
      <w:tr>
        <w:tblPrEx>
          <w:tblLayout w:type="fixed"/>
          <w:tblCellMar>
            <w:top w:w="0" w:type="dxa"/>
            <w:left w:w="108" w:type="dxa"/>
            <w:bottom w:w="0" w:type="dxa"/>
            <w:right w:w="108" w:type="dxa"/>
          </w:tblCellMar>
        </w:tblPrEx>
        <w:trPr>
          <w:cantSplit/>
          <w:trHeight w:val="454" w:hRule="atLeast"/>
        </w:trPr>
        <w:tc>
          <w:tcPr>
            <w:tcW w:w="52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35</w:t>
            </w:r>
          </w:p>
        </w:tc>
        <w:tc>
          <w:tcPr>
            <w:tcW w:w="143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GB/T 14976-2012</w:t>
            </w:r>
          </w:p>
        </w:tc>
        <w:tc>
          <w:tcPr>
            <w:tcW w:w="220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不锈钢无缝钢管</w:t>
            </w:r>
          </w:p>
        </w:tc>
        <w:tc>
          <w:tcPr>
            <w:tcW w:w="277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ascii="Cambria Math" w:hAnsi="Cambria Math" w:cs="Cambria Math"/>
                <w:kern w:val="0"/>
                <w:sz w:val="22"/>
              </w:rPr>
              <w:t>∅</w:t>
            </w:r>
            <w:r>
              <w:rPr>
                <w:rFonts w:cs="Times New Roman"/>
                <w:kern w:val="0"/>
                <w:sz w:val="22"/>
              </w:rPr>
              <w:t>22x3.5，内外抛光，钝化处理</w:t>
            </w:r>
          </w:p>
        </w:tc>
        <w:tc>
          <w:tcPr>
            <w:tcW w:w="45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m</w:t>
            </w:r>
          </w:p>
        </w:tc>
        <w:tc>
          <w:tcPr>
            <w:tcW w:w="61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100</w:t>
            </w:r>
          </w:p>
        </w:tc>
        <w:tc>
          <w:tcPr>
            <w:tcW w:w="1292"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0Cr18Ni9Ti</w:t>
            </w:r>
          </w:p>
        </w:tc>
        <w:tc>
          <w:tcPr>
            <w:tcW w:w="89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1.6</w:t>
            </w:r>
          </w:p>
        </w:tc>
        <w:tc>
          <w:tcPr>
            <w:tcW w:w="931"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160</w:t>
            </w:r>
          </w:p>
        </w:tc>
        <w:tc>
          <w:tcPr>
            <w:tcW w:w="309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配套油管专用管夹及导轨</w:t>
            </w:r>
          </w:p>
        </w:tc>
      </w:tr>
      <w:tr>
        <w:tblPrEx>
          <w:tblLayout w:type="fixed"/>
          <w:tblCellMar>
            <w:top w:w="0" w:type="dxa"/>
            <w:left w:w="108" w:type="dxa"/>
            <w:bottom w:w="0" w:type="dxa"/>
            <w:right w:w="108" w:type="dxa"/>
          </w:tblCellMar>
        </w:tblPrEx>
        <w:trPr>
          <w:cantSplit/>
          <w:trHeight w:val="454" w:hRule="atLeast"/>
        </w:trPr>
        <w:tc>
          <w:tcPr>
            <w:tcW w:w="52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36</w:t>
            </w:r>
          </w:p>
        </w:tc>
        <w:tc>
          <w:tcPr>
            <w:tcW w:w="143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GB/T 12459-2017</w:t>
            </w:r>
          </w:p>
        </w:tc>
        <w:tc>
          <w:tcPr>
            <w:tcW w:w="220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90°无缝热压弯头</w:t>
            </w:r>
          </w:p>
        </w:tc>
        <w:tc>
          <w:tcPr>
            <w:tcW w:w="277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ascii="Cambria Math" w:hAnsi="Cambria Math" w:cs="Cambria Math"/>
                <w:kern w:val="0"/>
                <w:sz w:val="22"/>
              </w:rPr>
              <w:t>∅</w:t>
            </w:r>
            <w:r>
              <w:rPr>
                <w:rFonts w:cs="Times New Roman"/>
                <w:kern w:val="0"/>
                <w:sz w:val="22"/>
              </w:rPr>
              <w:t>42x5，内外抛光，钝化处理</w:t>
            </w:r>
          </w:p>
        </w:tc>
        <w:tc>
          <w:tcPr>
            <w:tcW w:w="45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20</w:t>
            </w:r>
          </w:p>
        </w:tc>
        <w:tc>
          <w:tcPr>
            <w:tcW w:w="1292"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0Cr18Ni9Ti</w:t>
            </w:r>
          </w:p>
        </w:tc>
        <w:tc>
          <w:tcPr>
            <w:tcW w:w="89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0.4</w:t>
            </w:r>
          </w:p>
        </w:tc>
        <w:tc>
          <w:tcPr>
            <w:tcW w:w="931"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8</w:t>
            </w:r>
          </w:p>
        </w:tc>
        <w:tc>
          <w:tcPr>
            <w:tcW w:w="309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37</w:t>
            </w:r>
          </w:p>
        </w:tc>
        <w:tc>
          <w:tcPr>
            <w:tcW w:w="143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GB/T 12459-2017</w:t>
            </w:r>
          </w:p>
        </w:tc>
        <w:tc>
          <w:tcPr>
            <w:tcW w:w="220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90°无缝热压弯头</w:t>
            </w:r>
          </w:p>
        </w:tc>
        <w:tc>
          <w:tcPr>
            <w:tcW w:w="277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ascii="Cambria Math" w:hAnsi="Cambria Math" w:cs="Cambria Math"/>
                <w:kern w:val="0"/>
                <w:sz w:val="22"/>
              </w:rPr>
              <w:t>∅</w:t>
            </w:r>
            <w:r>
              <w:rPr>
                <w:rFonts w:cs="Times New Roman"/>
                <w:kern w:val="0"/>
                <w:sz w:val="22"/>
              </w:rPr>
              <w:t>22x3.5，内外抛光，钝化处理</w:t>
            </w:r>
          </w:p>
        </w:tc>
        <w:tc>
          <w:tcPr>
            <w:tcW w:w="45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50</w:t>
            </w:r>
          </w:p>
        </w:tc>
        <w:tc>
          <w:tcPr>
            <w:tcW w:w="1292"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0Cr18Ni9Ti</w:t>
            </w:r>
          </w:p>
        </w:tc>
        <w:tc>
          <w:tcPr>
            <w:tcW w:w="89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0.1</w:t>
            </w:r>
          </w:p>
        </w:tc>
        <w:tc>
          <w:tcPr>
            <w:tcW w:w="931"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5</w:t>
            </w:r>
          </w:p>
        </w:tc>
        <w:tc>
          <w:tcPr>
            <w:tcW w:w="309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38</w:t>
            </w:r>
          </w:p>
        </w:tc>
        <w:tc>
          <w:tcPr>
            <w:tcW w:w="143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　</w:t>
            </w:r>
          </w:p>
        </w:tc>
        <w:tc>
          <w:tcPr>
            <w:tcW w:w="220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标准重型塑料管夹</w:t>
            </w:r>
          </w:p>
        </w:tc>
        <w:tc>
          <w:tcPr>
            <w:tcW w:w="277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ascii="Cambria Math" w:hAnsi="Cambria Math" w:cs="Cambria Math"/>
                <w:kern w:val="0"/>
                <w:sz w:val="22"/>
              </w:rPr>
              <w:t>∅</w:t>
            </w:r>
            <w:r>
              <w:rPr>
                <w:rFonts w:cs="Times New Roman"/>
                <w:kern w:val="0"/>
                <w:sz w:val="22"/>
              </w:rPr>
              <w:t>42x5</w:t>
            </w:r>
          </w:p>
        </w:tc>
        <w:tc>
          <w:tcPr>
            <w:tcW w:w="45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20</w:t>
            </w:r>
          </w:p>
        </w:tc>
        <w:tc>
          <w:tcPr>
            <w:tcW w:w="1292"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组合件</w:t>
            </w:r>
          </w:p>
        </w:tc>
        <w:tc>
          <w:tcPr>
            <w:tcW w:w="89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w:t>
            </w:r>
          </w:p>
        </w:tc>
        <w:tc>
          <w:tcPr>
            <w:tcW w:w="931"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w:t>
            </w:r>
          </w:p>
        </w:tc>
        <w:tc>
          <w:tcPr>
            <w:tcW w:w="309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　</w:t>
            </w:r>
          </w:p>
        </w:tc>
      </w:tr>
      <w:tr>
        <w:tblPrEx>
          <w:tblLayout w:type="fixed"/>
          <w:tblCellMar>
            <w:top w:w="0" w:type="dxa"/>
            <w:left w:w="108" w:type="dxa"/>
            <w:bottom w:w="0" w:type="dxa"/>
            <w:right w:w="108" w:type="dxa"/>
          </w:tblCellMar>
        </w:tblPrEx>
        <w:trPr>
          <w:cantSplit/>
          <w:trHeight w:val="454" w:hRule="atLeast"/>
        </w:trPr>
        <w:tc>
          <w:tcPr>
            <w:tcW w:w="52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39</w:t>
            </w:r>
          </w:p>
        </w:tc>
        <w:tc>
          <w:tcPr>
            <w:tcW w:w="143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　</w:t>
            </w:r>
          </w:p>
        </w:tc>
        <w:tc>
          <w:tcPr>
            <w:tcW w:w="220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标准重型塑料管夹</w:t>
            </w:r>
          </w:p>
        </w:tc>
        <w:tc>
          <w:tcPr>
            <w:tcW w:w="277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ascii="Cambria Math" w:hAnsi="Cambria Math" w:cs="Cambria Math"/>
                <w:kern w:val="0"/>
                <w:sz w:val="22"/>
              </w:rPr>
              <w:t>∅</w:t>
            </w:r>
            <w:r>
              <w:rPr>
                <w:rFonts w:cs="Times New Roman"/>
                <w:kern w:val="0"/>
                <w:sz w:val="22"/>
              </w:rPr>
              <w:t>22x3.5</w:t>
            </w:r>
          </w:p>
        </w:tc>
        <w:tc>
          <w:tcPr>
            <w:tcW w:w="45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件</w:t>
            </w:r>
          </w:p>
        </w:tc>
        <w:tc>
          <w:tcPr>
            <w:tcW w:w="61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50</w:t>
            </w:r>
          </w:p>
        </w:tc>
        <w:tc>
          <w:tcPr>
            <w:tcW w:w="1292"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组合件</w:t>
            </w:r>
          </w:p>
        </w:tc>
        <w:tc>
          <w:tcPr>
            <w:tcW w:w="89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w:t>
            </w:r>
          </w:p>
        </w:tc>
        <w:tc>
          <w:tcPr>
            <w:tcW w:w="931"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w:t>
            </w:r>
          </w:p>
        </w:tc>
        <w:tc>
          <w:tcPr>
            <w:tcW w:w="309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kern w:val="0"/>
                <w:sz w:val="22"/>
              </w:rPr>
            </w:pPr>
            <w:r>
              <w:rPr>
                <w:rFonts w:cs="Times New Roman"/>
                <w:kern w:val="0"/>
                <w:sz w:val="22"/>
              </w:rPr>
              <w:t>　</w:t>
            </w:r>
          </w:p>
        </w:tc>
      </w:tr>
    </w:tbl>
    <w:p>
      <w:pPr>
        <w:pStyle w:val="4"/>
        <w:numPr>
          <w:ilvl w:val="2"/>
          <w:numId w:val="3"/>
        </w:numPr>
        <w:tabs>
          <w:tab w:val="left" w:pos="360"/>
        </w:tabs>
        <w:snapToGrid/>
        <w:rPr>
          <w:rFonts w:eastAsiaTheme="minorEastAsia"/>
        </w:rPr>
        <w:sectPr>
          <w:headerReference r:id="rId7" w:type="default"/>
          <w:footerReference r:id="rId8" w:type="default"/>
          <w:pgSz w:w="16838" w:h="11906" w:orient="landscape"/>
          <w:pgMar w:top="1474" w:right="1418" w:bottom="1134" w:left="1418" w:header="567" w:footer="567" w:gutter="0"/>
          <w:cols w:space="425" w:num="1"/>
          <w:docGrid w:type="lines" w:linePitch="326" w:charSpace="0"/>
        </w:sectPr>
      </w:pPr>
    </w:p>
    <w:p>
      <w:pPr>
        <w:pStyle w:val="4"/>
        <w:numPr>
          <w:ilvl w:val="2"/>
          <w:numId w:val="3"/>
        </w:numPr>
        <w:tabs>
          <w:tab w:val="left" w:pos="360"/>
        </w:tabs>
        <w:snapToGrid/>
        <w:rPr>
          <w:rFonts w:eastAsiaTheme="minorEastAsia"/>
        </w:rPr>
      </w:pPr>
      <w:r>
        <w:rPr>
          <w:rFonts w:eastAsiaTheme="minorEastAsia"/>
        </w:rPr>
        <w:t>机务管道支吊架</w:t>
      </w:r>
    </w:p>
    <w:tbl>
      <w:tblPr>
        <w:tblStyle w:val="35"/>
        <w:tblW w:w="14820" w:type="dxa"/>
        <w:tblInd w:w="93" w:type="dxa"/>
        <w:tblLayout w:type="fixed"/>
        <w:tblCellMar>
          <w:top w:w="0" w:type="dxa"/>
          <w:left w:w="108" w:type="dxa"/>
          <w:bottom w:w="0" w:type="dxa"/>
          <w:right w:w="108" w:type="dxa"/>
        </w:tblCellMar>
      </w:tblPr>
      <w:tblGrid>
        <w:gridCol w:w="1146"/>
        <w:gridCol w:w="1387"/>
        <w:gridCol w:w="579"/>
        <w:gridCol w:w="2480"/>
        <w:gridCol w:w="2950"/>
        <w:gridCol w:w="620"/>
        <w:gridCol w:w="1880"/>
        <w:gridCol w:w="946"/>
        <w:gridCol w:w="940"/>
        <w:gridCol w:w="1892"/>
      </w:tblGrid>
      <w:tr>
        <w:tblPrEx>
          <w:tblLayout w:type="fixed"/>
          <w:tblCellMar>
            <w:top w:w="0" w:type="dxa"/>
            <w:left w:w="108" w:type="dxa"/>
            <w:bottom w:w="0" w:type="dxa"/>
            <w:right w:w="108" w:type="dxa"/>
          </w:tblCellMar>
        </w:tblPrEx>
        <w:trPr>
          <w:cantSplit/>
          <w:trHeight w:val="499" w:hRule="atLeast"/>
          <w:tblHeader/>
        </w:trPr>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编号</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吊点号</w:t>
            </w:r>
          </w:p>
        </w:tc>
        <w:tc>
          <w:tcPr>
            <w:tcW w:w="57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序号</w:t>
            </w:r>
          </w:p>
        </w:tc>
        <w:tc>
          <w:tcPr>
            <w:tcW w:w="24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型号</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名称</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数量</w:t>
            </w:r>
          </w:p>
        </w:tc>
        <w:tc>
          <w:tcPr>
            <w:tcW w:w="18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材料</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单重</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总重</w:t>
            </w:r>
          </w:p>
        </w:tc>
        <w:tc>
          <w:tcPr>
            <w:tcW w:w="18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备注</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1387"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101号滑动支架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700x700x16</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钢板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61.544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61.544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600" w:hRule="atLeast"/>
        </w:trPr>
        <w:tc>
          <w:tcPr>
            <w:tcW w:w="1146" w:type="dxa"/>
            <w:vMerge w:val="continue"/>
            <w:tcBorders>
              <w:top w:val="nil"/>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109221219F</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夹式管夹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442.1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442.1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Φ1220，带聚四氟乙烯板</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1387"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102号固定支架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700x700x16</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钢板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61.544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61.544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315" w:hRule="atLeast"/>
        </w:trPr>
        <w:tc>
          <w:tcPr>
            <w:tcW w:w="1146" w:type="dxa"/>
            <w:vMerge w:val="continue"/>
            <w:tcBorders>
              <w:top w:val="single" w:color="auto" w:sz="4" w:space="0"/>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109221219</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夹式管夹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442.1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442.1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w:t>
            </w:r>
          </w:p>
        </w:tc>
        <w:tc>
          <w:tcPr>
            <w:tcW w:w="1387"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103号滑动支架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700x700x16</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钢板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61.544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61.544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600" w:hRule="atLeast"/>
        </w:trPr>
        <w:tc>
          <w:tcPr>
            <w:tcW w:w="1146" w:type="dxa"/>
            <w:vMerge w:val="continue"/>
            <w:tcBorders>
              <w:top w:val="single" w:color="auto" w:sz="4" w:space="0"/>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109221219F</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夹式管夹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442.1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442.1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Φ1220，带聚四氟乙烯板</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w:t>
            </w:r>
          </w:p>
        </w:tc>
        <w:tc>
          <w:tcPr>
            <w:tcW w:w="1387"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104号滑动支架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700x700x16</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钢板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61.544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61.544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600" w:hRule="atLeast"/>
        </w:trPr>
        <w:tc>
          <w:tcPr>
            <w:tcW w:w="1146" w:type="dxa"/>
            <w:vMerge w:val="continue"/>
            <w:tcBorders>
              <w:top w:val="single" w:color="auto" w:sz="4" w:space="0"/>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109221219F</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夹式管夹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442.1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442.1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Φ1220，带聚四氟乙烯板</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5</w:t>
            </w:r>
          </w:p>
        </w:tc>
        <w:tc>
          <w:tcPr>
            <w:tcW w:w="13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201号单拉杆刚性吊架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102220457</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三孔管夹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48.23</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48.23</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Φ457</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3010601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吊环螺母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0.81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0.81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3090601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六角螺母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5</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Q235A</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0.112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0.56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M24</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3050699(250)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左右拉杆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0.9</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0.9</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5</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3030601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螺旋扣</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3060699(1980)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7.029</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7.029</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L=1980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7</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3040601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连接螺母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0.41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0.41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8</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3060615(2500)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8.875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8.875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L=2500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9</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80571022(400/1980)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双钢梁底_底悬臂梁(双槽钢)</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组件</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48.674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48.674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10</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4070601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单孔垫板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3120601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球锥垫圈</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45</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3100601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六角薄螺母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Q235A</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0.055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0.055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w:t>
            </w:r>
          </w:p>
        </w:tc>
        <w:tc>
          <w:tcPr>
            <w:tcW w:w="138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202号双拉杆刚性吊架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105220457</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立管管夹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125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125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Φ457</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3010501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吊环螺母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0.58</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3090501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六角螺母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Q235A</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0.062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0.62</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M20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3050599(230)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左右拉杆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0.58</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5</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3030501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螺旋扣</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0.75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3060599(1060)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2.608</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5.216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L=1060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7</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3040501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连接螺母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0.23</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0.46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8</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3060514(2000)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4.92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9.84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L=2000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9</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82571021(700/1600)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双钢底_底简支架(双槽钢)</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组件</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34.302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68.604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10</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4070501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单孔垫板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2.8</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3120501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球锥垫圈</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45</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0.062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0.124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3100501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六角薄螺母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Q235A</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0.034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0.068</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7</w:t>
            </w:r>
          </w:p>
        </w:tc>
        <w:tc>
          <w:tcPr>
            <w:tcW w:w="138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203号单拉杆刚性吊架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102220457</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三孔管夹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48.23</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48.23</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Φ457</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3010601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吊环螺母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0.81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0.81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3090601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六角螺母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5</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Q235A</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0.112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0.56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M24</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3050699(250)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左右拉杆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0.9</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0.9</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5</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3030601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螺旋扣</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3060699(1980)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7.029</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7.029</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L=1980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7</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3040601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连接螺母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0.41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0.41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8</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3060615(2500)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8.875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8.875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L=2500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9</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80571022(400/1980)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双钢梁底_底悬臂梁(双槽钢)</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组件</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48.674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48.674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10</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4070601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单孔垫板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3120601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球锥垫圈</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45</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0.1</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3100601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六角薄螺母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Q235A</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0.055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0.055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8</w:t>
            </w:r>
          </w:p>
        </w:tc>
        <w:tc>
          <w:tcPr>
            <w:tcW w:w="138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204号双拉杆刚性吊架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105220457</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立管管夹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125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125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Φ457</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3010501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吊环螺母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0.58</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3090501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六角螺母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Q235A</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0.062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0.62</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M20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3050599(230)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左右拉杆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0.58</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5</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3030501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螺旋扣</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0.75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3060599(1060)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2.608</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5.216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L=1060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7</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3040501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连接螺母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0.23</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0.46</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8</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3060514(2000)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双右拉杆</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4.92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9.84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L=2000</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9</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82571021(700/1600)</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双钢底_底简支架(双槽钢)</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组件</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34.302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68.604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10</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4070501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单孔垫板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2.8</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3120501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球锥垫圈</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45</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0.062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0.124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3100501</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六角薄螺母</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2</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Q235A</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0.034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0.068</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9</w:t>
            </w:r>
          </w:p>
        </w:tc>
        <w:tc>
          <w:tcPr>
            <w:tcW w:w="1387"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301号滑动支架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450x450x12</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钢板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19.075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19.075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600" w:hRule="atLeast"/>
        </w:trPr>
        <w:tc>
          <w:tcPr>
            <w:tcW w:w="1146" w:type="dxa"/>
            <w:vMerge w:val="continue"/>
            <w:tcBorders>
              <w:top w:val="nil"/>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nil"/>
              <w:left w:val="single" w:color="auto" w:sz="4" w:space="0"/>
              <w:bottom w:val="nil"/>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109220377F</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夹式管夹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50.4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50.4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Φ377，带聚四氟乙烯板</w:t>
            </w:r>
          </w:p>
        </w:tc>
      </w:tr>
      <w:tr>
        <w:tblPrEx>
          <w:tblLayout w:type="fixed"/>
          <w:tblCellMar>
            <w:top w:w="0" w:type="dxa"/>
            <w:left w:w="108" w:type="dxa"/>
            <w:bottom w:w="0" w:type="dxa"/>
            <w:right w:w="108" w:type="dxa"/>
          </w:tblCellMar>
        </w:tblPrEx>
        <w:trPr>
          <w:cantSplit/>
          <w:trHeight w:val="402" w:hRule="atLeast"/>
        </w:trPr>
        <w:tc>
          <w:tcPr>
            <w:tcW w:w="1146"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10</w:t>
            </w:r>
          </w:p>
        </w:tc>
        <w:tc>
          <w:tcPr>
            <w:tcW w:w="1387"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302号滑动支架</w:t>
            </w: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450x450x12</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钢板</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Q235-B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19.075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19.075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600" w:hRule="atLeast"/>
        </w:trPr>
        <w:tc>
          <w:tcPr>
            <w:tcW w:w="11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cs="Times New Roman"/>
                <w:kern w:val="0"/>
                <w:szCs w:val="24"/>
              </w:rPr>
            </w:pPr>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109220457F</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夹式管夹</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1</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Cs w:val="24"/>
              </w:rPr>
            </w:pPr>
            <w:r>
              <w:rPr>
                <w:rFonts w:cs="Times New Roman"/>
                <w:kern w:val="0"/>
                <w:szCs w:val="24"/>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79.45</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79.45</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Φ457，带聚四氟乙烯板</w:t>
            </w:r>
          </w:p>
        </w:tc>
      </w:tr>
      <w:tr>
        <w:tblPrEx>
          <w:tblLayout w:type="fixed"/>
          <w:tblCellMar>
            <w:top w:w="0" w:type="dxa"/>
            <w:left w:w="108" w:type="dxa"/>
            <w:bottom w:w="0" w:type="dxa"/>
            <w:right w:w="108" w:type="dxa"/>
          </w:tblCellMar>
        </w:tblPrEx>
        <w:trPr>
          <w:cantSplit/>
          <w:trHeight w:val="315" w:hRule="atLeast"/>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11</w:t>
            </w:r>
          </w:p>
        </w:tc>
        <w:tc>
          <w:tcPr>
            <w:tcW w:w="1387"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p>
          <w:p>
            <w:pPr>
              <w:widowControl/>
              <w:spacing w:line="240" w:lineRule="auto"/>
              <w:jc w:val="center"/>
              <w:rPr>
                <w:rFonts w:cs="Times New Roman"/>
                <w:kern w:val="0"/>
                <w:szCs w:val="24"/>
              </w:rPr>
            </w:pPr>
          </w:p>
          <w:p>
            <w:pPr>
              <w:widowControl/>
              <w:spacing w:line="240" w:lineRule="auto"/>
              <w:jc w:val="center"/>
              <w:rPr>
                <w:rFonts w:cs="Times New Roman"/>
                <w:kern w:val="0"/>
                <w:szCs w:val="24"/>
              </w:rPr>
            </w:pPr>
          </w:p>
          <w:p>
            <w:pPr>
              <w:widowControl/>
              <w:spacing w:line="240" w:lineRule="auto"/>
              <w:jc w:val="center"/>
              <w:rPr>
                <w:rFonts w:cs="Times New Roman"/>
                <w:kern w:val="0"/>
                <w:szCs w:val="24"/>
              </w:rPr>
            </w:pPr>
            <w:r>
              <w:rPr>
                <w:rFonts w:cs="Times New Roman"/>
                <w:kern w:val="0"/>
                <w:szCs w:val="24"/>
              </w:rPr>
              <w:t>小管道支吊架用</w:t>
            </w:r>
          </w:p>
          <w:p>
            <w:pPr>
              <w:widowControl/>
              <w:spacing w:line="240" w:lineRule="auto"/>
              <w:jc w:val="center"/>
              <w:rPr>
                <w:rFonts w:cs="Times New Roman"/>
                <w:kern w:val="0"/>
                <w:szCs w:val="24"/>
              </w:rPr>
            </w:pPr>
          </w:p>
          <w:p>
            <w:pPr>
              <w:widowControl/>
              <w:spacing w:line="240" w:lineRule="auto"/>
              <w:jc w:val="center"/>
              <w:rPr>
                <w:rFonts w:cs="Times New Roman"/>
                <w:kern w:val="0"/>
                <w:szCs w:val="24"/>
              </w:rPr>
            </w:pPr>
          </w:p>
          <w:p>
            <w:pPr>
              <w:spacing w:line="240" w:lineRule="auto"/>
              <w:jc w:val="center"/>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1</w:t>
            </w:r>
          </w:p>
        </w:tc>
        <w:tc>
          <w:tcPr>
            <w:tcW w:w="24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 w:val="22"/>
              </w:rPr>
            </w:pPr>
            <w:r>
              <w:rPr>
                <w:rFonts w:cs="Times New Roman"/>
                <w:kern w:val="0"/>
                <w:sz w:val="22"/>
              </w:rPr>
              <w:t>111210089</w:t>
            </w:r>
          </w:p>
        </w:tc>
        <w:tc>
          <w:tcPr>
            <w:tcW w:w="29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 w:val="22"/>
              </w:rPr>
            </w:pPr>
            <w:r>
              <w:rPr>
                <w:rFonts w:cs="Times New Roman"/>
                <w:kern w:val="0"/>
                <w:sz w:val="22"/>
              </w:rPr>
              <w:t>夹式滑动支座</w:t>
            </w:r>
          </w:p>
        </w:tc>
        <w:tc>
          <w:tcPr>
            <w:tcW w:w="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 w:val="22"/>
              </w:rPr>
            </w:pPr>
            <w:r>
              <w:rPr>
                <w:rFonts w:cs="Times New Roman"/>
                <w:kern w:val="0"/>
                <w:sz w:val="22"/>
              </w:rPr>
              <w:t>10</w:t>
            </w:r>
          </w:p>
        </w:tc>
        <w:tc>
          <w:tcPr>
            <w:tcW w:w="18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Times New Roman"/>
                <w:kern w:val="0"/>
                <w:sz w:val="22"/>
              </w:rPr>
            </w:pPr>
            <w:r>
              <w:rPr>
                <w:rFonts w:cs="Times New Roman"/>
                <w:kern w:val="0"/>
                <w:sz w:val="22"/>
              </w:rPr>
              <w:t>Q345B</w:t>
            </w:r>
          </w:p>
        </w:tc>
        <w:tc>
          <w:tcPr>
            <w:tcW w:w="94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4.41</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 w:val="22"/>
              </w:rPr>
            </w:pPr>
            <w:r>
              <w:rPr>
                <w:rFonts w:cs="Times New Roman"/>
                <w:kern w:val="0"/>
                <w:sz w:val="22"/>
              </w:rPr>
              <w:t>44.1</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1387"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2</w:t>
            </w:r>
          </w:p>
        </w:tc>
        <w:tc>
          <w:tcPr>
            <w:tcW w:w="24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111210076</w:t>
            </w:r>
          </w:p>
        </w:tc>
        <w:tc>
          <w:tcPr>
            <w:tcW w:w="295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夹式滑动支座</w:t>
            </w:r>
          </w:p>
        </w:tc>
        <w:tc>
          <w:tcPr>
            <w:tcW w:w="62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10</w:t>
            </w:r>
          </w:p>
        </w:tc>
        <w:tc>
          <w:tcPr>
            <w:tcW w:w="18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Q345B</w:t>
            </w:r>
          </w:p>
        </w:tc>
        <w:tc>
          <w:tcPr>
            <w:tcW w:w="94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5.67</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56.7</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1387"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3</w:t>
            </w:r>
          </w:p>
        </w:tc>
        <w:tc>
          <w:tcPr>
            <w:tcW w:w="24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111210042</w:t>
            </w:r>
          </w:p>
        </w:tc>
        <w:tc>
          <w:tcPr>
            <w:tcW w:w="295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夹式滑动支座</w:t>
            </w:r>
          </w:p>
        </w:tc>
        <w:tc>
          <w:tcPr>
            <w:tcW w:w="62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10</w:t>
            </w:r>
          </w:p>
        </w:tc>
        <w:tc>
          <w:tcPr>
            <w:tcW w:w="18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Q345B</w:t>
            </w:r>
          </w:p>
        </w:tc>
        <w:tc>
          <w:tcPr>
            <w:tcW w:w="94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4.24</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42.4</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1387"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4</w:t>
            </w:r>
          </w:p>
        </w:tc>
        <w:tc>
          <w:tcPr>
            <w:tcW w:w="24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118150089</w:t>
            </w:r>
          </w:p>
        </w:tc>
        <w:tc>
          <w:tcPr>
            <w:tcW w:w="295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短管卡</w:t>
            </w:r>
          </w:p>
        </w:tc>
        <w:tc>
          <w:tcPr>
            <w:tcW w:w="62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30</w:t>
            </w:r>
          </w:p>
        </w:tc>
        <w:tc>
          <w:tcPr>
            <w:tcW w:w="18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Q345B</w:t>
            </w:r>
          </w:p>
        </w:tc>
        <w:tc>
          <w:tcPr>
            <w:tcW w:w="94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0.3</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1387"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5</w:t>
            </w:r>
          </w:p>
        </w:tc>
        <w:tc>
          <w:tcPr>
            <w:tcW w:w="24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118150076</w:t>
            </w:r>
          </w:p>
        </w:tc>
        <w:tc>
          <w:tcPr>
            <w:tcW w:w="295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短管卡</w:t>
            </w:r>
          </w:p>
        </w:tc>
        <w:tc>
          <w:tcPr>
            <w:tcW w:w="62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30</w:t>
            </w:r>
          </w:p>
        </w:tc>
        <w:tc>
          <w:tcPr>
            <w:tcW w:w="18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Q345B</w:t>
            </w:r>
          </w:p>
        </w:tc>
        <w:tc>
          <w:tcPr>
            <w:tcW w:w="94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0.3</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9</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1387"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6</w:t>
            </w:r>
          </w:p>
        </w:tc>
        <w:tc>
          <w:tcPr>
            <w:tcW w:w="24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118150042</w:t>
            </w:r>
          </w:p>
        </w:tc>
        <w:tc>
          <w:tcPr>
            <w:tcW w:w="295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短管卡</w:t>
            </w:r>
          </w:p>
        </w:tc>
        <w:tc>
          <w:tcPr>
            <w:tcW w:w="62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50</w:t>
            </w:r>
          </w:p>
        </w:tc>
        <w:tc>
          <w:tcPr>
            <w:tcW w:w="18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Q345B</w:t>
            </w:r>
          </w:p>
        </w:tc>
        <w:tc>
          <w:tcPr>
            <w:tcW w:w="94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0.2</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10</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r>
        <w:tblPrEx>
          <w:tblLayout w:type="fixed"/>
          <w:tblCellMar>
            <w:top w:w="0" w:type="dxa"/>
            <w:left w:w="108" w:type="dxa"/>
            <w:bottom w:w="0" w:type="dxa"/>
            <w:right w:w="108" w:type="dxa"/>
          </w:tblCellMar>
        </w:tblPrEx>
        <w:trPr>
          <w:cantSplit/>
          <w:trHeight w:val="402" w:hRule="atLeast"/>
        </w:trPr>
        <w:tc>
          <w:tcPr>
            <w:tcW w:w="11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1387"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Times New Roman"/>
                <w:kern w:val="0"/>
                <w:szCs w:val="24"/>
              </w:rPr>
            </w:pPr>
          </w:p>
        </w:tc>
        <w:tc>
          <w:tcPr>
            <w:tcW w:w="57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7</w:t>
            </w:r>
          </w:p>
        </w:tc>
        <w:tc>
          <w:tcPr>
            <w:tcW w:w="24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[10</w:t>
            </w:r>
          </w:p>
        </w:tc>
        <w:tc>
          <w:tcPr>
            <w:tcW w:w="295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槽钢</w:t>
            </w:r>
          </w:p>
        </w:tc>
        <w:tc>
          <w:tcPr>
            <w:tcW w:w="62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50</w:t>
            </w:r>
          </w:p>
        </w:tc>
        <w:tc>
          <w:tcPr>
            <w:tcW w:w="188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Q235B</w:t>
            </w:r>
          </w:p>
        </w:tc>
        <w:tc>
          <w:tcPr>
            <w:tcW w:w="94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10</w:t>
            </w:r>
          </w:p>
        </w:tc>
        <w:tc>
          <w:tcPr>
            <w:tcW w:w="94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Times New Roman"/>
                <w:kern w:val="0"/>
                <w:sz w:val="22"/>
              </w:rPr>
            </w:pPr>
            <w:r>
              <w:rPr>
                <w:rFonts w:cs="Times New Roman"/>
                <w:kern w:val="0"/>
                <w:sz w:val="22"/>
              </w:rPr>
              <w:t>500</w:t>
            </w:r>
          </w:p>
        </w:tc>
        <w:tc>
          <w:tcPr>
            <w:tcW w:w="18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Times New Roman"/>
                <w:kern w:val="0"/>
                <w:szCs w:val="24"/>
              </w:rPr>
            </w:pPr>
            <w:r>
              <w:rPr>
                <w:rFonts w:cs="Times New Roman"/>
                <w:kern w:val="0"/>
                <w:szCs w:val="24"/>
              </w:rPr>
              <w:t>　</w:t>
            </w:r>
          </w:p>
        </w:tc>
      </w:tr>
    </w:tbl>
    <w:p>
      <w:pPr>
        <w:rPr>
          <w:rFonts w:cs="Times New Roman"/>
        </w:rPr>
      </w:pPr>
    </w:p>
    <w:p>
      <w:pPr>
        <w:ind w:firstLine="424" w:firstLineChars="177"/>
        <w:rPr>
          <w:rFonts w:cs="Times New Roman"/>
        </w:rPr>
      </w:pPr>
    </w:p>
    <w:p>
      <w:pPr>
        <w:rPr>
          <w:rFonts w:cs="Times New Roman"/>
        </w:rPr>
        <w:sectPr>
          <w:headerReference r:id="rId9" w:type="default"/>
          <w:footerReference r:id="rId10" w:type="default"/>
          <w:pgSz w:w="16838" w:h="11906" w:orient="landscape"/>
          <w:pgMar w:top="1474" w:right="1418" w:bottom="1134" w:left="1418" w:header="567" w:footer="567" w:gutter="0"/>
          <w:cols w:space="425" w:num="1"/>
          <w:docGrid w:type="lines" w:linePitch="326" w:charSpace="0"/>
        </w:sectPr>
      </w:pPr>
    </w:p>
    <w:p>
      <w:pPr>
        <w:pStyle w:val="4"/>
        <w:numPr>
          <w:ilvl w:val="2"/>
          <w:numId w:val="3"/>
        </w:numPr>
        <w:tabs>
          <w:tab w:val="left" w:pos="360"/>
        </w:tabs>
        <w:snapToGrid/>
        <w:rPr>
          <w:rFonts w:eastAsiaTheme="minorEastAsia"/>
        </w:rPr>
      </w:pPr>
      <w:r>
        <w:t>仪表部分</w:t>
      </w:r>
    </w:p>
    <w:p>
      <w:pPr>
        <w:widowControl/>
        <w:spacing w:line="240" w:lineRule="auto"/>
        <w:jc w:val="center"/>
        <w:textAlignment w:val="center"/>
        <w:rPr>
          <w:rFonts w:cs="Times New Roman" w:eastAsiaTheme="minorEastAsia"/>
        </w:rPr>
      </w:pPr>
    </w:p>
    <w:p>
      <w:pPr>
        <w:pStyle w:val="4"/>
        <w:numPr>
          <w:ilvl w:val="2"/>
          <w:numId w:val="3"/>
        </w:numPr>
        <w:tabs>
          <w:tab w:val="left" w:pos="360"/>
        </w:tabs>
        <w:snapToGrid/>
        <w:rPr>
          <w:rFonts w:eastAsiaTheme="minorEastAsia"/>
        </w:rPr>
      </w:pPr>
      <w:r>
        <w:t>仪表阀门及附件</w:t>
      </w:r>
    </w:p>
    <w:p>
      <w:pPr>
        <w:ind w:firstLine="424" w:firstLineChars="177"/>
        <w:rPr>
          <w:rFonts w:cs="Times New Roman" w:eastAsiaTheme="minorEastAsia"/>
        </w:rPr>
      </w:pPr>
    </w:p>
    <w:p>
      <w:pPr>
        <w:pStyle w:val="4"/>
        <w:numPr>
          <w:ilvl w:val="2"/>
          <w:numId w:val="3"/>
        </w:numPr>
        <w:tabs>
          <w:tab w:val="left" w:pos="360"/>
        </w:tabs>
        <w:snapToGrid/>
        <w:rPr>
          <w:rFonts w:eastAsiaTheme="minorEastAsia"/>
        </w:rPr>
      </w:pPr>
      <w:r>
        <w:t>DCS</w:t>
      </w:r>
      <w:r>
        <w:rPr>
          <w:rFonts w:eastAsiaTheme="minorEastAsia"/>
        </w:rPr>
        <w:t>部分</w:t>
      </w:r>
    </w:p>
    <w:p>
      <w:pPr>
        <w:ind w:firstLine="424" w:firstLineChars="177"/>
        <w:rPr>
          <w:rFonts w:cs="Times New Roman" w:eastAsiaTheme="minorEastAsia"/>
        </w:rPr>
      </w:pPr>
      <w:bookmarkStart w:id="19" w:name="_Toc161505604"/>
    </w:p>
    <w:p>
      <w:pPr>
        <w:ind w:firstLine="424" w:firstLineChars="177"/>
        <w:rPr>
          <w:rFonts w:cs="Times New Roman"/>
        </w:rPr>
        <w:sectPr>
          <w:headerReference r:id="rId11" w:type="default"/>
          <w:pgSz w:w="16838" w:h="11906" w:orient="landscape"/>
          <w:pgMar w:top="1418" w:right="1474" w:bottom="1418" w:left="1134" w:header="567" w:footer="567" w:gutter="0"/>
          <w:cols w:space="425" w:num="1"/>
          <w:docGrid w:type="lines" w:linePitch="326" w:charSpace="0"/>
        </w:sectPr>
      </w:pPr>
    </w:p>
    <w:p>
      <w:pPr>
        <w:pStyle w:val="2"/>
        <w:keepNext/>
        <w:keepLines/>
        <w:numPr>
          <w:ilvl w:val="0"/>
          <w:numId w:val="3"/>
        </w:numPr>
        <w:tabs>
          <w:tab w:val="left" w:pos="360"/>
        </w:tabs>
        <w:adjustRightInd w:val="0"/>
        <w:spacing w:before="120" w:beforeLines="50"/>
        <w:textAlignment w:val="baseline"/>
      </w:pPr>
      <w:r>
        <w:t>标准及规范</w:t>
      </w:r>
      <w:bookmarkEnd w:id="19"/>
    </w:p>
    <w:p>
      <w:pPr>
        <w:spacing w:line="420" w:lineRule="auto"/>
        <w:ind w:firstLine="480"/>
        <w:rPr>
          <w:rFonts w:cs="Times New Roman"/>
        </w:rPr>
      </w:pPr>
      <w:r>
        <w:rPr>
          <w:rFonts w:cs="Times New Roman"/>
        </w:rPr>
        <w:t>供方应采取有效措施，保证产品符合本技术协议及有关标准、规范的要求，有关技术标准如下（不限于此，同时采用最新版本的相应标准）：</w:t>
      </w:r>
    </w:p>
    <w:p>
      <w:pPr>
        <w:spacing w:line="420" w:lineRule="auto"/>
        <w:ind w:left="480" w:leftChars="200"/>
        <w:jc w:val="left"/>
        <w:rPr>
          <w:rFonts w:cs="Times New Roman"/>
        </w:rPr>
      </w:pPr>
      <w:r>
        <w:rPr>
          <w:rFonts w:cs="Times New Roman"/>
        </w:rPr>
        <w:t>GB 713-2014《锅炉和压力容器用钢板》</w:t>
      </w:r>
    </w:p>
    <w:p>
      <w:pPr>
        <w:spacing w:line="420" w:lineRule="auto"/>
        <w:ind w:left="480" w:leftChars="200"/>
        <w:jc w:val="left"/>
        <w:rPr>
          <w:rFonts w:cs="Times New Roman"/>
        </w:rPr>
      </w:pPr>
      <w:r>
        <w:rPr>
          <w:rFonts w:cs="Times New Roman"/>
        </w:rPr>
        <w:t>GB 3087-2008《低中压锅炉用无缝钢管》</w:t>
      </w:r>
    </w:p>
    <w:p>
      <w:pPr>
        <w:spacing w:line="420" w:lineRule="auto"/>
        <w:ind w:left="480" w:leftChars="200"/>
        <w:jc w:val="left"/>
        <w:rPr>
          <w:rFonts w:cs="Times New Roman"/>
        </w:rPr>
      </w:pPr>
      <w:r>
        <w:rPr>
          <w:rFonts w:cs="Times New Roman"/>
        </w:rPr>
        <w:t>GB/T 17395-2008《无缝钢管尺寸、外形、重量及允许偏差》</w:t>
      </w:r>
    </w:p>
    <w:p>
      <w:pPr>
        <w:spacing w:line="420" w:lineRule="auto"/>
        <w:ind w:left="480" w:leftChars="200"/>
        <w:jc w:val="left"/>
        <w:rPr>
          <w:rFonts w:cs="Times New Roman"/>
        </w:rPr>
      </w:pPr>
      <w:r>
        <w:rPr>
          <w:rFonts w:cs="Times New Roman"/>
        </w:rPr>
        <w:t>GB/T 12459-2017《钢制对焊管件类型与参数》</w:t>
      </w:r>
    </w:p>
    <w:p>
      <w:pPr>
        <w:spacing w:line="420" w:lineRule="auto"/>
        <w:ind w:left="480" w:leftChars="200"/>
        <w:jc w:val="left"/>
        <w:rPr>
          <w:rFonts w:cs="Times New Roman"/>
        </w:rPr>
      </w:pPr>
      <w:r>
        <w:rPr>
          <w:rFonts w:cs="Times New Roman"/>
        </w:rPr>
        <w:t>GB/T 5777-2008《无缝钢管超声波探伤检验方法》</w:t>
      </w:r>
    </w:p>
    <w:p>
      <w:pPr>
        <w:spacing w:line="420" w:lineRule="auto"/>
        <w:ind w:left="480" w:leftChars="200"/>
        <w:jc w:val="left"/>
        <w:rPr>
          <w:rFonts w:cs="Times New Roman"/>
        </w:rPr>
      </w:pPr>
      <w:r>
        <w:rPr>
          <w:rFonts w:cs="Times New Roman"/>
        </w:rPr>
        <w:t>GB/T 13401-2017《钢板制对焊管件 技术协议》</w:t>
      </w:r>
    </w:p>
    <w:p>
      <w:pPr>
        <w:spacing w:line="420" w:lineRule="auto"/>
        <w:ind w:left="480" w:leftChars="200"/>
        <w:jc w:val="left"/>
        <w:rPr>
          <w:rFonts w:cs="Times New Roman"/>
        </w:rPr>
      </w:pPr>
      <w:r>
        <w:rPr>
          <w:rFonts w:cs="Times New Roman"/>
        </w:rPr>
        <w:t>GB/T 15822.1-2005《无损检测 磁粉检测 第1部分：总则》</w:t>
      </w:r>
    </w:p>
    <w:p>
      <w:pPr>
        <w:spacing w:line="420" w:lineRule="auto"/>
        <w:ind w:left="480" w:leftChars="200"/>
        <w:jc w:val="left"/>
        <w:rPr>
          <w:rFonts w:cs="Times New Roman"/>
        </w:rPr>
      </w:pPr>
      <w:r>
        <w:rPr>
          <w:rFonts w:cs="Times New Roman"/>
        </w:rPr>
        <w:t>GB/T 15822.2-2005《无损检测 磁粉检测 第2部分：检测介质》</w:t>
      </w:r>
    </w:p>
    <w:p>
      <w:pPr>
        <w:spacing w:line="420" w:lineRule="auto"/>
        <w:ind w:left="480" w:leftChars="200"/>
        <w:jc w:val="left"/>
        <w:rPr>
          <w:rFonts w:cs="Times New Roman"/>
        </w:rPr>
      </w:pPr>
      <w:r>
        <w:rPr>
          <w:rFonts w:cs="Times New Roman"/>
        </w:rPr>
        <w:t>GB/T 15822.3-2005《无损检测 磁粉检测 第3部分：设备》</w:t>
      </w:r>
    </w:p>
    <w:p>
      <w:pPr>
        <w:spacing w:line="420" w:lineRule="auto"/>
        <w:ind w:left="480" w:leftChars="200"/>
        <w:jc w:val="left"/>
        <w:rPr>
          <w:rFonts w:cs="Times New Roman"/>
        </w:rPr>
      </w:pPr>
      <w:r>
        <w:rPr>
          <w:rFonts w:cs="Times New Roman"/>
        </w:rPr>
        <w:t>GB/T 20801.1-2020《压力管道规范 工业管道 第1部分：总则》</w:t>
      </w:r>
    </w:p>
    <w:p>
      <w:pPr>
        <w:spacing w:line="420" w:lineRule="auto"/>
        <w:ind w:left="480" w:leftChars="200"/>
        <w:jc w:val="left"/>
        <w:rPr>
          <w:rFonts w:cs="Times New Roman"/>
        </w:rPr>
      </w:pPr>
      <w:r>
        <w:rPr>
          <w:rFonts w:cs="Times New Roman"/>
        </w:rPr>
        <w:t>GB/T 20801.4-2006《压力管道规范 工业管道 第4部分：制作与安装》</w:t>
      </w:r>
    </w:p>
    <w:p>
      <w:pPr>
        <w:spacing w:line="420" w:lineRule="auto"/>
        <w:ind w:left="480" w:leftChars="200"/>
        <w:jc w:val="left"/>
        <w:rPr>
          <w:rFonts w:cs="Times New Roman"/>
        </w:rPr>
      </w:pPr>
      <w:r>
        <w:rPr>
          <w:rFonts w:cs="Times New Roman"/>
        </w:rPr>
        <w:t>GB/T 20801.5-2006《压力管道规范 工业管道 第5部分：检验与试验》</w:t>
      </w:r>
    </w:p>
    <w:p>
      <w:pPr>
        <w:spacing w:line="420" w:lineRule="auto"/>
        <w:ind w:left="480" w:leftChars="200"/>
        <w:jc w:val="left"/>
        <w:rPr>
          <w:rFonts w:cs="Times New Roman"/>
        </w:rPr>
      </w:pPr>
      <w:r>
        <w:rPr>
          <w:rFonts w:cs="Times New Roman"/>
        </w:rPr>
        <w:t>GD 2016《火力发电厂――汽水管道零部件典型设计手册》</w:t>
      </w:r>
    </w:p>
    <w:p>
      <w:pPr>
        <w:spacing w:line="420" w:lineRule="auto"/>
        <w:ind w:left="480" w:leftChars="200"/>
        <w:jc w:val="left"/>
        <w:rPr>
          <w:rFonts w:cs="Times New Roman"/>
        </w:rPr>
      </w:pPr>
      <w:r>
        <w:rPr>
          <w:rFonts w:cs="Times New Roman"/>
        </w:rPr>
        <w:t>DL 438-2016《火力发电厂金属技术监督规程》</w:t>
      </w:r>
    </w:p>
    <w:p>
      <w:pPr>
        <w:spacing w:line="420" w:lineRule="auto"/>
        <w:ind w:left="480" w:leftChars="200"/>
        <w:jc w:val="left"/>
        <w:rPr>
          <w:rFonts w:cs="Times New Roman"/>
        </w:rPr>
      </w:pPr>
      <w:r>
        <w:rPr>
          <w:rFonts w:cs="Times New Roman"/>
        </w:rPr>
        <w:t>DL/T 820-2002《管道焊接接头超声波检验技术规程》</w:t>
      </w:r>
    </w:p>
    <w:p>
      <w:pPr>
        <w:spacing w:line="420" w:lineRule="auto"/>
        <w:ind w:left="480" w:leftChars="200"/>
        <w:jc w:val="left"/>
        <w:rPr>
          <w:rFonts w:cs="Times New Roman"/>
        </w:rPr>
      </w:pPr>
      <w:r>
        <w:rPr>
          <w:rFonts w:cs="Times New Roman"/>
        </w:rPr>
        <w:t>NB/T47044-2014 电站阀门</w:t>
      </w:r>
    </w:p>
    <w:p>
      <w:pPr>
        <w:spacing w:line="420" w:lineRule="auto"/>
        <w:ind w:left="480" w:leftChars="200"/>
        <w:jc w:val="left"/>
        <w:rPr>
          <w:rFonts w:cs="Times New Roman"/>
        </w:rPr>
      </w:pPr>
      <w:r>
        <w:rPr>
          <w:rFonts w:cs="Times New Roman"/>
        </w:rPr>
        <w:t>GB/T 12224-2015《钢制阀门一般要求》</w:t>
      </w:r>
    </w:p>
    <w:p>
      <w:pPr>
        <w:spacing w:line="420" w:lineRule="auto"/>
        <w:ind w:left="480" w:leftChars="200"/>
        <w:jc w:val="left"/>
        <w:rPr>
          <w:rFonts w:cs="Times New Roman"/>
        </w:rPr>
      </w:pPr>
      <w:r>
        <w:rPr>
          <w:rFonts w:cs="Times New Roman"/>
        </w:rPr>
        <w:t>NB/T 47037-2021《电站阀门型号编制方法》</w:t>
      </w:r>
    </w:p>
    <w:p>
      <w:pPr>
        <w:spacing w:line="420" w:lineRule="auto"/>
        <w:ind w:left="480" w:leftChars="200"/>
        <w:jc w:val="left"/>
        <w:rPr>
          <w:rFonts w:cs="Times New Roman"/>
        </w:rPr>
      </w:pPr>
      <w:r>
        <w:rPr>
          <w:rFonts w:cs="Times New Roman"/>
        </w:rPr>
        <w:t>JB/T 5263-2005《电站阀门铸钢件技术条件》</w:t>
      </w:r>
    </w:p>
    <w:p>
      <w:pPr>
        <w:spacing w:line="420" w:lineRule="auto"/>
        <w:ind w:left="480" w:leftChars="200"/>
        <w:jc w:val="left"/>
        <w:rPr>
          <w:rFonts w:cs="Times New Roman"/>
        </w:rPr>
      </w:pPr>
      <w:r>
        <w:rPr>
          <w:rFonts w:cs="Times New Roman"/>
        </w:rPr>
        <w:t>JB/T 5300-2008《工业用阀门材料选用导则》</w:t>
      </w:r>
    </w:p>
    <w:p>
      <w:pPr>
        <w:spacing w:line="420" w:lineRule="auto"/>
        <w:ind w:left="480" w:leftChars="200"/>
        <w:jc w:val="left"/>
        <w:rPr>
          <w:rFonts w:cs="Times New Roman"/>
        </w:rPr>
      </w:pPr>
      <w:r>
        <w:rPr>
          <w:rFonts w:cs="Times New Roman"/>
        </w:rPr>
        <w:t>GB/T 26480-2011《阀门的检验和试验》</w:t>
      </w:r>
    </w:p>
    <w:p>
      <w:pPr>
        <w:spacing w:line="420" w:lineRule="auto"/>
        <w:ind w:left="480" w:leftChars="200"/>
        <w:jc w:val="left"/>
        <w:rPr>
          <w:rFonts w:cs="Times New Roman"/>
        </w:rPr>
      </w:pPr>
      <w:r>
        <w:rPr>
          <w:rFonts w:cs="Times New Roman"/>
        </w:rPr>
        <w:t>GB/T 30832-2014《阀门流量系数和流阻系数试验方法》</w:t>
      </w:r>
    </w:p>
    <w:p>
      <w:pPr>
        <w:spacing w:line="420" w:lineRule="auto"/>
        <w:ind w:left="480" w:leftChars="200"/>
        <w:jc w:val="left"/>
        <w:rPr>
          <w:rFonts w:cs="Times New Roman"/>
        </w:rPr>
      </w:pPr>
      <w:r>
        <w:rPr>
          <w:rFonts w:cs="Times New Roman"/>
        </w:rPr>
        <w:t>DL/T 531-2016《电站高温高压截止阀闸阀技术条件》</w:t>
      </w:r>
    </w:p>
    <w:p>
      <w:pPr>
        <w:spacing w:line="420" w:lineRule="auto"/>
        <w:ind w:left="480" w:leftChars="200"/>
        <w:jc w:val="left"/>
        <w:rPr>
          <w:rFonts w:cs="Times New Roman"/>
        </w:rPr>
      </w:pPr>
      <w:r>
        <w:rPr>
          <w:rFonts w:cs="Times New Roman"/>
        </w:rPr>
        <w:t>GB/T 12228-2006《通用阀门碳素钢锻件技术条件》</w:t>
      </w:r>
    </w:p>
    <w:p>
      <w:pPr>
        <w:spacing w:line="420" w:lineRule="auto"/>
        <w:ind w:left="480" w:leftChars="200"/>
        <w:jc w:val="left"/>
        <w:rPr>
          <w:rFonts w:cs="Times New Roman"/>
        </w:rPr>
      </w:pPr>
      <w:r>
        <w:rPr>
          <w:rFonts w:cs="Times New Roman"/>
        </w:rPr>
        <w:t>GB/T 12229-2005《通用阀门碳素钢铸件技术条件》</w:t>
      </w:r>
    </w:p>
    <w:p>
      <w:pPr>
        <w:spacing w:line="420" w:lineRule="auto"/>
        <w:ind w:left="480" w:leftChars="200"/>
        <w:jc w:val="left"/>
        <w:rPr>
          <w:rFonts w:cs="Times New Roman"/>
        </w:rPr>
      </w:pPr>
      <w:r>
        <w:rPr>
          <w:rFonts w:cs="Times New Roman"/>
        </w:rPr>
        <w:t>GB/T12221金属阀门 结构长度</w:t>
      </w:r>
    </w:p>
    <w:p>
      <w:pPr>
        <w:spacing w:line="420" w:lineRule="auto"/>
        <w:ind w:left="480" w:leftChars="200"/>
        <w:jc w:val="left"/>
        <w:rPr>
          <w:rFonts w:cs="Times New Roman"/>
        </w:rPr>
      </w:pPr>
      <w:r>
        <w:rPr>
          <w:rFonts w:cs="Times New Roman"/>
        </w:rPr>
        <w:t>GB/T26480 阀门的检验和试验</w:t>
      </w:r>
    </w:p>
    <w:p>
      <w:pPr>
        <w:spacing w:line="420" w:lineRule="auto"/>
        <w:ind w:firstLine="480"/>
        <w:jc w:val="left"/>
        <w:rPr>
          <w:rFonts w:cs="Times New Roman"/>
        </w:rPr>
      </w:pPr>
      <w:r>
        <w:rPr>
          <w:rFonts w:cs="Times New Roman"/>
        </w:rPr>
        <w:t>上述标准和规定仅提出了基本的技术要求。如果供方提出了更经济合理的设计、材料、制造工艺等，同时又能使供方提供的设备性能达到本技术协议的要求，并确保安全﹑稳定﹑连续运行，在征得需方同意后，供方可以不全部使用上述标准和规定。</w:t>
      </w:r>
    </w:p>
    <w:p>
      <w:pPr>
        <w:pStyle w:val="2"/>
        <w:keepNext/>
        <w:keepLines/>
        <w:numPr>
          <w:ilvl w:val="0"/>
          <w:numId w:val="3"/>
        </w:numPr>
        <w:tabs>
          <w:tab w:val="left" w:pos="360"/>
        </w:tabs>
        <w:adjustRightInd w:val="0"/>
        <w:spacing w:before="120" w:beforeLines="50"/>
        <w:textAlignment w:val="baseline"/>
      </w:pPr>
      <w:bookmarkStart w:id="20" w:name="_Toc161505605"/>
      <w:r>
        <w:t>技术要求</w:t>
      </w:r>
      <w:bookmarkEnd w:id="20"/>
    </w:p>
    <w:p>
      <w:pPr>
        <w:rPr>
          <w:rFonts w:cs="Times New Roman" w:eastAsiaTheme="minorEastAsia"/>
        </w:rPr>
      </w:pPr>
      <w:r>
        <w:rPr>
          <w:rFonts w:cs="Times New Roman" w:eastAsiaTheme="minorEastAsia"/>
        </w:rPr>
        <w:t>5.1 阀门采购技术要求：见附件1。</w:t>
      </w:r>
    </w:p>
    <w:p>
      <w:pPr>
        <w:rPr>
          <w:rFonts w:cs="Times New Roman" w:eastAsiaTheme="minorEastAsia"/>
        </w:rPr>
      </w:pPr>
      <w:r>
        <w:rPr>
          <w:rFonts w:cs="Times New Roman" w:eastAsiaTheme="minorEastAsia"/>
        </w:rPr>
        <w:t>5.2 机务管道管件采购技术要求：见附件2。</w:t>
      </w:r>
    </w:p>
    <w:p>
      <w:pPr>
        <w:rPr>
          <w:rFonts w:cs="Times New Roman" w:eastAsiaTheme="minorEastAsia"/>
        </w:rPr>
      </w:pPr>
      <w:r>
        <w:rPr>
          <w:rFonts w:cs="Times New Roman" w:eastAsiaTheme="minorEastAsia"/>
        </w:rPr>
        <w:t>5.3机务管道支吊架采购技术要求：见附件3。</w:t>
      </w:r>
    </w:p>
    <w:p>
      <w:pPr>
        <w:rPr>
          <w:rFonts w:cs="Times New Roman" w:eastAsiaTheme="minorEastAsia"/>
        </w:rPr>
      </w:pPr>
      <w:r>
        <w:rPr>
          <w:rFonts w:cs="Times New Roman" w:eastAsiaTheme="minorEastAsia"/>
        </w:rPr>
        <w:t>5.4 仪表、仪表阀及附件采购技术要求：见附件4。</w:t>
      </w:r>
    </w:p>
    <w:p>
      <w:pPr>
        <w:rPr>
          <w:rFonts w:cs="Times New Roman" w:eastAsiaTheme="minorEastAsia"/>
        </w:rPr>
      </w:pPr>
      <w:r>
        <w:rPr>
          <w:rFonts w:cs="Times New Roman" w:eastAsiaTheme="minorEastAsia"/>
        </w:rPr>
        <w:t>5.5 DCS部分采购技术要求：见附件5。</w:t>
      </w:r>
    </w:p>
    <w:p>
      <w:pPr>
        <w:rPr>
          <w:rFonts w:cs="Times New Roman" w:eastAsiaTheme="minorEastAsia"/>
        </w:rPr>
      </w:pPr>
    </w:p>
    <w:p>
      <w:pPr>
        <w:pStyle w:val="2"/>
        <w:keepNext/>
        <w:keepLines/>
        <w:numPr>
          <w:ilvl w:val="0"/>
          <w:numId w:val="3"/>
        </w:numPr>
        <w:tabs>
          <w:tab w:val="left" w:pos="360"/>
        </w:tabs>
        <w:adjustRightInd w:val="0"/>
        <w:spacing w:before="120" w:beforeLines="50"/>
        <w:textAlignment w:val="baseline"/>
        <w:rPr>
          <w:szCs w:val="24"/>
        </w:rPr>
      </w:pPr>
      <w:bookmarkStart w:id="21" w:name="_Toc161505606"/>
      <w:r>
        <w:t>包装、标志、运输、验收和保管</w:t>
      </w:r>
      <w:bookmarkEnd w:id="21"/>
    </w:p>
    <w:p>
      <w:pPr>
        <w:spacing w:line="500" w:lineRule="atLeast"/>
        <w:ind w:firstLine="464" w:firstLineChars="200"/>
        <w:rPr>
          <w:rFonts w:cs="Times New Roman"/>
          <w:spacing w:val="-4"/>
          <w:szCs w:val="24"/>
        </w:rPr>
      </w:pPr>
      <w:bookmarkStart w:id="22" w:name="_Toc107820330"/>
      <w:bookmarkStart w:id="23" w:name="_Toc521760815"/>
      <w:bookmarkStart w:id="24" w:name="_Toc39113634"/>
      <w:r>
        <w:rPr>
          <w:rFonts w:cs="Times New Roman"/>
          <w:spacing w:val="-4"/>
          <w:szCs w:val="24"/>
        </w:rPr>
        <w:t>6.1  包装</w:t>
      </w:r>
      <w:bookmarkEnd w:id="22"/>
      <w:bookmarkEnd w:id="23"/>
      <w:bookmarkEnd w:id="24"/>
    </w:p>
    <w:p>
      <w:pPr>
        <w:spacing w:line="500" w:lineRule="atLeast"/>
        <w:ind w:firstLine="464" w:firstLineChars="200"/>
        <w:rPr>
          <w:rFonts w:cs="Times New Roman"/>
          <w:spacing w:val="-4"/>
          <w:szCs w:val="24"/>
        </w:rPr>
      </w:pPr>
      <w:r>
        <w:rPr>
          <w:rFonts w:cs="Times New Roman"/>
          <w:spacing w:val="-4"/>
          <w:szCs w:val="24"/>
        </w:rPr>
        <w:t>6.1.1  管道及其附件包装前必须做到内部清洁，特别是管道内应彻底清洗干净，并采取妥善防锈措施。</w:t>
      </w:r>
    </w:p>
    <w:p>
      <w:pPr>
        <w:spacing w:line="500" w:lineRule="atLeast"/>
        <w:ind w:firstLine="480" w:firstLineChars="200"/>
        <w:rPr>
          <w:rFonts w:cs="Times New Roman"/>
          <w:szCs w:val="24"/>
        </w:rPr>
      </w:pPr>
      <w:r>
        <w:rPr>
          <w:rFonts w:cs="Times New Roman"/>
          <w:szCs w:val="24"/>
        </w:rPr>
        <w:t>6.1.2  供方所供设备部件，除特殊部件外，均应遵守国家标准和有关包装的技术条件进行，或按最好的商业惯例，使用坚固的箱子包装。并应根据不同货物特性和要求，采取措施，如对设备进行妥善的油漆或其它有效的防锈防腐处理，以适应远途海上、陆上运输条件和大量的吊装、卸货以及露天堆放的需要，防止雨雪、海浪造成受潮、生锈、腐蚀、振动以及机械和化学引起的损坏。</w:t>
      </w:r>
    </w:p>
    <w:p>
      <w:pPr>
        <w:spacing w:line="500" w:lineRule="atLeast"/>
        <w:ind w:firstLine="480" w:firstLineChars="200"/>
        <w:rPr>
          <w:rFonts w:cs="Times New Roman"/>
          <w:szCs w:val="24"/>
        </w:rPr>
      </w:pPr>
      <w:r>
        <w:rPr>
          <w:rFonts w:cs="Times New Roman"/>
          <w:szCs w:val="24"/>
        </w:rPr>
        <w:t>6.1.3  供方所供随机装箱技术文件应妥善地包装，能承受远洋运输和多次搬运，并应防止受潮和雨水的侵蚀。每个技术文件邮包应装有详细的目录清单。</w:t>
      </w:r>
    </w:p>
    <w:p>
      <w:pPr>
        <w:spacing w:line="500" w:lineRule="atLeast"/>
        <w:ind w:firstLine="480" w:firstLineChars="200"/>
        <w:rPr>
          <w:rFonts w:cs="Times New Roman"/>
          <w:szCs w:val="24"/>
        </w:rPr>
      </w:pPr>
      <w:r>
        <w:rPr>
          <w:rFonts w:cs="Times New Roman"/>
          <w:szCs w:val="24"/>
        </w:rPr>
        <w:t>6.1.4  为防止设备器材被窃或受腐蚀元素、海水的损坏，如未征得需方同意，不得采用敞开的板条箱和类似包装。</w:t>
      </w:r>
    </w:p>
    <w:p>
      <w:pPr>
        <w:spacing w:line="500" w:lineRule="atLeast"/>
        <w:ind w:firstLine="464" w:firstLineChars="200"/>
        <w:rPr>
          <w:rFonts w:cs="Times New Roman"/>
          <w:spacing w:val="-4"/>
          <w:szCs w:val="24"/>
        </w:rPr>
      </w:pPr>
      <w:bookmarkStart w:id="25" w:name="_Toc107820331"/>
      <w:bookmarkStart w:id="26" w:name="_Toc521760816"/>
      <w:bookmarkStart w:id="27" w:name="_Toc39113635"/>
      <w:r>
        <w:rPr>
          <w:rFonts w:cs="Times New Roman"/>
          <w:spacing w:val="-4"/>
          <w:szCs w:val="24"/>
        </w:rPr>
        <w:t>6.2  标志</w:t>
      </w:r>
      <w:bookmarkEnd w:id="25"/>
      <w:bookmarkEnd w:id="26"/>
      <w:bookmarkEnd w:id="27"/>
    </w:p>
    <w:p>
      <w:pPr>
        <w:spacing w:line="500" w:lineRule="atLeast"/>
        <w:ind w:firstLine="480" w:firstLineChars="200"/>
        <w:rPr>
          <w:rFonts w:cs="Times New Roman"/>
          <w:szCs w:val="24"/>
        </w:rPr>
      </w:pPr>
      <w:r>
        <w:rPr>
          <w:rFonts w:cs="Times New Roman"/>
          <w:szCs w:val="24"/>
        </w:rPr>
        <w:t>6.2.1  设备标志</w:t>
      </w:r>
    </w:p>
    <w:p>
      <w:pPr>
        <w:spacing w:line="500" w:lineRule="atLeast"/>
        <w:ind w:firstLine="480" w:firstLineChars="200"/>
        <w:rPr>
          <w:rFonts w:cs="Times New Roman"/>
          <w:szCs w:val="24"/>
        </w:rPr>
      </w:pPr>
      <w:r>
        <w:rPr>
          <w:rFonts w:cs="Times New Roman"/>
          <w:szCs w:val="24"/>
        </w:rPr>
        <w:t>6.2.1.1  每套阀门等设备都应有固定铭牌。铭牌应不易损坏。标志应醒目、整齐、美观，符合国家及行业相关规定。</w:t>
      </w:r>
    </w:p>
    <w:p>
      <w:pPr>
        <w:spacing w:line="500" w:lineRule="atLeast"/>
        <w:ind w:firstLine="480" w:firstLineChars="200"/>
        <w:rPr>
          <w:rFonts w:cs="Times New Roman"/>
          <w:szCs w:val="24"/>
        </w:rPr>
      </w:pPr>
      <w:r>
        <w:rPr>
          <w:rFonts w:cs="Times New Roman"/>
          <w:szCs w:val="24"/>
        </w:rPr>
        <w:t>6.2.1.2  设备的重要阀门、调节保安部套等均应有其行程、转角、介质流向、操作方法等明显易辨的标志。</w:t>
      </w:r>
    </w:p>
    <w:p>
      <w:pPr>
        <w:spacing w:line="500" w:lineRule="atLeast"/>
        <w:ind w:firstLine="480" w:firstLineChars="200"/>
        <w:rPr>
          <w:rFonts w:cs="Times New Roman"/>
          <w:szCs w:val="24"/>
        </w:rPr>
      </w:pPr>
      <w:r>
        <w:rPr>
          <w:rFonts w:cs="Times New Roman"/>
          <w:szCs w:val="24"/>
        </w:rPr>
        <w:t>6.2.1.3  重要部件应根据图纸规定，在一定位置上标有装配编号，使用材料和检验合格的标志。</w:t>
      </w:r>
    </w:p>
    <w:p>
      <w:pPr>
        <w:spacing w:line="500" w:lineRule="atLeast"/>
        <w:ind w:firstLine="480" w:firstLineChars="200"/>
        <w:rPr>
          <w:rFonts w:cs="Times New Roman"/>
          <w:szCs w:val="24"/>
        </w:rPr>
      </w:pPr>
      <w:r>
        <w:rPr>
          <w:rFonts w:cs="Times New Roman"/>
          <w:szCs w:val="24"/>
        </w:rPr>
        <w:t>6.2.2  包装标志</w:t>
      </w:r>
    </w:p>
    <w:p>
      <w:pPr>
        <w:spacing w:line="500" w:lineRule="atLeast"/>
        <w:ind w:firstLine="480" w:firstLineChars="200"/>
        <w:rPr>
          <w:rFonts w:cs="Times New Roman"/>
          <w:szCs w:val="24"/>
        </w:rPr>
      </w:pPr>
      <w:r>
        <w:rPr>
          <w:rFonts w:cs="Times New Roman"/>
          <w:szCs w:val="24"/>
        </w:rPr>
        <w:t>（1）供方供给设备(无论装在箱内或成捆的散件)的包装，都应贴有标明合同号，主要设备名称、部件名称和组装图上部件位置的标签。</w:t>
      </w:r>
    </w:p>
    <w:p>
      <w:pPr>
        <w:pStyle w:val="24"/>
        <w:ind w:firstLine="480" w:firstLineChars="200"/>
        <w:rPr>
          <w:rFonts w:cs="Times New Roman"/>
        </w:rPr>
      </w:pPr>
      <w:r>
        <w:rPr>
          <w:rFonts w:cs="Times New Roman"/>
        </w:rPr>
        <w:t>（2）对装箱供给的设备，供方应在每个箱子的两面用油漆写上如下内容：</w:t>
      </w:r>
    </w:p>
    <w:p>
      <w:pPr>
        <w:spacing w:line="500" w:lineRule="atLeast"/>
        <w:ind w:firstLine="480" w:firstLineChars="200"/>
        <w:rPr>
          <w:rFonts w:cs="Times New Roman"/>
          <w:szCs w:val="24"/>
        </w:rPr>
      </w:pPr>
      <w:r>
        <w:rPr>
          <w:rFonts w:cs="Times New Roman"/>
          <w:szCs w:val="24"/>
        </w:rPr>
        <w:t>1）合同号，装运标志、目的港，受货人代码、设备名称、机组号、项目号(箱号、箱的序号、设备总件数)，毛/净重，外形尺寸(长</w:t>
      </w:r>
      <w:r>
        <w:rPr>
          <w:rFonts w:cs="Times New Roman"/>
          <w:szCs w:val="24"/>
        </w:rPr>
        <w:sym w:font="Symbol" w:char="F0B4"/>
      </w:r>
      <w:r>
        <w:rPr>
          <w:rFonts w:cs="Times New Roman"/>
          <w:szCs w:val="24"/>
        </w:rPr>
        <w:t>宽</w:t>
      </w:r>
      <w:r>
        <w:rPr>
          <w:rFonts w:cs="Times New Roman"/>
          <w:szCs w:val="24"/>
        </w:rPr>
        <w:sym w:font="Symbol" w:char="F0B4"/>
      </w:r>
      <w:r>
        <w:rPr>
          <w:rFonts w:cs="Times New Roman"/>
          <w:szCs w:val="24"/>
        </w:rPr>
        <w:t>高)；</w:t>
      </w:r>
    </w:p>
    <w:p>
      <w:pPr>
        <w:spacing w:line="500" w:lineRule="atLeast"/>
        <w:ind w:firstLine="480" w:firstLineChars="200"/>
        <w:rPr>
          <w:rFonts w:cs="Times New Roman"/>
          <w:szCs w:val="24"/>
        </w:rPr>
      </w:pPr>
      <w:r>
        <w:rPr>
          <w:rFonts w:cs="Times New Roman"/>
          <w:szCs w:val="24"/>
        </w:rPr>
        <w:t>2）应按照设备特性和不同的运输及装卸要求，在箱上明显标上“小心”“向上”、“向下”、“防潮”、“勿倒”和吊装位置等通用标志，并应符合GB191和GB6388的规定；</w:t>
      </w:r>
    </w:p>
    <w:p>
      <w:pPr>
        <w:spacing w:line="500" w:lineRule="atLeast"/>
        <w:ind w:firstLine="480" w:firstLineChars="200"/>
        <w:rPr>
          <w:rFonts w:cs="Times New Roman"/>
          <w:szCs w:val="24"/>
        </w:rPr>
      </w:pPr>
      <w:r>
        <w:rPr>
          <w:rFonts w:cs="Times New Roman"/>
          <w:szCs w:val="24"/>
        </w:rPr>
        <w:t>3）包装箱应连续编号，而且在整个装运过程中，装箱编号的顺序始终是连贯的；</w:t>
      </w:r>
    </w:p>
    <w:p>
      <w:pPr>
        <w:spacing w:line="500" w:lineRule="atLeast"/>
        <w:ind w:firstLine="480" w:firstLineChars="200"/>
        <w:rPr>
          <w:rFonts w:cs="Times New Roman"/>
          <w:szCs w:val="24"/>
        </w:rPr>
      </w:pPr>
      <w:r>
        <w:rPr>
          <w:rFonts w:cs="Times New Roman"/>
          <w:szCs w:val="24"/>
        </w:rPr>
        <w:t>（3）对超大、超重货物应标注吊钩、重心和支点的位置。</w:t>
      </w:r>
    </w:p>
    <w:p>
      <w:pPr>
        <w:spacing w:line="500" w:lineRule="atLeast"/>
        <w:ind w:firstLine="480" w:firstLineChars="200"/>
        <w:rPr>
          <w:rFonts w:cs="Times New Roman"/>
          <w:szCs w:val="24"/>
        </w:rPr>
      </w:pPr>
      <w:r>
        <w:rPr>
          <w:rFonts w:cs="Times New Roman"/>
          <w:szCs w:val="24"/>
        </w:rPr>
        <w:t>（4）货运标志应符合国际物运协定规定。</w:t>
      </w:r>
    </w:p>
    <w:p>
      <w:pPr>
        <w:spacing w:line="500" w:lineRule="atLeast"/>
        <w:ind w:firstLine="464" w:firstLineChars="200"/>
        <w:rPr>
          <w:rFonts w:cs="Times New Roman"/>
          <w:spacing w:val="-4"/>
          <w:szCs w:val="24"/>
        </w:rPr>
      </w:pPr>
      <w:bookmarkStart w:id="28" w:name="_Toc107820332"/>
      <w:bookmarkStart w:id="29" w:name="_Toc39113636"/>
      <w:bookmarkStart w:id="30" w:name="_Toc521760817"/>
      <w:r>
        <w:rPr>
          <w:rFonts w:cs="Times New Roman"/>
          <w:spacing w:val="-4"/>
          <w:szCs w:val="24"/>
        </w:rPr>
        <w:t>6.3  运输</w:t>
      </w:r>
      <w:bookmarkEnd w:id="28"/>
      <w:bookmarkEnd w:id="29"/>
      <w:bookmarkEnd w:id="30"/>
    </w:p>
    <w:p>
      <w:pPr>
        <w:ind w:firstLine="480" w:firstLineChars="200"/>
        <w:rPr>
          <w:rFonts w:cs="Times New Roman"/>
          <w:szCs w:val="24"/>
        </w:rPr>
      </w:pPr>
      <w:r>
        <w:rPr>
          <w:rFonts w:cs="Times New Roman"/>
          <w:bCs/>
          <w:szCs w:val="24"/>
        </w:rPr>
        <w:t>6. 3.</w:t>
      </w:r>
      <w:r>
        <w:rPr>
          <w:rFonts w:cs="Times New Roman"/>
          <w:szCs w:val="24"/>
        </w:rPr>
        <w:t>1  经由铁路运输的部件，设备运输参数应符合《中华人民共和国铁道部铁路超限货物运输规则》的有关规定；当设备经由公路、水路、或空运时，其运输参数，应遵守公路、水路及空运的有关规定。</w:t>
      </w:r>
    </w:p>
    <w:p>
      <w:pPr>
        <w:ind w:firstLine="480" w:firstLineChars="200"/>
        <w:rPr>
          <w:rFonts w:cs="Times New Roman"/>
          <w:szCs w:val="24"/>
        </w:rPr>
      </w:pPr>
      <w:r>
        <w:rPr>
          <w:rFonts w:cs="Times New Roman"/>
          <w:szCs w:val="24"/>
        </w:rPr>
        <w:t xml:space="preserve">6.3.2 </w:t>
      </w:r>
      <w:r>
        <w:rPr>
          <w:rFonts w:cs="Times New Roman"/>
          <w:b/>
          <w:i/>
          <w:szCs w:val="24"/>
        </w:rPr>
        <w:t xml:space="preserve"> </w:t>
      </w:r>
      <w:r>
        <w:rPr>
          <w:rFonts w:cs="Times New Roman"/>
          <w:szCs w:val="24"/>
        </w:rPr>
        <w:t>经由货轮远洋运输的部件，其尺寸不应超过国家对非标准外形体的规定，当部件经由船运以外的其他方式运输时，其重量和体积的限制应遵守有关运输单位的规定。</w:t>
      </w:r>
    </w:p>
    <w:p>
      <w:pPr>
        <w:ind w:firstLine="480" w:firstLineChars="200"/>
        <w:rPr>
          <w:rFonts w:cs="Times New Roman"/>
          <w:szCs w:val="24"/>
        </w:rPr>
      </w:pPr>
      <w:r>
        <w:rPr>
          <w:rFonts w:cs="Times New Roman"/>
          <w:szCs w:val="24"/>
        </w:rPr>
        <w:t>6.3.3 每批货物备妥及装运车辆发出24小时内，供方用传真或邮件通知需方，通知中指明设备名称、件数、件号、重量、货运单号、设备发出日期。</w:t>
      </w:r>
    </w:p>
    <w:p>
      <w:pPr>
        <w:ind w:firstLine="480" w:firstLineChars="200"/>
        <w:rPr>
          <w:rFonts w:cs="Times New Roman"/>
          <w:szCs w:val="24"/>
        </w:rPr>
      </w:pPr>
      <w:r>
        <w:rPr>
          <w:rFonts w:cs="Times New Roman"/>
          <w:szCs w:val="24"/>
        </w:rPr>
        <w:t>6.4  检验与验收</w:t>
      </w:r>
    </w:p>
    <w:p>
      <w:pPr>
        <w:ind w:firstLine="480" w:firstLineChars="200"/>
        <w:rPr>
          <w:rFonts w:cs="Times New Roman"/>
          <w:szCs w:val="24"/>
        </w:rPr>
      </w:pPr>
      <w:r>
        <w:rPr>
          <w:rFonts w:cs="Times New Roman"/>
          <w:szCs w:val="24"/>
        </w:rPr>
        <w:t>6.4.1  所有设备验收必须附有下列文件：</w:t>
      </w:r>
    </w:p>
    <w:p>
      <w:pPr>
        <w:ind w:firstLine="480" w:firstLineChars="200"/>
        <w:rPr>
          <w:rFonts w:cs="Times New Roman"/>
          <w:szCs w:val="24"/>
        </w:rPr>
      </w:pPr>
      <w:r>
        <w:rPr>
          <w:rFonts w:cs="Times New Roman"/>
          <w:szCs w:val="24"/>
        </w:rPr>
        <w:t>（1）装箱单，其上应注明：</w:t>
      </w:r>
    </w:p>
    <w:p>
      <w:pPr>
        <w:ind w:firstLine="480" w:firstLineChars="200"/>
        <w:rPr>
          <w:rFonts w:cs="Times New Roman"/>
          <w:szCs w:val="24"/>
        </w:rPr>
      </w:pPr>
      <w:r>
        <w:rPr>
          <w:rFonts w:cs="Times New Roman"/>
          <w:szCs w:val="24"/>
        </w:rPr>
        <w:t>1)  产品名称、型号、规格、KKS编码和制造厂；</w:t>
      </w:r>
    </w:p>
    <w:p>
      <w:pPr>
        <w:tabs>
          <w:tab w:val="left" w:pos="2625"/>
        </w:tabs>
        <w:ind w:firstLine="480" w:firstLineChars="200"/>
        <w:rPr>
          <w:rFonts w:cs="Times New Roman"/>
          <w:szCs w:val="24"/>
        </w:rPr>
      </w:pPr>
      <w:r>
        <w:rPr>
          <w:rFonts w:cs="Times New Roman"/>
          <w:szCs w:val="24"/>
        </w:rPr>
        <w:t>2)  装箱数量；</w:t>
      </w:r>
      <w:r>
        <w:rPr>
          <w:rFonts w:cs="Times New Roman"/>
          <w:szCs w:val="24"/>
        </w:rPr>
        <w:tab/>
      </w:r>
    </w:p>
    <w:p>
      <w:pPr>
        <w:ind w:firstLine="480" w:firstLineChars="200"/>
        <w:rPr>
          <w:rFonts w:cs="Times New Roman"/>
          <w:szCs w:val="24"/>
        </w:rPr>
      </w:pPr>
      <w:r>
        <w:rPr>
          <w:rFonts w:cs="Times New Roman"/>
          <w:szCs w:val="24"/>
        </w:rPr>
        <w:t>3)  附件、备件名称及数量；</w:t>
      </w:r>
    </w:p>
    <w:p>
      <w:pPr>
        <w:ind w:firstLine="480" w:firstLineChars="200"/>
        <w:rPr>
          <w:rFonts w:cs="Times New Roman"/>
          <w:szCs w:val="24"/>
        </w:rPr>
      </w:pPr>
      <w:r>
        <w:rPr>
          <w:rFonts w:cs="Times New Roman"/>
          <w:szCs w:val="24"/>
        </w:rPr>
        <w:t>4)  装箱日期。</w:t>
      </w:r>
    </w:p>
    <w:p>
      <w:pPr>
        <w:ind w:firstLine="480" w:firstLineChars="200"/>
        <w:rPr>
          <w:rFonts w:cs="Times New Roman"/>
          <w:szCs w:val="24"/>
        </w:rPr>
      </w:pPr>
      <w:r>
        <w:rPr>
          <w:rFonts w:cs="Times New Roman"/>
          <w:szCs w:val="24"/>
        </w:rPr>
        <w:t>（2） 原制造厂的产品出厂合格说明书、出厂试验数据、安装使用说明书。</w:t>
      </w:r>
    </w:p>
    <w:p>
      <w:pPr>
        <w:ind w:firstLine="480" w:firstLineChars="200"/>
        <w:rPr>
          <w:rFonts w:cs="Times New Roman"/>
          <w:szCs w:val="24"/>
        </w:rPr>
      </w:pPr>
      <w:r>
        <w:rPr>
          <w:rFonts w:cs="Times New Roman"/>
          <w:szCs w:val="24"/>
        </w:rPr>
        <w:t>6.4.2  设备到达现场后，买卖双方按商定的开箱检验办法，对照装箱单逐件清点，进行检查和验收。</w:t>
      </w:r>
    </w:p>
    <w:p>
      <w:pPr>
        <w:ind w:firstLine="480" w:firstLineChars="200"/>
        <w:rPr>
          <w:rFonts w:cs="Times New Roman"/>
          <w:szCs w:val="24"/>
        </w:rPr>
      </w:pPr>
      <w:r>
        <w:rPr>
          <w:rFonts w:cs="Times New Roman"/>
          <w:szCs w:val="24"/>
        </w:rPr>
        <w:t>供方扩散联营或外包生产的设备(部件)将生产厂家写明，必须经需方确认，但并不意味有任何减轻供方的责任，即供方对分包厂家的资质和产品质量、交货进度负责。设备到达现场后，仍由供方会同需方进行检查和验收。</w:t>
      </w:r>
    </w:p>
    <w:p>
      <w:pPr>
        <w:ind w:firstLine="480" w:firstLineChars="200"/>
        <w:rPr>
          <w:rFonts w:cs="Times New Roman"/>
          <w:szCs w:val="24"/>
        </w:rPr>
      </w:pPr>
      <w:r>
        <w:rPr>
          <w:rFonts w:cs="Times New Roman"/>
          <w:szCs w:val="24"/>
        </w:rPr>
        <w:t>6.4.3  对于进口产品供方应提供报关单等复印件。</w:t>
      </w:r>
    </w:p>
    <w:p>
      <w:pPr>
        <w:ind w:firstLine="480" w:firstLineChars="200"/>
        <w:rPr>
          <w:rFonts w:cs="Times New Roman"/>
          <w:szCs w:val="24"/>
        </w:rPr>
      </w:pPr>
      <w:r>
        <w:rPr>
          <w:rFonts w:cs="Times New Roman"/>
          <w:szCs w:val="24"/>
        </w:rPr>
        <w:t>6.5保管</w:t>
      </w:r>
    </w:p>
    <w:p>
      <w:pPr>
        <w:ind w:firstLine="480" w:firstLineChars="200"/>
        <w:rPr>
          <w:rFonts w:cs="Times New Roman"/>
          <w:szCs w:val="24"/>
        </w:rPr>
      </w:pPr>
      <w:r>
        <w:rPr>
          <w:rFonts w:cs="Times New Roman"/>
          <w:szCs w:val="24"/>
        </w:rPr>
        <w:t>6.6.1  供方应提供所有设备、部件、材料等保管方法的说明。</w:t>
      </w:r>
    </w:p>
    <w:p>
      <w:pPr>
        <w:ind w:firstLine="480" w:firstLineChars="200"/>
        <w:rPr>
          <w:rFonts w:cs="Times New Roman"/>
          <w:szCs w:val="24"/>
        </w:rPr>
      </w:pPr>
      <w:r>
        <w:rPr>
          <w:rFonts w:cs="Times New Roman"/>
          <w:szCs w:val="24"/>
        </w:rPr>
        <w:t>6.6.2  供方所用的每种防腐剂的质量、预期寿命和型号一致，供方向需方提交各种防腐剂清除步骤的完整资料。</w:t>
      </w:r>
    </w:p>
    <w:p>
      <w:pPr>
        <w:ind w:firstLine="480" w:firstLineChars="200"/>
        <w:rPr>
          <w:rFonts w:cs="Times New Roman"/>
          <w:szCs w:val="24"/>
        </w:rPr>
      </w:pPr>
      <w:r>
        <w:rPr>
          <w:rFonts w:cs="Times New Roman"/>
          <w:szCs w:val="24"/>
        </w:rPr>
        <w:t>6.6.3  因供方原因引起包装、标志、运输、及保管不当而造成的损失，由供方负责赔偿。</w:t>
      </w:r>
      <w:bookmarkStart w:id="31" w:name="_Toc521760818"/>
      <w:bookmarkStart w:id="32" w:name="_Toc107820333"/>
      <w:bookmarkStart w:id="33" w:name="_Toc39113637"/>
    </w:p>
    <w:bookmarkEnd w:id="31"/>
    <w:bookmarkEnd w:id="32"/>
    <w:bookmarkEnd w:id="33"/>
    <w:p>
      <w:pPr>
        <w:pStyle w:val="2"/>
        <w:keepNext/>
        <w:keepLines/>
        <w:numPr>
          <w:ilvl w:val="0"/>
          <w:numId w:val="3"/>
        </w:numPr>
        <w:tabs>
          <w:tab w:val="left" w:pos="360"/>
        </w:tabs>
        <w:adjustRightInd w:val="0"/>
        <w:spacing w:before="120" w:beforeLines="50" w:after="156"/>
        <w:textAlignment w:val="baseline"/>
      </w:pPr>
      <w:bookmarkStart w:id="34" w:name="_Toc161505607"/>
      <w:bookmarkStart w:id="35" w:name="_Toc515697900"/>
      <w:bookmarkStart w:id="36" w:name="_Toc515705621"/>
      <w:r>
        <w:t>技术资料及交付进度</w:t>
      </w:r>
      <w:bookmarkEnd w:id="34"/>
    </w:p>
    <w:bookmarkEnd w:id="35"/>
    <w:bookmarkEnd w:id="36"/>
    <w:p>
      <w:pPr>
        <w:rPr>
          <w:rFonts w:cs="Times New Roman"/>
        </w:rPr>
      </w:pPr>
      <w:r>
        <w:rPr>
          <w:rFonts w:cs="Times New Roman"/>
        </w:rPr>
        <w:t>7.1 一般要求</w:t>
      </w:r>
    </w:p>
    <w:p>
      <w:pPr>
        <w:ind w:firstLine="480"/>
        <w:rPr>
          <w:rFonts w:cs="Times New Roman"/>
        </w:rPr>
      </w:pPr>
      <w:r>
        <w:rPr>
          <w:rFonts w:cs="Times New Roman"/>
        </w:rPr>
        <w:t xml:space="preserve">7.1.1.1  供方提供的资料应使用中国法定计量单位制。技术资料和图纸的文种为中文。外方提供的图纸和资料应翻译成中文后随同原文一并提交采购方，图纸资料以中文为准，图纸资料除提供书面文件外还应提供光盘，文字文件当为word/pdf文件，图形文件版本为AUTOCAD 2004/pdf。 </w:t>
      </w:r>
    </w:p>
    <w:p>
      <w:pPr>
        <w:ind w:firstLine="480"/>
        <w:rPr>
          <w:rFonts w:cs="Times New Roman"/>
        </w:rPr>
      </w:pPr>
      <w:r>
        <w:rPr>
          <w:rFonts w:cs="Times New Roman"/>
        </w:rPr>
        <w:t>7.1.1.2  资料的组织结构清晰、逻辑性强。资料内容要正确、准确、一致、清晰完整，满足工程要求。</w:t>
      </w:r>
    </w:p>
    <w:p>
      <w:pPr>
        <w:ind w:firstLine="480"/>
        <w:rPr>
          <w:rFonts w:cs="Times New Roman"/>
        </w:rPr>
      </w:pPr>
      <w:r>
        <w:rPr>
          <w:rFonts w:cs="Times New Roman"/>
        </w:rPr>
        <w:t>7.1.1.3 供方资料的提交及时充分，满足工程进度要求。</w:t>
      </w:r>
    </w:p>
    <w:p>
      <w:pPr>
        <w:ind w:firstLine="480"/>
        <w:rPr>
          <w:rFonts w:cs="Times New Roman"/>
        </w:rPr>
      </w:pPr>
      <w:r>
        <w:rPr>
          <w:rFonts w:cs="Times New Roman"/>
        </w:rPr>
        <w:t>7.1.1.4 供方提供适用于本工程实际情况的，为本工程专用的技术资料。</w:t>
      </w:r>
    </w:p>
    <w:p>
      <w:pPr>
        <w:ind w:firstLine="480"/>
        <w:rPr>
          <w:rFonts w:cs="Times New Roman"/>
        </w:rPr>
      </w:pPr>
      <w:r>
        <w:rPr>
          <w:rFonts w:cs="Times New Roman"/>
        </w:rPr>
        <w:t>7.1.1.5 对于其它没有列入合同技术资料清单、却是工程所必需的文件和资料，一经发现，供方也应及时免费提供。</w:t>
      </w:r>
    </w:p>
    <w:p>
      <w:pPr>
        <w:ind w:firstLine="480"/>
        <w:rPr>
          <w:rFonts w:cs="Times New Roman"/>
        </w:rPr>
      </w:pPr>
      <w:r>
        <w:rPr>
          <w:rFonts w:cs="Times New Roman"/>
        </w:rPr>
        <w:t>7.1.1.6 供方要及时提供与合同设备设计制造有关的资料。</w:t>
      </w:r>
    </w:p>
    <w:p>
      <w:pPr>
        <w:rPr>
          <w:rFonts w:cs="Times New Roman"/>
        </w:rPr>
      </w:pPr>
      <w:r>
        <w:rPr>
          <w:rFonts w:cs="Times New Roman"/>
        </w:rPr>
        <w:t>7.2 技术文件和图纸</w:t>
      </w:r>
    </w:p>
    <w:p>
      <w:pPr>
        <w:ind w:firstLine="480"/>
        <w:rPr>
          <w:rFonts w:cs="Times New Roman"/>
        </w:rPr>
      </w:pPr>
      <w:r>
        <w:rPr>
          <w:rFonts w:cs="Times New Roman"/>
        </w:rPr>
        <w:t>7.2.1 供方在技术协议签订后10日内及时提供满足工程施工图设计的正式资料和图纸，包括但不限于此：</w:t>
      </w:r>
    </w:p>
    <w:p>
      <w:pPr>
        <w:ind w:firstLine="480"/>
        <w:rPr>
          <w:rFonts w:cs="Times New Roman"/>
        </w:rPr>
      </w:pPr>
      <w:r>
        <w:rPr>
          <w:rFonts w:cs="Times New Roman"/>
        </w:rPr>
        <w:t>1) 提供设备材料的安装说明书、主要设备型号、主要部件材料，以及组装、拆卸时所需用的技术资料。</w:t>
      </w:r>
    </w:p>
    <w:p>
      <w:pPr>
        <w:ind w:firstLine="480"/>
        <w:rPr>
          <w:rFonts w:cs="Times New Roman"/>
        </w:rPr>
      </w:pPr>
      <w:r>
        <w:rPr>
          <w:rFonts w:cs="Times New Roman"/>
        </w:rPr>
        <w:t>2) 设备接口资料、设备的尺寸</w:t>
      </w:r>
    </w:p>
    <w:p>
      <w:pPr>
        <w:ind w:firstLine="480"/>
        <w:rPr>
          <w:rFonts w:cs="Times New Roman"/>
        </w:rPr>
      </w:pPr>
      <w:r>
        <w:rPr>
          <w:rFonts w:cs="Times New Roman"/>
        </w:rPr>
        <w:t>3) 安装、运行、维护、检修所需的详尽图纸和技术文件和必要的零件图、计算资料等。</w:t>
      </w:r>
    </w:p>
    <w:p>
      <w:pPr>
        <w:ind w:firstLine="480"/>
        <w:rPr>
          <w:rFonts w:cs="Times New Roman"/>
        </w:rPr>
      </w:pPr>
      <w:r>
        <w:rPr>
          <w:rFonts w:cs="Times New Roman"/>
        </w:rPr>
        <w:t>4) 材料的安装、维护、检修说明书,包括材料结构特点、安装程序和工艺要求。控制数据、定期校验和维护说明等。</w:t>
      </w:r>
    </w:p>
    <w:p>
      <w:pPr>
        <w:ind w:firstLine="480"/>
        <w:rPr>
          <w:rFonts w:cs="Times New Roman"/>
        </w:rPr>
      </w:pPr>
      <w:r>
        <w:rPr>
          <w:rFonts w:cs="Times New Roman"/>
        </w:rPr>
        <w:t>5) 供方应提供备品、配件总清单和易损零件图。</w:t>
      </w:r>
    </w:p>
    <w:p>
      <w:pPr>
        <w:ind w:firstLine="480"/>
        <w:rPr>
          <w:rFonts w:cs="Times New Roman"/>
        </w:rPr>
      </w:pPr>
      <w:r>
        <w:rPr>
          <w:rFonts w:cs="Times New Roman"/>
        </w:rPr>
        <w:t>7.2.2 供方须提供的其它技术资料包括以下但不限于此：</w:t>
      </w:r>
    </w:p>
    <w:p>
      <w:pPr>
        <w:ind w:firstLine="480"/>
        <w:rPr>
          <w:rFonts w:cs="Times New Roman"/>
        </w:rPr>
      </w:pPr>
      <w:r>
        <w:rPr>
          <w:rFonts w:cs="Times New Roman"/>
        </w:rPr>
        <w:t>7.2.2.1 检验记录、试验报告及质量合格证等出厂报告。</w:t>
      </w:r>
    </w:p>
    <w:p>
      <w:pPr>
        <w:ind w:firstLine="480"/>
        <w:rPr>
          <w:rFonts w:cs="Times New Roman"/>
        </w:rPr>
      </w:pPr>
      <w:r>
        <w:rPr>
          <w:rFonts w:cs="Times New Roman"/>
        </w:rPr>
        <w:t>7.2.2.2 供方提供在设计、制造时所遵循的规范、标准和规定清单。</w:t>
      </w:r>
    </w:p>
    <w:p>
      <w:pPr>
        <w:ind w:firstLine="480"/>
        <w:rPr>
          <w:rFonts w:cs="Times New Roman"/>
        </w:rPr>
      </w:pPr>
      <w:r>
        <w:rPr>
          <w:rFonts w:cs="Times New Roman"/>
        </w:rPr>
        <w:t>7.2.2.3 设备和备品管理资料文件，包括设备和备品发运和装箱的详细资料(各种清单)，设备和备品存放与保管技术要求、运输超重和超大件的明细表。</w:t>
      </w:r>
    </w:p>
    <w:p>
      <w:pPr>
        <w:ind w:firstLine="480"/>
        <w:rPr>
          <w:rFonts w:cs="Times New Roman"/>
        </w:rPr>
      </w:pPr>
      <w:r>
        <w:rPr>
          <w:rFonts w:cs="Times New Roman"/>
        </w:rPr>
        <w:t>7.2.2.4 详细的产品质量文件，包括材质、材质检验、加工质量、外形尺寸、性能检验等的证明。</w:t>
      </w:r>
    </w:p>
    <w:p>
      <w:pPr>
        <w:ind w:firstLine="480"/>
        <w:rPr>
          <w:rFonts w:cs="Times New Roman"/>
        </w:rPr>
      </w:pPr>
      <w:r>
        <w:rPr>
          <w:rFonts w:cs="Times New Roman"/>
        </w:rPr>
        <w:t>7.2.2.5 所有主要设备应用金属标签，每个设备的标识号码是唯一的，这些标识号码应包含在提供给需方的最后的图纸中。</w:t>
      </w:r>
    </w:p>
    <w:p>
      <w:pPr>
        <w:ind w:firstLine="480"/>
        <w:rPr>
          <w:rFonts w:cs="Times New Roman"/>
        </w:rPr>
      </w:pPr>
      <w:r>
        <w:rPr>
          <w:rFonts w:cs="Times New Roman"/>
        </w:rPr>
        <w:t>7.2.2.6 供方所提交的技术资料内容至少应包括本规范中所要求的。如需方在工程设计中需要本附件以外的资料，供方应及时无偿地提供。</w:t>
      </w:r>
    </w:p>
    <w:p>
      <w:pPr>
        <w:pStyle w:val="2"/>
        <w:keepNext/>
        <w:keepLines/>
        <w:numPr>
          <w:ilvl w:val="0"/>
          <w:numId w:val="3"/>
        </w:numPr>
        <w:tabs>
          <w:tab w:val="left" w:pos="360"/>
        </w:tabs>
        <w:adjustRightInd w:val="0"/>
        <w:spacing w:before="120" w:beforeLines="50"/>
        <w:textAlignment w:val="baseline"/>
      </w:pPr>
      <w:bookmarkStart w:id="37" w:name="_Toc81906769"/>
      <w:bookmarkStart w:id="38" w:name="_Toc161505608"/>
      <w:r>
        <w:t>设备监造、检验和性能验收试验</w:t>
      </w:r>
      <w:bookmarkEnd w:id="37"/>
      <w:bookmarkEnd w:id="38"/>
    </w:p>
    <w:p>
      <w:pPr>
        <w:pStyle w:val="3"/>
        <w:numPr>
          <w:ilvl w:val="1"/>
          <w:numId w:val="3"/>
        </w:numPr>
        <w:tabs>
          <w:tab w:val="left" w:pos="360"/>
        </w:tabs>
      </w:pPr>
      <w:bookmarkStart w:id="39" w:name="_Toc161505609"/>
      <w:r>
        <w:t>工厂检验</w:t>
      </w:r>
      <w:bookmarkEnd w:id="39"/>
    </w:p>
    <w:p>
      <w:pPr>
        <w:ind w:firstLine="480"/>
        <w:rPr>
          <w:rFonts w:cs="Times New Roman"/>
        </w:rPr>
      </w:pPr>
      <w:r>
        <w:rPr>
          <w:rFonts w:cs="Times New Roman"/>
        </w:rPr>
        <w:t>8.1.1 工厂检验是质量控制的一个重要组成部分。投标人需严格进行厂内各生产环节的检验和试验。投标人提供的合同设备须签发质量证明、检验记录和测试报告，并且作为交货时质量证明文件的组成部分。</w:t>
      </w:r>
    </w:p>
    <w:p>
      <w:pPr>
        <w:numPr>
          <w:ilvl w:val="2"/>
          <w:numId w:val="5"/>
        </w:numPr>
        <w:ind w:firstLine="480" w:firstLineChars="200"/>
        <w:rPr>
          <w:rFonts w:cs="Times New Roman"/>
        </w:rPr>
      </w:pPr>
      <w:r>
        <w:rPr>
          <w:rFonts w:cs="Times New Roman"/>
        </w:rPr>
        <w:t>检查的范围包括原材料的进厂，材料的加工、组装、试验和出厂试验。</w:t>
      </w:r>
    </w:p>
    <w:p>
      <w:pPr>
        <w:ind w:firstLine="480"/>
        <w:rPr>
          <w:rFonts w:cs="Times New Roman"/>
        </w:rPr>
      </w:pPr>
      <w:r>
        <w:rPr>
          <w:rFonts w:cs="Times New Roman"/>
        </w:rPr>
        <w:t>8.1.3 投标人检验的结果要满足技术协议书中参数的要求，如有不符之处或达不到标准要求，投标人要采取措施直至满足要求，同时向招标人提交不一致性报告。投标人发生重大质量问题时应将情况及时通知招标人。</w:t>
      </w:r>
    </w:p>
    <w:p>
      <w:pPr>
        <w:numPr>
          <w:ilvl w:val="2"/>
          <w:numId w:val="5"/>
        </w:numPr>
        <w:ind w:firstLine="480" w:firstLineChars="200"/>
        <w:rPr>
          <w:rFonts w:cs="Times New Roman"/>
        </w:rPr>
      </w:pPr>
      <w:r>
        <w:rPr>
          <w:rFonts w:cs="Times New Roman"/>
        </w:rPr>
        <w:t>工厂检查的所有费用包括在合同设备总价中。</w:t>
      </w:r>
    </w:p>
    <w:p>
      <w:pPr>
        <w:pStyle w:val="3"/>
        <w:numPr>
          <w:ilvl w:val="1"/>
          <w:numId w:val="3"/>
        </w:numPr>
        <w:tabs>
          <w:tab w:val="left" w:pos="360"/>
        </w:tabs>
      </w:pPr>
      <w:bookmarkStart w:id="40" w:name="_Toc161505610"/>
      <w:bookmarkStart w:id="41" w:name="_Toc70261428"/>
      <w:bookmarkStart w:id="42" w:name="_Toc515729398"/>
      <w:r>
        <w:t>设备监造</w:t>
      </w:r>
      <w:bookmarkEnd w:id="40"/>
      <w:bookmarkEnd w:id="41"/>
      <w:bookmarkEnd w:id="42"/>
    </w:p>
    <w:p>
      <w:pPr>
        <w:rPr>
          <w:rFonts w:cs="Times New Roman"/>
        </w:rPr>
      </w:pPr>
      <w:r>
        <w:rPr>
          <w:rFonts w:cs="Times New Roman"/>
        </w:rPr>
        <w:t>8.2.1 监造依据</w:t>
      </w:r>
    </w:p>
    <w:p>
      <w:pPr>
        <w:ind w:firstLine="480"/>
        <w:rPr>
          <w:rFonts w:cs="Times New Roman"/>
        </w:rPr>
      </w:pPr>
      <w:r>
        <w:rPr>
          <w:rFonts w:cs="Times New Roman"/>
        </w:rPr>
        <w:t>根据本合同的规定，《电力设备监造技术导则》（DL/T 586-2008）和《驻大型电力设备制造厂总代表组工作条例》，以及国家有关部门规定。</w:t>
      </w:r>
    </w:p>
    <w:p>
      <w:pPr>
        <w:rPr>
          <w:rFonts w:cs="Times New Roman"/>
        </w:rPr>
      </w:pPr>
      <w:r>
        <w:rPr>
          <w:rFonts w:cs="Times New Roman"/>
        </w:rPr>
        <w:t>8.2.2 监造方式</w:t>
      </w:r>
    </w:p>
    <w:p>
      <w:pPr>
        <w:ind w:firstLine="480"/>
        <w:rPr>
          <w:rFonts w:cs="Times New Roman"/>
        </w:rPr>
      </w:pPr>
      <w:r>
        <w:rPr>
          <w:rFonts w:cs="Times New Roman"/>
        </w:rPr>
        <w:t>文件见证、现场见证和停工待检，即 R点、W点、H点。每次监造内容完成后，供方和监造代表均须在见证表上履行签字手续。供方复印3份，交监造代表1份。</w:t>
      </w:r>
    </w:p>
    <w:p>
      <w:pPr>
        <w:rPr>
          <w:rFonts w:cs="Times New Roman"/>
        </w:rPr>
      </w:pPr>
      <w:r>
        <w:rPr>
          <w:rFonts w:cs="Times New Roman"/>
        </w:rPr>
        <w:t>8.2.3 监造项目（具体内容供方填写，供方在投标时应在标书中列出，原则上不少于3项，否则视为不合格标，最终内容由需方确定）</w:t>
      </w:r>
    </w:p>
    <w:p>
      <w:pPr>
        <w:tabs>
          <w:tab w:val="left" w:pos="525"/>
        </w:tabs>
        <w:jc w:val="center"/>
        <w:rPr>
          <w:rFonts w:cs="Times New Roman"/>
        </w:rPr>
      </w:pPr>
      <w:r>
        <w:rPr>
          <w:rFonts w:cs="Times New Roman"/>
        </w:rPr>
        <w:t>监造项目表</w:t>
      </w:r>
    </w:p>
    <w:tbl>
      <w:tblPr>
        <w:tblStyle w:val="35"/>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20"/>
        <w:gridCol w:w="4564"/>
        <w:gridCol w:w="491"/>
        <w:gridCol w:w="467"/>
        <w:gridCol w:w="47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815" w:type="dxa"/>
            <w:vMerge w:val="restart"/>
            <w:vAlign w:val="center"/>
          </w:tcPr>
          <w:p>
            <w:pPr>
              <w:snapToGrid w:val="0"/>
              <w:jc w:val="center"/>
              <w:rPr>
                <w:rFonts w:cs="Times New Roman"/>
                <w:szCs w:val="24"/>
              </w:rPr>
            </w:pPr>
            <w:r>
              <w:rPr>
                <w:rFonts w:cs="Times New Roman"/>
                <w:szCs w:val="24"/>
              </w:rPr>
              <w:t>序号</w:t>
            </w:r>
          </w:p>
        </w:tc>
        <w:tc>
          <w:tcPr>
            <w:tcW w:w="1420" w:type="dxa"/>
            <w:vMerge w:val="restart"/>
            <w:vAlign w:val="center"/>
          </w:tcPr>
          <w:p>
            <w:pPr>
              <w:snapToGrid w:val="0"/>
              <w:ind w:left="-269" w:leftChars="-112" w:firstLine="268" w:firstLineChars="112"/>
              <w:jc w:val="center"/>
              <w:rPr>
                <w:rFonts w:cs="Times New Roman"/>
                <w:szCs w:val="24"/>
              </w:rPr>
            </w:pPr>
            <w:r>
              <w:rPr>
                <w:rFonts w:cs="Times New Roman"/>
                <w:szCs w:val="24"/>
              </w:rPr>
              <w:t>部件名称</w:t>
            </w:r>
          </w:p>
        </w:tc>
        <w:tc>
          <w:tcPr>
            <w:tcW w:w="4564" w:type="dxa"/>
            <w:vMerge w:val="restart"/>
            <w:vAlign w:val="center"/>
          </w:tcPr>
          <w:p>
            <w:pPr>
              <w:snapToGrid w:val="0"/>
              <w:jc w:val="center"/>
              <w:rPr>
                <w:rFonts w:cs="Times New Roman"/>
                <w:szCs w:val="24"/>
              </w:rPr>
            </w:pPr>
            <w:r>
              <w:rPr>
                <w:rFonts w:cs="Times New Roman"/>
                <w:szCs w:val="24"/>
              </w:rPr>
              <w:t>见证项目</w:t>
            </w:r>
          </w:p>
        </w:tc>
        <w:tc>
          <w:tcPr>
            <w:tcW w:w="3055" w:type="dxa"/>
            <w:gridSpan w:val="4"/>
            <w:vAlign w:val="center"/>
          </w:tcPr>
          <w:p>
            <w:pPr>
              <w:snapToGrid w:val="0"/>
              <w:jc w:val="center"/>
              <w:rPr>
                <w:rFonts w:cs="Times New Roman"/>
                <w:szCs w:val="24"/>
              </w:rPr>
            </w:pPr>
            <w:r>
              <w:rPr>
                <w:rFonts w:cs="Times New Roman"/>
                <w:szCs w:val="24"/>
              </w:rPr>
              <w:t>见证方式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815" w:type="dxa"/>
            <w:vMerge w:val="continue"/>
            <w:vAlign w:val="center"/>
          </w:tcPr>
          <w:p>
            <w:pPr>
              <w:snapToGrid w:val="0"/>
              <w:jc w:val="center"/>
              <w:rPr>
                <w:rFonts w:cs="Times New Roman"/>
                <w:szCs w:val="24"/>
              </w:rPr>
            </w:pPr>
          </w:p>
        </w:tc>
        <w:tc>
          <w:tcPr>
            <w:tcW w:w="1420" w:type="dxa"/>
            <w:vMerge w:val="continue"/>
            <w:vAlign w:val="center"/>
          </w:tcPr>
          <w:p>
            <w:pPr>
              <w:snapToGrid w:val="0"/>
              <w:jc w:val="center"/>
              <w:rPr>
                <w:rFonts w:cs="Times New Roman"/>
                <w:szCs w:val="24"/>
              </w:rPr>
            </w:pPr>
          </w:p>
        </w:tc>
        <w:tc>
          <w:tcPr>
            <w:tcW w:w="4564" w:type="dxa"/>
            <w:vMerge w:val="continue"/>
            <w:vAlign w:val="center"/>
          </w:tcPr>
          <w:p>
            <w:pPr>
              <w:snapToGrid w:val="0"/>
              <w:jc w:val="center"/>
              <w:rPr>
                <w:rFonts w:cs="Times New Roman"/>
                <w:szCs w:val="24"/>
              </w:rPr>
            </w:pPr>
          </w:p>
        </w:tc>
        <w:tc>
          <w:tcPr>
            <w:tcW w:w="491" w:type="dxa"/>
            <w:vAlign w:val="center"/>
          </w:tcPr>
          <w:p>
            <w:pPr>
              <w:snapToGrid w:val="0"/>
              <w:jc w:val="center"/>
              <w:rPr>
                <w:rFonts w:cs="Times New Roman"/>
                <w:szCs w:val="24"/>
              </w:rPr>
            </w:pPr>
            <w:r>
              <w:rPr>
                <w:rFonts w:cs="Times New Roman"/>
                <w:szCs w:val="24"/>
              </w:rPr>
              <w:t>H</w:t>
            </w:r>
          </w:p>
        </w:tc>
        <w:tc>
          <w:tcPr>
            <w:tcW w:w="467" w:type="dxa"/>
            <w:vAlign w:val="center"/>
          </w:tcPr>
          <w:p>
            <w:pPr>
              <w:snapToGrid w:val="0"/>
              <w:jc w:val="center"/>
              <w:rPr>
                <w:rFonts w:cs="Times New Roman"/>
                <w:szCs w:val="24"/>
              </w:rPr>
            </w:pPr>
            <w:r>
              <w:rPr>
                <w:rFonts w:cs="Times New Roman"/>
                <w:szCs w:val="24"/>
              </w:rPr>
              <w:t>W</w:t>
            </w:r>
          </w:p>
        </w:tc>
        <w:tc>
          <w:tcPr>
            <w:tcW w:w="477" w:type="dxa"/>
            <w:vAlign w:val="center"/>
          </w:tcPr>
          <w:p>
            <w:pPr>
              <w:snapToGrid w:val="0"/>
              <w:jc w:val="center"/>
              <w:rPr>
                <w:rFonts w:cs="Times New Roman"/>
                <w:szCs w:val="24"/>
              </w:rPr>
            </w:pPr>
            <w:r>
              <w:rPr>
                <w:rFonts w:cs="Times New Roman"/>
                <w:szCs w:val="24"/>
              </w:rPr>
              <w:t>R</w:t>
            </w:r>
          </w:p>
        </w:tc>
        <w:tc>
          <w:tcPr>
            <w:tcW w:w="1620" w:type="dxa"/>
            <w:vAlign w:val="center"/>
          </w:tcPr>
          <w:p>
            <w:pPr>
              <w:snapToGrid w:val="0"/>
              <w:jc w:val="center"/>
              <w:rPr>
                <w:rFonts w:cs="Times New Roman"/>
                <w:szCs w:val="24"/>
              </w:rPr>
            </w:pPr>
            <w:r>
              <w:rPr>
                <w:rFonts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Merge w:val="restart"/>
            <w:vAlign w:val="center"/>
          </w:tcPr>
          <w:p>
            <w:pPr>
              <w:snapToGrid w:val="0"/>
              <w:jc w:val="center"/>
              <w:rPr>
                <w:rFonts w:cs="Times New Roman"/>
                <w:szCs w:val="24"/>
              </w:rPr>
            </w:pPr>
            <w:r>
              <w:rPr>
                <w:rFonts w:cs="Times New Roman"/>
                <w:szCs w:val="24"/>
              </w:rPr>
              <w:t>1</w:t>
            </w:r>
          </w:p>
        </w:tc>
        <w:tc>
          <w:tcPr>
            <w:tcW w:w="1420" w:type="dxa"/>
            <w:vMerge w:val="restart"/>
            <w:vAlign w:val="center"/>
          </w:tcPr>
          <w:p>
            <w:pPr>
              <w:snapToGrid w:val="0"/>
              <w:jc w:val="center"/>
              <w:rPr>
                <w:rFonts w:cs="Times New Roman"/>
                <w:szCs w:val="24"/>
              </w:rPr>
            </w:pPr>
            <w:r>
              <w:rPr>
                <w:rFonts w:cs="Times New Roman"/>
                <w:szCs w:val="24"/>
              </w:rPr>
              <w:t>蝶阀</w:t>
            </w:r>
          </w:p>
        </w:tc>
        <w:tc>
          <w:tcPr>
            <w:tcW w:w="4564" w:type="dxa"/>
            <w:vAlign w:val="center"/>
          </w:tcPr>
          <w:p>
            <w:pPr>
              <w:rPr>
                <w:rFonts w:cs="Times New Roman"/>
                <w:szCs w:val="24"/>
              </w:rPr>
            </w:pPr>
            <w:r>
              <w:rPr>
                <w:rFonts w:cs="Times New Roman"/>
                <w:szCs w:val="24"/>
              </w:rPr>
              <w:t>原材料外观、几何尺寸、机械性能、化学成分</w:t>
            </w:r>
          </w:p>
        </w:tc>
        <w:tc>
          <w:tcPr>
            <w:tcW w:w="491" w:type="dxa"/>
          </w:tcPr>
          <w:p>
            <w:pPr>
              <w:snapToGrid w:val="0"/>
              <w:jc w:val="center"/>
              <w:rPr>
                <w:rFonts w:cs="Times New Roman"/>
                <w:szCs w:val="24"/>
              </w:rPr>
            </w:pPr>
          </w:p>
        </w:tc>
        <w:tc>
          <w:tcPr>
            <w:tcW w:w="467" w:type="dxa"/>
          </w:tcPr>
          <w:p>
            <w:pPr>
              <w:snapToGrid w:val="0"/>
              <w:jc w:val="center"/>
              <w:rPr>
                <w:rFonts w:cs="Times New Roman"/>
                <w:szCs w:val="24"/>
              </w:rPr>
            </w:pPr>
          </w:p>
        </w:tc>
        <w:tc>
          <w:tcPr>
            <w:tcW w:w="477" w:type="dxa"/>
          </w:tcPr>
          <w:p>
            <w:pPr>
              <w:snapToGrid w:val="0"/>
              <w:jc w:val="center"/>
              <w:rPr>
                <w:rFonts w:cs="Times New Roman"/>
                <w:szCs w:val="24"/>
              </w:rPr>
            </w:pPr>
            <w:r>
              <w:rPr>
                <w:rFonts w:cs="Times New Roman"/>
                <w:szCs w:val="24"/>
              </w:rPr>
              <w:t>√</w:t>
            </w:r>
          </w:p>
        </w:tc>
        <w:tc>
          <w:tcPr>
            <w:tcW w:w="1620" w:type="dxa"/>
          </w:tcPr>
          <w:p>
            <w:pPr>
              <w:snapToGrid w:val="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Merge w:val="continue"/>
            <w:vAlign w:val="center"/>
          </w:tcPr>
          <w:p>
            <w:pPr>
              <w:snapToGrid w:val="0"/>
              <w:jc w:val="center"/>
              <w:rPr>
                <w:rFonts w:cs="Times New Roman"/>
                <w:szCs w:val="24"/>
              </w:rPr>
            </w:pPr>
          </w:p>
        </w:tc>
        <w:tc>
          <w:tcPr>
            <w:tcW w:w="1420" w:type="dxa"/>
            <w:vMerge w:val="continue"/>
            <w:vAlign w:val="center"/>
          </w:tcPr>
          <w:p>
            <w:pPr>
              <w:snapToGrid w:val="0"/>
              <w:jc w:val="center"/>
              <w:rPr>
                <w:rFonts w:cs="Times New Roman"/>
                <w:szCs w:val="24"/>
              </w:rPr>
            </w:pPr>
          </w:p>
        </w:tc>
        <w:tc>
          <w:tcPr>
            <w:tcW w:w="4564" w:type="dxa"/>
            <w:vAlign w:val="center"/>
          </w:tcPr>
          <w:p>
            <w:pPr>
              <w:rPr>
                <w:rFonts w:cs="Times New Roman"/>
                <w:szCs w:val="24"/>
              </w:rPr>
            </w:pPr>
            <w:r>
              <w:rPr>
                <w:rFonts w:cs="Times New Roman"/>
                <w:szCs w:val="24"/>
              </w:rPr>
              <w:t>焊缝探伤底片</w:t>
            </w:r>
          </w:p>
        </w:tc>
        <w:tc>
          <w:tcPr>
            <w:tcW w:w="491" w:type="dxa"/>
          </w:tcPr>
          <w:p>
            <w:pPr>
              <w:snapToGrid w:val="0"/>
              <w:jc w:val="center"/>
              <w:rPr>
                <w:rFonts w:cs="Times New Roman"/>
                <w:szCs w:val="24"/>
              </w:rPr>
            </w:pPr>
          </w:p>
        </w:tc>
        <w:tc>
          <w:tcPr>
            <w:tcW w:w="467" w:type="dxa"/>
          </w:tcPr>
          <w:p>
            <w:pPr>
              <w:snapToGrid w:val="0"/>
              <w:jc w:val="center"/>
              <w:rPr>
                <w:rFonts w:cs="Times New Roman"/>
                <w:szCs w:val="24"/>
              </w:rPr>
            </w:pPr>
            <w:r>
              <w:rPr>
                <w:rFonts w:cs="Times New Roman"/>
                <w:szCs w:val="24"/>
              </w:rPr>
              <w:t>√</w:t>
            </w:r>
          </w:p>
        </w:tc>
        <w:tc>
          <w:tcPr>
            <w:tcW w:w="477" w:type="dxa"/>
          </w:tcPr>
          <w:p>
            <w:pPr>
              <w:snapToGrid w:val="0"/>
              <w:jc w:val="center"/>
              <w:rPr>
                <w:rFonts w:cs="Times New Roman"/>
                <w:szCs w:val="24"/>
              </w:rPr>
            </w:pPr>
          </w:p>
        </w:tc>
        <w:tc>
          <w:tcPr>
            <w:tcW w:w="1620" w:type="dxa"/>
          </w:tcPr>
          <w:p>
            <w:pPr>
              <w:snapToGrid w:val="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Merge w:val="continue"/>
            <w:vAlign w:val="center"/>
          </w:tcPr>
          <w:p>
            <w:pPr>
              <w:snapToGrid w:val="0"/>
              <w:jc w:val="center"/>
              <w:rPr>
                <w:rFonts w:cs="Times New Roman"/>
                <w:szCs w:val="24"/>
              </w:rPr>
            </w:pPr>
          </w:p>
        </w:tc>
        <w:tc>
          <w:tcPr>
            <w:tcW w:w="1420" w:type="dxa"/>
            <w:vMerge w:val="continue"/>
            <w:vAlign w:val="center"/>
          </w:tcPr>
          <w:p>
            <w:pPr>
              <w:snapToGrid w:val="0"/>
              <w:jc w:val="center"/>
              <w:rPr>
                <w:rFonts w:cs="Times New Roman"/>
                <w:szCs w:val="24"/>
              </w:rPr>
            </w:pPr>
          </w:p>
        </w:tc>
        <w:tc>
          <w:tcPr>
            <w:tcW w:w="4564" w:type="dxa"/>
            <w:vAlign w:val="center"/>
          </w:tcPr>
          <w:p>
            <w:pPr>
              <w:rPr>
                <w:rFonts w:cs="Times New Roman"/>
                <w:szCs w:val="24"/>
              </w:rPr>
            </w:pPr>
            <w:r>
              <w:rPr>
                <w:rFonts w:cs="Times New Roman"/>
                <w:szCs w:val="24"/>
              </w:rPr>
              <w:t>阀门严密性试验</w:t>
            </w:r>
          </w:p>
        </w:tc>
        <w:tc>
          <w:tcPr>
            <w:tcW w:w="491" w:type="dxa"/>
          </w:tcPr>
          <w:p>
            <w:pPr>
              <w:snapToGrid w:val="0"/>
              <w:jc w:val="center"/>
              <w:rPr>
                <w:rFonts w:cs="Times New Roman"/>
                <w:szCs w:val="24"/>
              </w:rPr>
            </w:pPr>
            <w:r>
              <w:rPr>
                <w:rFonts w:cs="Times New Roman"/>
                <w:szCs w:val="24"/>
              </w:rPr>
              <w:t>√</w:t>
            </w:r>
          </w:p>
        </w:tc>
        <w:tc>
          <w:tcPr>
            <w:tcW w:w="467" w:type="dxa"/>
          </w:tcPr>
          <w:p>
            <w:pPr>
              <w:snapToGrid w:val="0"/>
              <w:jc w:val="center"/>
              <w:rPr>
                <w:rFonts w:cs="Times New Roman"/>
                <w:szCs w:val="24"/>
              </w:rPr>
            </w:pPr>
          </w:p>
        </w:tc>
        <w:tc>
          <w:tcPr>
            <w:tcW w:w="477" w:type="dxa"/>
          </w:tcPr>
          <w:p>
            <w:pPr>
              <w:snapToGrid w:val="0"/>
              <w:jc w:val="center"/>
              <w:rPr>
                <w:rFonts w:cs="Times New Roman"/>
                <w:szCs w:val="24"/>
              </w:rPr>
            </w:pPr>
          </w:p>
        </w:tc>
        <w:tc>
          <w:tcPr>
            <w:tcW w:w="1620" w:type="dxa"/>
          </w:tcPr>
          <w:p>
            <w:pPr>
              <w:snapToGrid w:val="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Merge w:val="continue"/>
            <w:vAlign w:val="center"/>
          </w:tcPr>
          <w:p>
            <w:pPr>
              <w:snapToGrid w:val="0"/>
              <w:jc w:val="center"/>
              <w:rPr>
                <w:rFonts w:cs="Times New Roman"/>
                <w:szCs w:val="24"/>
              </w:rPr>
            </w:pPr>
          </w:p>
        </w:tc>
        <w:tc>
          <w:tcPr>
            <w:tcW w:w="1420" w:type="dxa"/>
            <w:vMerge w:val="continue"/>
            <w:vAlign w:val="center"/>
          </w:tcPr>
          <w:p>
            <w:pPr>
              <w:snapToGrid w:val="0"/>
              <w:jc w:val="center"/>
              <w:rPr>
                <w:rFonts w:cs="Times New Roman"/>
                <w:szCs w:val="24"/>
              </w:rPr>
            </w:pPr>
          </w:p>
        </w:tc>
        <w:tc>
          <w:tcPr>
            <w:tcW w:w="4564" w:type="dxa"/>
            <w:vAlign w:val="center"/>
          </w:tcPr>
          <w:p>
            <w:pPr>
              <w:rPr>
                <w:rFonts w:cs="Times New Roman"/>
                <w:szCs w:val="24"/>
              </w:rPr>
            </w:pPr>
            <w:r>
              <w:rPr>
                <w:rFonts w:cs="Times New Roman"/>
                <w:szCs w:val="24"/>
              </w:rPr>
              <w:t>设备本体油漆、包装</w:t>
            </w:r>
          </w:p>
        </w:tc>
        <w:tc>
          <w:tcPr>
            <w:tcW w:w="491" w:type="dxa"/>
          </w:tcPr>
          <w:p>
            <w:pPr>
              <w:snapToGrid w:val="0"/>
              <w:jc w:val="center"/>
              <w:rPr>
                <w:rFonts w:cs="Times New Roman"/>
                <w:szCs w:val="24"/>
              </w:rPr>
            </w:pPr>
          </w:p>
        </w:tc>
        <w:tc>
          <w:tcPr>
            <w:tcW w:w="467" w:type="dxa"/>
          </w:tcPr>
          <w:p>
            <w:pPr>
              <w:snapToGrid w:val="0"/>
              <w:jc w:val="center"/>
              <w:rPr>
                <w:rFonts w:cs="Times New Roman"/>
                <w:szCs w:val="24"/>
              </w:rPr>
            </w:pPr>
          </w:p>
        </w:tc>
        <w:tc>
          <w:tcPr>
            <w:tcW w:w="477" w:type="dxa"/>
          </w:tcPr>
          <w:p>
            <w:pPr>
              <w:snapToGrid w:val="0"/>
              <w:jc w:val="center"/>
              <w:rPr>
                <w:rFonts w:cs="Times New Roman"/>
                <w:szCs w:val="24"/>
              </w:rPr>
            </w:pPr>
            <w:r>
              <w:rPr>
                <w:rFonts w:cs="Times New Roman"/>
                <w:szCs w:val="24"/>
              </w:rPr>
              <w:t>√</w:t>
            </w:r>
          </w:p>
        </w:tc>
        <w:tc>
          <w:tcPr>
            <w:tcW w:w="1620" w:type="dxa"/>
          </w:tcPr>
          <w:p>
            <w:pPr>
              <w:snapToGrid w:val="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Merge w:val="continue"/>
            <w:vAlign w:val="center"/>
          </w:tcPr>
          <w:p>
            <w:pPr>
              <w:snapToGrid w:val="0"/>
              <w:jc w:val="center"/>
              <w:rPr>
                <w:rFonts w:cs="Times New Roman"/>
                <w:szCs w:val="24"/>
              </w:rPr>
            </w:pPr>
          </w:p>
        </w:tc>
        <w:tc>
          <w:tcPr>
            <w:tcW w:w="1420" w:type="dxa"/>
            <w:vMerge w:val="continue"/>
            <w:vAlign w:val="center"/>
          </w:tcPr>
          <w:p>
            <w:pPr>
              <w:snapToGrid w:val="0"/>
              <w:jc w:val="center"/>
              <w:rPr>
                <w:rFonts w:cs="Times New Roman"/>
                <w:szCs w:val="24"/>
              </w:rPr>
            </w:pPr>
          </w:p>
        </w:tc>
        <w:tc>
          <w:tcPr>
            <w:tcW w:w="4564" w:type="dxa"/>
            <w:vAlign w:val="center"/>
          </w:tcPr>
          <w:p>
            <w:pPr>
              <w:rPr>
                <w:rFonts w:cs="Times New Roman"/>
                <w:szCs w:val="24"/>
              </w:rPr>
            </w:pPr>
            <w:r>
              <w:rPr>
                <w:rFonts w:cs="Times New Roman"/>
                <w:szCs w:val="24"/>
              </w:rPr>
              <w:t>设备出厂前整体验收</w:t>
            </w:r>
          </w:p>
        </w:tc>
        <w:tc>
          <w:tcPr>
            <w:tcW w:w="491" w:type="dxa"/>
          </w:tcPr>
          <w:p>
            <w:pPr>
              <w:snapToGrid w:val="0"/>
              <w:jc w:val="center"/>
              <w:rPr>
                <w:rFonts w:cs="Times New Roman"/>
                <w:szCs w:val="24"/>
              </w:rPr>
            </w:pPr>
          </w:p>
        </w:tc>
        <w:tc>
          <w:tcPr>
            <w:tcW w:w="467" w:type="dxa"/>
          </w:tcPr>
          <w:p>
            <w:pPr>
              <w:snapToGrid w:val="0"/>
              <w:jc w:val="center"/>
              <w:rPr>
                <w:rFonts w:cs="Times New Roman"/>
                <w:szCs w:val="24"/>
              </w:rPr>
            </w:pPr>
            <w:r>
              <w:rPr>
                <w:rFonts w:cs="Times New Roman"/>
                <w:szCs w:val="24"/>
              </w:rPr>
              <w:t>√</w:t>
            </w:r>
          </w:p>
        </w:tc>
        <w:tc>
          <w:tcPr>
            <w:tcW w:w="477" w:type="dxa"/>
          </w:tcPr>
          <w:p>
            <w:pPr>
              <w:snapToGrid w:val="0"/>
              <w:jc w:val="center"/>
              <w:rPr>
                <w:rFonts w:cs="Times New Roman"/>
                <w:szCs w:val="24"/>
              </w:rPr>
            </w:pPr>
          </w:p>
        </w:tc>
        <w:tc>
          <w:tcPr>
            <w:tcW w:w="1620" w:type="dxa"/>
          </w:tcPr>
          <w:p>
            <w:pPr>
              <w:snapToGrid w:val="0"/>
              <w:jc w:val="center"/>
              <w:rPr>
                <w:rFonts w:cs="Times New Roman"/>
                <w:szCs w:val="24"/>
              </w:rPr>
            </w:pPr>
          </w:p>
        </w:tc>
      </w:tr>
    </w:tbl>
    <w:p>
      <w:pPr>
        <w:rPr>
          <w:rFonts w:cs="Times New Roman"/>
          <w:szCs w:val="24"/>
        </w:rPr>
      </w:pPr>
      <w:r>
        <w:rPr>
          <w:rFonts w:cs="Times New Roman"/>
        </w:rPr>
        <w:t>8.2.3 监造</w:t>
      </w:r>
      <w:r>
        <w:rPr>
          <w:rFonts w:cs="Times New Roman"/>
          <w:szCs w:val="24"/>
        </w:rPr>
        <w:t>内容</w:t>
      </w:r>
    </w:p>
    <w:p>
      <w:pPr>
        <w:ind w:firstLine="480" w:firstLineChars="200"/>
        <w:rPr>
          <w:rFonts w:cs="Times New Roman"/>
        </w:rPr>
      </w:pPr>
      <w:r>
        <w:rPr>
          <w:rFonts w:cs="Times New Roman"/>
        </w:rPr>
        <w:t>（1）供方有配合电厂和需方监造的义务，并及时提供相关资料，并不由此发生任何费用。</w:t>
      </w:r>
    </w:p>
    <w:p>
      <w:pPr>
        <w:ind w:firstLine="480" w:firstLineChars="200"/>
        <w:rPr>
          <w:rFonts w:cs="Times New Roman"/>
        </w:rPr>
      </w:pPr>
      <w:r>
        <w:rPr>
          <w:rFonts w:cs="Times New Roman"/>
        </w:rPr>
        <w:t>（2）提前10天将设备监造项目及检验时间通知电厂和需方监造代表和电厂和需方，监造项目和方式由供方、需方和电厂三方协商确定；</w:t>
      </w:r>
    </w:p>
    <w:p>
      <w:pPr>
        <w:ind w:firstLine="480" w:firstLineChars="200"/>
        <w:rPr>
          <w:rFonts w:cs="Times New Roman"/>
        </w:rPr>
      </w:pPr>
      <w:r>
        <w:rPr>
          <w:rFonts w:cs="Times New Roman"/>
        </w:rPr>
        <w:t>（3）需方人员在监造过程中如发现设备和材料缺陷或不符合规定的标准要求时，需方有权提出意见，供方应采取相应改进措施，以保证设备质量。无论需方是否要求和知道，供方均应主动及时向需方提供合同设备制造过程中出现的较大的质量缺陷和问题，不得隐瞒。在需方不知道的情况下供方不得擅自处理。</w:t>
      </w:r>
    </w:p>
    <w:p>
      <w:pPr>
        <w:numPr>
          <w:ilvl w:val="2"/>
          <w:numId w:val="6"/>
        </w:numPr>
        <w:rPr>
          <w:rFonts w:cs="Times New Roman"/>
        </w:rPr>
      </w:pPr>
      <w:r>
        <w:rPr>
          <w:rFonts w:cs="Times New Roman"/>
        </w:rPr>
        <w:t>对供方配合监造的要求</w:t>
      </w:r>
    </w:p>
    <w:p>
      <w:pPr>
        <w:numPr>
          <w:ilvl w:val="3"/>
          <w:numId w:val="6"/>
        </w:numPr>
        <w:rPr>
          <w:rFonts w:cs="Times New Roman"/>
        </w:rPr>
      </w:pPr>
      <w:r>
        <w:rPr>
          <w:rFonts w:cs="Times New Roman"/>
        </w:rPr>
        <w:t>供方为现场监造人员提供配合。</w:t>
      </w:r>
    </w:p>
    <w:p>
      <w:pPr>
        <w:rPr>
          <w:rFonts w:cs="Times New Roman"/>
        </w:rPr>
      </w:pPr>
      <w:r>
        <w:rPr>
          <w:rFonts w:cs="Times New Roman"/>
        </w:rPr>
        <w:t>8.2.4.2 需方监造代表和采购方有权通过供方有关部门查（借）阅合同与本合同设备有关的标准、图纸、资料、工艺及检验记录（包括之间检验记录），如采购方认为有必要复印，供方应提方便。</w:t>
      </w:r>
    </w:p>
    <w:p>
      <w:pPr>
        <w:rPr>
          <w:rFonts w:cs="Times New Roman"/>
        </w:rPr>
      </w:pPr>
      <w:r>
        <w:rPr>
          <w:rFonts w:cs="Times New Roman"/>
        </w:rPr>
        <w:t>8.2.4.3需方监造人员在监造过程中如发现设备和材料缺陷或不符合规定的标准要求时，有权提出意见，供方应采取相应改进措施，以保证设备质量。无论需方是否要求和知道，供方均应主动及时向需方提供合同设备制造过程中出现的较大的质量缺陷和问题，不得隐瞒。在需方不知道的情况下供方不得擅自处理。</w:t>
      </w:r>
    </w:p>
    <w:p>
      <w:pPr>
        <w:pStyle w:val="3"/>
        <w:numPr>
          <w:ilvl w:val="1"/>
          <w:numId w:val="3"/>
        </w:numPr>
        <w:tabs>
          <w:tab w:val="left" w:pos="360"/>
        </w:tabs>
      </w:pPr>
      <w:bookmarkStart w:id="43" w:name="_Toc447811364"/>
      <w:bookmarkStart w:id="44" w:name="_Toc70261429"/>
      <w:bookmarkStart w:id="45" w:name="_Toc447820238"/>
      <w:bookmarkStart w:id="46" w:name="_Toc16686232"/>
      <w:r>
        <w:t>性能验收试验</w:t>
      </w:r>
      <w:bookmarkEnd w:id="43"/>
      <w:bookmarkEnd w:id="44"/>
      <w:bookmarkEnd w:id="45"/>
      <w:bookmarkEnd w:id="46"/>
    </w:p>
    <w:p>
      <w:pPr>
        <w:rPr>
          <w:rFonts w:cs="Times New Roman"/>
        </w:rPr>
      </w:pPr>
      <w:r>
        <w:rPr>
          <w:rFonts w:cs="Times New Roman"/>
        </w:rPr>
        <w:t>8.3.1性能验收试验的目的为了检验合同设备的所有性能是否符合技术协议中有关条款内容的要求。</w:t>
      </w:r>
    </w:p>
    <w:p>
      <w:pPr>
        <w:rPr>
          <w:rFonts w:cs="Times New Roman"/>
        </w:rPr>
      </w:pPr>
      <w:r>
        <w:rPr>
          <w:rFonts w:cs="Times New Roman"/>
        </w:rPr>
        <w:t>8.3.2性能验收试验的地点由合同确定，一般为需方现场。</w:t>
      </w:r>
    </w:p>
    <w:p>
      <w:pPr>
        <w:rPr>
          <w:rFonts w:cs="Times New Roman"/>
        </w:rPr>
      </w:pPr>
      <w:r>
        <w:rPr>
          <w:rFonts w:cs="Times New Roman"/>
        </w:rPr>
        <w:t>8.3.3性能试验的时间：投汽生产试运之后3个月内进行，具体试验时间由买供方协商确定。</w:t>
      </w:r>
    </w:p>
    <w:p>
      <w:pPr>
        <w:rPr>
          <w:rFonts w:cs="Times New Roman"/>
        </w:rPr>
      </w:pPr>
      <w:r>
        <w:rPr>
          <w:rFonts w:cs="Times New Roman"/>
        </w:rPr>
        <w:t>8.3.4 性能验收试验所需的测点、一次元件和就地仪表的装设应由组织方提供，参加方配合； 并应符合有关规程、规范和标准的规定，并经需方确认。供方也要提供试验所需的技术配合和人员配合。</w:t>
      </w:r>
    </w:p>
    <w:p>
      <w:pPr>
        <w:pStyle w:val="3"/>
        <w:numPr>
          <w:ilvl w:val="1"/>
          <w:numId w:val="7"/>
        </w:numPr>
        <w:tabs>
          <w:tab w:val="left" w:pos="360"/>
        </w:tabs>
      </w:pPr>
      <w:bookmarkStart w:id="47" w:name="_Toc161505611"/>
      <w:r>
        <w:t>制造、安装和性能验收试验的内容:</w:t>
      </w:r>
      <w:bookmarkEnd w:id="47"/>
    </w:p>
    <w:p>
      <w:pPr>
        <w:numPr>
          <w:ilvl w:val="2"/>
          <w:numId w:val="7"/>
        </w:numPr>
        <w:rPr>
          <w:rFonts w:cs="Times New Roman"/>
        </w:rPr>
      </w:pPr>
      <w:r>
        <w:rPr>
          <w:rFonts w:cs="Times New Roman"/>
        </w:rPr>
        <w:t>材料试验</w:t>
      </w:r>
    </w:p>
    <w:p>
      <w:pPr>
        <w:ind w:firstLine="360" w:firstLineChars="150"/>
        <w:rPr>
          <w:rFonts w:cs="Times New Roman"/>
        </w:rPr>
      </w:pPr>
      <w:r>
        <w:rPr>
          <w:rFonts w:cs="Times New Roman"/>
        </w:rPr>
        <w:t>设备材料应进行理化性能试验。</w:t>
      </w:r>
    </w:p>
    <w:p>
      <w:pPr>
        <w:numPr>
          <w:ilvl w:val="2"/>
          <w:numId w:val="7"/>
        </w:numPr>
        <w:rPr>
          <w:rFonts w:cs="Times New Roman"/>
        </w:rPr>
      </w:pPr>
      <w:r>
        <w:rPr>
          <w:rFonts w:cs="Times New Roman"/>
        </w:rPr>
        <w:t>工厂试验</w:t>
      </w:r>
    </w:p>
    <w:p>
      <w:pPr>
        <w:ind w:firstLine="360" w:firstLineChars="150"/>
        <w:rPr>
          <w:rFonts w:cs="Times New Roman"/>
        </w:rPr>
      </w:pPr>
      <w:r>
        <w:rPr>
          <w:rFonts w:cs="Times New Roman"/>
        </w:rPr>
        <w:t>供方应进行所有必要的工厂试验。</w:t>
      </w:r>
    </w:p>
    <w:p>
      <w:pPr>
        <w:numPr>
          <w:ilvl w:val="2"/>
          <w:numId w:val="7"/>
        </w:numPr>
        <w:rPr>
          <w:rFonts w:cs="Times New Roman"/>
        </w:rPr>
      </w:pPr>
      <w:r>
        <w:rPr>
          <w:rFonts w:cs="Times New Roman"/>
        </w:rPr>
        <w:t>现场试验</w:t>
      </w:r>
    </w:p>
    <w:p>
      <w:pPr>
        <w:rPr>
          <w:rFonts w:cs="Times New Roman"/>
        </w:rPr>
      </w:pPr>
      <w:r>
        <w:rPr>
          <w:rFonts w:cs="Times New Roman"/>
        </w:rPr>
        <w:t>（1）供方应满足需方提出的设计要求，并能在设计条件下长期安全运行。</w:t>
      </w:r>
    </w:p>
    <w:p>
      <w:pPr>
        <w:numPr>
          <w:ilvl w:val="0"/>
          <w:numId w:val="8"/>
        </w:numPr>
        <w:rPr>
          <w:rFonts w:cs="Times New Roman"/>
        </w:rPr>
      </w:pPr>
      <w:r>
        <w:rPr>
          <w:rFonts w:cs="Times New Roman"/>
        </w:rPr>
        <w:t>在进行这些试验的时候，供方派人到现场帮助，指导解决试验暴露的缺陷。</w:t>
      </w:r>
    </w:p>
    <w:p>
      <w:pPr>
        <w:pStyle w:val="3"/>
        <w:numPr>
          <w:ilvl w:val="1"/>
          <w:numId w:val="3"/>
        </w:numPr>
        <w:tabs>
          <w:tab w:val="left" w:pos="360"/>
        </w:tabs>
      </w:pPr>
      <w:r>
        <w:t>性能验收试验由需方主持，供方参加。试验大纲由需方提供，与供方讨论后确定。具体试验由双方认可的测试部门完成。如试验在现场进行，需方负责组织和实施，供方进行配合；如试验在工厂进行，试验所需的人力和财力等由供方提供。</w:t>
      </w:r>
    </w:p>
    <w:p>
      <w:pPr>
        <w:pStyle w:val="3"/>
        <w:numPr>
          <w:ilvl w:val="0"/>
          <w:numId w:val="0"/>
        </w:numPr>
      </w:pPr>
      <w:bookmarkStart w:id="48" w:name="_Toc161505612"/>
      <w:r>
        <w:t>8.6 性能验收试验结果的确认</w:t>
      </w:r>
      <w:bookmarkEnd w:id="48"/>
    </w:p>
    <w:p>
      <w:pPr>
        <w:ind w:firstLine="360" w:firstLineChars="150"/>
        <w:rPr>
          <w:rFonts w:cs="Times New Roman"/>
        </w:rPr>
      </w:pPr>
      <w:r>
        <w:rPr>
          <w:rFonts w:cs="Times New Roman"/>
        </w:rPr>
        <w:t>性能验收试验报告由测试单位编写，报告结论招投标双方均应承认。如双方对试验的结果有不一致意见，双方协商解决；如仍不能达成一致，则提交双方上级部门协商。</w:t>
      </w:r>
    </w:p>
    <w:p>
      <w:pPr>
        <w:ind w:firstLine="360" w:firstLineChars="150"/>
        <w:rPr>
          <w:rFonts w:cs="Times New Roman"/>
        </w:rPr>
      </w:pPr>
      <w:r>
        <w:rPr>
          <w:rFonts w:cs="Times New Roman"/>
        </w:rPr>
        <w:t>进行性能验收试验时，一方接到另一方试验通知而不派人参加试验，则被视为对验收试验结果的同意。</w:t>
      </w:r>
    </w:p>
    <w:p>
      <w:pPr>
        <w:rPr>
          <w:rFonts w:cs="Times New Roman"/>
        </w:rPr>
      </w:pPr>
      <w:r>
        <w:rPr>
          <w:rFonts w:cs="Times New Roman"/>
        </w:rPr>
        <w:t>8.7 如果由于供方责任，在经第二次性能验收试验后，合同设备仍不能达到本技术协议书所规定的一项或多项保证指标时，供方应按下述规定向需方支付性能保证违约金。</w:t>
      </w:r>
    </w:p>
    <w:p>
      <w:pPr>
        <w:rPr>
          <w:rFonts w:cs="Times New Roman"/>
        </w:rPr>
      </w:pPr>
    </w:p>
    <w:p>
      <w:pPr>
        <w:pStyle w:val="2"/>
        <w:keepNext/>
        <w:keepLines/>
        <w:numPr>
          <w:ilvl w:val="0"/>
          <w:numId w:val="3"/>
        </w:numPr>
        <w:tabs>
          <w:tab w:val="left" w:pos="360"/>
        </w:tabs>
        <w:adjustRightInd w:val="0"/>
        <w:spacing w:before="120" w:beforeLines="50" w:after="156"/>
        <w:textAlignment w:val="baseline"/>
      </w:pPr>
      <w:bookmarkStart w:id="49" w:name="_Toc161505613"/>
      <w:r>
        <w:t>供方现场技术服务</w:t>
      </w:r>
      <w:bookmarkEnd w:id="49"/>
    </w:p>
    <w:p>
      <w:pPr>
        <w:pStyle w:val="3"/>
        <w:numPr>
          <w:ilvl w:val="1"/>
          <w:numId w:val="3"/>
        </w:numPr>
        <w:tabs>
          <w:tab w:val="left" w:pos="360"/>
        </w:tabs>
      </w:pPr>
      <w:r>
        <w:t>技术服务·内容</w:t>
      </w:r>
    </w:p>
    <w:p>
      <w:pPr>
        <w:pStyle w:val="12"/>
      </w:pPr>
      <w:r>
        <w:t>供方现场服务人员应指导供方负责范围内供热组件安装、调试和使用。供方要派合格的人员进行现场服务。</w:t>
      </w:r>
    </w:p>
    <w:p>
      <w:pPr>
        <w:pStyle w:val="4"/>
        <w:numPr>
          <w:ilvl w:val="2"/>
          <w:numId w:val="3"/>
        </w:numPr>
        <w:tabs>
          <w:tab w:val="left" w:pos="360"/>
        </w:tabs>
        <w:snapToGrid/>
      </w:pPr>
      <w:r>
        <w:t>安装指导</w:t>
      </w:r>
    </w:p>
    <w:p>
      <w:pPr>
        <w:tabs>
          <w:tab w:val="left" w:pos="0"/>
          <w:tab w:val="left" w:pos="426"/>
        </w:tabs>
        <w:ind w:firstLine="480" w:firstLineChars="200"/>
        <w:rPr>
          <w:rFonts w:cs="Times New Roman"/>
        </w:rPr>
      </w:pPr>
      <w:r>
        <w:rPr>
          <w:rFonts w:cs="Times New Roman"/>
        </w:rPr>
        <w:t>在供方负责范围内供热组件安装阶段，供方应委派有资格的经电厂确认的工地代表提供技术服务。工作期间，若电厂认为工地代表不能满足工作需要，电厂有权提出更换工地代表，其发生的费用由供方自理。</w:t>
      </w:r>
    </w:p>
    <w:p>
      <w:pPr>
        <w:tabs>
          <w:tab w:val="left" w:pos="0"/>
          <w:tab w:val="left" w:pos="426"/>
        </w:tabs>
        <w:ind w:firstLine="480" w:firstLineChars="200"/>
        <w:rPr>
          <w:rFonts w:cs="Times New Roman"/>
        </w:rPr>
      </w:pPr>
      <w:r>
        <w:rPr>
          <w:rFonts w:cs="Times New Roman"/>
        </w:rPr>
        <w:t>现场代表还应提供必要的的现场设计，协助电厂在运输、安装过程中核对和检验催化剂，解决与供方的分包商和电厂的接口工作。</w:t>
      </w:r>
    </w:p>
    <w:p>
      <w:pPr>
        <w:tabs>
          <w:tab w:val="left" w:pos="0"/>
          <w:tab w:val="left" w:pos="426"/>
        </w:tabs>
        <w:ind w:firstLine="480" w:firstLineChars="200"/>
        <w:rPr>
          <w:rFonts w:cs="Times New Roman"/>
        </w:rPr>
      </w:pPr>
      <w:r>
        <w:rPr>
          <w:rFonts w:cs="Times New Roman"/>
        </w:rPr>
        <w:t>供方应具体确定工地代表的人天数及时间的安排，并写进报价书中，列出单价和分项报价。</w:t>
      </w:r>
    </w:p>
    <w:p>
      <w:pPr>
        <w:tabs>
          <w:tab w:val="left" w:pos="0"/>
          <w:tab w:val="left" w:pos="426"/>
        </w:tabs>
        <w:ind w:firstLine="480" w:firstLineChars="200"/>
        <w:rPr>
          <w:rFonts w:cs="Times New Roman"/>
        </w:rPr>
      </w:pPr>
      <w:r>
        <w:rPr>
          <w:rFonts w:cs="Times New Roman"/>
        </w:rPr>
        <w:t>供方所派现场服务人员一定是能胜任工作的技术人员，能够在现场有效地工作。若因供方技术人员原因未完成工地工作，应由供方负责。</w:t>
      </w:r>
    </w:p>
    <w:p>
      <w:pPr>
        <w:tabs>
          <w:tab w:val="left" w:pos="0"/>
          <w:tab w:val="left" w:pos="426"/>
        </w:tabs>
        <w:rPr>
          <w:rFonts w:cs="Times New Roman"/>
        </w:rPr>
      </w:pPr>
      <w:r>
        <w:rPr>
          <w:rFonts w:cs="Times New Roman"/>
        </w:rPr>
        <w:t>供方技术人员在现场工作内容如下所示：</w:t>
      </w:r>
    </w:p>
    <w:p>
      <w:pPr>
        <w:numPr>
          <w:ilvl w:val="0"/>
          <w:numId w:val="9"/>
        </w:numPr>
        <w:tabs>
          <w:tab w:val="left" w:pos="426"/>
        </w:tabs>
        <w:ind w:left="480" w:leftChars="200" w:firstLine="160" w:firstLineChars="67"/>
        <w:rPr>
          <w:rFonts w:cs="Times New Roman"/>
        </w:rPr>
      </w:pPr>
      <w:r>
        <w:rPr>
          <w:rFonts w:cs="Times New Roman"/>
        </w:rPr>
        <w:t>指导现场安装人员安装供方负责范围内供热组件。</w:t>
      </w:r>
    </w:p>
    <w:p>
      <w:pPr>
        <w:numPr>
          <w:ilvl w:val="0"/>
          <w:numId w:val="9"/>
        </w:numPr>
        <w:tabs>
          <w:tab w:val="left" w:pos="426"/>
        </w:tabs>
        <w:ind w:left="480" w:leftChars="200" w:firstLine="160" w:firstLineChars="67"/>
        <w:rPr>
          <w:rFonts w:cs="Times New Roman"/>
        </w:rPr>
      </w:pPr>
      <w:r>
        <w:rPr>
          <w:rFonts w:cs="Times New Roman"/>
        </w:rPr>
        <w:t>按工程进度要求，指导电厂（或其承包方）进行调试，直至能够投运并经过168小时连续试运转，经电厂验收合格为止。</w:t>
      </w:r>
    </w:p>
    <w:p>
      <w:pPr>
        <w:numPr>
          <w:ilvl w:val="0"/>
          <w:numId w:val="9"/>
        </w:numPr>
        <w:tabs>
          <w:tab w:val="left" w:pos="426"/>
        </w:tabs>
        <w:ind w:left="480" w:leftChars="200" w:firstLine="160" w:firstLineChars="67"/>
        <w:rPr>
          <w:rFonts w:cs="Times New Roman"/>
        </w:rPr>
      </w:pPr>
      <w:r>
        <w:rPr>
          <w:rFonts w:cs="Times New Roman"/>
        </w:rPr>
        <w:t>若发现现场设备缺损（运输或装箱所致）、设备性能不能满足控制要求，应及时无偿更换。</w:t>
      </w:r>
    </w:p>
    <w:p>
      <w:pPr>
        <w:pStyle w:val="4"/>
        <w:numPr>
          <w:ilvl w:val="2"/>
          <w:numId w:val="3"/>
        </w:numPr>
        <w:tabs>
          <w:tab w:val="left" w:pos="360"/>
        </w:tabs>
        <w:snapToGrid/>
      </w:pPr>
      <w:r>
        <w:t>调试</w:t>
      </w:r>
    </w:p>
    <w:p>
      <w:pPr>
        <w:tabs>
          <w:tab w:val="left" w:pos="0"/>
          <w:tab w:val="left" w:pos="426"/>
        </w:tabs>
        <w:ind w:firstLine="480" w:firstLineChars="200"/>
        <w:rPr>
          <w:rFonts w:cs="Times New Roman"/>
        </w:rPr>
      </w:pPr>
      <w:r>
        <w:rPr>
          <w:rFonts w:cs="Times New Roman"/>
        </w:rPr>
        <w:t>供方负责范围内供热组件安装完毕后，由电厂（或其承包方）负责全部调试工作，供方提供供方负责范围内供热组件调试说明，并负责调试中出现的问题、解决的方案及结果进行书面记录，并提交给电厂。</w:t>
      </w:r>
    </w:p>
    <w:p>
      <w:pPr>
        <w:pStyle w:val="4"/>
        <w:numPr>
          <w:ilvl w:val="2"/>
          <w:numId w:val="3"/>
        </w:numPr>
        <w:tabs>
          <w:tab w:val="left" w:pos="360"/>
        </w:tabs>
        <w:snapToGrid/>
      </w:pPr>
      <w:r>
        <w:t>性能验收试验</w:t>
      </w:r>
    </w:p>
    <w:p>
      <w:pPr>
        <w:pStyle w:val="12"/>
      </w:pPr>
      <w:r>
        <w:t>性能验收试验应在机组全部设备运转稳定，达到额定出力连续稳定运行进行，这项验收试验由电厂指定的有资质的单位进行，费用由电厂负责，供方应派遣技术人员参加由电厂组织的性能考核试验，若因供方原因未派遣技术人员参加，则视为对试验结果的认同。</w:t>
      </w:r>
    </w:p>
    <w:p>
      <w:pPr>
        <w:pStyle w:val="3"/>
        <w:numPr>
          <w:ilvl w:val="1"/>
          <w:numId w:val="3"/>
        </w:numPr>
        <w:tabs>
          <w:tab w:val="left" w:pos="360"/>
        </w:tabs>
      </w:pPr>
      <w:r>
        <w:t>现场服务人员资质</w:t>
      </w:r>
    </w:p>
    <w:p>
      <w:pPr>
        <w:pStyle w:val="4"/>
        <w:numPr>
          <w:ilvl w:val="2"/>
          <w:numId w:val="3"/>
        </w:numPr>
        <w:tabs>
          <w:tab w:val="left" w:pos="360"/>
        </w:tabs>
        <w:snapToGrid/>
      </w:pPr>
      <w:r>
        <w:t>现场服务计划</w:t>
      </w:r>
    </w:p>
    <w:p>
      <w:pPr>
        <w:tabs>
          <w:tab w:val="left" w:pos="0"/>
          <w:tab w:val="left" w:pos="426"/>
        </w:tabs>
        <w:rPr>
          <w:rFonts w:cs="Times New Roman"/>
        </w:rPr>
      </w:pPr>
      <w:r>
        <w:rPr>
          <w:rFonts w:cs="Times New Roman"/>
        </w:rPr>
        <w:t>在投标阶段应提供包括服务人日数的现场服务计划表，见下表</w:t>
      </w:r>
    </w:p>
    <w:tbl>
      <w:tblPr>
        <w:tblStyle w:val="35"/>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
        <w:gridCol w:w="1984"/>
        <w:gridCol w:w="1561"/>
        <w:gridCol w:w="1964"/>
        <w:gridCol w:w="1966"/>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867" w:type="dxa"/>
            <w:vMerge w:val="restart"/>
            <w:vAlign w:val="center"/>
          </w:tcPr>
          <w:p>
            <w:pPr>
              <w:tabs>
                <w:tab w:val="left" w:pos="0"/>
              </w:tabs>
              <w:spacing w:line="240" w:lineRule="auto"/>
              <w:rPr>
                <w:rFonts w:cs="Times New Roman"/>
                <w:sz w:val="21"/>
                <w:szCs w:val="21"/>
              </w:rPr>
            </w:pPr>
            <w:r>
              <w:rPr>
                <w:rFonts w:cs="Times New Roman"/>
                <w:sz w:val="21"/>
                <w:szCs w:val="21"/>
              </w:rPr>
              <w:t>序号</w:t>
            </w:r>
          </w:p>
        </w:tc>
        <w:tc>
          <w:tcPr>
            <w:tcW w:w="1984" w:type="dxa"/>
            <w:vMerge w:val="restart"/>
            <w:vAlign w:val="center"/>
          </w:tcPr>
          <w:p>
            <w:pPr>
              <w:tabs>
                <w:tab w:val="left" w:pos="0"/>
              </w:tabs>
              <w:spacing w:line="240" w:lineRule="auto"/>
              <w:rPr>
                <w:rFonts w:cs="Times New Roman"/>
                <w:sz w:val="21"/>
                <w:szCs w:val="21"/>
              </w:rPr>
            </w:pPr>
            <w:r>
              <w:rPr>
                <w:rFonts w:cs="Times New Roman"/>
                <w:sz w:val="21"/>
                <w:szCs w:val="21"/>
              </w:rPr>
              <w:t>技术服务内容</w:t>
            </w:r>
          </w:p>
        </w:tc>
        <w:tc>
          <w:tcPr>
            <w:tcW w:w="1561" w:type="dxa"/>
            <w:vMerge w:val="restart"/>
            <w:vAlign w:val="center"/>
          </w:tcPr>
          <w:p>
            <w:pPr>
              <w:tabs>
                <w:tab w:val="left" w:pos="0"/>
              </w:tabs>
              <w:spacing w:line="240" w:lineRule="auto"/>
              <w:rPr>
                <w:rFonts w:cs="Times New Roman"/>
                <w:sz w:val="21"/>
                <w:szCs w:val="21"/>
              </w:rPr>
            </w:pPr>
            <w:r>
              <w:rPr>
                <w:rFonts w:cs="Times New Roman"/>
                <w:sz w:val="21"/>
                <w:szCs w:val="21"/>
              </w:rPr>
              <w:t>计划人日数</w:t>
            </w:r>
          </w:p>
        </w:tc>
        <w:tc>
          <w:tcPr>
            <w:tcW w:w="3930" w:type="dxa"/>
            <w:gridSpan w:val="2"/>
            <w:vAlign w:val="center"/>
          </w:tcPr>
          <w:p>
            <w:pPr>
              <w:tabs>
                <w:tab w:val="left" w:pos="0"/>
              </w:tabs>
              <w:spacing w:line="240" w:lineRule="auto"/>
              <w:rPr>
                <w:rFonts w:cs="Times New Roman"/>
                <w:sz w:val="21"/>
                <w:szCs w:val="21"/>
              </w:rPr>
            </w:pPr>
            <w:r>
              <w:rPr>
                <w:rFonts w:cs="Times New Roman"/>
                <w:sz w:val="21"/>
                <w:szCs w:val="21"/>
              </w:rPr>
              <w:t>派出人员构成</w:t>
            </w:r>
          </w:p>
        </w:tc>
        <w:tc>
          <w:tcPr>
            <w:tcW w:w="785" w:type="dxa"/>
            <w:vMerge w:val="restart"/>
            <w:vAlign w:val="center"/>
          </w:tcPr>
          <w:p>
            <w:pPr>
              <w:tabs>
                <w:tab w:val="left" w:pos="0"/>
              </w:tabs>
              <w:spacing w:line="240" w:lineRule="auto"/>
              <w:rPr>
                <w:rFonts w:cs="Times New Roman"/>
                <w:sz w:val="21"/>
                <w:szCs w:val="21"/>
              </w:rPr>
            </w:pPr>
            <w:r>
              <w:rPr>
                <w:rFonts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867" w:type="dxa"/>
            <w:vMerge w:val="continue"/>
            <w:vAlign w:val="center"/>
          </w:tcPr>
          <w:p>
            <w:pPr>
              <w:tabs>
                <w:tab w:val="left" w:pos="0"/>
              </w:tabs>
              <w:spacing w:line="240" w:lineRule="auto"/>
              <w:rPr>
                <w:rFonts w:cs="Times New Roman"/>
                <w:sz w:val="21"/>
                <w:szCs w:val="21"/>
              </w:rPr>
            </w:pPr>
          </w:p>
        </w:tc>
        <w:tc>
          <w:tcPr>
            <w:tcW w:w="1984" w:type="dxa"/>
            <w:vMerge w:val="continue"/>
            <w:vAlign w:val="center"/>
          </w:tcPr>
          <w:p>
            <w:pPr>
              <w:tabs>
                <w:tab w:val="left" w:pos="0"/>
              </w:tabs>
              <w:spacing w:line="240" w:lineRule="auto"/>
              <w:rPr>
                <w:rFonts w:cs="Times New Roman"/>
                <w:sz w:val="21"/>
                <w:szCs w:val="21"/>
              </w:rPr>
            </w:pPr>
          </w:p>
        </w:tc>
        <w:tc>
          <w:tcPr>
            <w:tcW w:w="1561" w:type="dxa"/>
            <w:vMerge w:val="continue"/>
            <w:vAlign w:val="center"/>
          </w:tcPr>
          <w:p>
            <w:pPr>
              <w:tabs>
                <w:tab w:val="left" w:pos="0"/>
              </w:tabs>
              <w:spacing w:line="240" w:lineRule="auto"/>
              <w:rPr>
                <w:rFonts w:cs="Times New Roman"/>
                <w:sz w:val="21"/>
                <w:szCs w:val="21"/>
              </w:rPr>
            </w:pPr>
          </w:p>
        </w:tc>
        <w:tc>
          <w:tcPr>
            <w:tcW w:w="1964" w:type="dxa"/>
            <w:vAlign w:val="center"/>
          </w:tcPr>
          <w:p>
            <w:pPr>
              <w:tabs>
                <w:tab w:val="left" w:pos="0"/>
              </w:tabs>
              <w:spacing w:line="240" w:lineRule="auto"/>
              <w:rPr>
                <w:rFonts w:cs="Times New Roman"/>
                <w:sz w:val="21"/>
                <w:szCs w:val="21"/>
              </w:rPr>
            </w:pPr>
            <w:r>
              <w:rPr>
                <w:rFonts w:cs="Times New Roman"/>
                <w:sz w:val="21"/>
                <w:szCs w:val="21"/>
              </w:rPr>
              <w:t>职称</w:t>
            </w:r>
          </w:p>
        </w:tc>
        <w:tc>
          <w:tcPr>
            <w:tcW w:w="1966" w:type="dxa"/>
            <w:vAlign w:val="center"/>
          </w:tcPr>
          <w:p>
            <w:pPr>
              <w:tabs>
                <w:tab w:val="left" w:pos="0"/>
              </w:tabs>
              <w:spacing w:line="240" w:lineRule="auto"/>
              <w:rPr>
                <w:rFonts w:cs="Times New Roman"/>
                <w:sz w:val="21"/>
                <w:szCs w:val="21"/>
              </w:rPr>
            </w:pPr>
            <w:r>
              <w:rPr>
                <w:rFonts w:cs="Times New Roman"/>
                <w:sz w:val="21"/>
                <w:szCs w:val="21"/>
              </w:rPr>
              <w:t>人数</w:t>
            </w:r>
          </w:p>
        </w:tc>
        <w:tc>
          <w:tcPr>
            <w:tcW w:w="785" w:type="dxa"/>
            <w:vMerge w:val="continue"/>
            <w:vAlign w:val="center"/>
          </w:tcPr>
          <w:p>
            <w:pPr>
              <w:tabs>
                <w:tab w:val="left" w:pos="0"/>
              </w:tabs>
              <w:spacing w:line="240" w:lineRule="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67" w:type="dxa"/>
            <w:vAlign w:val="center"/>
          </w:tcPr>
          <w:p>
            <w:pPr>
              <w:tabs>
                <w:tab w:val="left" w:pos="0"/>
              </w:tabs>
              <w:spacing w:line="240" w:lineRule="auto"/>
              <w:rPr>
                <w:rFonts w:cs="Times New Roman"/>
                <w:sz w:val="21"/>
                <w:szCs w:val="21"/>
              </w:rPr>
            </w:pPr>
            <w:r>
              <w:rPr>
                <w:rFonts w:cs="Times New Roman"/>
                <w:sz w:val="21"/>
                <w:szCs w:val="21"/>
              </w:rPr>
              <w:t>1</w:t>
            </w:r>
          </w:p>
        </w:tc>
        <w:tc>
          <w:tcPr>
            <w:tcW w:w="1984" w:type="dxa"/>
            <w:vAlign w:val="center"/>
          </w:tcPr>
          <w:p>
            <w:pPr>
              <w:tabs>
                <w:tab w:val="left" w:pos="0"/>
              </w:tabs>
              <w:spacing w:line="240" w:lineRule="auto"/>
              <w:rPr>
                <w:rFonts w:cs="Times New Roman"/>
                <w:sz w:val="21"/>
                <w:szCs w:val="21"/>
              </w:rPr>
            </w:pPr>
            <w:r>
              <w:rPr>
                <w:rFonts w:cs="Times New Roman"/>
                <w:sz w:val="21"/>
                <w:szCs w:val="21"/>
              </w:rPr>
              <w:t>安装</w:t>
            </w:r>
          </w:p>
        </w:tc>
        <w:tc>
          <w:tcPr>
            <w:tcW w:w="1561" w:type="dxa"/>
            <w:vAlign w:val="center"/>
          </w:tcPr>
          <w:p>
            <w:pPr>
              <w:tabs>
                <w:tab w:val="left" w:pos="0"/>
              </w:tabs>
              <w:spacing w:line="240" w:lineRule="auto"/>
              <w:rPr>
                <w:rFonts w:cs="Times New Roman"/>
                <w:sz w:val="21"/>
                <w:szCs w:val="21"/>
              </w:rPr>
            </w:pPr>
          </w:p>
        </w:tc>
        <w:tc>
          <w:tcPr>
            <w:tcW w:w="1964" w:type="dxa"/>
            <w:vAlign w:val="center"/>
          </w:tcPr>
          <w:p>
            <w:pPr>
              <w:tabs>
                <w:tab w:val="left" w:pos="0"/>
              </w:tabs>
              <w:spacing w:line="240" w:lineRule="auto"/>
              <w:rPr>
                <w:rFonts w:cs="Times New Roman"/>
                <w:sz w:val="21"/>
                <w:szCs w:val="21"/>
              </w:rPr>
            </w:pPr>
          </w:p>
        </w:tc>
        <w:tc>
          <w:tcPr>
            <w:tcW w:w="1966" w:type="dxa"/>
            <w:vAlign w:val="center"/>
          </w:tcPr>
          <w:p>
            <w:pPr>
              <w:tabs>
                <w:tab w:val="left" w:pos="0"/>
              </w:tabs>
              <w:spacing w:line="240" w:lineRule="auto"/>
              <w:rPr>
                <w:rFonts w:cs="Times New Roman"/>
                <w:sz w:val="21"/>
                <w:szCs w:val="21"/>
              </w:rPr>
            </w:pPr>
          </w:p>
        </w:tc>
        <w:tc>
          <w:tcPr>
            <w:tcW w:w="785" w:type="dxa"/>
            <w:vAlign w:val="center"/>
          </w:tcPr>
          <w:p>
            <w:pPr>
              <w:tabs>
                <w:tab w:val="left" w:pos="0"/>
              </w:tabs>
              <w:spacing w:line="240" w:lineRule="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67" w:type="dxa"/>
            <w:vAlign w:val="center"/>
          </w:tcPr>
          <w:p>
            <w:pPr>
              <w:tabs>
                <w:tab w:val="left" w:pos="0"/>
              </w:tabs>
              <w:spacing w:line="240" w:lineRule="auto"/>
              <w:rPr>
                <w:rFonts w:cs="Times New Roman"/>
                <w:sz w:val="21"/>
                <w:szCs w:val="21"/>
              </w:rPr>
            </w:pPr>
            <w:r>
              <w:rPr>
                <w:rFonts w:cs="Times New Roman"/>
                <w:sz w:val="21"/>
                <w:szCs w:val="21"/>
              </w:rPr>
              <w:t>2</w:t>
            </w:r>
          </w:p>
        </w:tc>
        <w:tc>
          <w:tcPr>
            <w:tcW w:w="1984" w:type="dxa"/>
            <w:vAlign w:val="center"/>
          </w:tcPr>
          <w:p>
            <w:pPr>
              <w:tabs>
                <w:tab w:val="left" w:pos="0"/>
              </w:tabs>
              <w:spacing w:line="240" w:lineRule="auto"/>
              <w:rPr>
                <w:rFonts w:cs="Times New Roman"/>
                <w:sz w:val="21"/>
                <w:szCs w:val="21"/>
              </w:rPr>
            </w:pPr>
            <w:r>
              <w:rPr>
                <w:rFonts w:cs="Times New Roman"/>
                <w:sz w:val="21"/>
                <w:szCs w:val="21"/>
              </w:rPr>
              <w:t>调试</w:t>
            </w:r>
          </w:p>
        </w:tc>
        <w:tc>
          <w:tcPr>
            <w:tcW w:w="1561" w:type="dxa"/>
            <w:vAlign w:val="center"/>
          </w:tcPr>
          <w:p>
            <w:pPr>
              <w:tabs>
                <w:tab w:val="left" w:pos="0"/>
              </w:tabs>
              <w:spacing w:line="240" w:lineRule="auto"/>
              <w:rPr>
                <w:rFonts w:cs="Times New Roman"/>
                <w:sz w:val="21"/>
                <w:szCs w:val="21"/>
              </w:rPr>
            </w:pPr>
          </w:p>
        </w:tc>
        <w:tc>
          <w:tcPr>
            <w:tcW w:w="1964" w:type="dxa"/>
            <w:vAlign w:val="center"/>
          </w:tcPr>
          <w:p>
            <w:pPr>
              <w:tabs>
                <w:tab w:val="left" w:pos="0"/>
              </w:tabs>
              <w:spacing w:line="240" w:lineRule="auto"/>
              <w:rPr>
                <w:rFonts w:cs="Times New Roman"/>
                <w:sz w:val="21"/>
                <w:szCs w:val="21"/>
              </w:rPr>
            </w:pPr>
          </w:p>
        </w:tc>
        <w:tc>
          <w:tcPr>
            <w:tcW w:w="1966" w:type="dxa"/>
            <w:vAlign w:val="center"/>
          </w:tcPr>
          <w:p>
            <w:pPr>
              <w:tabs>
                <w:tab w:val="left" w:pos="0"/>
              </w:tabs>
              <w:spacing w:line="240" w:lineRule="auto"/>
              <w:rPr>
                <w:rFonts w:cs="Times New Roman"/>
                <w:sz w:val="21"/>
                <w:szCs w:val="21"/>
              </w:rPr>
            </w:pPr>
          </w:p>
        </w:tc>
        <w:tc>
          <w:tcPr>
            <w:tcW w:w="785" w:type="dxa"/>
            <w:vAlign w:val="center"/>
          </w:tcPr>
          <w:p>
            <w:pPr>
              <w:tabs>
                <w:tab w:val="left" w:pos="0"/>
              </w:tabs>
              <w:spacing w:line="240" w:lineRule="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67" w:type="dxa"/>
            <w:vAlign w:val="center"/>
          </w:tcPr>
          <w:p>
            <w:pPr>
              <w:tabs>
                <w:tab w:val="left" w:pos="0"/>
              </w:tabs>
              <w:spacing w:line="240" w:lineRule="auto"/>
              <w:rPr>
                <w:rFonts w:cs="Times New Roman"/>
                <w:sz w:val="21"/>
                <w:szCs w:val="21"/>
              </w:rPr>
            </w:pPr>
            <w:r>
              <w:rPr>
                <w:rFonts w:cs="Times New Roman"/>
                <w:sz w:val="21"/>
                <w:szCs w:val="21"/>
              </w:rPr>
              <w:t>3</w:t>
            </w:r>
          </w:p>
        </w:tc>
        <w:tc>
          <w:tcPr>
            <w:tcW w:w="1984" w:type="dxa"/>
            <w:vAlign w:val="center"/>
          </w:tcPr>
          <w:p>
            <w:pPr>
              <w:tabs>
                <w:tab w:val="left" w:pos="0"/>
              </w:tabs>
              <w:spacing w:line="240" w:lineRule="auto"/>
              <w:rPr>
                <w:rFonts w:cs="Times New Roman"/>
                <w:sz w:val="21"/>
                <w:szCs w:val="21"/>
              </w:rPr>
            </w:pPr>
            <w:r>
              <w:rPr>
                <w:rFonts w:cs="Times New Roman"/>
                <w:sz w:val="21"/>
                <w:szCs w:val="21"/>
              </w:rPr>
              <w:t>试运行</w:t>
            </w:r>
          </w:p>
        </w:tc>
        <w:tc>
          <w:tcPr>
            <w:tcW w:w="1561" w:type="dxa"/>
            <w:vAlign w:val="center"/>
          </w:tcPr>
          <w:p>
            <w:pPr>
              <w:tabs>
                <w:tab w:val="left" w:pos="0"/>
              </w:tabs>
              <w:spacing w:line="240" w:lineRule="auto"/>
              <w:rPr>
                <w:rFonts w:cs="Times New Roman"/>
                <w:sz w:val="21"/>
                <w:szCs w:val="21"/>
              </w:rPr>
            </w:pPr>
          </w:p>
        </w:tc>
        <w:tc>
          <w:tcPr>
            <w:tcW w:w="1964" w:type="dxa"/>
            <w:vAlign w:val="center"/>
          </w:tcPr>
          <w:p>
            <w:pPr>
              <w:tabs>
                <w:tab w:val="left" w:pos="0"/>
              </w:tabs>
              <w:spacing w:line="240" w:lineRule="auto"/>
              <w:rPr>
                <w:rFonts w:cs="Times New Roman"/>
                <w:sz w:val="21"/>
                <w:szCs w:val="21"/>
              </w:rPr>
            </w:pPr>
          </w:p>
        </w:tc>
        <w:tc>
          <w:tcPr>
            <w:tcW w:w="1966" w:type="dxa"/>
            <w:vAlign w:val="center"/>
          </w:tcPr>
          <w:p>
            <w:pPr>
              <w:tabs>
                <w:tab w:val="left" w:pos="0"/>
              </w:tabs>
              <w:spacing w:line="240" w:lineRule="auto"/>
              <w:rPr>
                <w:rFonts w:cs="Times New Roman"/>
                <w:sz w:val="21"/>
                <w:szCs w:val="21"/>
              </w:rPr>
            </w:pPr>
          </w:p>
        </w:tc>
        <w:tc>
          <w:tcPr>
            <w:tcW w:w="785" w:type="dxa"/>
            <w:vAlign w:val="center"/>
          </w:tcPr>
          <w:p>
            <w:pPr>
              <w:tabs>
                <w:tab w:val="left" w:pos="0"/>
              </w:tabs>
              <w:spacing w:line="240" w:lineRule="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67" w:type="dxa"/>
            <w:vAlign w:val="center"/>
          </w:tcPr>
          <w:p>
            <w:pPr>
              <w:tabs>
                <w:tab w:val="left" w:pos="0"/>
              </w:tabs>
              <w:spacing w:line="240" w:lineRule="auto"/>
              <w:rPr>
                <w:rFonts w:cs="Times New Roman"/>
                <w:sz w:val="21"/>
                <w:szCs w:val="21"/>
              </w:rPr>
            </w:pPr>
            <w:r>
              <w:rPr>
                <w:rFonts w:cs="Times New Roman"/>
                <w:sz w:val="21"/>
                <w:szCs w:val="21"/>
              </w:rPr>
              <w:t>4</w:t>
            </w:r>
          </w:p>
        </w:tc>
        <w:tc>
          <w:tcPr>
            <w:tcW w:w="1984" w:type="dxa"/>
            <w:vAlign w:val="center"/>
          </w:tcPr>
          <w:p>
            <w:pPr>
              <w:tabs>
                <w:tab w:val="left" w:pos="0"/>
              </w:tabs>
              <w:spacing w:line="240" w:lineRule="auto"/>
              <w:rPr>
                <w:rFonts w:cs="Times New Roman"/>
                <w:sz w:val="21"/>
                <w:szCs w:val="21"/>
              </w:rPr>
            </w:pPr>
            <w:r>
              <w:rPr>
                <w:rFonts w:cs="Times New Roman"/>
                <w:sz w:val="21"/>
                <w:szCs w:val="21"/>
              </w:rPr>
              <w:t>性能验收试验</w:t>
            </w:r>
          </w:p>
        </w:tc>
        <w:tc>
          <w:tcPr>
            <w:tcW w:w="1561" w:type="dxa"/>
            <w:vAlign w:val="center"/>
          </w:tcPr>
          <w:p>
            <w:pPr>
              <w:tabs>
                <w:tab w:val="left" w:pos="0"/>
              </w:tabs>
              <w:spacing w:line="240" w:lineRule="auto"/>
              <w:rPr>
                <w:rFonts w:cs="Times New Roman"/>
                <w:sz w:val="21"/>
                <w:szCs w:val="21"/>
              </w:rPr>
            </w:pPr>
          </w:p>
        </w:tc>
        <w:tc>
          <w:tcPr>
            <w:tcW w:w="1964" w:type="dxa"/>
            <w:vAlign w:val="center"/>
          </w:tcPr>
          <w:p>
            <w:pPr>
              <w:tabs>
                <w:tab w:val="left" w:pos="0"/>
              </w:tabs>
              <w:spacing w:line="240" w:lineRule="auto"/>
              <w:rPr>
                <w:rFonts w:cs="Times New Roman"/>
                <w:sz w:val="21"/>
                <w:szCs w:val="21"/>
              </w:rPr>
            </w:pPr>
          </w:p>
        </w:tc>
        <w:tc>
          <w:tcPr>
            <w:tcW w:w="1966" w:type="dxa"/>
            <w:vAlign w:val="center"/>
          </w:tcPr>
          <w:p>
            <w:pPr>
              <w:tabs>
                <w:tab w:val="left" w:pos="0"/>
              </w:tabs>
              <w:spacing w:line="240" w:lineRule="auto"/>
              <w:rPr>
                <w:rFonts w:cs="Times New Roman"/>
                <w:sz w:val="21"/>
                <w:szCs w:val="21"/>
              </w:rPr>
            </w:pPr>
          </w:p>
        </w:tc>
        <w:tc>
          <w:tcPr>
            <w:tcW w:w="785" w:type="dxa"/>
            <w:vAlign w:val="center"/>
          </w:tcPr>
          <w:p>
            <w:pPr>
              <w:tabs>
                <w:tab w:val="left" w:pos="0"/>
              </w:tabs>
              <w:spacing w:line="240" w:lineRule="auto"/>
              <w:rPr>
                <w:rFonts w:cs="Times New Roman"/>
                <w:sz w:val="21"/>
                <w:szCs w:val="21"/>
              </w:rPr>
            </w:pPr>
          </w:p>
        </w:tc>
      </w:tr>
    </w:tbl>
    <w:p>
      <w:pPr>
        <w:pStyle w:val="4"/>
        <w:numPr>
          <w:ilvl w:val="2"/>
          <w:numId w:val="3"/>
        </w:numPr>
        <w:tabs>
          <w:tab w:val="left" w:pos="360"/>
        </w:tabs>
        <w:snapToGrid/>
      </w:pPr>
      <w:r>
        <w:t>现场服务人员要求</w:t>
      </w:r>
    </w:p>
    <w:p>
      <w:pPr>
        <w:pStyle w:val="60"/>
        <w:numPr>
          <w:ilvl w:val="3"/>
          <w:numId w:val="10"/>
        </w:numPr>
        <w:ind w:left="0" w:firstLine="420"/>
        <w:rPr>
          <w:rFonts w:cs="Times New Roman"/>
        </w:rPr>
      </w:pPr>
      <w:r>
        <w:rPr>
          <w:rFonts w:cs="Times New Roman"/>
        </w:rPr>
        <w:t>遵守法纪，遵守现场的各项规章和制度；</w:t>
      </w:r>
    </w:p>
    <w:p>
      <w:pPr>
        <w:pStyle w:val="60"/>
        <w:numPr>
          <w:ilvl w:val="3"/>
          <w:numId w:val="10"/>
        </w:numPr>
        <w:ind w:left="0" w:firstLine="420"/>
        <w:rPr>
          <w:rFonts w:cs="Times New Roman"/>
        </w:rPr>
      </w:pPr>
      <w:r>
        <w:rPr>
          <w:rFonts w:cs="Times New Roman"/>
        </w:rPr>
        <w:t>服从当地作息规定和休息日安排；</w:t>
      </w:r>
    </w:p>
    <w:p>
      <w:pPr>
        <w:pStyle w:val="60"/>
        <w:numPr>
          <w:ilvl w:val="3"/>
          <w:numId w:val="10"/>
        </w:numPr>
        <w:ind w:left="0" w:firstLine="420"/>
        <w:rPr>
          <w:rFonts w:cs="Times New Roman"/>
        </w:rPr>
      </w:pPr>
      <w:r>
        <w:rPr>
          <w:rFonts w:cs="Times New Roman"/>
        </w:rPr>
        <w:t>有较强的责任感和事业心，按时到位；</w:t>
      </w:r>
    </w:p>
    <w:p>
      <w:pPr>
        <w:pStyle w:val="60"/>
        <w:numPr>
          <w:ilvl w:val="3"/>
          <w:numId w:val="10"/>
        </w:numPr>
        <w:ind w:left="0" w:firstLine="420"/>
        <w:rPr>
          <w:rFonts w:cs="Times New Roman"/>
        </w:rPr>
      </w:pPr>
      <w:r>
        <w:rPr>
          <w:rFonts w:cs="Times New Roman"/>
        </w:rPr>
        <w:t>了解合同设备的设计，熟悉其结构，有相同或相近机组的现场工作经验，能够正确地进行现场指导；</w:t>
      </w:r>
    </w:p>
    <w:p>
      <w:pPr>
        <w:pStyle w:val="60"/>
        <w:numPr>
          <w:ilvl w:val="3"/>
          <w:numId w:val="10"/>
        </w:numPr>
        <w:ind w:left="0" w:firstLine="420"/>
        <w:rPr>
          <w:rFonts w:cs="Times New Roman"/>
        </w:rPr>
      </w:pPr>
      <w:r>
        <w:rPr>
          <w:rFonts w:cs="Times New Roman"/>
        </w:rPr>
        <w:t>身体健康，适应现场工作的条件；</w:t>
      </w:r>
    </w:p>
    <w:p>
      <w:pPr>
        <w:pStyle w:val="60"/>
        <w:numPr>
          <w:ilvl w:val="3"/>
          <w:numId w:val="10"/>
        </w:numPr>
        <w:ind w:left="0" w:firstLine="420"/>
        <w:rPr>
          <w:rFonts w:cs="Times New Roman"/>
        </w:rPr>
      </w:pPr>
      <w:r>
        <w:rPr>
          <w:rFonts w:cs="Times New Roman"/>
        </w:rPr>
        <w:t>供方要向电厂提供服务人员情况表。供方须更换电厂认为不合格的供方现场服务人员。</w:t>
      </w:r>
    </w:p>
    <w:p>
      <w:pPr>
        <w:pStyle w:val="4"/>
        <w:numPr>
          <w:ilvl w:val="2"/>
          <w:numId w:val="3"/>
        </w:numPr>
        <w:tabs>
          <w:tab w:val="left" w:pos="360"/>
        </w:tabs>
        <w:snapToGrid/>
      </w:pPr>
      <w:r>
        <w:t>现场服务人员职责</w:t>
      </w:r>
    </w:p>
    <w:p>
      <w:pPr>
        <w:pStyle w:val="60"/>
        <w:numPr>
          <w:ilvl w:val="3"/>
          <w:numId w:val="10"/>
        </w:numPr>
        <w:ind w:left="0" w:firstLine="420"/>
        <w:rPr>
          <w:rFonts w:cs="Times New Roman"/>
        </w:rPr>
      </w:pPr>
      <w:r>
        <w:rPr>
          <w:rFonts w:cs="Times New Roman"/>
        </w:rPr>
        <w:t>供方现场服务人员的任务主要包括催化剂的开箱检验、催化剂质量问题的处理、指导安装和调试、参加试运和性能验收试验。</w:t>
      </w:r>
    </w:p>
    <w:p>
      <w:pPr>
        <w:pStyle w:val="60"/>
        <w:numPr>
          <w:ilvl w:val="3"/>
          <w:numId w:val="10"/>
        </w:numPr>
        <w:ind w:left="0" w:firstLine="420"/>
        <w:rPr>
          <w:rFonts w:cs="Times New Roman"/>
        </w:rPr>
      </w:pPr>
      <w:r>
        <w:rPr>
          <w:rFonts w:cs="Times New Roman"/>
        </w:rPr>
        <w:t>供方应负责为调试提供必需的特殊试验仪器和工具。若催化剂存在缺陷，供方应在电厂同意的时间内消除。</w:t>
      </w:r>
    </w:p>
    <w:p>
      <w:pPr>
        <w:pStyle w:val="60"/>
        <w:numPr>
          <w:ilvl w:val="3"/>
          <w:numId w:val="10"/>
        </w:numPr>
        <w:ind w:left="0" w:firstLine="420"/>
        <w:rPr>
          <w:rFonts w:cs="Times New Roman"/>
        </w:rPr>
      </w:pPr>
      <w:r>
        <w:rPr>
          <w:rFonts w:cs="Times New Roman"/>
        </w:rPr>
        <w:t>供方现场服务人员应有权全权处理现场出现的一切技术和商务问题。如现场发生质量问题，供方现场人员要在电厂规定的时间内处理解决。如供方委托电厂进行处理，供方现场服务人员要出委托书并承担相应的经济责任。</w:t>
      </w:r>
    </w:p>
    <w:p>
      <w:pPr>
        <w:pStyle w:val="60"/>
        <w:numPr>
          <w:ilvl w:val="3"/>
          <w:numId w:val="10"/>
        </w:numPr>
        <w:ind w:left="0" w:firstLine="420"/>
        <w:rPr>
          <w:rFonts w:cs="Times New Roman"/>
        </w:rPr>
      </w:pPr>
      <w:r>
        <w:rPr>
          <w:rFonts w:cs="Times New Roman"/>
        </w:rPr>
        <w:t>供方对其现场服务人员的一切行为负全部责任。</w:t>
      </w:r>
    </w:p>
    <w:p>
      <w:pPr>
        <w:pStyle w:val="60"/>
        <w:numPr>
          <w:ilvl w:val="3"/>
          <w:numId w:val="10"/>
        </w:numPr>
        <w:ind w:left="0" w:firstLine="420"/>
        <w:rPr>
          <w:rFonts w:cs="Times New Roman"/>
        </w:rPr>
      </w:pPr>
      <w:r>
        <w:rPr>
          <w:rFonts w:cs="Times New Roman"/>
        </w:rPr>
        <w:t>供方现场服务人员的正常来去和更换事先应与电厂协商。</w:t>
      </w:r>
    </w:p>
    <w:p>
      <w:pPr>
        <w:pStyle w:val="3"/>
        <w:numPr>
          <w:ilvl w:val="1"/>
          <w:numId w:val="11"/>
        </w:numPr>
        <w:tabs>
          <w:tab w:val="left" w:pos="360"/>
        </w:tabs>
      </w:pPr>
      <w:bookmarkStart w:id="50" w:name="_Toc161505615"/>
      <w:bookmarkStart w:id="51" w:name="_Toc128393201"/>
      <w:r>
        <w:t>供方现场技术服务</w:t>
      </w:r>
      <w:bookmarkEnd w:id="50"/>
    </w:p>
    <w:p>
      <w:pPr>
        <w:ind w:firstLine="480" w:firstLineChars="200"/>
        <w:rPr>
          <w:rFonts w:cs="Times New Roman"/>
        </w:rPr>
      </w:pPr>
      <w:r>
        <w:rPr>
          <w:rFonts w:cs="Times New Roman"/>
        </w:rPr>
        <w:t>人员所发生的一切费用包括工资、差旅费、住宿、办公及通讯联络等均包括在合同报价内。</w:t>
      </w:r>
      <w:bookmarkEnd w:id="51"/>
    </w:p>
    <w:p>
      <w:pPr>
        <w:ind w:firstLine="480"/>
        <w:rPr>
          <w:rFonts w:cs="Times New Roman"/>
        </w:rPr>
        <w:sectPr>
          <w:headerReference r:id="rId12" w:type="default"/>
          <w:pgSz w:w="11907" w:h="16839"/>
          <w:pgMar w:top="1474" w:right="1418" w:bottom="1134" w:left="1418" w:header="850" w:footer="737" w:gutter="0"/>
          <w:cols w:space="720" w:num="1"/>
          <w:docGrid w:linePitch="326" w:charSpace="0"/>
        </w:sectPr>
      </w:pPr>
    </w:p>
    <w:p>
      <w:pPr>
        <w:pStyle w:val="2"/>
        <w:keepNext/>
        <w:keepLines/>
        <w:numPr>
          <w:ilvl w:val="0"/>
          <w:numId w:val="0"/>
        </w:numPr>
        <w:tabs>
          <w:tab w:val="left" w:pos="360"/>
        </w:tabs>
        <w:adjustRightInd w:val="0"/>
        <w:spacing w:before="156" w:beforeLines="50" w:after="156"/>
        <w:textAlignment w:val="baseline"/>
      </w:pPr>
      <w:bookmarkStart w:id="52" w:name="_Toc161505619"/>
      <w:r>
        <w:t>附件1、阀门采购技术要求</w:t>
      </w:r>
      <w:bookmarkEnd w:id="52"/>
    </w:p>
    <w:p>
      <w:pPr>
        <w:pStyle w:val="31"/>
        <w:rPr>
          <w:rFonts w:ascii="Times New Roman" w:hAnsi="Times New Roman" w:cs="Times New Roman"/>
        </w:rPr>
      </w:pPr>
      <w:r>
        <w:rPr>
          <w:rFonts w:ascii="Times New Roman" w:hAnsi="Times New Roman" w:cs="Times New Roman"/>
        </w:rPr>
        <w:t>一、总则</w:t>
      </w:r>
    </w:p>
    <w:p>
      <w:pPr>
        <w:pStyle w:val="73"/>
        <w:spacing w:line="360" w:lineRule="auto"/>
        <w:ind w:firstLine="240"/>
        <w:rPr>
          <w:rFonts w:eastAsiaTheme="minorEastAsia"/>
        </w:rPr>
      </w:pPr>
      <w:r>
        <w:rPr>
          <w:rFonts w:eastAsiaTheme="minorEastAsia"/>
        </w:rPr>
        <w:t>1.1 本技术协议仅适用于华能上安4号机低压缸零出力改造项目液动快关调节蝶阀、液压油站、电动碟阀、抽汽止回阀等阀门的采购，它包括阀门本体及其附属设备的功能设计、结构、性能、安装和试验等方面的技术要求。</w:t>
      </w:r>
    </w:p>
    <w:p>
      <w:pPr>
        <w:pStyle w:val="73"/>
        <w:spacing w:line="360" w:lineRule="auto"/>
        <w:ind w:firstLine="240"/>
        <w:rPr>
          <w:rFonts w:eastAsiaTheme="minorEastAsia"/>
        </w:rPr>
      </w:pPr>
      <w:r>
        <w:rPr>
          <w:rFonts w:eastAsiaTheme="minorEastAsia"/>
        </w:rPr>
        <w:t>1.2 本技术协议提出的是最低限度的技术要求，并未对一切技术要求做出详细规定，也未充分引述有关标准及规范的条文。供方保证提供符合本技术协议和相关的国际、国内行业标准的优质产品。</w:t>
      </w:r>
    </w:p>
    <w:p>
      <w:pPr>
        <w:pStyle w:val="73"/>
        <w:spacing w:line="360" w:lineRule="auto"/>
        <w:ind w:firstLine="240"/>
        <w:rPr>
          <w:rFonts w:eastAsiaTheme="minorEastAsia"/>
        </w:rPr>
      </w:pPr>
      <w:r>
        <w:rPr>
          <w:rFonts w:eastAsiaTheme="minorEastAsia"/>
        </w:rPr>
        <w:t>1.3 如供方没有对本协议提出书面异议，需方可认为供方提供的产品完全满足本技术协议的要求。</w:t>
      </w:r>
    </w:p>
    <w:p>
      <w:pPr>
        <w:pStyle w:val="73"/>
        <w:spacing w:line="360" w:lineRule="auto"/>
        <w:ind w:firstLine="240"/>
        <w:rPr>
          <w:rFonts w:eastAsiaTheme="minorEastAsia"/>
        </w:rPr>
      </w:pPr>
      <w:r>
        <w:rPr>
          <w:rFonts w:eastAsiaTheme="minorEastAsia"/>
        </w:rPr>
        <w:t>1.4 本技术协议所引用的标准若与供方所执行的标准发生矛盾时，按较严格的标准执行。</w:t>
      </w:r>
    </w:p>
    <w:p>
      <w:pPr>
        <w:pStyle w:val="73"/>
        <w:spacing w:line="360" w:lineRule="auto"/>
        <w:ind w:firstLine="240"/>
        <w:rPr>
          <w:rFonts w:eastAsiaTheme="minorEastAsia"/>
        </w:rPr>
      </w:pPr>
      <w:r>
        <w:rPr>
          <w:rFonts w:eastAsiaTheme="minorEastAsia"/>
        </w:rPr>
        <w:t>1.5 在工程配合过程中有除本技术协议以外的其它要求，需方将以书面形式提出，供方应尽可能确认接受。</w:t>
      </w:r>
    </w:p>
    <w:p>
      <w:pPr>
        <w:pStyle w:val="73"/>
        <w:spacing w:line="360" w:lineRule="auto"/>
        <w:ind w:firstLine="240"/>
        <w:rPr>
          <w:rFonts w:eastAsiaTheme="minorEastAsia"/>
        </w:rPr>
      </w:pPr>
      <w:r>
        <w:rPr>
          <w:rFonts w:eastAsiaTheme="minorEastAsia"/>
        </w:rPr>
        <w:t>1.6 本技术协议经供、需双方共同确认和签字后作为订货合同的技术附件，与订货合同正文具有同等效力。</w:t>
      </w:r>
    </w:p>
    <w:p>
      <w:pPr>
        <w:pStyle w:val="73"/>
        <w:spacing w:line="360" w:lineRule="auto"/>
        <w:ind w:firstLine="240"/>
        <w:rPr>
          <w:rFonts w:eastAsiaTheme="minorEastAsia"/>
        </w:rPr>
      </w:pPr>
      <w:r>
        <w:rPr>
          <w:rFonts w:eastAsiaTheme="minorEastAsia"/>
        </w:rPr>
        <w:t>1.7 供方对本项目所采购阀门及其附件的可靠性、配套的合理性、先进性及制造质量负全责。</w:t>
      </w:r>
    </w:p>
    <w:p>
      <w:pPr>
        <w:pStyle w:val="73"/>
        <w:spacing w:line="360" w:lineRule="auto"/>
        <w:ind w:firstLine="240"/>
        <w:rPr>
          <w:rFonts w:eastAsiaTheme="minorEastAsia"/>
        </w:rPr>
      </w:pPr>
      <w:r>
        <w:rPr>
          <w:rFonts w:eastAsiaTheme="minorEastAsia"/>
        </w:rPr>
        <w:t>1.8 合同签定后，需方有权因规范、标准、规程发生变化而提出一些补充要求。</w:t>
      </w:r>
    </w:p>
    <w:p>
      <w:pPr>
        <w:pStyle w:val="73"/>
        <w:spacing w:line="360" w:lineRule="auto"/>
        <w:ind w:firstLine="240"/>
        <w:rPr>
          <w:rFonts w:eastAsiaTheme="minorEastAsia"/>
        </w:rPr>
      </w:pPr>
      <w:r>
        <w:rPr>
          <w:rFonts w:eastAsiaTheme="minorEastAsia"/>
        </w:rPr>
        <w:t>1.9 若供方选型参数与需方选型参数表不一致的地方，以需方选型参数表（附件1）为准。</w:t>
      </w:r>
    </w:p>
    <w:p>
      <w:pPr>
        <w:pStyle w:val="73"/>
        <w:spacing w:line="360" w:lineRule="auto"/>
        <w:ind w:firstLine="240"/>
        <w:rPr>
          <w:rFonts w:eastAsiaTheme="minorEastAsia"/>
        </w:rPr>
      </w:pPr>
      <w:r>
        <w:rPr>
          <w:rFonts w:eastAsiaTheme="minorEastAsia"/>
        </w:rPr>
        <w:t>1.10 供方对成套设备负有全部技术及质量责任，包括分包（或采购）的设备和零、部件。</w:t>
      </w:r>
    </w:p>
    <w:p>
      <w:pPr>
        <w:pStyle w:val="73"/>
        <w:spacing w:after="217"/>
        <w:ind w:firstLine="230"/>
      </w:pPr>
    </w:p>
    <w:p>
      <w:pPr>
        <w:pStyle w:val="73"/>
        <w:spacing w:line="360" w:lineRule="auto"/>
        <w:ind w:firstLine="240"/>
        <w:sectPr>
          <w:headerReference r:id="rId13" w:type="default"/>
          <w:footerReference r:id="rId14" w:type="default"/>
          <w:pgSz w:w="11906" w:h="16838"/>
          <w:pgMar w:top="1418" w:right="1418" w:bottom="1418" w:left="1418" w:header="851" w:footer="851" w:gutter="0"/>
          <w:cols w:space="720" w:num="1"/>
          <w:docGrid w:type="lines" w:linePitch="312" w:charSpace="0"/>
        </w:sectPr>
      </w:pPr>
    </w:p>
    <w:p>
      <w:pPr>
        <w:pStyle w:val="31"/>
        <w:rPr>
          <w:rFonts w:ascii="Times New Roman" w:hAnsi="Times New Roman" w:cs="Times New Roman"/>
        </w:rPr>
      </w:pPr>
      <w:r>
        <w:rPr>
          <w:rFonts w:ascii="Times New Roman" w:hAnsi="Times New Roman" w:cs="Times New Roman"/>
        </w:rPr>
        <w:t>二、采购及供货范围</w:t>
      </w:r>
    </w:p>
    <w:p>
      <w:pPr>
        <w:pStyle w:val="73"/>
        <w:spacing w:after="217"/>
        <w:ind w:firstLine="230"/>
        <w:rPr>
          <w:sz w:val="23"/>
          <w:szCs w:val="23"/>
        </w:rPr>
      </w:pPr>
      <w:r>
        <w:rPr>
          <w:sz w:val="23"/>
          <w:szCs w:val="23"/>
        </w:rPr>
        <w:t>本项目采购阀门清单如下，阀门的具体选型参数、技术要求等见第三条。</w:t>
      </w:r>
    </w:p>
    <w:tbl>
      <w:tblPr>
        <w:tblStyle w:val="3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255"/>
        <w:gridCol w:w="3621"/>
        <w:gridCol w:w="814"/>
        <w:gridCol w:w="813"/>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序号</w:t>
            </w:r>
          </w:p>
        </w:tc>
        <w:tc>
          <w:tcPr>
            <w:tcW w:w="4255" w:type="dxa"/>
            <w:shd w:val="clear" w:color="auto" w:fill="auto"/>
            <w:noWrap/>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名称</w:t>
            </w:r>
          </w:p>
        </w:tc>
        <w:tc>
          <w:tcPr>
            <w:tcW w:w="3621"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 xml:space="preserve">型号规格   </w:t>
            </w: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数量</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单位</w:t>
            </w:r>
          </w:p>
        </w:tc>
        <w:tc>
          <w:tcPr>
            <w:tcW w:w="3901"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快</w:t>
            </w:r>
            <w:r>
              <w:rPr>
                <w:rFonts w:cs="Times New Roman" w:eastAsiaTheme="minorEastAsia"/>
                <w:b/>
                <w:color w:val="FF0000"/>
                <w:kern w:val="0"/>
                <w:sz w:val="21"/>
                <w:szCs w:val="21"/>
              </w:rPr>
              <w:t>开</w:t>
            </w:r>
            <w:r>
              <w:rPr>
                <w:rFonts w:cs="Times New Roman" w:eastAsiaTheme="minorEastAsia"/>
                <w:b/>
                <w:kern w:val="0"/>
                <w:sz w:val="21"/>
                <w:szCs w:val="21"/>
              </w:rPr>
              <w:t>调节蝶阀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YTKD743H-25C DN1400 PN25</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比例电磁阀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快开电磁阀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保位电磁阀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1.4</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LVDT及热工附属控制元件等配件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1.5</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1.6</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2</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快</w:t>
            </w:r>
            <w:r>
              <w:rPr>
                <w:rFonts w:cs="Times New Roman" w:eastAsiaTheme="minorEastAsia"/>
                <w:b/>
                <w:color w:val="FF0000"/>
                <w:kern w:val="0"/>
                <w:sz w:val="21"/>
                <w:szCs w:val="21"/>
              </w:rPr>
              <w:t>关</w:t>
            </w:r>
            <w:r>
              <w:rPr>
                <w:rFonts w:cs="Times New Roman" w:eastAsiaTheme="minorEastAsia"/>
                <w:b/>
                <w:kern w:val="0"/>
                <w:sz w:val="21"/>
                <w:szCs w:val="21"/>
              </w:rPr>
              <w:t>调节蝶阀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YTKD743H-25C DN1200 PN25</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比例电磁阀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FF0000"/>
                <w:kern w:val="0"/>
                <w:sz w:val="21"/>
                <w:szCs w:val="21"/>
              </w:rPr>
              <w:t>快关电磁阀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保位电磁阀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2.4</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LVDT及热工附属控制元件等配件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2.5</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2.6</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3</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液压油站</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KYZ63</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　见注1、2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4</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气动止回阀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CKH647H-25C DN1200 PN25</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法兰连接，</w:t>
            </w:r>
            <w:r>
              <w:rPr>
                <w:rFonts w:cs="Times New Roman" w:eastAsiaTheme="minorEastAsia"/>
                <w:b/>
                <w:color w:val="000000"/>
                <w:sz w:val="21"/>
                <w:szCs w:val="21"/>
              </w:rPr>
              <w:t>电磁阀采用ASCO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4.1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气动止回阀附件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4.2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气动止回阀附件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5</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电动蝶阀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DTD943H-25C DN1200 PN25</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EMG分体式，法兰连接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5.1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电动蝶阀附件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5.2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电动蝶阀附件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5.3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旁路阀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J(9)61H-25C-DN80</w:t>
            </w: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上海行力电装，电动蝶阀附件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6</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旁路调节蝶阀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DTD(9)43H-25C DN300</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EMG分体式调节型，法兰连接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6.1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反法兰及连接件</w:t>
            </w:r>
          </w:p>
        </w:tc>
        <w:tc>
          <w:tcPr>
            <w:tcW w:w="3621" w:type="dxa"/>
            <w:shd w:val="clear" w:color="auto" w:fill="auto"/>
            <w:noWrap/>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旁路调节蝶阀附件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6.2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noWrap/>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旁路调节蝶阀附件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7</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手动截止阀</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J41H-25C-DN100</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5</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8</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自动疏水器</w:t>
            </w:r>
          </w:p>
        </w:tc>
        <w:tc>
          <w:tcPr>
            <w:tcW w:w="3621" w:type="dxa"/>
            <w:shd w:val="clear" w:color="auto" w:fill="auto"/>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CS61H-25C-DN50</w:t>
            </w:r>
          </w:p>
        </w:tc>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6</w:t>
            </w:r>
          </w:p>
        </w:tc>
        <w:tc>
          <w:tcPr>
            <w:tcW w:w="813"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台</w:t>
            </w:r>
          </w:p>
        </w:tc>
        <w:tc>
          <w:tcPr>
            <w:tcW w:w="3901"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b/>
                <w:kern w:val="0"/>
                <w:sz w:val="21"/>
                <w:szCs w:val="21"/>
              </w:rPr>
            </w:pPr>
            <w:r>
              <w:rPr>
                <w:rFonts w:cs="Times New Roman" w:eastAsiaTheme="minorEastAsia"/>
                <w:b/>
                <w:kern w:val="0"/>
                <w:sz w:val="21"/>
                <w:szCs w:val="21"/>
              </w:rPr>
              <w:t>9</w:t>
            </w:r>
          </w:p>
        </w:tc>
        <w:tc>
          <w:tcPr>
            <w:tcW w:w="4255" w:type="dxa"/>
            <w:shd w:val="clear" w:color="auto" w:fill="auto"/>
            <w:noWrap/>
            <w:vAlign w:val="center"/>
          </w:tcPr>
          <w:p>
            <w:pPr>
              <w:widowControl/>
              <w:spacing w:line="240" w:lineRule="auto"/>
              <w:contextualSpacing/>
              <w:jc w:val="left"/>
              <w:rPr>
                <w:rFonts w:cs="Times New Roman" w:eastAsiaTheme="minorEastAsia"/>
                <w:b/>
                <w:kern w:val="0"/>
                <w:sz w:val="21"/>
                <w:szCs w:val="21"/>
              </w:rPr>
            </w:pPr>
            <w:r>
              <w:rPr>
                <w:rFonts w:cs="Times New Roman" w:eastAsiaTheme="minorEastAsia"/>
                <w:b/>
                <w:kern w:val="0"/>
                <w:sz w:val="21"/>
                <w:szCs w:val="21"/>
              </w:rPr>
              <w:t>备件</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比例电磁阀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快开电磁阀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保位电磁阀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9.4</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连通管蝶阀法兰用备件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9.5</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比例电磁阀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9.6</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FF0000"/>
                <w:kern w:val="0"/>
                <w:sz w:val="21"/>
                <w:szCs w:val="21"/>
              </w:rPr>
              <w:t>快关电磁阀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9.7</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保位电磁阀</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9.8</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抽汽管道快关蝶阀法兰用备件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9.9</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电动蝶阀法兰用备件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9.10</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气动止回阀法兰用备件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9.11</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color w:val="000000"/>
                <w:sz w:val="21"/>
                <w:szCs w:val="21"/>
              </w:rPr>
              <w:t>不锈钢石墨缠绕垫</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旁路调节蝶阀法兰用备件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9.12</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LVDT反馈装置</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color w:val="FF0000"/>
                <w:kern w:val="0"/>
                <w:sz w:val="21"/>
                <w:szCs w:val="21"/>
              </w:rPr>
              <w:t>4</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9.13</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油泵电机</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9.14</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液压站滤芯</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2</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9.15</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蓄能器皮囊</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1</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9.16</w:t>
            </w:r>
          </w:p>
        </w:tc>
        <w:tc>
          <w:tcPr>
            <w:tcW w:w="4255" w:type="dxa"/>
            <w:shd w:val="clear" w:color="auto" w:fill="auto"/>
            <w:noWrap/>
            <w:vAlign w:val="center"/>
          </w:tcPr>
          <w:p>
            <w:pPr>
              <w:widowControl/>
              <w:spacing w:line="240" w:lineRule="auto"/>
              <w:contextualSpacing/>
              <w:jc w:val="left"/>
              <w:rPr>
                <w:rFonts w:cs="Times New Roman" w:eastAsiaTheme="minorEastAsia"/>
                <w:color w:val="000000"/>
                <w:sz w:val="21"/>
                <w:szCs w:val="21"/>
              </w:rPr>
            </w:pPr>
            <w:r>
              <w:rPr>
                <w:rFonts w:cs="Times New Roman" w:eastAsiaTheme="minorEastAsia"/>
                <w:color w:val="000000"/>
                <w:sz w:val="21"/>
                <w:szCs w:val="21"/>
              </w:rPr>
              <w:t>24VDC电源模块</w:t>
            </w:r>
          </w:p>
        </w:tc>
        <w:tc>
          <w:tcPr>
            <w:tcW w:w="3621" w:type="dxa"/>
            <w:shd w:val="clear" w:color="auto" w:fill="auto"/>
            <w:vAlign w:val="center"/>
          </w:tcPr>
          <w:p>
            <w:pPr>
              <w:widowControl/>
              <w:spacing w:line="240" w:lineRule="auto"/>
              <w:contextualSpacing/>
              <w:jc w:val="left"/>
              <w:rPr>
                <w:rFonts w:cs="Times New Roman" w:eastAsiaTheme="minorEastAsia"/>
                <w:color w:val="000000"/>
                <w:sz w:val="21"/>
                <w:szCs w:val="21"/>
              </w:rPr>
            </w:pPr>
            <w:r>
              <w:rPr>
                <w:rFonts w:cs="Times New Roman" w:eastAsiaTheme="minorEastAsia"/>
                <w:color w:val="000000"/>
                <w:sz w:val="21"/>
                <w:szCs w:val="21"/>
              </w:rPr>
              <w:t>110-220VAC转24VDC</w:t>
            </w:r>
          </w:p>
        </w:tc>
        <w:tc>
          <w:tcPr>
            <w:tcW w:w="814" w:type="dxa"/>
            <w:shd w:val="clear" w:color="auto" w:fill="auto"/>
            <w:vAlign w:val="center"/>
          </w:tcPr>
          <w:p>
            <w:pPr>
              <w:widowControl/>
              <w:spacing w:line="240" w:lineRule="auto"/>
              <w:contextualSpacing/>
              <w:jc w:val="center"/>
              <w:rPr>
                <w:rFonts w:cs="Times New Roman" w:eastAsiaTheme="minorEastAsia"/>
                <w:color w:val="FF0000"/>
                <w:kern w:val="0"/>
                <w:sz w:val="21"/>
                <w:szCs w:val="21"/>
              </w:rPr>
            </w:pPr>
            <w:r>
              <w:rPr>
                <w:rFonts w:cs="Times New Roman" w:eastAsiaTheme="minorEastAsia"/>
                <w:color w:val="FF0000"/>
                <w:kern w:val="0"/>
                <w:sz w:val="21"/>
                <w:szCs w:val="21"/>
              </w:rPr>
              <w:t>4</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9.17</w:t>
            </w:r>
          </w:p>
        </w:tc>
        <w:tc>
          <w:tcPr>
            <w:tcW w:w="4255" w:type="dxa"/>
            <w:shd w:val="clear" w:color="auto" w:fill="auto"/>
            <w:noWrap/>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模拟量输入模块</w:t>
            </w:r>
          </w:p>
        </w:tc>
        <w:tc>
          <w:tcPr>
            <w:tcW w:w="3621" w:type="dxa"/>
            <w:shd w:val="clear" w:color="auto" w:fill="auto"/>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color w:val="FF0000"/>
                <w:kern w:val="0"/>
                <w:sz w:val="21"/>
                <w:szCs w:val="21"/>
              </w:rPr>
            </w:pPr>
            <w:r>
              <w:rPr>
                <w:rFonts w:cs="Times New Roman" w:eastAsiaTheme="minorEastAsia"/>
                <w:color w:val="FF0000"/>
                <w:kern w:val="0"/>
                <w:sz w:val="21"/>
                <w:szCs w:val="21"/>
              </w:rPr>
              <w:t>4</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9.18</w:t>
            </w:r>
          </w:p>
        </w:tc>
        <w:tc>
          <w:tcPr>
            <w:tcW w:w="4255"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模拟量模块</w:t>
            </w:r>
          </w:p>
        </w:tc>
        <w:tc>
          <w:tcPr>
            <w:tcW w:w="3621" w:type="dxa"/>
            <w:shd w:val="clear" w:color="auto" w:fill="auto"/>
            <w:noWrap/>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color w:val="FF0000"/>
                <w:kern w:val="0"/>
                <w:sz w:val="21"/>
                <w:szCs w:val="21"/>
              </w:rPr>
            </w:pPr>
            <w:r>
              <w:rPr>
                <w:rFonts w:cs="Times New Roman" w:eastAsiaTheme="minorEastAsia"/>
                <w:color w:val="FF0000"/>
                <w:kern w:val="0"/>
                <w:sz w:val="21"/>
                <w:szCs w:val="21"/>
              </w:rPr>
              <w:t>4</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4" w:type="dxa"/>
            <w:shd w:val="clear" w:color="auto" w:fill="auto"/>
            <w:vAlign w:val="center"/>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9.19</w:t>
            </w:r>
          </w:p>
        </w:tc>
        <w:tc>
          <w:tcPr>
            <w:tcW w:w="4255"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液动阀门及油站对应密封垫</w:t>
            </w:r>
          </w:p>
        </w:tc>
        <w:tc>
          <w:tcPr>
            <w:tcW w:w="3621" w:type="dxa"/>
            <w:shd w:val="clear" w:color="auto" w:fill="auto"/>
            <w:noWrap/>
            <w:vAlign w:val="center"/>
          </w:tcPr>
          <w:p>
            <w:pPr>
              <w:widowControl/>
              <w:spacing w:line="240" w:lineRule="auto"/>
              <w:contextualSpacing/>
              <w:jc w:val="left"/>
              <w:rPr>
                <w:rFonts w:cs="Times New Roman" w:eastAsiaTheme="minorEastAsia"/>
                <w:kern w:val="0"/>
                <w:sz w:val="21"/>
                <w:szCs w:val="21"/>
              </w:rPr>
            </w:pPr>
          </w:p>
        </w:tc>
        <w:tc>
          <w:tcPr>
            <w:tcW w:w="814" w:type="dxa"/>
            <w:shd w:val="clear" w:color="auto" w:fill="auto"/>
            <w:vAlign w:val="center"/>
          </w:tcPr>
          <w:p>
            <w:pPr>
              <w:widowControl/>
              <w:spacing w:line="240" w:lineRule="auto"/>
              <w:contextualSpacing/>
              <w:jc w:val="center"/>
              <w:rPr>
                <w:rFonts w:cs="Times New Roman" w:eastAsiaTheme="minorEastAsia"/>
                <w:color w:val="FF0000"/>
                <w:kern w:val="0"/>
                <w:sz w:val="21"/>
                <w:szCs w:val="21"/>
              </w:rPr>
            </w:pPr>
            <w:r>
              <w:rPr>
                <w:rFonts w:cs="Times New Roman" w:eastAsiaTheme="minorEastAsia"/>
                <w:color w:val="FF0000"/>
                <w:kern w:val="0"/>
                <w:sz w:val="21"/>
                <w:szCs w:val="21"/>
              </w:rPr>
              <w:t>2</w:t>
            </w:r>
          </w:p>
        </w:tc>
        <w:tc>
          <w:tcPr>
            <w:tcW w:w="813" w:type="dxa"/>
            <w:shd w:val="clear" w:color="auto" w:fill="auto"/>
          </w:tcPr>
          <w:p>
            <w:pPr>
              <w:widowControl/>
              <w:spacing w:line="240" w:lineRule="auto"/>
              <w:contextualSpacing/>
              <w:jc w:val="center"/>
              <w:rPr>
                <w:rFonts w:cs="Times New Roman" w:eastAsiaTheme="minorEastAsia"/>
                <w:kern w:val="0"/>
                <w:sz w:val="21"/>
                <w:szCs w:val="21"/>
              </w:rPr>
            </w:pPr>
            <w:r>
              <w:rPr>
                <w:rFonts w:cs="Times New Roman" w:eastAsiaTheme="minorEastAsia"/>
                <w:kern w:val="0"/>
                <w:sz w:val="21"/>
                <w:szCs w:val="21"/>
              </w:rPr>
              <w:t>套</w:t>
            </w:r>
          </w:p>
        </w:tc>
        <w:tc>
          <w:tcPr>
            <w:tcW w:w="3901" w:type="dxa"/>
            <w:shd w:val="clear" w:color="auto" w:fill="auto"/>
            <w:vAlign w:val="center"/>
          </w:tcPr>
          <w:p>
            <w:pPr>
              <w:widowControl/>
              <w:spacing w:line="240" w:lineRule="auto"/>
              <w:contextualSpacing/>
              <w:jc w:val="left"/>
              <w:rPr>
                <w:rFonts w:cs="Times New Roman" w:eastAsiaTheme="minorEastAsia"/>
                <w:kern w:val="0"/>
                <w:sz w:val="21"/>
                <w:szCs w:val="21"/>
              </w:rPr>
            </w:pPr>
            <w:r>
              <w:rPr>
                <w:rFonts w:cs="Times New Roman" w:eastAsiaTheme="minorEastAsia"/>
                <w:kern w:val="0"/>
                <w:sz w:val="21"/>
                <w:szCs w:val="21"/>
              </w:rPr>
              <w:t>备件</w:t>
            </w:r>
          </w:p>
        </w:tc>
      </w:tr>
    </w:tbl>
    <w:p>
      <w:pPr>
        <w:pStyle w:val="73"/>
        <w:adjustRightInd/>
        <w:spacing w:line="360" w:lineRule="auto"/>
        <w:ind w:firstLine="241"/>
        <w:contextualSpacing/>
        <w:jc w:val="both"/>
        <w:rPr>
          <w:rFonts w:eastAsiaTheme="minorEastAsia"/>
        </w:rPr>
      </w:pPr>
      <w:r>
        <w:rPr>
          <w:rFonts w:eastAsiaTheme="minorEastAsia"/>
          <w:b/>
          <w:color w:val="000000" w:themeColor="text1"/>
          <w14:textFill>
            <w14:solidFill>
              <w14:schemeClr w14:val="tx1"/>
            </w14:solidFill>
          </w14:textFill>
        </w:rPr>
        <w:t>注：</w:t>
      </w:r>
      <w:r>
        <w:rPr>
          <w:rFonts w:eastAsiaTheme="minorEastAsia"/>
          <w:color w:val="000000" w:themeColor="text1"/>
          <w14:textFill>
            <w14:solidFill>
              <w14:schemeClr w14:val="tx1"/>
            </w14:solidFill>
          </w14:textFill>
        </w:rPr>
        <w:t>1、</w:t>
      </w:r>
      <w:r>
        <w:rPr>
          <w:rFonts w:eastAsiaTheme="minorEastAsia"/>
        </w:rPr>
        <w:t>包括压力表、油泵2台、抗燃油冷却器、泄压阀、蓄能器2台、滤网、阀门等，油管及管件材质为0Cr18Ni9、阀门为不锈钢且需要硬密封（蘑菇头）</w:t>
      </w:r>
      <w:r>
        <w:rPr>
          <w:rFonts w:eastAsiaTheme="minorEastAsia"/>
          <w:color w:val="FF0000"/>
        </w:rPr>
        <w:t>。</w:t>
      </w:r>
    </w:p>
    <w:p>
      <w:pPr>
        <w:pStyle w:val="73"/>
        <w:adjustRightInd/>
        <w:spacing w:line="360" w:lineRule="auto"/>
        <w:ind w:firstLine="480" w:firstLineChars="200"/>
        <w:contextualSpacing/>
        <w:jc w:val="both"/>
        <w:rPr>
          <w:rFonts w:eastAsiaTheme="minorEastAsia"/>
        </w:rPr>
      </w:pPr>
      <w:r>
        <w:rPr>
          <w:rFonts w:eastAsiaTheme="minorEastAsia"/>
        </w:rPr>
        <w:t>2、油系统除了电磁阀及集成块结合面可以使用O环以外，O环材质为氟橡胶，其他接头必须使用铜垫或蘑菇头密封。</w:t>
      </w:r>
    </w:p>
    <w:p>
      <w:pPr>
        <w:pStyle w:val="31"/>
        <w:rPr>
          <w:rFonts w:ascii="Times New Roman" w:hAnsi="Times New Roman" w:cs="Times New Roman"/>
        </w:rPr>
        <w:sectPr>
          <w:pgSz w:w="16838" w:h="11906" w:orient="landscape"/>
          <w:pgMar w:top="1418" w:right="1418" w:bottom="1418" w:left="1418" w:header="851" w:footer="851" w:gutter="0"/>
          <w:cols w:space="720" w:num="1"/>
          <w:docGrid w:type="lines" w:linePitch="312" w:charSpace="0"/>
        </w:sectPr>
      </w:pPr>
    </w:p>
    <w:p>
      <w:pPr>
        <w:pStyle w:val="31"/>
        <w:rPr>
          <w:rFonts w:ascii="Times New Roman" w:hAnsi="Times New Roman" w:cs="Times New Roman"/>
        </w:rPr>
      </w:pPr>
      <w:r>
        <w:rPr>
          <w:rFonts w:ascii="Times New Roman" w:hAnsi="Times New Roman" w:cs="Times New Roman"/>
        </w:rPr>
        <w:t>三、技术要求</w:t>
      </w:r>
    </w:p>
    <w:p>
      <w:pPr>
        <w:pStyle w:val="2"/>
        <w:numPr>
          <w:ilvl w:val="0"/>
          <w:numId w:val="0"/>
        </w:numPr>
        <w:rPr>
          <w:b/>
          <w:szCs w:val="24"/>
        </w:rPr>
      </w:pPr>
      <w:r>
        <w:rPr>
          <w:b/>
          <w:szCs w:val="24"/>
        </w:rPr>
        <w:t>3.1、4号机组零出力改造方案</w:t>
      </w:r>
    </w:p>
    <w:p>
      <w:pPr>
        <w:tabs>
          <w:tab w:val="left" w:pos="993"/>
        </w:tabs>
        <w:ind w:firstLine="480" w:firstLineChars="200"/>
        <w:rPr>
          <w:rFonts w:cs="Times New Roman" w:eastAsiaTheme="minorEastAsia"/>
          <w:color w:val="000000"/>
          <w:kern w:val="0"/>
        </w:rPr>
      </w:pPr>
      <w:r>
        <w:rPr>
          <w:rFonts w:cs="Times New Roman" w:eastAsiaTheme="minorEastAsia"/>
          <w:color w:val="000000"/>
          <w:kern w:val="0"/>
        </w:rPr>
        <w:t>在汽轮机中、低压联通管上加装抽汽压力调控蝶阀（液动快关调节蝶阀）实现调整抽汽供热，改造为热、电联供机组。供热改造后供热工况下单台机额定抽汽量600t/h。联通管道公称直径按φ1424×12mm（阀门和三通处考虑补强）设计，位于联通管上的液动快关调节蝶阀为DN1400，供热安全阀DN450/500；其中联通管上的液动快关调节蝶阀用于低压缸零出力，必须保证关闭严密。联通管以外的快关调节碟阀、抽汽止回阀和电动蝶阀均按不低于DN1200设计。为方便安装和检修，联通管上设置必要的连接法兰。</w:t>
      </w:r>
    </w:p>
    <w:p>
      <w:pPr>
        <w:pStyle w:val="2"/>
        <w:numPr>
          <w:ilvl w:val="0"/>
          <w:numId w:val="0"/>
        </w:numPr>
        <w:rPr>
          <w:b/>
          <w:szCs w:val="24"/>
        </w:rPr>
      </w:pPr>
      <w:r>
        <w:rPr>
          <w:b/>
          <w:szCs w:val="24"/>
        </w:rPr>
        <w:t>3.2、总体要求</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供方保证提供的设备为全新的、先进的、成熟的、完整的和安全可靠的，且设备的技术经济性能符合要求。</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提供运行所需备品备件(包括仪表和控制设备)，并给出具体清单。</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供方提供进口设备、部件和材料清单。</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所用液压门及密封件备件随主设备供货。</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用于机械设备紧固和安装所需材料以及螺栓，将随机械设备一起供货，除非另外规定。</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所有与改造工程有关的专用工器具随主设备供货。</w:t>
      </w:r>
    </w:p>
    <w:p>
      <w:pPr>
        <w:numPr>
          <w:ilvl w:val="0"/>
          <w:numId w:val="12"/>
        </w:numPr>
        <w:tabs>
          <w:tab w:val="left" w:pos="993"/>
        </w:tabs>
        <w:ind w:left="0" w:firstLine="0"/>
        <w:rPr>
          <w:rFonts w:cs="Times New Roman" w:eastAsiaTheme="minorEastAsia"/>
          <w:kern w:val="0"/>
        </w:rPr>
      </w:pPr>
      <w:r>
        <w:rPr>
          <w:rFonts w:cs="Times New Roman" w:eastAsiaTheme="minorEastAsia"/>
          <w:kern w:val="0"/>
        </w:rPr>
        <w:t>阀门均不采用铸铁，全部为钢制阀门。法兰连接的阀门，采用柔性石墨金属缠绕垫片。阀门门盖垫均采用柔性石墨金属缠绕垫片。</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阀门应配置就地操作面板，配备远控/就地操作切换开关，并提供保护措施防止就地误操作。就地操作仅在调试检修时使用，正常运行时均接受DCS系统的远方控制。</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所有阀门按国标或ANSI B16.34、B31.1、API、FCI、及ASTM等相关标准执行、选材、制造和试验。</w:t>
      </w:r>
      <w:r>
        <w:rPr>
          <w:rFonts w:cs="Times New Roman" w:eastAsiaTheme="minorEastAsia"/>
          <w:color w:val="FF0000"/>
          <w:kern w:val="0"/>
        </w:rPr>
        <w:t>阀门泄漏等级应达到ASNI V级。</w:t>
      </w:r>
      <w:r>
        <w:rPr>
          <w:rFonts w:cs="Times New Roman" w:eastAsiaTheme="minorEastAsia"/>
          <w:color w:val="000000"/>
          <w:kern w:val="0"/>
        </w:rPr>
        <w:t>阀门选型应征得买方认可。所有阀门不得使用轻体阀门。</w:t>
      </w:r>
    </w:p>
    <w:p>
      <w:pPr>
        <w:numPr>
          <w:ilvl w:val="0"/>
          <w:numId w:val="12"/>
        </w:numPr>
        <w:tabs>
          <w:tab w:val="left" w:pos="993"/>
        </w:tabs>
        <w:ind w:left="0" w:firstLine="0"/>
        <w:rPr>
          <w:rFonts w:cs="Times New Roman" w:eastAsiaTheme="minorEastAsia"/>
          <w:kern w:val="0"/>
        </w:rPr>
      </w:pPr>
      <w:r>
        <w:rPr>
          <w:rFonts w:cs="Times New Roman" w:eastAsiaTheme="minorEastAsia"/>
          <w:kern w:val="0"/>
        </w:rPr>
        <w:t>供热调节蝶阀压力等级不低于PN25，并满足运行要求。</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阀门的选用等级及工作参数根据所提供的运行工况，符合系统设计要求及有关法规和标准。每只阀门都带有标示开启和关闭方向的铭牌，还应在阀门上标明流动方向，并且标识为永久性标识。对于“锁于开启位置”或“锁于关闭位置”的阀门，带有能将阀杆锁于开启或关闭位置的装置。</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所有阀门及附件都操作灵活，开启、关闭速度稳定、灵活，阀门严密不漏。每个阀门都有制造厂商的厂名或商标以及识别符号，标明制造厂商所保证的使用工作条件。</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每只阀门都带有指示开启和关闭方向的铭牌，并在阀门上明确标明流动方向。对于“锁于开启位置”或“锁于关闭位置”的阀门，带有能将阀杆锁于开启或关闭位置的装置。</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阀门的驱动装置与阀体的要求相适应、安全可靠、动作灵活，并附有动态特性曲线，有足够数量满足控制要求的行程、力矩开关（在全开全关位置配有两开两闭接点输出的行程开关及两开两闭接点输出的力矩开关）。阀门的驱动装置的额定力矩大于阀体动作所需最大力矩的15％，以避免因驱动力矩不够引起的卡涩。阀门的驱动装置的动作力矩为可调式。</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所有过程逻辑开关的精度至少为0.5级，其外壳防护等应至少达到IP65标准，并具有不小于13mm的螺纹电缆接口。提供的接点输出应为DPDT(双刀双掷)型。所有的联锁保护均应使用逻辑开关，不允许采用电接点型仪表。</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所有的变送器应为二线制智能变送器(分析仪表，导电度表除外)，精度至少达到0.1级，提供的外部负载应至少为500欧姆。外壳防护等应达到IP65标准，并具有不小于13mm的螺纹电缆接口。所有不使用的连接口应予以封堵。</w:t>
      </w:r>
    </w:p>
    <w:p>
      <w:pPr>
        <w:numPr>
          <w:ilvl w:val="0"/>
          <w:numId w:val="12"/>
        </w:numPr>
        <w:tabs>
          <w:tab w:val="left" w:pos="851"/>
          <w:tab w:val="left" w:pos="993"/>
        </w:tabs>
        <w:ind w:left="0" w:firstLine="0"/>
        <w:rPr>
          <w:rFonts w:cs="Times New Roman" w:eastAsiaTheme="minorEastAsia"/>
          <w:color w:val="000000"/>
          <w:kern w:val="0"/>
        </w:rPr>
      </w:pPr>
      <w:r>
        <w:rPr>
          <w:rFonts w:cs="Times New Roman" w:eastAsiaTheme="minorEastAsia"/>
          <w:color w:val="000000"/>
          <w:kern w:val="0"/>
        </w:rPr>
        <w:t>所有模拟量接口信号应是4~20mA(热电偶及热电阻除外)，所有至DCS及电气控制回路的接点输出应为双刀双掷(DPDT)无源接点类型，接点容量(安培数)应至少满足如下要求：</w:t>
      </w:r>
    </w:p>
    <w:tbl>
      <w:tblPr>
        <w:tblStyle w:val="35"/>
        <w:tblW w:w="8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1987"/>
        <w:gridCol w:w="1987"/>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476" w:type="dxa"/>
            <w:vAlign w:val="center"/>
          </w:tcPr>
          <w:p>
            <w:pPr>
              <w:rPr>
                <w:rFonts w:cs="Times New Roman"/>
                <w:color w:val="000000"/>
                <w:kern w:val="0"/>
              </w:rPr>
            </w:pPr>
          </w:p>
        </w:tc>
        <w:tc>
          <w:tcPr>
            <w:tcW w:w="1987" w:type="dxa"/>
            <w:vAlign w:val="center"/>
          </w:tcPr>
          <w:p>
            <w:pPr>
              <w:rPr>
                <w:rFonts w:cs="Times New Roman"/>
                <w:color w:val="000000"/>
                <w:kern w:val="0"/>
              </w:rPr>
            </w:pPr>
            <w:r>
              <w:rPr>
                <w:rFonts w:cs="Times New Roman"/>
                <w:color w:val="000000"/>
                <w:kern w:val="0"/>
              </w:rPr>
              <w:t>230VAC</w:t>
            </w:r>
          </w:p>
        </w:tc>
        <w:tc>
          <w:tcPr>
            <w:tcW w:w="1987" w:type="dxa"/>
            <w:vAlign w:val="center"/>
          </w:tcPr>
          <w:p>
            <w:pPr>
              <w:rPr>
                <w:rFonts w:cs="Times New Roman"/>
                <w:color w:val="000000"/>
                <w:kern w:val="0"/>
              </w:rPr>
            </w:pPr>
            <w:r>
              <w:rPr>
                <w:rFonts w:cs="Times New Roman"/>
                <w:color w:val="000000"/>
                <w:kern w:val="0"/>
              </w:rPr>
              <w:t>115VDC</w:t>
            </w:r>
          </w:p>
        </w:tc>
        <w:tc>
          <w:tcPr>
            <w:tcW w:w="1551" w:type="dxa"/>
            <w:vAlign w:val="center"/>
          </w:tcPr>
          <w:p>
            <w:pPr>
              <w:rPr>
                <w:rFonts w:cs="Times New Roman"/>
                <w:color w:val="000000"/>
                <w:kern w:val="0"/>
              </w:rPr>
            </w:pPr>
            <w:r>
              <w:rPr>
                <w:rFonts w:cs="Times New Roman"/>
                <w:color w:val="000000"/>
                <w:kern w:val="0"/>
              </w:rPr>
              <w:t>230VDC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476" w:type="dxa"/>
            <w:vAlign w:val="center"/>
          </w:tcPr>
          <w:p>
            <w:pPr>
              <w:rPr>
                <w:rFonts w:cs="Times New Roman"/>
                <w:color w:val="000000"/>
                <w:kern w:val="0"/>
              </w:rPr>
            </w:pPr>
            <w:r>
              <w:rPr>
                <w:rFonts w:cs="Times New Roman"/>
                <w:color w:val="000000"/>
                <w:kern w:val="0"/>
              </w:rPr>
              <w:t>接点闭合(感性回路)</w:t>
            </w:r>
          </w:p>
        </w:tc>
        <w:tc>
          <w:tcPr>
            <w:tcW w:w="1987" w:type="dxa"/>
            <w:vAlign w:val="center"/>
          </w:tcPr>
          <w:p>
            <w:pPr>
              <w:rPr>
                <w:rFonts w:cs="Times New Roman"/>
                <w:color w:val="000000"/>
                <w:kern w:val="0"/>
              </w:rPr>
            </w:pPr>
            <w:r>
              <w:rPr>
                <w:rFonts w:cs="Times New Roman"/>
                <w:color w:val="000000"/>
                <w:kern w:val="0"/>
              </w:rPr>
              <w:t>5A</w:t>
            </w:r>
          </w:p>
        </w:tc>
        <w:tc>
          <w:tcPr>
            <w:tcW w:w="1987" w:type="dxa"/>
            <w:vAlign w:val="center"/>
          </w:tcPr>
          <w:p>
            <w:pPr>
              <w:rPr>
                <w:rFonts w:cs="Times New Roman"/>
                <w:color w:val="000000"/>
                <w:kern w:val="0"/>
              </w:rPr>
            </w:pPr>
            <w:r>
              <w:rPr>
                <w:rFonts w:cs="Times New Roman"/>
                <w:color w:val="000000"/>
                <w:kern w:val="0"/>
              </w:rPr>
              <w:t>10A</w:t>
            </w:r>
          </w:p>
        </w:tc>
        <w:tc>
          <w:tcPr>
            <w:tcW w:w="1551" w:type="dxa"/>
            <w:vAlign w:val="center"/>
          </w:tcPr>
          <w:p>
            <w:pPr>
              <w:rPr>
                <w:rFonts w:cs="Times New Roman"/>
                <w:color w:val="000000"/>
                <w:kern w:val="0"/>
              </w:rPr>
            </w:pPr>
            <w:r>
              <w:rPr>
                <w:rFonts w:cs="Times New Roman"/>
                <w:color w:val="000000"/>
                <w:kern w:val="0"/>
              </w:rPr>
              <w:t>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476" w:type="dxa"/>
            <w:vAlign w:val="center"/>
          </w:tcPr>
          <w:p>
            <w:pPr>
              <w:rPr>
                <w:rFonts w:cs="Times New Roman"/>
                <w:color w:val="000000"/>
                <w:kern w:val="0"/>
              </w:rPr>
            </w:pPr>
            <w:r>
              <w:rPr>
                <w:rFonts w:cs="Times New Roman"/>
                <w:color w:val="000000"/>
                <w:kern w:val="0"/>
              </w:rPr>
              <w:t>连续带电</w:t>
            </w:r>
          </w:p>
        </w:tc>
        <w:tc>
          <w:tcPr>
            <w:tcW w:w="1987" w:type="dxa"/>
            <w:vAlign w:val="center"/>
          </w:tcPr>
          <w:p>
            <w:pPr>
              <w:rPr>
                <w:rFonts w:cs="Times New Roman"/>
                <w:color w:val="000000"/>
                <w:kern w:val="0"/>
              </w:rPr>
            </w:pPr>
            <w:r>
              <w:rPr>
                <w:rFonts w:cs="Times New Roman"/>
                <w:color w:val="000000"/>
                <w:kern w:val="0"/>
              </w:rPr>
              <w:t>5A</w:t>
            </w:r>
          </w:p>
        </w:tc>
        <w:tc>
          <w:tcPr>
            <w:tcW w:w="1987" w:type="dxa"/>
            <w:vAlign w:val="center"/>
          </w:tcPr>
          <w:p>
            <w:pPr>
              <w:rPr>
                <w:rFonts w:cs="Times New Roman"/>
                <w:color w:val="000000"/>
                <w:kern w:val="0"/>
              </w:rPr>
            </w:pPr>
            <w:r>
              <w:rPr>
                <w:rFonts w:cs="Times New Roman"/>
                <w:color w:val="000000"/>
                <w:kern w:val="0"/>
              </w:rPr>
              <w:t>5A</w:t>
            </w:r>
          </w:p>
        </w:tc>
        <w:tc>
          <w:tcPr>
            <w:tcW w:w="1551" w:type="dxa"/>
            <w:vAlign w:val="center"/>
          </w:tcPr>
          <w:p>
            <w:pPr>
              <w:rPr>
                <w:rFonts w:cs="Times New Roman"/>
                <w:color w:val="000000"/>
                <w:kern w:val="0"/>
              </w:rPr>
            </w:pPr>
            <w:r>
              <w:rPr>
                <w:rFonts w:cs="Times New Roman"/>
                <w:color w:val="000000"/>
                <w:kern w:val="0"/>
              </w:rPr>
              <w:t>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476" w:type="dxa"/>
            <w:vAlign w:val="center"/>
          </w:tcPr>
          <w:p>
            <w:pPr>
              <w:rPr>
                <w:rFonts w:cs="Times New Roman"/>
                <w:color w:val="000000"/>
                <w:kern w:val="0"/>
              </w:rPr>
            </w:pPr>
            <w:r>
              <w:rPr>
                <w:rFonts w:cs="Times New Roman"/>
                <w:color w:val="000000"/>
                <w:kern w:val="0"/>
              </w:rPr>
              <w:t>接点分断</w:t>
            </w:r>
          </w:p>
        </w:tc>
        <w:tc>
          <w:tcPr>
            <w:tcW w:w="1987" w:type="dxa"/>
            <w:vAlign w:val="center"/>
          </w:tcPr>
          <w:p>
            <w:pPr>
              <w:rPr>
                <w:rFonts w:cs="Times New Roman"/>
                <w:color w:val="000000"/>
                <w:kern w:val="0"/>
              </w:rPr>
            </w:pPr>
            <w:r>
              <w:rPr>
                <w:rFonts w:cs="Times New Roman"/>
                <w:color w:val="000000"/>
                <w:kern w:val="0"/>
              </w:rPr>
              <w:t>2.5A</w:t>
            </w:r>
          </w:p>
        </w:tc>
        <w:tc>
          <w:tcPr>
            <w:tcW w:w="1987" w:type="dxa"/>
            <w:vAlign w:val="center"/>
          </w:tcPr>
          <w:p>
            <w:pPr>
              <w:rPr>
                <w:rFonts w:cs="Times New Roman"/>
                <w:color w:val="000000"/>
                <w:kern w:val="0"/>
              </w:rPr>
            </w:pPr>
            <w:r>
              <w:rPr>
                <w:rFonts w:cs="Times New Roman"/>
                <w:color w:val="000000"/>
                <w:kern w:val="0"/>
              </w:rPr>
              <w:t>2A</w:t>
            </w:r>
          </w:p>
        </w:tc>
        <w:tc>
          <w:tcPr>
            <w:tcW w:w="1551" w:type="dxa"/>
            <w:vAlign w:val="center"/>
          </w:tcPr>
          <w:p>
            <w:pPr>
              <w:rPr>
                <w:rFonts w:cs="Times New Roman"/>
                <w:color w:val="000000"/>
                <w:kern w:val="0"/>
              </w:rPr>
            </w:pPr>
            <w:r>
              <w:rPr>
                <w:rFonts w:cs="Times New Roman"/>
                <w:color w:val="000000"/>
                <w:kern w:val="0"/>
              </w:rPr>
              <w:t>0.5A</w:t>
            </w:r>
          </w:p>
        </w:tc>
      </w:tr>
    </w:tbl>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阀门提供外形图，接线图，控制系统图，安装使用说明书等相关资料。</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阀门噪音：距离改造设备1m处噪音≤85dB(A)，并提供降低噪声的措施，如不满足应负责免费处理。</w:t>
      </w:r>
    </w:p>
    <w:p>
      <w:pPr>
        <w:numPr>
          <w:ilvl w:val="0"/>
          <w:numId w:val="12"/>
        </w:numPr>
        <w:tabs>
          <w:tab w:val="left" w:pos="993"/>
        </w:tabs>
        <w:ind w:left="0" w:firstLine="0"/>
        <w:rPr>
          <w:rFonts w:cs="Times New Roman" w:eastAsiaTheme="minorEastAsia"/>
          <w:color w:val="000000"/>
          <w:kern w:val="0"/>
        </w:rPr>
      </w:pPr>
      <w:r>
        <w:rPr>
          <w:rFonts w:cs="Times New Roman" w:eastAsiaTheme="minorEastAsia"/>
          <w:color w:val="000000"/>
          <w:kern w:val="0"/>
        </w:rPr>
        <w:t>阀体的水压试验的压力应为公称压力的1.5倍，试验时无渗漏现象。试验时间应足够进行鉴定观察，试验时间应不小于10分钟。</w:t>
      </w:r>
    </w:p>
    <w:p>
      <w:pPr>
        <w:numPr>
          <w:ilvl w:val="0"/>
          <w:numId w:val="12"/>
        </w:numPr>
        <w:tabs>
          <w:tab w:val="left" w:pos="993"/>
        </w:tabs>
        <w:ind w:left="0" w:firstLine="0"/>
        <w:rPr>
          <w:rFonts w:cs="Times New Roman" w:eastAsiaTheme="minorEastAsia"/>
          <w:color w:val="FF0000"/>
          <w:kern w:val="0"/>
        </w:rPr>
      </w:pPr>
      <w:r>
        <w:rPr>
          <w:rFonts w:cs="Times New Roman" w:eastAsiaTheme="minorEastAsia"/>
          <w:color w:val="FF0000"/>
          <w:kern w:val="0"/>
        </w:rPr>
        <w:t>抽汽快关调节阀（液动）、电动隔离阀以及联通管上的抽汽压力调控蝶阀有远动、手动两种操作功能；远动控制信号均采用标准信号，以便接入机组DCS控制。电动隔离阀需采用分体式电动执行机构。</w:t>
      </w:r>
    </w:p>
    <w:p>
      <w:pPr>
        <w:numPr>
          <w:ilvl w:val="0"/>
          <w:numId w:val="12"/>
        </w:numPr>
        <w:tabs>
          <w:tab w:val="left" w:pos="993"/>
        </w:tabs>
        <w:ind w:left="0" w:firstLine="0"/>
        <w:rPr>
          <w:rFonts w:cs="Times New Roman" w:eastAsiaTheme="minorEastAsia"/>
          <w:color w:val="FF0000"/>
          <w:kern w:val="0"/>
        </w:rPr>
      </w:pPr>
      <w:r>
        <w:rPr>
          <w:rFonts w:cs="Times New Roman" w:eastAsiaTheme="minorEastAsia"/>
          <w:color w:val="FF0000"/>
          <w:kern w:val="0"/>
        </w:rPr>
        <w:t>供热管阀寿命不低于30年。</w:t>
      </w:r>
    </w:p>
    <w:p>
      <w:pPr>
        <w:numPr>
          <w:ilvl w:val="0"/>
          <w:numId w:val="12"/>
        </w:numPr>
        <w:tabs>
          <w:tab w:val="left" w:pos="993"/>
        </w:tabs>
        <w:ind w:left="0" w:firstLine="0"/>
        <w:rPr>
          <w:rFonts w:cs="Times New Roman" w:eastAsiaTheme="minorEastAsia"/>
          <w:color w:val="FF0000"/>
          <w:kern w:val="0"/>
        </w:rPr>
      </w:pPr>
      <w:r>
        <w:rPr>
          <w:rFonts w:cs="Times New Roman" w:eastAsiaTheme="minorEastAsia"/>
          <w:color w:val="FF0000"/>
          <w:kern w:val="0"/>
        </w:rPr>
        <w:t>阀门接口的材质和尺寸应与招标方的连接管道相一致，如不匹配或与连接管为异种钢焊接，须提供大小头和利于焊接的过渡段，并在工厂内完成焊接工作（包括热处理），保证现场无异种钢焊接。</w:t>
      </w:r>
    </w:p>
    <w:p>
      <w:pPr>
        <w:numPr>
          <w:ilvl w:val="0"/>
          <w:numId w:val="12"/>
        </w:numPr>
        <w:tabs>
          <w:tab w:val="left" w:pos="993"/>
        </w:tabs>
        <w:ind w:left="0" w:firstLine="0"/>
        <w:rPr>
          <w:rFonts w:cs="Times New Roman" w:eastAsiaTheme="minorEastAsia"/>
          <w:color w:val="FF0000"/>
          <w:kern w:val="0"/>
        </w:rPr>
      </w:pPr>
      <w:r>
        <w:rPr>
          <w:rFonts w:cs="Times New Roman" w:eastAsiaTheme="minorEastAsia"/>
          <w:color w:val="FF0000"/>
          <w:kern w:val="0"/>
        </w:rPr>
        <w:t>供方提供阀门本体、反法兰及连接件、电动执行机构、气动执行机构及其相关附件等。</w:t>
      </w:r>
    </w:p>
    <w:p>
      <w:pPr>
        <w:pStyle w:val="2"/>
        <w:numPr>
          <w:ilvl w:val="0"/>
          <w:numId w:val="0"/>
        </w:numPr>
        <w:rPr>
          <w:b/>
          <w:szCs w:val="24"/>
        </w:rPr>
      </w:pPr>
      <w:r>
        <w:rPr>
          <w:b/>
          <w:szCs w:val="24"/>
        </w:rPr>
        <w:t>3.3、液动快开调节蝶阀（连通管处）</w:t>
      </w:r>
    </w:p>
    <w:p>
      <w:pPr>
        <w:pStyle w:val="2"/>
        <w:numPr>
          <w:ilvl w:val="0"/>
          <w:numId w:val="0"/>
        </w:numPr>
        <w:rPr>
          <w:b/>
          <w:szCs w:val="24"/>
        </w:rPr>
      </w:pPr>
      <w:r>
        <w:rPr>
          <w:b/>
          <w:szCs w:val="24"/>
        </w:rPr>
        <w:t>3.3.1、液动快开调节蝶阀选型参数</w:t>
      </w:r>
    </w:p>
    <w:tbl>
      <w:tblPr>
        <w:tblStyle w:val="35"/>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5"/>
        <w:gridCol w:w="5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阀门型号</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供热蝶阀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工作介质</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过热蒸汽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最高工作压力MPa(绝压)</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最高工作压差MPa(绝压)</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最高工作温度</w:t>
            </w:r>
            <w:r>
              <w:rPr>
                <w:rFonts w:hint="eastAsia" w:ascii="宋体" w:hAnsi="宋体" w:cs="宋体"/>
                <w:bCs/>
                <w:szCs w:val="21"/>
              </w:rPr>
              <w:t>℃</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公称直径mm</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DN1400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color w:val="FF0000"/>
                <w:szCs w:val="21"/>
              </w:rPr>
              <w:t>接口管道尺寸mm/材质</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color w:val="FF0000"/>
                <w:szCs w:val="21"/>
              </w:rPr>
              <w:t>东汽提供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阀门高度 mm</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530(暂定)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控制方式</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液动控制，独立油站供油（与DN1200快关调节阀共用）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控制油型号</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阿克苏牌磷酸酯抗燃油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控制油压MPa</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12~16MPa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控制油温</w:t>
            </w:r>
            <w:r>
              <w:rPr>
                <w:rFonts w:hint="eastAsia" w:ascii="宋体" w:hAnsi="宋体" w:cs="宋体"/>
                <w:bCs/>
                <w:szCs w:val="21"/>
              </w:rPr>
              <w:t>℃</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30~60</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控制油清洁度</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NAS7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控制油站容量L</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快关电磁阀电压</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24VDC （常失电型）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油站外供电压等级</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380VAC 50Hz三相四线制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控制信号</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4～20mA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失控制信号（4～20mA）</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阀门处原位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color w:val="FF0000"/>
                <w:szCs w:val="21"/>
              </w:rPr>
            </w:pPr>
            <w:r>
              <w:rPr>
                <w:rFonts w:cs="Times New Roman" w:eastAsiaTheme="minorEastAsia"/>
                <w:bCs/>
                <w:color w:val="FF0000"/>
                <w:szCs w:val="21"/>
              </w:rPr>
              <w:t>连接型式</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color w:val="FF0000"/>
                <w:szCs w:val="21"/>
              </w:rPr>
            </w:pPr>
            <w:r>
              <w:rPr>
                <w:rFonts w:cs="Times New Roman" w:eastAsiaTheme="minorEastAsia"/>
                <w:bCs/>
                <w:color w:val="FF0000"/>
                <w:szCs w:val="21"/>
              </w:rPr>
              <w:t>带颈榫槽法兰（配齐反法兰、连接件及密封件）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最大开度下相应压损</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环境温度</w:t>
            </w:r>
            <w:r>
              <w:rPr>
                <w:rFonts w:hint="eastAsia" w:ascii="宋体" w:hAnsi="宋体" w:cs="宋体"/>
                <w:bCs/>
                <w:szCs w:val="21"/>
              </w:rPr>
              <w:t>℃</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正常关阀、开阀时间</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10～60秒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快开时间</w:t>
            </w:r>
          </w:p>
        </w:tc>
        <w:tc>
          <w:tcPr>
            <w:tcW w:w="576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Times New Roman" w:eastAsiaTheme="minorEastAsia"/>
                <w:bCs/>
                <w:szCs w:val="21"/>
              </w:rPr>
            </w:pPr>
            <w:r>
              <w:rPr>
                <w:rFonts w:cs="Times New Roman" w:eastAsiaTheme="minorEastAsia"/>
                <w:bCs/>
                <w:szCs w:val="21"/>
              </w:rPr>
              <w:t>≤0.5秒</w:t>
            </w:r>
          </w:p>
        </w:tc>
      </w:tr>
    </w:tbl>
    <w:p>
      <w:pPr>
        <w:pStyle w:val="2"/>
        <w:numPr>
          <w:ilvl w:val="0"/>
          <w:numId w:val="0"/>
        </w:numPr>
        <w:rPr>
          <w:b/>
          <w:szCs w:val="24"/>
        </w:rPr>
      </w:pPr>
      <w:r>
        <w:rPr>
          <w:b/>
          <w:szCs w:val="24"/>
        </w:rPr>
        <w:t>3.3.2、液动快开调节蝶阀技术要求</w:t>
      </w:r>
    </w:p>
    <w:p>
      <w:pPr>
        <w:tabs>
          <w:tab w:val="left" w:pos="993"/>
        </w:tabs>
        <w:rPr>
          <w:rFonts w:cs="Times New Roman" w:eastAsiaTheme="minorEastAsia"/>
          <w:kern w:val="0"/>
        </w:rPr>
      </w:pPr>
      <w:r>
        <w:rPr>
          <w:rFonts w:cs="Times New Roman" w:eastAsiaTheme="minorEastAsia"/>
          <w:kern w:val="0"/>
        </w:rPr>
        <w:t>3.3.2.1本次采购的</w:t>
      </w:r>
      <w:r>
        <w:rPr>
          <w:rFonts w:cs="Times New Roman"/>
        </w:rPr>
        <w:t>液动</w:t>
      </w:r>
      <w:r>
        <w:rPr>
          <w:rFonts w:cs="Times New Roman"/>
          <w:kern w:val="44"/>
        </w:rPr>
        <w:t>快开调节蝶阀</w:t>
      </w:r>
      <w:r>
        <w:rPr>
          <w:rFonts w:cs="Times New Roman" w:eastAsiaTheme="minorEastAsia"/>
          <w:kern w:val="0"/>
        </w:rPr>
        <w:t>用于低压缸进汽处。该蝶阀（DN1400）具备完全关闭的严密功能，以满足低压缸零出力要求。</w:t>
      </w:r>
    </w:p>
    <w:p>
      <w:pPr>
        <w:tabs>
          <w:tab w:val="left" w:pos="993"/>
        </w:tabs>
        <w:rPr>
          <w:rFonts w:cs="Times New Roman" w:eastAsiaTheme="minorEastAsia"/>
          <w:kern w:val="0"/>
        </w:rPr>
      </w:pPr>
      <w:r>
        <w:rPr>
          <w:rFonts w:cs="Times New Roman" w:eastAsiaTheme="minorEastAsia"/>
          <w:kern w:val="0"/>
        </w:rPr>
        <w:t>3.3.2.2执行器具有机械限位功能，以保证低压缸非零出力工况下低压缸最小冷却流量。执行机构采用液动执行机构，该阀设在联通管上，控制液压油由独立的液压油站提供。</w:t>
      </w:r>
    </w:p>
    <w:p>
      <w:pPr>
        <w:tabs>
          <w:tab w:val="left" w:pos="993"/>
        </w:tabs>
        <w:rPr>
          <w:rFonts w:cs="Times New Roman" w:eastAsiaTheme="minorEastAsia"/>
          <w:kern w:val="0"/>
        </w:rPr>
      </w:pPr>
      <w:r>
        <w:rPr>
          <w:rFonts w:cs="Times New Roman" w:eastAsiaTheme="minorEastAsia"/>
          <w:kern w:val="0"/>
        </w:rPr>
        <w:t>3.3.2.3液压控制适应阀门本体温度400</w:t>
      </w:r>
      <w:r>
        <w:rPr>
          <w:rFonts w:hint="eastAsia" w:ascii="宋体" w:hAnsi="宋体" w:cs="宋体"/>
          <w:kern w:val="0"/>
        </w:rPr>
        <w:t>℃</w:t>
      </w:r>
      <w:r>
        <w:rPr>
          <w:rFonts w:cs="Times New Roman" w:eastAsiaTheme="minorEastAsia"/>
          <w:kern w:val="0"/>
        </w:rPr>
        <w:t>，控制系统所用介质为高压抗燃油，所用液压耐压部件、管件、油路等与EH油接触的部件材质均为0Cr18Ni9Ti不锈钢材质，耐压25.0MPa。</w:t>
      </w:r>
    </w:p>
    <w:p>
      <w:pPr>
        <w:tabs>
          <w:tab w:val="left" w:pos="993"/>
        </w:tabs>
        <w:rPr>
          <w:rFonts w:cs="Times New Roman" w:eastAsiaTheme="minorEastAsia"/>
          <w:kern w:val="0"/>
        </w:rPr>
      </w:pPr>
      <w:r>
        <w:rPr>
          <w:rFonts w:cs="Times New Roman" w:eastAsiaTheme="minorEastAsia"/>
          <w:kern w:val="0"/>
        </w:rPr>
        <w:t>3.3.2.4阀门油动机需为双侧进油、油关、油开、弹簧辅助开，阀门快开，快开时间≤0.5秒；阀门正常开闭时间要求10～60秒。</w:t>
      </w:r>
    </w:p>
    <w:p>
      <w:pPr>
        <w:tabs>
          <w:tab w:val="left" w:pos="993"/>
        </w:tabs>
        <w:rPr>
          <w:rFonts w:cs="Times New Roman" w:eastAsiaTheme="minorEastAsia"/>
          <w:color w:val="FF0000"/>
          <w:kern w:val="0"/>
        </w:rPr>
      </w:pPr>
      <w:r>
        <w:rPr>
          <w:rFonts w:cs="Times New Roman" w:eastAsiaTheme="minorEastAsia"/>
          <w:color w:val="FF0000"/>
          <w:kern w:val="0"/>
        </w:rPr>
        <w:t>3.3.2.5阀门连接型式为带颈榫槽法兰连接，供方设计及提供的法兰结构尺寸及型式需由需方认可，并保证在热胀冷缩情况下不发生泄漏。</w:t>
      </w:r>
    </w:p>
    <w:p>
      <w:pPr>
        <w:tabs>
          <w:tab w:val="left" w:pos="993"/>
        </w:tabs>
        <w:rPr>
          <w:rFonts w:cs="Times New Roman" w:eastAsiaTheme="minorEastAsia"/>
          <w:kern w:val="0"/>
        </w:rPr>
      </w:pPr>
      <w:r>
        <w:rPr>
          <w:rFonts w:cs="Times New Roman" w:eastAsiaTheme="minorEastAsia"/>
          <w:kern w:val="0"/>
        </w:rPr>
        <w:t>3.3.2.6阀门采用三偏心金属硬密封结构，双向零泄漏，不允许采用铸铁材质，密封部位均使用金属硬密封材料。</w:t>
      </w:r>
    </w:p>
    <w:p>
      <w:pPr>
        <w:tabs>
          <w:tab w:val="left" w:pos="993"/>
        </w:tabs>
        <w:rPr>
          <w:rFonts w:cs="Times New Roman" w:eastAsiaTheme="minorEastAsia"/>
          <w:color w:val="000000"/>
          <w:kern w:val="0"/>
        </w:rPr>
      </w:pPr>
      <w:r>
        <w:rPr>
          <w:rFonts w:cs="Times New Roman" w:eastAsiaTheme="minorEastAsia"/>
          <w:color w:val="000000"/>
          <w:kern w:val="0"/>
        </w:rPr>
        <w:t>3.3.2.7阀杆材质为锻造400系列不锈钢，表面渗氮且不少于0.2mm。</w:t>
      </w:r>
    </w:p>
    <w:p>
      <w:pPr>
        <w:tabs>
          <w:tab w:val="left" w:pos="993"/>
        </w:tabs>
        <w:rPr>
          <w:rFonts w:cs="Times New Roman" w:eastAsiaTheme="minorEastAsia"/>
          <w:color w:val="000000"/>
          <w:kern w:val="0"/>
        </w:rPr>
      </w:pPr>
      <w:r>
        <w:rPr>
          <w:rFonts w:cs="Times New Roman" w:eastAsiaTheme="minorEastAsia"/>
          <w:color w:val="000000"/>
          <w:kern w:val="0"/>
        </w:rPr>
        <w:t>3.3.2.8在低压缸零出力极限工况下，蝶阀前后压差最大可达1.0MPa，改造完成后蝶阀应活动灵活，无卡涩现象。</w:t>
      </w:r>
    </w:p>
    <w:p>
      <w:pPr>
        <w:pStyle w:val="2"/>
        <w:numPr>
          <w:ilvl w:val="0"/>
          <w:numId w:val="0"/>
        </w:numPr>
        <w:rPr>
          <w:b/>
          <w:szCs w:val="24"/>
        </w:rPr>
      </w:pPr>
      <w:r>
        <w:rPr>
          <w:b/>
          <w:szCs w:val="24"/>
        </w:rPr>
        <w:t>3.4、液动快关调节蝶阀（抽汽管道处）</w:t>
      </w:r>
    </w:p>
    <w:p>
      <w:pPr>
        <w:pStyle w:val="2"/>
        <w:numPr>
          <w:ilvl w:val="0"/>
          <w:numId w:val="0"/>
        </w:numPr>
        <w:rPr>
          <w:b/>
          <w:szCs w:val="24"/>
        </w:rPr>
      </w:pPr>
      <w:r>
        <w:rPr>
          <w:b/>
          <w:szCs w:val="24"/>
        </w:rPr>
        <w:t>3.4.1、液动快关调节蝶阀选型参数</w:t>
      </w:r>
    </w:p>
    <w:tbl>
      <w:tblPr>
        <w:tblStyle w:val="35"/>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阀门型号</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快关调节阀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工作介质</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过热蒸汽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最高工作压力MPa(绝压)</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最高工作压差MPa(绝压)</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最高工作温度</w:t>
            </w:r>
            <w:r>
              <w:rPr>
                <w:rFonts w:hint="eastAsia" w:ascii="宋体" w:hAnsi="宋体" w:cs="宋体"/>
                <w:bCs/>
                <w:szCs w:val="21"/>
              </w:rPr>
              <w:t>℃</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最大通过流量t/h/单只阀门</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公称压力MPa</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PN2.5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公称直径mm</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DN1200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color w:val="FF0000"/>
                <w:szCs w:val="21"/>
              </w:rPr>
              <w:t>接口管道尺寸mm/材质</w:t>
            </w:r>
          </w:p>
        </w:tc>
        <w:tc>
          <w:tcPr>
            <w:tcW w:w="6191" w:type="dxa"/>
            <w:vAlign w:val="center"/>
          </w:tcPr>
          <w:p>
            <w:pPr>
              <w:spacing w:line="240" w:lineRule="auto"/>
              <w:rPr>
                <w:rFonts w:cs="Times New Roman" w:eastAsiaTheme="minorEastAsia"/>
                <w:bCs/>
                <w:szCs w:val="21"/>
              </w:rPr>
            </w:pPr>
            <w:r>
              <w:rPr>
                <w:rFonts w:cs="Times New Roman" w:eastAsiaTheme="minorEastAsia"/>
                <w:bCs/>
                <w:color w:val="FF0000"/>
                <w:szCs w:val="21"/>
              </w:rPr>
              <w:t>接管为Φ1220×16/20#钢（暂定）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控制方式</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液动控制独立油站供油（与供热蝶阀共用一个液压油站）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控制油型号</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阿克苏牌磷酸酯抗燃油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控制油压MPa</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12~16MPa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控制油温</w:t>
            </w:r>
            <w:r>
              <w:rPr>
                <w:rFonts w:hint="eastAsia" w:ascii="宋体" w:hAnsi="宋体" w:cs="宋体"/>
                <w:bCs/>
                <w:szCs w:val="21"/>
              </w:rPr>
              <w:t>℃</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30~60</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控制油清洁度</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NAS7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控制油站容量L</w:t>
            </w:r>
          </w:p>
        </w:tc>
        <w:tc>
          <w:tcPr>
            <w:tcW w:w="6191" w:type="dxa"/>
            <w:vAlign w:val="center"/>
          </w:tcPr>
          <w:p>
            <w:pPr>
              <w:spacing w:line="240" w:lineRule="auto"/>
              <w:rPr>
                <w:rFonts w:cs="Times New Roman"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快关电磁阀电压</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24VDC（常通电型）失电快关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控制信号</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4～20mA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失控制信号（4～20mA）</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阀门处原位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连接型式</w:t>
            </w:r>
          </w:p>
        </w:tc>
        <w:tc>
          <w:tcPr>
            <w:tcW w:w="6191" w:type="dxa"/>
            <w:vAlign w:val="center"/>
          </w:tcPr>
          <w:p>
            <w:pPr>
              <w:spacing w:line="240" w:lineRule="auto"/>
              <w:rPr>
                <w:rFonts w:cs="Times New Roman" w:eastAsiaTheme="minorEastAsia"/>
                <w:bCs/>
                <w:szCs w:val="21"/>
              </w:rPr>
            </w:pPr>
            <w:r>
              <w:rPr>
                <w:rFonts w:cs="Times New Roman" w:eastAsiaTheme="minorEastAsia"/>
                <w:bCs/>
                <w:color w:val="FF0000"/>
                <w:szCs w:val="21"/>
              </w:rPr>
              <w:t>带颈榫槽法兰（配齐反法兰、连接件及密封件）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最大开度下相应压损</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环境温度</w:t>
            </w:r>
            <w:r>
              <w:rPr>
                <w:rFonts w:hint="eastAsia" w:ascii="宋体" w:hAnsi="宋体" w:cs="宋体"/>
                <w:bCs/>
                <w:szCs w:val="21"/>
              </w:rPr>
              <w:t>℃</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正常关阀、开阀时间</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10～60秒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369" w:type="dxa"/>
            <w:vAlign w:val="center"/>
          </w:tcPr>
          <w:p>
            <w:pPr>
              <w:spacing w:line="240" w:lineRule="auto"/>
              <w:rPr>
                <w:rFonts w:cs="Times New Roman" w:eastAsiaTheme="minorEastAsia"/>
                <w:bCs/>
                <w:szCs w:val="21"/>
              </w:rPr>
            </w:pPr>
            <w:r>
              <w:rPr>
                <w:rFonts w:cs="Times New Roman" w:eastAsiaTheme="minorEastAsia"/>
                <w:bCs/>
                <w:szCs w:val="21"/>
              </w:rPr>
              <w:t>快关时间</w:t>
            </w:r>
          </w:p>
        </w:tc>
        <w:tc>
          <w:tcPr>
            <w:tcW w:w="6191" w:type="dxa"/>
            <w:vAlign w:val="center"/>
          </w:tcPr>
          <w:p>
            <w:pPr>
              <w:spacing w:line="240" w:lineRule="auto"/>
              <w:rPr>
                <w:rFonts w:cs="Times New Roman" w:eastAsiaTheme="minorEastAsia"/>
                <w:bCs/>
                <w:szCs w:val="21"/>
              </w:rPr>
            </w:pPr>
            <w:r>
              <w:rPr>
                <w:rFonts w:cs="Times New Roman" w:eastAsiaTheme="minorEastAsia"/>
                <w:bCs/>
                <w:szCs w:val="21"/>
              </w:rPr>
              <w:t>≤0.5秒（弹簧关闭）</w:t>
            </w:r>
          </w:p>
        </w:tc>
      </w:tr>
    </w:tbl>
    <w:p>
      <w:pPr>
        <w:pStyle w:val="2"/>
        <w:numPr>
          <w:ilvl w:val="0"/>
          <w:numId w:val="0"/>
        </w:numPr>
        <w:rPr>
          <w:b/>
          <w:szCs w:val="24"/>
        </w:rPr>
      </w:pPr>
      <w:r>
        <w:rPr>
          <w:b/>
          <w:szCs w:val="24"/>
        </w:rPr>
        <w:t>3.4.2、液动快关调节蝶阀技术要求</w:t>
      </w:r>
    </w:p>
    <w:p>
      <w:pPr>
        <w:tabs>
          <w:tab w:val="left" w:pos="993"/>
        </w:tabs>
        <w:rPr>
          <w:rFonts w:cs="Times New Roman" w:eastAsiaTheme="minorEastAsia"/>
          <w:color w:val="000000"/>
          <w:kern w:val="0"/>
        </w:rPr>
      </w:pPr>
      <w:r>
        <w:rPr>
          <w:rFonts w:cs="Times New Roman" w:eastAsiaTheme="minorEastAsia"/>
          <w:color w:val="000000"/>
          <w:kern w:val="0"/>
        </w:rPr>
        <w:t>3.4.2.1本次采购的抽汽快关蝶阀用于抽汽母管快速切断抽汽处。该阀控制机构采用液压传动机构，关闭时间不大于0.5秒，满足在极端情况下在0.5s内切断抽汽管道供汽。执行器具有机械限位功能。</w:t>
      </w:r>
    </w:p>
    <w:p>
      <w:pPr>
        <w:tabs>
          <w:tab w:val="left" w:pos="993"/>
        </w:tabs>
        <w:rPr>
          <w:rFonts w:cs="Times New Roman" w:eastAsiaTheme="minorEastAsia"/>
          <w:color w:val="FF0000"/>
          <w:kern w:val="0"/>
        </w:rPr>
      </w:pPr>
      <w:r>
        <w:rPr>
          <w:rFonts w:cs="Times New Roman" w:eastAsiaTheme="minorEastAsia"/>
          <w:color w:val="000000"/>
          <w:kern w:val="0"/>
        </w:rPr>
        <w:t>3.4.2.2</w:t>
      </w:r>
      <w:r>
        <w:rPr>
          <w:rFonts w:cs="Times New Roman" w:eastAsiaTheme="minorEastAsia"/>
          <w:color w:val="FF0000"/>
          <w:kern w:val="0"/>
        </w:rPr>
        <w:t>阀门连接型式为带颈榫槽法兰连接，供方设计及提供的法兰结构尺寸及型式需由需方认可，并保证在热胀冷缩情况下不发生泄漏。</w:t>
      </w:r>
    </w:p>
    <w:p>
      <w:pPr>
        <w:tabs>
          <w:tab w:val="left" w:pos="993"/>
        </w:tabs>
        <w:rPr>
          <w:rFonts w:cs="Times New Roman" w:eastAsiaTheme="minorEastAsia"/>
          <w:color w:val="000000"/>
          <w:kern w:val="0"/>
        </w:rPr>
      </w:pPr>
      <w:r>
        <w:rPr>
          <w:rFonts w:cs="Times New Roman" w:eastAsiaTheme="minorEastAsia"/>
          <w:color w:val="000000"/>
          <w:kern w:val="0"/>
        </w:rPr>
        <w:t>3.4.2.3阀门不允许采用铸铁材质。阀门具有可靠的密封性能，各密封部位结构设计应先进合理，阀门均使用金属硬密封材料。阀杆材质为锻造400系列不锈钢，表面渗氮且不少于0.2mm。</w:t>
      </w:r>
    </w:p>
    <w:p>
      <w:pPr>
        <w:tabs>
          <w:tab w:val="left" w:pos="993"/>
        </w:tabs>
        <w:rPr>
          <w:rFonts w:cs="Times New Roman" w:eastAsiaTheme="minorEastAsia"/>
          <w:color w:val="000000"/>
          <w:kern w:val="0"/>
        </w:rPr>
      </w:pPr>
      <w:r>
        <w:rPr>
          <w:rFonts w:cs="Times New Roman" w:eastAsiaTheme="minorEastAsia"/>
          <w:color w:val="000000"/>
          <w:kern w:val="0"/>
        </w:rPr>
        <w:t>3.4.2.4该阀门采用三偏心金属密封结构，启闭灵活，达到零泄漏，该阀设在抽汽管道上。供热蝶阀和抽汽供热快关调节阀油动机须共用一个液压油站。</w:t>
      </w:r>
    </w:p>
    <w:p>
      <w:pPr>
        <w:tabs>
          <w:tab w:val="left" w:pos="993"/>
        </w:tabs>
        <w:rPr>
          <w:rFonts w:cs="Times New Roman" w:eastAsiaTheme="minorEastAsia"/>
          <w:color w:val="000000"/>
          <w:kern w:val="0"/>
        </w:rPr>
      </w:pPr>
      <w:r>
        <w:rPr>
          <w:rFonts w:cs="Times New Roman" w:eastAsiaTheme="minorEastAsia"/>
          <w:color w:val="000000"/>
          <w:kern w:val="0"/>
        </w:rPr>
        <w:t>3.4.2.5在低压缸零出力极限工况下，蝶阀前后压差最大可达1.0MPa，蝶阀应活动灵活，无卡涩现象。</w:t>
      </w:r>
    </w:p>
    <w:p>
      <w:pPr>
        <w:tabs>
          <w:tab w:val="left" w:pos="993"/>
        </w:tabs>
        <w:rPr>
          <w:rFonts w:cs="Times New Roman" w:eastAsiaTheme="minorEastAsia"/>
          <w:color w:val="000000"/>
          <w:kern w:val="0"/>
        </w:rPr>
      </w:pPr>
      <w:r>
        <w:rPr>
          <w:rFonts w:cs="Times New Roman" w:eastAsiaTheme="minorEastAsia"/>
          <w:color w:val="000000"/>
          <w:kern w:val="0"/>
        </w:rPr>
        <w:t>3.4.2.6阀门油动机需为双侧进油、油开、油关、弹簧辅助关。</w:t>
      </w:r>
    </w:p>
    <w:p>
      <w:pPr>
        <w:tabs>
          <w:tab w:val="left" w:pos="993"/>
        </w:tabs>
        <w:rPr>
          <w:rFonts w:cs="Times New Roman" w:eastAsiaTheme="minorEastAsia"/>
          <w:color w:val="000000"/>
          <w:kern w:val="0"/>
        </w:rPr>
      </w:pPr>
      <w:r>
        <w:rPr>
          <w:rFonts w:cs="Times New Roman" w:eastAsiaTheme="minorEastAsia"/>
          <w:color w:val="000000"/>
          <w:kern w:val="0"/>
        </w:rPr>
        <w:t>抽汽快关调节阀具有调节功能。</w:t>
      </w:r>
    </w:p>
    <w:p>
      <w:pPr>
        <w:pStyle w:val="2"/>
        <w:numPr>
          <w:ilvl w:val="0"/>
          <w:numId w:val="0"/>
        </w:numPr>
        <w:rPr>
          <w:b/>
          <w:szCs w:val="24"/>
        </w:rPr>
      </w:pPr>
      <w:r>
        <w:rPr>
          <w:b/>
          <w:szCs w:val="24"/>
        </w:rPr>
        <w:t>3.5、电动蝶阀</w:t>
      </w:r>
    </w:p>
    <w:p>
      <w:pPr>
        <w:pStyle w:val="2"/>
        <w:numPr>
          <w:ilvl w:val="0"/>
          <w:numId w:val="0"/>
        </w:numPr>
        <w:rPr>
          <w:b/>
          <w:szCs w:val="24"/>
        </w:rPr>
      </w:pPr>
      <w:r>
        <w:rPr>
          <w:b/>
          <w:szCs w:val="24"/>
        </w:rPr>
        <w:t>3.5.1、电动蝶阀选型参数</w:t>
      </w:r>
    </w:p>
    <w:tbl>
      <w:tblPr>
        <w:tblStyle w:val="35"/>
        <w:tblW w:w="9131" w:type="dxa"/>
        <w:jc w:val="center"/>
        <w:tblInd w:w="0" w:type="dxa"/>
        <w:tblLayout w:type="fixed"/>
        <w:tblCellMar>
          <w:top w:w="0" w:type="dxa"/>
          <w:left w:w="30" w:type="dxa"/>
          <w:bottom w:w="0" w:type="dxa"/>
          <w:right w:w="30" w:type="dxa"/>
        </w:tblCellMar>
      </w:tblPr>
      <w:tblGrid>
        <w:gridCol w:w="3663"/>
        <w:gridCol w:w="5468"/>
      </w:tblGrid>
      <w:tr>
        <w:tblPrEx>
          <w:tblLayout w:type="fixed"/>
          <w:tblCellMar>
            <w:top w:w="0" w:type="dxa"/>
            <w:left w:w="30" w:type="dxa"/>
            <w:bottom w:w="0" w:type="dxa"/>
            <w:right w:w="30" w:type="dxa"/>
          </w:tblCellMar>
        </w:tblPrEx>
        <w:trPr>
          <w:trHeight w:val="278"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阀门名称</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电动隔离阀</w:t>
            </w:r>
          </w:p>
        </w:tc>
      </w:tr>
      <w:tr>
        <w:tblPrEx>
          <w:tblLayout w:type="fixed"/>
          <w:tblCellMar>
            <w:top w:w="0" w:type="dxa"/>
            <w:left w:w="30" w:type="dxa"/>
            <w:bottom w:w="0" w:type="dxa"/>
            <w:right w:w="30" w:type="dxa"/>
          </w:tblCellMar>
        </w:tblPrEx>
        <w:trPr>
          <w:trHeight w:val="278"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单台机组数量（只）</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1</w:t>
            </w:r>
          </w:p>
        </w:tc>
      </w:tr>
      <w:tr>
        <w:tblPrEx>
          <w:tblLayout w:type="fixed"/>
          <w:tblCellMar>
            <w:top w:w="0" w:type="dxa"/>
            <w:left w:w="30" w:type="dxa"/>
            <w:bottom w:w="0" w:type="dxa"/>
            <w:right w:w="30" w:type="dxa"/>
          </w:tblCellMar>
        </w:tblPrEx>
        <w:trPr>
          <w:trHeight w:val="305"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工作介质</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过热蒸汽</w:t>
            </w:r>
          </w:p>
        </w:tc>
      </w:tr>
      <w:tr>
        <w:tblPrEx>
          <w:tblLayout w:type="fixed"/>
          <w:tblCellMar>
            <w:top w:w="0" w:type="dxa"/>
            <w:left w:w="30" w:type="dxa"/>
            <w:bottom w:w="0" w:type="dxa"/>
            <w:right w:w="30" w:type="dxa"/>
          </w:tblCellMar>
        </w:tblPrEx>
        <w:trPr>
          <w:trHeight w:val="305"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最高工作压力MPa(a)</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1.0</w:t>
            </w:r>
          </w:p>
        </w:tc>
      </w:tr>
      <w:tr>
        <w:tblPrEx>
          <w:tblLayout w:type="fixed"/>
          <w:tblCellMar>
            <w:top w:w="0" w:type="dxa"/>
            <w:left w:w="30" w:type="dxa"/>
            <w:bottom w:w="0" w:type="dxa"/>
            <w:right w:w="30" w:type="dxa"/>
          </w:tblCellMar>
        </w:tblPrEx>
        <w:trPr>
          <w:trHeight w:val="278"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最高工作压差MPa(a)</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1.0</w:t>
            </w:r>
          </w:p>
        </w:tc>
      </w:tr>
      <w:tr>
        <w:tblPrEx>
          <w:tblLayout w:type="fixed"/>
          <w:tblCellMar>
            <w:top w:w="0" w:type="dxa"/>
            <w:left w:w="30" w:type="dxa"/>
            <w:bottom w:w="0" w:type="dxa"/>
            <w:right w:w="30" w:type="dxa"/>
          </w:tblCellMar>
        </w:tblPrEx>
        <w:trPr>
          <w:trHeight w:val="278"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最高工作温度</w:t>
            </w:r>
            <w:r>
              <w:rPr>
                <w:rFonts w:hint="eastAsia" w:ascii="宋体" w:hAnsi="宋体" w:cs="宋体"/>
                <w:bCs/>
                <w:szCs w:val="21"/>
              </w:rPr>
              <w:t>℃</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350</w:t>
            </w:r>
          </w:p>
        </w:tc>
      </w:tr>
      <w:tr>
        <w:tblPrEx>
          <w:tblLayout w:type="fixed"/>
          <w:tblCellMar>
            <w:top w:w="0" w:type="dxa"/>
            <w:left w:w="30" w:type="dxa"/>
            <w:bottom w:w="0" w:type="dxa"/>
            <w:right w:w="30" w:type="dxa"/>
          </w:tblCellMar>
        </w:tblPrEx>
        <w:trPr>
          <w:trHeight w:val="278"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最大工作流量t/h</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720</w:t>
            </w:r>
          </w:p>
        </w:tc>
      </w:tr>
      <w:tr>
        <w:tblPrEx>
          <w:tblLayout w:type="fixed"/>
          <w:tblCellMar>
            <w:top w:w="0" w:type="dxa"/>
            <w:left w:w="30" w:type="dxa"/>
            <w:bottom w:w="0" w:type="dxa"/>
            <w:right w:w="30" w:type="dxa"/>
          </w:tblCellMar>
        </w:tblPrEx>
        <w:trPr>
          <w:trHeight w:val="278"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公称直径mm/压力MPa(a)</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DN1200/PN2.5</w:t>
            </w:r>
          </w:p>
        </w:tc>
      </w:tr>
      <w:tr>
        <w:tblPrEx>
          <w:tblLayout w:type="fixed"/>
          <w:tblCellMar>
            <w:top w:w="0" w:type="dxa"/>
            <w:left w:w="30" w:type="dxa"/>
            <w:bottom w:w="0" w:type="dxa"/>
            <w:right w:w="30" w:type="dxa"/>
          </w:tblCellMar>
        </w:tblPrEx>
        <w:trPr>
          <w:trHeight w:val="278"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接口管道尺寸mm/材质</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color w:val="FF0000"/>
                <w:szCs w:val="21"/>
              </w:rPr>
              <w:t>Φ1220×16/20#钢（暂定）</w:t>
            </w:r>
          </w:p>
        </w:tc>
      </w:tr>
      <w:tr>
        <w:tblPrEx>
          <w:tblLayout w:type="fixed"/>
          <w:tblCellMar>
            <w:top w:w="0" w:type="dxa"/>
            <w:left w:w="30" w:type="dxa"/>
            <w:bottom w:w="0" w:type="dxa"/>
            <w:right w:w="30" w:type="dxa"/>
          </w:tblCellMar>
        </w:tblPrEx>
        <w:trPr>
          <w:trHeight w:val="278" w:hRule="atLeast"/>
          <w:jc w:val="center"/>
        </w:trPr>
        <w:tc>
          <w:tcPr>
            <w:tcW w:w="3663" w:type="dxa"/>
            <w:tcBorders>
              <w:top w:val="single" w:color="auto" w:sz="6" w:space="0"/>
              <w:left w:val="single" w:color="auto" w:sz="6" w:space="0"/>
              <w:bottom w:val="single" w:color="auto" w:sz="6" w:space="0"/>
              <w:right w:val="single" w:color="auto" w:sz="6" w:space="0"/>
            </w:tcBorders>
            <w:vAlign w:val="center"/>
          </w:tcPr>
          <w:p>
            <w:pPr>
              <w:spacing w:line="300" w:lineRule="auto"/>
              <w:rPr>
                <w:rFonts w:cs="Times New Roman" w:eastAsiaTheme="minorEastAsia"/>
                <w:bCs/>
                <w:szCs w:val="21"/>
              </w:rPr>
            </w:pPr>
            <w:r>
              <w:rPr>
                <w:rFonts w:cs="Times New Roman" w:eastAsiaTheme="minorEastAsia"/>
                <w:bCs/>
                <w:szCs w:val="21"/>
              </w:rPr>
              <w:t>操纵装置型式</w:t>
            </w:r>
          </w:p>
        </w:tc>
        <w:tc>
          <w:tcPr>
            <w:tcW w:w="5468" w:type="dxa"/>
            <w:tcBorders>
              <w:top w:val="single" w:color="auto" w:sz="6" w:space="0"/>
              <w:left w:val="single" w:color="auto" w:sz="6" w:space="0"/>
              <w:bottom w:val="single" w:color="auto" w:sz="4" w:space="0"/>
              <w:right w:val="single" w:color="auto" w:sz="6" w:space="0"/>
            </w:tcBorders>
            <w:vAlign w:val="center"/>
          </w:tcPr>
          <w:p>
            <w:pPr>
              <w:spacing w:line="300" w:lineRule="auto"/>
              <w:jc w:val="left"/>
              <w:rPr>
                <w:rFonts w:cs="Times New Roman" w:eastAsiaTheme="minorEastAsia"/>
                <w:bCs/>
                <w:szCs w:val="21"/>
              </w:rPr>
            </w:pPr>
            <w:r>
              <w:rPr>
                <w:rFonts w:cs="Times New Roman" w:eastAsiaTheme="minorEastAsia"/>
                <w:bCs/>
                <w:szCs w:val="21"/>
              </w:rPr>
              <w:t>分体式或耐高温型、智能电动执行机构，具有中停功能</w:t>
            </w:r>
          </w:p>
        </w:tc>
      </w:tr>
      <w:tr>
        <w:tblPrEx>
          <w:tblLayout w:type="fixed"/>
          <w:tblCellMar>
            <w:top w:w="0" w:type="dxa"/>
            <w:left w:w="30" w:type="dxa"/>
            <w:bottom w:w="0" w:type="dxa"/>
            <w:right w:w="30" w:type="dxa"/>
          </w:tblCellMar>
        </w:tblPrEx>
        <w:trPr>
          <w:trHeight w:val="305" w:hRule="atLeast"/>
          <w:jc w:val="center"/>
        </w:trPr>
        <w:tc>
          <w:tcPr>
            <w:tcW w:w="3663" w:type="dxa"/>
            <w:tcBorders>
              <w:top w:val="single" w:color="auto" w:sz="6" w:space="0"/>
              <w:left w:val="single" w:color="auto" w:sz="6" w:space="0"/>
              <w:bottom w:val="single" w:color="auto" w:sz="6"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电动执行机构供电电源</w:t>
            </w:r>
          </w:p>
        </w:tc>
        <w:tc>
          <w:tcPr>
            <w:tcW w:w="5468"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AC380V 50Hz</w:t>
            </w:r>
          </w:p>
        </w:tc>
      </w:tr>
      <w:tr>
        <w:tblPrEx>
          <w:tblLayout w:type="fixed"/>
          <w:tblCellMar>
            <w:top w:w="0" w:type="dxa"/>
            <w:left w:w="30" w:type="dxa"/>
            <w:bottom w:w="0" w:type="dxa"/>
            <w:right w:w="30" w:type="dxa"/>
          </w:tblCellMar>
        </w:tblPrEx>
        <w:trPr>
          <w:trHeight w:val="305" w:hRule="atLeast"/>
          <w:jc w:val="center"/>
        </w:trPr>
        <w:tc>
          <w:tcPr>
            <w:tcW w:w="3663" w:type="dxa"/>
            <w:tcBorders>
              <w:top w:val="single" w:color="auto" w:sz="6" w:space="0"/>
              <w:left w:val="single" w:color="auto" w:sz="6" w:space="0"/>
              <w:bottom w:val="single" w:color="auto" w:sz="6" w:space="0"/>
              <w:right w:val="single" w:color="auto" w:sz="4" w:space="0"/>
            </w:tcBorders>
            <w:vAlign w:val="bottom"/>
          </w:tcPr>
          <w:p>
            <w:pPr>
              <w:spacing w:line="300" w:lineRule="auto"/>
              <w:rPr>
                <w:rFonts w:cs="Times New Roman" w:eastAsiaTheme="minorEastAsia"/>
                <w:bCs/>
                <w:szCs w:val="21"/>
              </w:rPr>
            </w:pPr>
            <w:r>
              <w:rPr>
                <w:rFonts w:cs="Times New Roman" w:eastAsiaTheme="minorEastAsia"/>
                <w:bCs/>
                <w:szCs w:val="21"/>
              </w:rPr>
              <w:t>连接型式</w:t>
            </w:r>
          </w:p>
        </w:tc>
        <w:tc>
          <w:tcPr>
            <w:tcW w:w="5468" w:type="dxa"/>
            <w:tcBorders>
              <w:top w:val="single" w:color="auto" w:sz="4" w:space="0"/>
              <w:left w:val="single" w:color="auto" w:sz="4" w:space="0"/>
              <w:bottom w:val="single" w:color="auto" w:sz="4" w:space="0"/>
              <w:right w:val="single" w:color="auto" w:sz="4" w:space="0"/>
            </w:tcBorders>
            <w:vAlign w:val="bottom"/>
          </w:tcPr>
          <w:p>
            <w:pPr>
              <w:spacing w:line="300" w:lineRule="auto"/>
              <w:jc w:val="left"/>
              <w:rPr>
                <w:rFonts w:cs="Times New Roman" w:eastAsiaTheme="minorEastAsia"/>
                <w:bCs/>
                <w:szCs w:val="21"/>
              </w:rPr>
            </w:pPr>
            <w:r>
              <w:rPr>
                <w:rFonts w:cs="Times New Roman" w:eastAsiaTheme="minorEastAsia"/>
                <w:bCs/>
                <w:color w:val="FF0000"/>
                <w:szCs w:val="21"/>
              </w:rPr>
              <w:t>带颈榫槽法兰（配齐反法兰、连接件及密封件）</w:t>
            </w:r>
          </w:p>
        </w:tc>
      </w:tr>
      <w:tr>
        <w:tblPrEx>
          <w:tblLayout w:type="fixed"/>
          <w:tblCellMar>
            <w:top w:w="0" w:type="dxa"/>
            <w:left w:w="30" w:type="dxa"/>
            <w:bottom w:w="0" w:type="dxa"/>
            <w:right w:w="30" w:type="dxa"/>
          </w:tblCellMar>
        </w:tblPrEx>
        <w:trPr>
          <w:trHeight w:val="305" w:hRule="atLeast"/>
          <w:jc w:val="center"/>
        </w:trPr>
        <w:tc>
          <w:tcPr>
            <w:tcW w:w="3663" w:type="dxa"/>
            <w:tcBorders>
              <w:top w:val="single" w:color="auto" w:sz="6" w:space="0"/>
              <w:left w:val="single" w:color="auto" w:sz="6" w:space="0"/>
              <w:bottom w:val="single" w:color="auto" w:sz="6" w:space="0"/>
              <w:right w:val="single" w:color="auto" w:sz="4" w:space="0"/>
            </w:tcBorders>
            <w:vAlign w:val="bottom"/>
          </w:tcPr>
          <w:p>
            <w:pPr>
              <w:spacing w:line="300" w:lineRule="auto"/>
              <w:rPr>
                <w:rFonts w:cs="Times New Roman" w:eastAsiaTheme="minorEastAsia"/>
                <w:bCs/>
                <w:szCs w:val="21"/>
              </w:rPr>
            </w:pPr>
            <w:r>
              <w:rPr>
                <w:rFonts w:cs="Times New Roman" w:eastAsiaTheme="minorEastAsia"/>
                <w:bCs/>
                <w:szCs w:val="21"/>
              </w:rPr>
              <w:t>最大开度下压损系数</w:t>
            </w:r>
          </w:p>
        </w:tc>
        <w:tc>
          <w:tcPr>
            <w:tcW w:w="5468" w:type="dxa"/>
            <w:tcBorders>
              <w:top w:val="single" w:color="auto" w:sz="4" w:space="0"/>
              <w:left w:val="single" w:color="auto" w:sz="4" w:space="0"/>
              <w:bottom w:val="single" w:color="auto" w:sz="4" w:space="0"/>
              <w:right w:val="single" w:color="auto" w:sz="4" w:space="0"/>
            </w:tcBorders>
            <w:vAlign w:val="bottom"/>
          </w:tcPr>
          <w:p>
            <w:pPr>
              <w:spacing w:line="300" w:lineRule="auto"/>
              <w:jc w:val="left"/>
              <w:rPr>
                <w:rFonts w:cs="Times New Roman" w:eastAsiaTheme="minorEastAsia"/>
                <w:bCs/>
                <w:szCs w:val="21"/>
              </w:rPr>
            </w:pPr>
            <w:r>
              <w:rPr>
                <w:rFonts w:cs="Times New Roman" w:eastAsiaTheme="minorEastAsia"/>
                <w:bCs/>
                <w:szCs w:val="21"/>
              </w:rPr>
              <w:t>&lt;0.002</w:t>
            </w:r>
          </w:p>
        </w:tc>
      </w:tr>
      <w:tr>
        <w:tblPrEx>
          <w:tblLayout w:type="fixed"/>
          <w:tblCellMar>
            <w:top w:w="0" w:type="dxa"/>
            <w:left w:w="30" w:type="dxa"/>
            <w:bottom w:w="0" w:type="dxa"/>
            <w:right w:w="30" w:type="dxa"/>
          </w:tblCellMar>
        </w:tblPrEx>
        <w:trPr>
          <w:trHeight w:val="305"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失电或失控制信号（4～20mA）</w:t>
            </w:r>
          </w:p>
        </w:tc>
        <w:tc>
          <w:tcPr>
            <w:tcW w:w="5468" w:type="dxa"/>
            <w:tcBorders>
              <w:top w:val="single" w:color="auto" w:sz="4"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阀门处原位</w:t>
            </w:r>
          </w:p>
        </w:tc>
      </w:tr>
      <w:tr>
        <w:tblPrEx>
          <w:tblLayout w:type="fixed"/>
          <w:tblCellMar>
            <w:top w:w="0" w:type="dxa"/>
            <w:left w:w="30" w:type="dxa"/>
            <w:bottom w:w="0" w:type="dxa"/>
            <w:right w:w="30" w:type="dxa"/>
          </w:tblCellMar>
        </w:tblPrEx>
        <w:trPr>
          <w:trHeight w:val="278" w:hRule="atLeast"/>
          <w:jc w:val="center"/>
        </w:trPr>
        <w:tc>
          <w:tcPr>
            <w:tcW w:w="3663" w:type="dxa"/>
            <w:tcBorders>
              <w:top w:val="single" w:color="auto" w:sz="6" w:space="0"/>
              <w:left w:val="single" w:color="auto" w:sz="6" w:space="0"/>
              <w:bottom w:val="single" w:color="auto" w:sz="6" w:space="0"/>
              <w:right w:val="single" w:color="auto" w:sz="6" w:space="0"/>
            </w:tcBorders>
            <w:vAlign w:val="bottom"/>
          </w:tcPr>
          <w:p>
            <w:pPr>
              <w:spacing w:line="300" w:lineRule="auto"/>
              <w:rPr>
                <w:rFonts w:cs="Times New Roman" w:eastAsiaTheme="minorEastAsia"/>
                <w:bCs/>
                <w:szCs w:val="21"/>
              </w:rPr>
            </w:pPr>
            <w:r>
              <w:rPr>
                <w:rFonts w:cs="Times New Roman" w:eastAsiaTheme="minorEastAsia"/>
                <w:bCs/>
                <w:szCs w:val="21"/>
              </w:rPr>
              <w:t xml:space="preserve">环境温度 </w:t>
            </w:r>
            <w:r>
              <w:rPr>
                <w:rFonts w:hint="eastAsia" w:ascii="宋体" w:hAnsi="宋体" w:cs="宋体"/>
                <w:bCs/>
                <w:szCs w:val="21"/>
              </w:rPr>
              <w:t>℃</w:t>
            </w:r>
          </w:p>
        </w:tc>
        <w:tc>
          <w:tcPr>
            <w:tcW w:w="5468" w:type="dxa"/>
            <w:tcBorders>
              <w:top w:val="single" w:color="auto" w:sz="6" w:space="0"/>
              <w:left w:val="single" w:color="auto" w:sz="6" w:space="0"/>
              <w:bottom w:val="single" w:color="auto" w:sz="6" w:space="0"/>
              <w:right w:val="single" w:color="auto" w:sz="6" w:space="0"/>
            </w:tcBorders>
            <w:vAlign w:val="bottom"/>
          </w:tcPr>
          <w:p>
            <w:pPr>
              <w:spacing w:line="300" w:lineRule="auto"/>
              <w:jc w:val="left"/>
              <w:rPr>
                <w:rFonts w:cs="Times New Roman" w:eastAsiaTheme="minorEastAsia"/>
                <w:bCs/>
                <w:szCs w:val="21"/>
              </w:rPr>
            </w:pPr>
            <w:r>
              <w:rPr>
                <w:rFonts w:cs="Times New Roman" w:eastAsiaTheme="minorEastAsia"/>
                <w:bCs/>
                <w:szCs w:val="21"/>
              </w:rPr>
              <w:t>60</w:t>
            </w:r>
          </w:p>
        </w:tc>
      </w:tr>
    </w:tbl>
    <w:p>
      <w:pPr>
        <w:pStyle w:val="2"/>
        <w:numPr>
          <w:ilvl w:val="0"/>
          <w:numId w:val="0"/>
        </w:numPr>
        <w:rPr>
          <w:b/>
          <w:szCs w:val="24"/>
        </w:rPr>
      </w:pPr>
      <w:r>
        <w:rPr>
          <w:b/>
          <w:szCs w:val="24"/>
        </w:rPr>
        <w:t>3.5.2、电动蝶阀技术要求</w:t>
      </w:r>
    </w:p>
    <w:p>
      <w:pPr>
        <w:tabs>
          <w:tab w:val="left" w:pos="993"/>
        </w:tabs>
        <w:rPr>
          <w:rFonts w:cs="Times New Roman" w:eastAsiaTheme="minorEastAsia"/>
          <w:color w:val="000000"/>
          <w:kern w:val="0"/>
        </w:rPr>
      </w:pPr>
      <w:r>
        <w:rPr>
          <w:rFonts w:cs="Times New Roman" w:eastAsiaTheme="minorEastAsia"/>
          <w:color w:val="000000"/>
          <w:kern w:val="0"/>
        </w:rPr>
        <w:t>3.5.2.1电动隔离蝶阀（DN1200带中停蝶阀）采用带中停功能的分体式智能电动执行机构或耐高温型智能电动执行机构，该阀设在抽汽管道上。为了保证此阀门顺利开关，设置旁路平衡阀门前后压力。</w:t>
      </w:r>
    </w:p>
    <w:p>
      <w:pPr>
        <w:tabs>
          <w:tab w:val="left" w:pos="993"/>
        </w:tabs>
        <w:rPr>
          <w:rFonts w:cs="Times New Roman" w:eastAsiaTheme="minorEastAsia"/>
          <w:color w:val="000000"/>
          <w:kern w:val="0"/>
        </w:rPr>
      </w:pPr>
      <w:r>
        <w:rPr>
          <w:rFonts w:cs="Times New Roman" w:eastAsiaTheme="minorEastAsia"/>
          <w:color w:val="FF0000"/>
          <w:kern w:val="0"/>
        </w:rPr>
        <w:t>3.5.2.2阀门连接型式为带颈榫槽法兰连接，供方设计及提供的法兰结构尺寸及型式需由需方认可，并保证在热胀冷缩情况下不发生泄漏。</w:t>
      </w:r>
      <w:r>
        <w:rPr>
          <w:rFonts w:cs="Times New Roman" w:eastAsiaTheme="minorEastAsia"/>
          <w:color w:val="000000"/>
          <w:kern w:val="0"/>
        </w:rPr>
        <w:t>阀门不允许采用铸铁材质。</w:t>
      </w:r>
    </w:p>
    <w:p>
      <w:pPr>
        <w:tabs>
          <w:tab w:val="left" w:pos="993"/>
        </w:tabs>
        <w:rPr>
          <w:rFonts w:cs="Times New Roman" w:eastAsiaTheme="minorEastAsia"/>
          <w:color w:val="000000"/>
          <w:kern w:val="0"/>
        </w:rPr>
      </w:pPr>
      <w:r>
        <w:rPr>
          <w:rFonts w:cs="Times New Roman" w:eastAsiaTheme="minorEastAsia"/>
          <w:color w:val="000000"/>
          <w:kern w:val="0"/>
        </w:rPr>
        <w:t>3.5.2.3阀门具有可靠的密封性能，各密封部位结构设计应先进合理，阀门均使用金属硬密封材料。阀杆材质为锻造400系列不锈钢，表面渗氮且不少于0.2mm。</w:t>
      </w:r>
    </w:p>
    <w:p>
      <w:pPr>
        <w:tabs>
          <w:tab w:val="left" w:pos="993"/>
        </w:tabs>
        <w:rPr>
          <w:rFonts w:cs="Times New Roman" w:eastAsiaTheme="minorEastAsia"/>
          <w:color w:val="000000"/>
          <w:kern w:val="0"/>
        </w:rPr>
      </w:pPr>
      <w:r>
        <w:rPr>
          <w:rFonts w:cs="Times New Roman" w:eastAsiaTheme="minorEastAsia"/>
          <w:color w:val="000000"/>
          <w:kern w:val="0"/>
        </w:rPr>
        <w:t>3.5.2.4在低压缸零出力极限工况下，蝶阀前后压差最大可达1.0MPa，改造完成后蝶阀应活动灵活，无卡涩现象。</w:t>
      </w:r>
    </w:p>
    <w:p>
      <w:pPr>
        <w:pStyle w:val="2"/>
        <w:numPr>
          <w:ilvl w:val="0"/>
          <w:numId w:val="0"/>
        </w:numPr>
        <w:rPr>
          <w:b/>
          <w:szCs w:val="24"/>
        </w:rPr>
      </w:pPr>
      <w:r>
        <w:rPr>
          <w:b/>
          <w:szCs w:val="24"/>
        </w:rPr>
        <w:t>3.6、气动止回阀</w:t>
      </w:r>
    </w:p>
    <w:p>
      <w:pPr>
        <w:pStyle w:val="2"/>
        <w:numPr>
          <w:ilvl w:val="0"/>
          <w:numId w:val="0"/>
        </w:numPr>
        <w:rPr>
          <w:b/>
          <w:szCs w:val="24"/>
        </w:rPr>
      </w:pPr>
      <w:r>
        <w:rPr>
          <w:b/>
          <w:szCs w:val="24"/>
        </w:rPr>
        <w:t>3.6.1、气动止回阀选型参数</w:t>
      </w:r>
    </w:p>
    <w:tbl>
      <w:tblPr>
        <w:tblStyle w:val="35"/>
        <w:tblW w:w="9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579"/>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名称</w:t>
            </w:r>
          </w:p>
        </w:tc>
        <w:tc>
          <w:tcPr>
            <w:tcW w:w="5552" w:type="dxa"/>
          </w:tcPr>
          <w:p>
            <w:pPr>
              <w:spacing w:line="300" w:lineRule="auto"/>
              <w:rPr>
                <w:rFonts w:cs="Times New Roman" w:eastAsiaTheme="minorEastAsia"/>
                <w:bCs/>
                <w:szCs w:val="21"/>
              </w:rPr>
            </w:pPr>
            <w:r>
              <w:rPr>
                <w:rFonts w:cs="Times New Roman" w:eastAsiaTheme="minorEastAsia"/>
                <w:bCs/>
                <w:szCs w:val="21"/>
              </w:rPr>
              <w:t>供热抽汽止回阀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工作介质</w:t>
            </w:r>
          </w:p>
        </w:tc>
        <w:tc>
          <w:tcPr>
            <w:tcW w:w="5552" w:type="dxa"/>
          </w:tcPr>
          <w:p>
            <w:pPr>
              <w:spacing w:line="300" w:lineRule="auto"/>
              <w:rPr>
                <w:rFonts w:cs="Times New Roman" w:eastAsiaTheme="minorEastAsia"/>
                <w:bCs/>
                <w:szCs w:val="21"/>
              </w:rPr>
            </w:pPr>
            <w:r>
              <w:rPr>
                <w:rFonts w:cs="Times New Roman" w:eastAsiaTheme="minorEastAsia"/>
                <w:bCs/>
                <w:szCs w:val="21"/>
              </w:rPr>
              <w:t>过热蒸汽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05"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公称通径</w:t>
            </w:r>
          </w:p>
        </w:tc>
        <w:tc>
          <w:tcPr>
            <w:tcW w:w="5552" w:type="dxa"/>
            <w:vAlign w:val="center"/>
          </w:tcPr>
          <w:p>
            <w:pPr>
              <w:spacing w:line="300" w:lineRule="auto"/>
              <w:rPr>
                <w:rFonts w:cs="Times New Roman" w:eastAsiaTheme="minorEastAsia"/>
                <w:bCs/>
                <w:szCs w:val="21"/>
              </w:rPr>
            </w:pPr>
            <w:r>
              <w:rPr>
                <w:rFonts w:cs="Times New Roman" w:eastAsiaTheme="minorEastAsia"/>
                <w:bCs/>
                <w:szCs w:val="21"/>
              </w:rPr>
              <w:t>DN1200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05" w:hRule="atLeast"/>
          <w:jc w:val="center"/>
        </w:trPr>
        <w:tc>
          <w:tcPr>
            <w:tcW w:w="3579" w:type="dxa"/>
            <w:vAlign w:val="center"/>
          </w:tcPr>
          <w:p>
            <w:pPr>
              <w:spacing w:line="300" w:lineRule="auto"/>
              <w:rPr>
                <w:rFonts w:cs="Times New Roman" w:eastAsiaTheme="minorEastAsia"/>
                <w:bCs/>
                <w:szCs w:val="21"/>
              </w:rPr>
            </w:pPr>
            <w:r>
              <w:rPr>
                <w:rFonts w:cs="Times New Roman" w:eastAsiaTheme="minorEastAsia"/>
                <w:bCs/>
                <w:szCs w:val="21"/>
              </w:rPr>
              <w:t>压力等级</w:t>
            </w:r>
          </w:p>
        </w:tc>
        <w:tc>
          <w:tcPr>
            <w:tcW w:w="5552" w:type="dxa"/>
            <w:vAlign w:val="center"/>
          </w:tcPr>
          <w:p>
            <w:pPr>
              <w:spacing w:line="300" w:lineRule="auto"/>
              <w:rPr>
                <w:rFonts w:cs="Times New Roman" w:eastAsiaTheme="minorEastAsia"/>
                <w:bCs/>
                <w:szCs w:val="21"/>
              </w:rPr>
            </w:pPr>
            <w:r>
              <w:rPr>
                <w:rFonts w:cs="Times New Roman" w:eastAsiaTheme="minorEastAsia"/>
                <w:bCs/>
                <w:szCs w:val="21"/>
              </w:rPr>
              <w:t>PN2.5 (2.5MPa)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最高工作温度(</w:t>
            </w:r>
            <w:r>
              <w:rPr>
                <w:rFonts w:hint="eastAsia" w:ascii="宋体" w:hAnsi="宋体" w:cs="宋体"/>
                <w:bCs/>
                <w:szCs w:val="21"/>
              </w:rPr>
              <w:t>℃</w:t>
            </w:r>
            <w:r>
              <w:rPr>
                <w:rFonts w:cs="Times New Roman" w:eastAsiaTheme="minorEastAsia"/>
                <w:bCs/>
                <w:szCs w:val="21"/>
              </w:rPr>
              <w:t>)</w:t>
            </w:r>
          </w:p>
        </w:tc>
        <w:tc>
          <w:tcPr>
            <w:tcW w:w="5552" w:type="dxa"/>
          </w:tcPr>
          <w:p>
            <w:pPr>
              <w:spacing w:line="300" w:lineRule="auto"/>
              <w:rPr>
                <w:rFonts w:cs="Times New Roman" w:eastAsiaTheme="minorEastAsia"/>
                <w:bCs/>
                <w:szCs w:val="21"/>
              </w:rPr>
            </w:pPr>
            <w:r>
              <w:rPr>
                <w:rFonts w:cs="Times New Roman" w:eastAsiaTheme="minorEastAsia"/>
                <w:bCs/>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最高工作压力MPa(绝压)</w:t>
            </w:r>
          </w:p>
        </w:tc>
        <w:tc>
          <w:tcPr>
            <w:tcW w:w="5552" w:type="dxa"/>
          </w:tcPr>
          <w:p>
            <w:pPr>
              <w:spacing w:line="300" w:lineRule="auto"/>
              <w:rPr>
                <w:rFonts w:cs="Times New Roman" w:eastAsiaTheme="minorEastAsia"/>
                <w:bCs/>
                <w:szCs w:val="21"/>
              </w:rPr>
            </w:pPr>
            <w:r>
              <w:rPr>
                <w:rFonts w:cs="Times New Roman"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最大压差MPa(绝压)</w:t>
            </w:r>
          </w:p>
        </w:tc>
        <w:tc>
          <w:tcPr>
            <w:tcW w:w="5552" w:type="dxa"/>
          </w:tcPr>
          <w:p>
            <w:pPr>
              <w:spacing w:line="300" w:lineRule="auto"/>
              <w:rPr>
                <w:rFonts w:cs="Times New Roman" w:eastAsiaTheme="minorEastAsia"/>
                <w:bCs/>
                <w:szCs w:val="21"/>
              </w:rPr>
            </w:pPr>
            <w:r>
              <w:rPr>
                <w:rFonts w:cs="Times New Roman"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最大工作流量(t/h)</w:t>
            </w:r>
          </w:p>
        </w:tc>
        <w:tc>
          <w:tcPr>
            <w:tcW w:w="5552" w:type="dxa"/>
          </w:tcPr>
          <w:p>
            <w:pPr>
              <w:spacing w:line="300" w:lineRule="auto"/>
              <w:rPr>
                <w:rFonts w:cs="Times New Roman" w:eastAsiaTheme="minorEastAsia"/>
                <w:bCs/>
                <w:szCs w:val="21"/>
              </w:rPr>
            </w:pPr>
            <w:r>
              <w:rPr>
                <w:rFonts w:cs="Times New Roman" w:eastAsiaTheme="minorEastAsia"/>
                <w:bCs/>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额定抽汽压力MPa(绝压)</w:t>
            </w:r>
          </w:p>
        </w:tc>
        <w:tc>
          <w:tcPr>
            <w:tcW w:w="5552" w:type="dxa"/>
          </w:tcPr>
          <w:p>
            <w:pPr>
              <w:spacing w:line="300" w:lineRule="auto"/>
              <w:rPr>
                <w:rFonts w:cs="Times New Roman" w:eastAsiaTheme="minorEastAsia"/>
                <w:bCs/>
                <w:szCs w:val="21"/>
              </w:rPr>
            </w:pPr>
            <w:r>
              <w:rPr>
                <w:rFonts w:cs="Times New Roman" w:eastAsiaTheme="minorEastAsia"/>
                <w:bCs/>
                <w:szCs w:val="21"/>
              </w:rPr>
              <w:t>0.785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关闭、开启时间</w:t>
            </w:r>
          </w:p>
        </w:tc>
        <w:tc>
          <w:tcPr>
            <w:tcW w:w="5552" w:type="dxa"/>
          </w:tcPr>
          <w:p>
            <w:pPr>
              <w:spacing w:line="300" w:lineRule="auto"/>
              <w:rPr>
                <w:rFonts w:cs="Times New Roman" w:eastAsiaTheme="minorEastAsia"/>
                <w:bCs/>
                <w:szCs w:val="21"/>
              </w:rPr>
            </w:pPr>
            <w:r>
              <w:rPr>
                <w:rFonts w:cs="Times New Roman" w:eastAsiaTheme="minorEastAsia"/>
                <w:bCs/>
                <w:szCs w:val="21"/>
              </w:rPr>
              <w:t>≤0.5秒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05"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操纵装置型式</w:t>
            </w:r>
          </w:p>
        </w:tc>
        <w:tc>
          <w:tcPr>
            <w:tcW w:w="5552" w:type="dxa"/>
          </w:tcPr>
          <w:p>
            <w:pPr>
              <w:spacing w:line="300" w:lineRule="auto"/>
              <w:rPr>
                <w:rFonts w:cs="Times New Roman" w:eastAsiaTheme="minorEastAsia"/>
                <w:bCs/>
                <w:szCs w:val="21"/>
              </w:rPr>
            </w:pPr>
            <w:r>
              <w:rPr>
                <w:rFonts w:cs="Times New Roman" w:eastAsiaTheme="minorEastAsia"/>
                <w:bCs/>
                <w:szCs w:val="21"/>
              </w:rPr>
              <w:t>气动（辅助快关）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05"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电磁阀状态</w:t>
            </w:r>
          </w:p>
        </w:tc>
        <w:tc>
          <w:tcPr>
            <w:tcW w:w="5552" w:type="dxa"/>
          </w:tcPr>
          <w:p>
            <w:pPr>
              <w:spacing w:line="300" w:lineRule="auto"/>
              <w:rPr>
                <w:rFonts w:cs="Times New Roman" w:eastAsiaTheme="minorEastAsia"/>
                <w:bCs/>
                <w:szCs w:val="21"/>
              </w:rPr>
            </w:pPr>
            <w:r>
              <w:rPr>
                <w:rFonts w:cs="Times New Roman" w:eastAsiaTheme="minorEastAsia"/>
                <w:bCs/>
                <w:szCs w:val="21"/>
              </w:rPr>
              <w:t>常得电型（电磁阀失电，阀门趋于关闭）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05"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限位开关</w:t>
            </w:r>
          </w:p>
        </w:tc>
        <w:tc>
          <w:tcPr>
            <w:tcW w:w="5552" w:type="dxa"/>
          </w:tcPr>
          <w:p>
            <w:pPr>
              <w:spacing w:line="300" w:lineRule="auto"/>
              <w:rPr>
                <w:rFonts w:cs="Times New Roman" w:eastAsiaTheme="minorEastAsia"/>
                <w:bCs/>
                <w:szCs w:val="21"/>
              </w:rPr>
            </w:pPr>
            <w:r>
              <w:rPr>
                <w:rFonts w:cs="Times New Roman" w:eastAsiaTheme="minorEastAsia"/>
                <w:bCs/>
                <w:szCs w:val="21"/>
              </w:rPr>
              <w:t>开关位置（DPDT）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压缩空气压力(MPa)(绝对)</w:t>
            </w:r>
          </w:p>
        </w:tc>
        <w:tc>
          <w:tcPr>
            <w:tcW w:w="5552" w:type="dxa"/>
          </w:tcPr>
          <w:p>
            <w:pPr>
              <w:spacing w:line="300" w:lineRule="auto"/>
              <w:rPr>
                <w:rFonts w:cs="Times New Roman" w:eastAsiaTheme="minorEastAsia"/>
                <w:bCs/>
                <w:szCs w:val="21"/>
              </w:rPr>
            </w:pPr>
            <w:r>
              <w:rPr>
                <w:rFonts w:cs="Times New Roman" w:eastAsiaTheme="minorEastAsia"/>
                <w:bCs/>
                <w:szCs w:val="21"/>
              </w:rPr>
              <w:t>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05"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接管尺寸mm/材质</w:t>
            </w:r>
          </w:p>
        </w:tc>
        <w:tc>
          <w:tcPr>
            <w:tcW w:w="5552" w:type="dxa"/>
          </w:tcPr>
          <w:p>
            <w:pPr>
              <w:spacing w:line="300" w:lineRule="auto"/>
              <w:rPr>
                <w:rFonts w:cs="Times New Roman" w:eastAsiaTheme="minorEastAsia"/>
                <w:bCs/>
                <w:szCs w:val="21"/>
              </w:rPr>
            </w:pPr>
            <w:r>
              <w:rPr>
                <w:rFonts w:cs="Times New Roman" w:eastAsiaTheme="minorEastAsia"/>
                <w:bCs/>
                <w:color w:val="FF0000"/>
                <w:szCs w:val="21"/>
              </w:rPr>
              <w:t>φ1220×16/20#（暂定）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连接方式</w:t>
            </w:r>
          </w:p>
        </w:tc>
        <w:tc>
          <w:tcPr>
            <w:tcW w:w="5552" w:type="dxa"/>
          </w:tcPr>
          <w:p>
            <w:pPr>
              <w:spacing w:line="300" w:lineRule="auto"/>
              <w:rPr>
                <w:rFonts w:cs="Times New Roman" w:eastAsiaTheme="minorEastAsia"/>
                <w:bCs/>
                <w:szCs w:val="21"/>
              </w:rPr>
            </w:pPr>
            <w:r>
              <w:rPr>
                <w:rFonts w:cs="Times New Roman" w:eastAsiaTheme="minorEastAsia"/>
                <w:bCs/>
                <w:color w:val="FF0000"/>
                <w:szCs w:val="21"/>
              </w:rPr>
              <w:t>带颈榫槽法兰（配齐反法兰、连接件及密封件）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电磁阀电源</w:t>
            </w:r>
          </w:p>
        </w:tc>
        <w:tc>
          <w:tcPr>
            <w:tcW w:w="5552" w:type="dxa"/>
          </w:tcPr>
          <w:p>
            <w:pPr>
              <w:spacing w:line="300" w:lineRule="auto"/>
              <w:rPr>
                <w:rFonts w:cs="Times New Roman" w:eastAsiaTheme="minorEastAsia"/>
                <w:bCs/>
                <w:szCs w:val="21"/>
              </w:rPr>
            </w:pPr>
            <w:r>
              <w:rPr>
                <w:rFonts w:cs="Times New Roman" w:eastAsiaTheme="minorEastAsia"/>
                <w:bCs/>
                <w:szCs w:val="21"/>
              </w:rPr>
              <w:t>220VAC±10%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vAlign w:val="bottom"/>
          </w:tcPr>
          <w:p>
            <w:pPr>
              <w:spacing w:line="300" w:lineRule="auto"/>
              <w:rPr>
                <w:rFonts w:cs="Times New Roman" w:eastAsiaTheme="minorEastAsia"/>
                <w:bCs/>
                <w:szCs w:val="21"/>
              </w:rPr>
            </w:pPr>
            <w:r>
              <w:rPr>
                <w:rFonts w:cs="Times New Roman" w:eastAsiaTheme="minorEastAsia"/>
                <w:bCs/>
                <w:szCs w:val="21"/>
              </w:rPr>
              <w:t>最大开度下压损系数</w:t>
            </w:r>
          </w:p>
        </w:tc>
        <w:tc>
          <w:tcPr>
            <w:tcW w:w="5552" w:type="dxa"/>
            <w:vAlign w:val="bottom"/>
          </w:tcPr>
          <w:p>
            <w:pPr>
              <w:spacing w:line="300" w:lineRule="auto"/>
              <w:rPr>
                <w:rFonts w:cs="Times New Roman" w:eastAsiaTheme="minorEastAsia"/>
                <w:bCs/>
                <w:szCs w:val="21"/>
              </w:rPr>
            </w:pPr>
            <w:r>
              <w:rPr>
                <w:rFonts w:cs="Times New Roman" w:eastAsiaTheme="minorEastAsia"/>
                <w:bCs/>
                <w:szCs w:val="21"/>
              </w:rPr>
              <w:t>&lt;0.002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vAlign w:val="bottom"/>
          </w:tcPr>
          <w:p>
            <w:pPr>
              <w:spacing w:line="300" w:lineRule="auto"/>
              <w:rPr>
                <w:rFonts w:cs="Times New Roman" w:eastAsiaTheme="minorEastAsia"/>
                <w:bCs/>
                <w:szCs w:val="21"/>
              </w:rPr>
            </w:pPr>
            <w:r>
              <w:rPr>
                <w:rFonts w:cs="Times New Roman" w:eastAsiaTheme="minorEastAsia"/>
                <w:bCs/>
                <w:szCs w:val="21"/>
              </w:rPr>
              <w:t>输入输出信号</w:t>
            </w:r>
          </w:p>
        </w:tc>
        <w:tc>
          <w:tcPr>
            <w:tcW w:w="5552" w:type="dxa"/>
            <w:vAlign w:val="bottom"/>
          </w:tcPr>
          <w:p>
            <w:pPr>
              <w:spacing w:line="300" w:lineRule="auto"/>
              <w:rPr>
                <w:rFonts w:cs="Times New Roman"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78" w:hRule="atLeast"/>
          <w:jc w:val="center"/>
        </w:trPr>
        <w:tc>
          <w:tcPr>
            <w:tcW w:w="3579" w:type="dxa"/>
            <w:vAlign w:val="center"/>
          </w:tcPr>
          <w:p>
            <w:pPr>
              <w:spacing w:line="300" w:lineRule="auto"/>
              <w:rPr>
                <w:rFonts w:cs="Times New Roman" w:eastAsiaTheme="minorEastAsia"/>
                <w:bCs/>
                <w:szCs w:val="21"/>
              </w:rPr>
            </w:pPr>
            <w:r>
              <w:rPr>
                <w:rFonts w:cs="Times New Roman" w:eastAsiaTheme="minorEastAsia"/>
                <w:bCs/>
                <w:szCs w:val="21"/>
              </w:rPr>
              <w:t>密封等级</w:t>
            </w:r>
          </w:p>
        </w:tc>
        <w:tc>
          <w:tcPr>
            <w:tcW w:w="5552" w:type="dxa"/>
            <w:vAlign w:val="center"/>
          </w:tcPr>
          <w:p>
            <w:pPr>
              <w:spacing w:line="300" w:lineRule="auto"/>
              <w:rPr>
                <w:rFonts w:cs="Times New Roman" w:eastAsiaTheme="minorEastAsia"/>
                <w:bCs/>
                <w:szCs w:val="21"/>
              </w:rPr>
            </w:pPr>
            <w:r>
              <w:rPr>
                <w:rFonts w:cs="Times New Roman" w:eastAsiaTheme="minorEastAsia"/>
                <w:bCs/>
                <w:szCs w:val="21"/>
              </w:rPr>
              <w:t>零泄漏（按ANSI V标准）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05" w:hRule="atLeast"/>
          <w:jc w:val="center"/>
        </w:trPr>
        <w:tc>
          <w:tcPr>
            <w:tcW w:w="3579" w:type="dxa"/>
          </w:tcPr>
          <w:p>
            <w:pPr>
              <w:spacing w:line="300" w:lineRule="auto"/>
              <w:rPr>
                <w:rFonts w:cs="Times New Roman" w:eastAsiaTheme="minorEastAsia"/>
                <w:bCs/>
                <w:szCs w:val="21"/>
              </w:rPr>
            </w:pPr>
            <w:r>
              <w:rPr>
                <w:rFonts w:cs="Times New Roman" w:eastAsiaTheme="minorEastAsia"/>
                <w:bCs/>
                <w:szCs w:val="21"/>
              </w:rPr>
              <w:t>数量（只）（每台机）</w:t>
            </w:r>
          </w:p>
        </w:tc>
        <w:tc>
          <w:tcPr>
            <w:tcW w:w="5552" w:type="dxa"/>
          </w:tcPr>
          <w:p>
            <w:pPr>
              <w:spacing w:line="300" w:lineRule="auto"/>
              <w:rPr>
                <w:rFonts w:cs="Times New Roman" w:eastAsiaTheme="minorEastAsia"/>
                <w:bCs/>
                <w:szCs w:val="21"/>
              </w:rPr>
            </w:pPr>
            <w:r>
              <w:rPr>
                <w:rFonts w:cs="Times New Roman" w:eastAsiaTheme="minorEastAsia"/>
                <w:bCs/>
                <w:szCs w:val="21"/>
              </w:rPr>
              <w:t>1</w:t>
            </w:r>
          </w:p>
        </w:tc>
      </w:tr>
    </w:tbl>
    <w:p>
      <w:pPr>
        <w:pStyle w:val="2"/>
        <w:numPr>
          <w:ilvl w:val="0"/>
          <w:numId w:val="0"/>
        </w:numPr>
        <w:rPr>
          <w:b/>
          <w:szCs w:val="24"/>
        </w:rPr>
      </w:pPr>
      <w:r>
        <w:rPr>
          <w:b/>
          <w:szCs w:val="24"/>
        </w:rPr>
        <w:t>3.6.2、气动止回阀技术要求</w:t>
      </w:r>
    </w:p>
    <w:p>
      <w:pPr>
        <w:tabs>
          <w:tab w:val="left" w:pos="993"/>
        </w:tabs>
        <w:rPr>
          <w:rFonts w:cs="Times New Roman" w:eastAsiaTheme="minorEastAsia"/>
          <w:color w:val="000000"/>
          <w:kern w:val="0"/>
        </w:rPr>
      </w:pPr>
      <w:r>
        <w:rPr>
          <w:rFonts w:cs="Times New Roman" w:eastAsiaTheme="minorEastAsia"/>
          <w:color w:val="000000"/>
          <w:kern w:val="0"/>
        </w:rPr>
        <w:t>3.6.2.1气动止回阀采用气动执行机构，供方提供电磁阀、过滤网、减压阀及管路、接头、气源阀门等相关部件，该阀设在抽汽管道上。</w:t>
      </w:r>
    </w:p>
    <w:p>
      <w:pPr>
        <w:tabs>
          <w:tab w:val="left" w:pos="993"/>
        </w:tabs>
        <w:rPr>
          <w:rFonts w:cs="Times New Roman" w:eastAsiaTheme="minorEastAsia"/>
          <w:color w:val="FF0000"/>
          <w:kern w:val="0"/>
        </w:rPr>
      </w:pPr>
      <w:r>
        <w:rPr>
          <w:rFonts w:cs="Times New Roman" w:eastAsiaTheme="minorEastAsia"/>
          <w:color w:val="FF0000"/>
          <w:kern w:val="0"/>
        </w:rPr>
        <w:t>3.6.2.2止回阀体上必须设置阀瓣限位机构，介质逆流时能正常关闭，形式为外销轴式</w:t>
      </w:r>
      <w:r>
        <w:rPr>
          <w:rFonts w:cs="Times New Roman" w:eastAsiaTheme="minorEastAsia"/>
          <w:strike/>
          <w:color w:val="FF0000"/>
          <w:kern w:val="0"/>
        </w:rPr>
        <w:t>旋启</w:t>
      </w:r>
      <w:r>
        <w:rPr>
          <w:rFonts w:cs="Times New Roman" w:eastAsiaTheme="minorEastAsia"/>
          <w:color w:val="FF0000"/>
          <w:kern w:val="0"/>
        </w:rPr>
        <w:t>（蝶）式。</w:t>
      </w:r>
    </w:p>
    <w:p>
      <w:pPr>
        <w:tabs>
          <w:tab w:val="left" w:pos="993"/>
        </w:tabs>
        <w:rPr>
          <w:rFonts w:cs="Times New Roman" w:eastAsiaTheme="minorEastAsia"/>
          <w:color w:val="000000"/>
          <w:kern w:val="0"/>
        </w:rPr>
      </w:pPr>
      <w:r>
        <w:rPr>
          <w:rFonts w:cs="Times New Roman" w:eastAsiaTheme="minorEastAsia"/>
          <w:color w:val="000000"/>
          <w:kern w:val="0"/>
        </w:rPr>
        <w:t>3.6.2.3止回阀摇杆开口销材料应采用不锈钢304。</w:t>
      </w:r>
    </w:p>
    <w:p>
      <w:pPr>
        <w:tabs>
          <w:tab w:val="left" w:pos="993"/>
        </w:tabs>
        <w:rPr>
          <w:rFonts w:cs="Times New Roman" w:eastAsiaTheme="minorEastAsia"/>
          <w:color w:val="000000"/>
          <w:kern w:val="0"/>
        </w:rPr>
      </w:pPr>
      <w:r>
        <w:rPr>
          <w:rFonts w:cs="Times New Roman" w:eastAsiaTheme="minorEastAsia"/>
          <w:color w:val="000000"/>
          <w:kern w:val="0"/>
        </w:rPr>
        <w:t>3.6.2.4止回阀枴臂必须为A105一体加工结构，不得使用焊接结构。</w:t>
      </w:r>
    </w:p>
    <w:p>
      <w:pPr>
        <w:tabs>
          <w:tab w:val="left" w:pos="993"/>
        </w:tabs>
        <w:rPr>
          <w:rFonts w:cs="Times New Roman" w:eastAsiaTheme="minorEastAsia"/>
          <w:color w:val="000000"/>
          <w:kern w:val="0"/>
        </w:rPr>
      </w:pPr>
      <w:r>
        <w:rPr>
          <w:rFonts w:cs="Times New Roman" w:eastAsiaTheme="minorEastAsia"/>
          <w:color w:val="000000"/>
          <w:kern w:val="0"/>
        </w:rPr>
        <w:t>3.6.2.5止回阀阀轴材质为锻造400系列不锈钢，表明渗氮且不少于0.2mm。</w:t>
      </w:r>
    </w:p>
    <w:p>
      <w:pPr>
        <w:tabs>
          <w:tab w:val="left" w:pos="993"/>
        </w:tabs>
        <w:rPr>
          <w:rFonts w:cs="Times New Roman" w:eastAsiaTheme="minorEastAsia"/>
          <w:color w:val="000000"/>
          <w:kern w:val="0"/>
        </w:rPr>
      </w:pPr>
      <w:r>
        <w:rPr>
          <w:rFonts w:cs="Times New Roman" w:eastAsiaTheme="minorEastAsia"/>
          <w:color w:val="000000"/>
          <w:kern w:val="0"/>
        </w:rPr>
        <w:t>3.6.2.6</w:t>
      </w:r>
      <w:r>
        <w:rPr>
          <w:rFonts w:cs="Times New Roman" w:eastAsiaTheme="minorEastAsia"/>
          <w:color w:val="FF0000"/>
          <w:kern w:val="0"/>
        </w:rPr>
        <w:t>阀门连接型式为带颈榫槽法兰连接，供方设计及提供的法兰结构尺寸及型式需由需方认可，并保证在热胀冷缩情况下不发生泄漏。</w:t>
      </w:r>
    </w:p>
    <w:p>
      <w:pPr>
        <w:tabs>
          <w:tab w:val="left" w:pos="993"/>
        </w:tabs>
        <w:rPr>
          <w:rFonts w:cs="Times New Roman" w:eastAsiaTheme="minorEastAsia"/>
          <w:color w:val="FF0000"/>
          <w:kern w:val="0"/>
        </w:rPr>
      </w:pPr>
      <w:r>
        <w:rPr>
          <w:rFonts w:cs="Times New Roman" w:eastAsiaTheme="minorEastAsia"/>
          <w:color w:val="FF0000"/>
          <w:kern w:val="0"/>
        </w:rPr>
        <w:t>3.6.2.7快关型气动执行机构的动作时间应小于0.5秒（均配电磁阀）。</w:t>
      </w:r>
    </w:p>
    <w:p>
      <w:pPr>
        <w:tabs>
          <w:tab w:val="left" w:pos="993"/>
        </w:tabs>
        <w:rPr>
          <w:rFonts w:cs="Times New Roman" w:eastAsiaTheme="minorEastAsia"/>
          <w:color w:val="000000"/>
          <w:kern w:val="0"/>
        </w:rPr>
      </w:pPr>
      <w:r>
        <w:rPr>
          <w:rFonts w:cs="Times New Roman" w:eastAsiaTheme="minorEastAsia"/>
          <w:color w:val="000000"/>
          <w:kern w:val="0"/>
        </w:rPr>
        <w:t>3.6.2.8在进入气动执行机构前的气源需增加减压过滤装置，减压过滤效果满足现场需要。抽汽逆止门电磁阀应选用和招标方主机抽汽逆止门相同品牌和型号（ASCO 220VAC），管路选用φ20以上的不锈钢管路。</w:t>
      </w:r>
    </w:p>
    <w:p>
      <w:pPr>
        <w:pStyle w:val="2"/>
        <w:numPr>
          <w:ilvl w:val="0"/>
          <w:numId w:val="0"/>
        </w:numPr>
        <w:rPr>
          <w:b/>
          <w:szCs w:val="24"/>
        </w:rPr>
      </w:pPr>
      <w:r>
        <w:rPr>
          <w:b/>
          <w:szCs w:val="24"/>
        </w:rPr>
        <w:t>3.7、旁路调节蝶阀</w:t>
      </w:r>
    </w:p>
    <w:p>
      <w:pPr>
        <w:pStyle w:val="2"/>
        <w:numPr>
          <w:ilvl w:val="0"/>
          <w:numId w:val="0"/>
        </w:numPr>
        <w:rPr>
          <w:b/>
          <w:szCs w:val="24"/>
        </w:rPr>
      </w:pPr>
      <w:r>
        <w:rPr>
          <w:b/>
          <w:szCs w:val="24"/>
        </w:rPr>
        <w:t>3.7.1、旁路调节蝶阀选型参数</w:t>
      </w:r>
    </w:p>
    <w:tbl>
      <w:tblPr>
        <w:tblStyle w:val="35"/>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4"/>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阀门型号</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电动调节碟阀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数量（套）</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工作介质</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过热蒸汽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最高工作压力MPa(a)</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最高工作压差MPa</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最高工作温度</w:t>
            </w:r>
            <w:r>
              <w:rPr>
                <w:rFonts w:hint="eastAsia" w:ascii="宋体" w:hAnsi="宋体" w:cs="宋体"/>
                <w:bCs/>
                <w:szCs w:val="21"/>
              </w:rPr>
              <w:t>℃</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 xml:space="preserve">最大工作流量（每只阀门）t/h </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公称直径mm</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DN300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接口管道尺寸mm/材质</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阀门特性</w:t>
            </w:r>
          </w:p>
        </w:tc>
        <w:tc>
          <w:tcPr>
            <w:tcW w:w="53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cs="Times New Roman" w:eastAsiaTheme="minorEastAsia"/>
                <w:bCs/>
                <w:szCs w:val="21"/>
              </w:rPr>
            </w:pPr>
            <w:r>
              <w:rPr>
                <w:rFonts w:cs="Times New Roman" w:eastAsiaTheme="minorEastAsia"/>
                <w:bCs/>
                <w:szCs w:val="21"/>
              </w:rPr>
              <w:t>全程可调，全密封，能够全关断。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bottom"/>
          </w:tcPr>
          <w:p>
            <w:pPr>
              <w:spacing w:line="300" w:lineRule="auto"/>
              <w:rPr>
                <w:rFonts w:cs="Times New Roman" w:eastAsiaTheme="minorEastAsia"/>
                <w:bCs/>
                <w:szCs w:val="21"/>
              </w:rPr>
            </w:pPr>
            <w:r>
              <w:rPr>
                <w:rFonts w:cs="Times New Roman" w:eastAsiaTheme="minorEastAsia"/>
                <w:bCs/>
                <w:szCs w:val="21"/>
              </w:rPr>
              <w:t>执行机构</w:t>
            </w:r>
          </w:p>
        </w:tc>
        <w:tc>
          <w:tcPr>
            <w:tcW w:w="5382" w:type="dxa"/>
            <w:tcBorders>
              <w:top w:val="single" w:color="auto" w:sz="4" w:space="0"/>
              <w:left w:val="single" w:color="auto" w:sz="4" w:space="0"/>
              <w:bottom w:val="single" w:color="auto" w:sz="4" w:space="0"/>
              <w:right w:val="single" w:color="auto" w:sz="4" w:space="0"/>
            </w:tcBorders>
            <w:vAlign w:val="center"/>
          </w:tcPr>
          <w:p>
            <w:pPr>
              <w:tabs>
                <w:tab w:val="left" w:pos="1145"/>
              </w:tabs>
              <w:spacing w:line="300" w:lineRule="auto"/>
              <w:jc w:val="left"/>
              <w:rPr>
                <w:rFonts w:cs="Times New Roman" w:eastAsiaTheme="minorEastAsia"/>
                <w:bCs/>
                <w:szCs w:val="21"/>
              </w:rPr>
            </w:pPr>
            <w:r>
              <w:rPr>
                <w:rFonts w:cs="Times New Roman" w:eastAsiaTheme="minorEastAsia"/>
                <w:bCs/>
                <w:szCs w:val="21"/>
              </w:rPr>
              <w:t>电动，进口品牌分体式智能调节型执行机构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最大开度下压损系数</w:t>
            </w:r>
          </w:p>
        </w:tc>
        <w:tc>
          <w:tcPr>
            <w:tcW w:w="5382" w:type="dxa"/>
            <w:tcBorders>
              <w:top w:val="single" w:color="auto" w:sz="4" w:space="0"/>
              <w:left w:val="single" w:color="auto" w:sz="4" w:space="0"/>
              <w:bottom w:val="single" w:color="auto" w:sz="4" w:space="0"/>
              <w:right w:val="single" w:color="auto" w:sz="4" w:space="0"/>
            </w:tcBorders>
            <w:vAlign w:val="center"/>
          </w:tcPr>
          <w:p>
            <w:pPr>
              <w:tabs>
                <w:tab w:val="left" w:pos="1145"/>
              </w:tabs>
              <w:spacing w:line="300" w:lineRule="auto"/>
              <w:jc w:val="left"/>
              <w:rPr>
                <w:rFonts w:cs="Times New Roman" w:eastAsiaTheme="minorEastAsia"/>
                <w:bCs/>
                <w:szCs w:val="21"/>
              </w:rPr>
            </w:pPr>
            <w:r>
              <w:rPr>
                <w:rFonts w:cs="Times New Roman" w:eastAsiaTheme="minorEastAsia"/>
                <w:bCs/>
                <w:szCs w:val="21"/>
              </w:rPr>
              <w:t>&lt;0.005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bottom"/>
          </w:tcPr>
          <w:p>
            <w:pPr>
              <w:spacing w:line="300" w:lineRule="auto"/>
              <w:rPr>
                <w:rFonts w:cs="Times New Roman" w:eastAsiaTheme="minorEastAsia"/>
                <w:bCs/>
                <w:szCs w:val="21"/>
              </w:rPr>
            </w:pPr>
            <w:r>
              <w:rPr>
                <w:rFonts w:cs="Times New Roman" w:eastAsiaTheme="minorEastAsia"/>
                <w:bCs/>
                <w:szCs w:val="21"/>
              </w:rPr>
              <w:t>驱动电源</w:t>
            </w:r>
          </w:p>
        </w:tc>
        <w:tc>
          <w:tcPr>
            <w:tcW w:w="5382" w:type="dxa"/>
            <w:tcBorders>
              <w:top w:val="single" w:color="auto" w:sz="4" w:space="0"/>
              <w:left w:val="single" w:color="auto" w:sz="4" w:space="0"/>
              <w:bottom w:val="single" w:color="auto" w:sz="4" w:space="0"/>
              <w:right w:val="single" w:color="auto" w:sz="4" w:space="0"/>
            </w:tcBorders>
            <w:vAlign w:val="bottom"/>
          </w:tcPr>
          <w:p>
            <w:pPr>
              <w:tabs>
                <w:tab w:val="left" w:pos="1145"/>
              </w:tabs>
              <w:spacing w:line="300" w:lineRule="auto"/>
              <w:jc w:val="left"/>
              <w:rPr>
                <w:rFonts w:cs="Times New Roman" w:eastAsiaTheme="minorEastAsia"/>
                <w:bCs/>
                <w:szCs w:val="21"/>
              </w:rPr>
            </w:pPr>
            <w:r>
              <w:rPr>
                <w:rFonts w:cs="Times New Roman" w:eastAsiaTheme="minorEastAsia"/>
                <w:bCs/>
                <w:szCs w:val="21"/>
              </w:rPr>
              <w:t>AC380V、50Hz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center"/>
          </w:tcPr>
          <w:p>
            <w:pPr>
              <w:spacing w:line="300" w:lineRule="auto"/>
              <w:rPr>
                <w:rFonts w:cs="Times New Roman" w:eastAsiaTheme="minorEastAsia"/>
                <w:bCs/>
                <w:szCs w:val="21"/>
              </w:rPr>
            </w:pPr>
            <w:r>
              <w:rPr>
                <w:rFonts w:cs="Times New Roman" w:eastAsiaTheme="minorEastAsia"/>
                <w:bCs/>
                <w:szCs w:val="21"/>
              </w:rPr>
              <w:t>密封等级</w:t>
            </w:r>
          </w:p>
        </w:tc>
        <w:tc>
          <w:tcPr>
            <w:tcW w:w="5382" w:type="dxa"/>
            <w:tcBorders>
              <w:top w:val="single" w:color="auto" w:sz="4" w:space="0"/>
              <w:left w:val="single" w:color="auto" w:sz="4" w:space="0"/>
              <w:bottom w:val="single" w:color="auto" w:sz="4" w:space="0"/>
              <w:right w:val="single" w:color="auto" w:sz="4" w:space="0"/>
            </w:tcBorders>
            <w:vAlign w:val="center"/>
          </w:tcPr>
          <w:p>
            <w:pPr>
              <w:tabs>
                <w:tab w:val="left" w:pos="1145"/>
              </w:tabs>
              <w:spacing w:line="300" w:lineRule="auto"/>
              <w:jc w:val="left"/>
              <w:rPr>
                <w:rFonts w:cs="Times New Roman" w:eastAsiaTheme="minorEastAsia"/>
                <w:bCs/>
                <w:szCs w:val="21"/>
              </w:rPr>
            </w:pPr>
            <w:r>
              <w:rPr>
                <w:rFonts w:cs="Times New Roman" w:eastAsiaTheme="minorEastAsia"/>
                <w:bCs/>
                <w:szCs w:val="21"/>
              </w:rPr>
              <w:t>零泄漏（按ANSI V 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bottom"/>
          </w:tcPr>
          <w:p>
            <w:pPr>
              <w:spacing w:line="300" w:lineRule="auto"/>
              <w:rPr>
                <w:rFonts w:cs="Times New Roman" w:eastAsiaTheme="minorEastAsia"/>
                <w:bCs/>
                <w:szCs w:val="21"/>
              </w:rPr>
            </w:pPr>
            <w:r>
              <w:rPr>
                <w:rFonts w:cs="Times New Roman" w:eastAsiaTheme="minorEastAsia"/>
                <w:bCs/>
                <w:szCs w:val="21"/>
              </w:rPr>
              <w:t>连接型式</w:t>
            </w:r>
          </w:p>
        </w:tc>
        <w:tc>
          <w:tcPr>
            <w:tcW w:w="5382" w:type="dxa"/>
            <w:tcBorders>
              <w:top w:val="single" w:color="auto" w:sz="4" w:space="0"/>
              <w:left w:val="single" w:color="auto" w:sz="4" w:space="0"/>
              <w:bottom w:val="single" w:color="auto" w:sz="4" w:space="0"/>
              <w:right w:val="single" w:color="auto" w:sz="4" w:space="0"/>
            </w:tcBorders>
            <w:vAlign w:val="bottom"/>
          </w:tcPr>
          <w:p>
            <w:pPr>
              <w:tabs>
                <w:tab w:val="left" w:pos="1145"/>
              </w:tabs>
              <w:spacing w:line="300" w:lineRule="auto"/>
              <w:jc w:val="left"/>
              <w:rPr>
                <w:rFonts w:cs="Times New Roman" w:eastAsiaTheme="minorEastAsia"/>
                <w:bCs/>
                <w:szCs w:val="21"/>
              </w:rPr>
            </w:pPr>
            <w:r>
              <w:rPr>
                <w:rFonts w:cs="Times New Roman" w:eastAsiaTheme="minorEastAsia"/>
                <w:bCs/>
                <w:szCs w:val="21"/>
              </w:rPr>
              <w:t>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tcPr>
          <w:p>
            <w:pPr>
              <w:spacing w:line="300" w:lineRule="auto"/>
              <w:rPr>
                <w:rFonts w:cs="Times New Roman" w:eastAsiaTheme="minorEastAsia"/>
                <w:bCs/>
                <w:szCs w:val="21"/>
              </w:rPr>
            </w:pPr>
            <w:r>
              <w:rPr>
                <w:rFonts w:cs="Times New Roman" w:eastAsiaTheme="minorEastAsia"/>
                <w:bCs/>
                <w:szCs w:val="21"/>
              </w:rPr>
              <w:t>接管尺寸mm/材质</w:t>
            </w:r>
          </w:p>
        </w:tc>
        <w:tc>
          <w:tcPr>
            <w:tcW w:w="5382" w:type="dxa"/>
            <w:tcBorders>
              <w:top w:val="single" w:color="auto" w:sz="4" w:space="0"/>
              <w:left w:val="single" w:color="auto" w:sz="4" w:space="0"/>
              <w:bottom w:val="single" w:color="auto" w:sz="4" w:space="0"/>
              <w:right w:val="single" w:color="auto" w:sz="4" w:space="0"/>
            </w:tcBorders>
          </w:tcPr>
          <w:p>
            <w:pPr>
              <w:tabs>
                <w:tab w:val="left" w:pos="1145"/>
              </w:tabs>
              <w:spacing w:line="300" w:lineRule="auto"/>
              <w:jc w:val="left"/>
              <w:rPr>
                <w:rFonts w:cs="Times New Roman" w:eastAsiaTheme="minorEastAsia"/>
                <w:bCs/>
                <w:szCs w:val="21"/>
              </w:rPr>
            </w:pPr>
            <w:r>
              <w:rPr>
                <w:rFonts w:cs="Times New Roman" w:eastAsiaTheme="minorEastAsia"/>
                <w:bCs/>
                <w:color w:val="FF0000"/>
                <w:szCs w:val="21"/>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bottom"/>
          </w:tcPr>
          <w:p>
            <w:pPr>
              <w:spacing w:line="300" w:lineRule="auto"/>
              <w:rPr>
                <w:rFonts w:cs="Times New Roman" w:eastAsiaTheme="minorEastAsia"/>
                <w:bCs/>
                <w:szCs w:val="21"/>
              </w:rPr>
            </w:pPr>
            <w:r>
              <w:rPr>
                <w:rFonts w:cs="Times New Roman" w:eastAsiaTheme="minorEastAsia"/>
                <w:bCs/>
                <w:szCs w:val="21"/>
              </w:rPr>
              <w:t>最大开度下压损系数</w:t>
            </w:r>
          </w:p>
        </w:tc>
        <w:tc>
          <w:tcPr>
            <w:tcW w:w="5382" w:type="dxa"/>
            <w:tcBorders>
              <w:top w:val="single" w:color="auto" w:sz="4" w:space="0"/>
              <w:left w:val="single" w:color="auto" w:sz="4" w:space="0"/>
              <w:bottom w:val="single" w:color="auto" w:sz="4" w:space="0"/>
              <w:right w:val="single" w:color="auto" w:sz="4" w:space="0"/>
            </w:tcBorders>
            <w:vAlign w:val="bottom"/>
          </w:tcPr>
          <w:p>
            <w:pPr>
              <w:tabs>
                <w:tab w:val="left" w:pos="1145"/>
              </w:tabs>
              <w:spacing w:line="300" w:lineRule="auto"/>
              <w:jc w:val="left"/>
              <w:rPr>
                <w:rFonts w:cs="Times New Roman" w:eastAsiaTheme="minorEastAsia"/>
                <w:bCs/>
                <w:szCs w:val="21"/>
              </w:rPr>
            </w:pPr>
            <w:r>
              <w:rPr>
                <w:rFonts w:cs="Times New Roman" w:eastAsiaTheme="minorEastAsia"/>
                <w:bCs/>
                <w:szCs w:val="21"/>
              </w:rPr>
              <w:t>&lt;0.005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bottom"/>
          </w:tcPr>
          <w:p>
            <w:pPr>
              <w:spacing w:line="300" w:lineRule="auto"/>
              <w:rPr>
                <w:rFonts w:cs="Times New Roman" w:eastAsiaTheme="minorEastAsia"/>
                <w:bCs/>
                <w:szCs w:val="21"/>
              </w:rPr>
            </w:pPr>
            <w:r>
              <w:rPr>
                <w:rFonts w:cs="Times New Roman" w:eastAsiaTheme="minorEastAsia"/>
                <w:bCs/>
                <w:szCs w:val="21"/>
              </w:rPr>
              <w:t>输入输出信号</w:t>
            </w:r>
          </w:p>
        </w:tc>
        <w:tc>
          <w:tcPr>
            <w:tcW w:w="5382" w:type="dxa"/>
            <w:tcBorders>
              <w:top w:val="single" w:color="auto" w:sz="4" w:space="0"/>
              <w:left w:val="single" w:color="auto" w:sz="4" w:space="0"/>
              <w:bottom w:val="single" w:color="auto" w:sz="4" w:space="0"/>
              <w:right w:val="single" w:color="auto" w:sz="4" w:space="0"/>
            </w:tcBorders>
            <w:vAlign w:val="bottom"/>
          </w:tcPr>
          <w:p>
            <w:pPr>
              <w:tabs>
                <w:tab w:val="left" w:pos="1145"/>
              </w:tabs>
              <w:spacing w:line="300" w:lineRule="auto"/>
              <w:jc w:val="left"/>
              <w:rPr>
                <w:rFonts w:cs="Times New Roman" w:eastAsiaTheme="minorEastAsia"/>
                <w:bCs/>
                <w:szCs w:val="21"/>
              </w:rPr>
            </w:pPr>
            <w:r>
              <w:rPr>
                <w:rFonts w:cs="Times New Roman" w:eastAsiaTheme="minorEastAsia"/>
                <w:bCs/>
                <w:szCs w:val="21"/>
              </w:rPr>
              <w:t>4~20mA 24VDC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34" w:type="dxa"/>
            <w:tcBorders>
              <w:top w:val="single" w:color="auto" w:sz="4" w:space="0"/>
              <w:left w:val="single" w:color="auto" w:sz="4" w:space="0"/>
              <w:bottom w:val="single" w:color="auto" w:sz="4" w:space="0"/>
              <w:right w:val="single" w:color="auto" w:sz="4" w:space="0"/>
            </w:tcBorders>
            <w:vAlign w:val="bottom"/>
          </w:tcPr>
          <w:p>
            <w:pPr>
              <w:spacing w:line="300" w:lineRule="auto"/>
              <w:rPr>
                <w:rFonts w:cs="Times New Roman" w:eastAsiaTheme="minorEastAsia"/>
                <w:bCs/>
                <w:szCs w:val="21"/>
              </w:rPr>
            </w:pPr>
            <w:r>
              <w:rPr>
                <w:rFonts w:cs="Times New Roman" w:eastAsiaTheme="minorEastAsia"/>
                <w:bCs/>
                <w:szCs w:val="21"/>
              </w:rPr>
              <w:t xml:space="preserve">环境温度 </w:t>
            </w:r>
            <w:r>
              <w:rPr>
                <w:rFonts w:hint="eastAsia" w:ascii="宋体" w:hAnsi="宋体" w:cs="宋体"/>
                <w:bCs/>
                <w:szCs w:val="21"/>
              </w:rPr>
              <w:t>℃</w:t>
            </w:r>
          </w:p>
        </w:tc>
        <w:tc>
          <w:tcPr>
            <w:tcW w:w="5382" w:type="dxa"/>
            <w:tcBorders>
              <w:top w:val="single" w:color="auto" w:sz="4" w:space="0"/>
              <w:left w:val="single" w:color="auto" w:sz="4" w:space="0"/>
              <w:bottom w:val="single" w:color="auto" w:sz="4" w:space="0"/>
              <w:right w:val="single" w:color="auto" w:sz="4" w:space="0"/>
            </w:tcBorders>
            <w:vAlign w:val="bottom"/>
          </w:tcPr>
          <w:p>
            <w:pPr>
              <w:spacing w:line="300" w:lineRule="auto"/>
              <w:jc w:val="left"/>
              <w:rPr>
                <w:rFonts w:cs="Times New Roman" w:eastAsiaTheme="minorEastAsia"/>
                <w:bCs/>
                <w:szCs w:val="21"/>
              </w:rPr>
            </w:pPr>
            <w:r>
              <w:rPr>
                <w:rFonts w:cs="Times New Roman" w:eastAsiaTheme="minorEastAsia"/>
                <w:bCs/>
                <w:szCs w:val="21"/>
              </w:rPr>
              <w:t>60</w:t>
            </w:r>
          </w:p>
        </w:tc>
      </w:tr>
    </w:tbl>
    <w:p>
      <w:pPr>
        <w:pStyle w:val="2"/>
        <w:numPr>
          <w:ilvl w:val="0"/>
          <w:numId w:val="0"/>
        </w:numPr>
        <w:rPr>
          <w:b/>
          <w:szCs w:val="24"/>
        </w:rPr>
      </w:pPr>
      <w:r>
        <w:rPr>
          <w:b/>
          <w:szCs w:val="24"/>
        </w:rPr>
        <w:t>3.7.2、旁路调节蝶阀技术要求</w:t>
      </w:r>
    </w:p>
    <w:p>
      <w:pPr>
        <w:tabs>
          <w:tab w:val="left" w:pos="993"/>
        </w:tabs>
        <w:rPr>
          <w:rFonts w:cs="Times New Roman" w:eastAsiaTheme="minorEastAsia"/>
          <w:color w:val="000000"/>
          <w:kern w:val="0"/>
        </w:rPr>
      </w:pPr>
      <w:r>
        <w:rPr>
          <w:rFonts w:cs="Times New Roman" w:eastAsiaTheme="minorEastAsia"/>
          <w:color w:val="000000"/>
          <w:kern w:val="0"/>
        </w:rPr>
        <w:t>3.7.2.1低压缸零出力改造后，低压缸通流部分冷却蒸汽管路上调节阀采用电动蝶阀（DN300），根据机组需要能控制相应的开度并维持。</w:t>
      </w:r>
    </w:p>
    <w:p>
      <w:pPr>
        <w:tabs>
          <w:tab w:val="left" w:pos="993"/>
        </w:tabs>
        <w:rPr>
          <w:rFonts w:cs="Times New Roman" w:eastAsiaTheme="minorEastAsia"/>
          <w:color w:val="000000"/>
          <w:kern w:val="0"/>
        </w:rPr>
      </w:pPr>
      <w:r>
        <w:rPr>
          <w:rFonts w:cs="Times New Roman" w:eastAsiaTheme="minorEastAsia"/>
          <w:color w:val="000000"/>
          <w:kern w:val="0"/>
        </w:rPr>
        <w:t>3.7.2.2阀门不允许采用铸铁材质。阀门具有可靠的密封性能，各密封部位结构设计应先进合理，阀门均使用金属硬密封材料。阀杆材质为锻造400系列不锈钢，表面渗氮且不少于0.2mm。</w:t>
      </w:r>
    </w:p>
    <w:p>
      <w:pPr>
        <w:tabs>
          <w:tab w:val="left" w:pos="993"/>
        </w:tabs>
        <w:rPr>
          <w:rFonts w:cs="Times New Roman" w:eastAsiaTheme="minorEastAsia"/>
          <w:color w:val="000000"/>
          <w:kern w:val="0"/>
        </w:rPr>
      </w:pPr>
      <w:r>
        <w:rPr>
          <w:rFonts w:cs="Times New Roman" w:eastAsiaTheme="minorEastAsia"/>
          <w:color w:val="000000"/>
          <w:kern w:val="0"/>
        </w:rPr>
        <w:t>3.7.2.3蝶阀均采用三偏心金属硬密封结构，双向零泄漏，阀门密封圈镶坎在阀座和阀板上，具有良好工作性能和低流阻系数。</w:t>
      </w:r>
    </w:p>
    <w:p>
      <w:pPr>
        <w:pStyle w:val="2"/>
        <w:numPr>
          <w:ilvl w:val="0"/>
          <w:numId w:val="0"/>
        </w:numPr>
        <w:rPr>
          <w:b/>
          <w:szCs w:val="24"/>
        </w:rPr>
      </w:pPr>
      <w:r>
        <w:rPr>
          <w:b/>
          <w:szCs w:val="24"/>
        </w:rPr>
        <w:t>3.8、液压油站及其他</w:t>
      </w:r>
    </w:p>
    <w:p>
      <w:pPr>
        <w:tabs>
          <w:tab w:val="left" w:pos="993"/>
        </w:tabs>
        <w:rPr>
          <w:rFonts w:cs="Times New Roman" w:eastAsiaTheme="minorEastAsia"/>
          <w:color w:val="000000"/>
          <w:kern w:val="0"/>
        </w:rPr>
      </w:pPr>
      <w:r>
        <w:rPr>
          <w:rFonts w:cs="Times New Roman" w:eastAsiaTheme="minorEastAsia"/>
          <w:color w:val="000000"/>
          <w:kern w:val="0"/>
        </w:rPr>
        <w:t>3.8.1液压油站需配置控制油泵启停的电控箱，电控箱应至少具备如下功能：具有启停自保持功能，能够接受DCS脉冲指令启停；能够提供油泵运行/停止状态指示的干接点。油泵联锁通过DCS实现，电控箱无需配置PLC等设备。油站至少应设计有出口母管压力变送器（用于远方显示）、出口母管压力开关（用于备用泵联启）、滤网前后差压开关、油箱温度等远传监视测点，此外还需提供出口油站母管压力表（耐震）用于就地监视。</w:t>
      </w:r>
    </w:p>
    <w:p>
      <w:pPr>
        <w:pStyle w:val="2"/>
        <w:numPr>
          <w:ilvl w:val="0"/>
          <w:numId w:val="0"/>
        </w:numPr>
        <w:rPr>
          <w:b/>
          <w:szCs w:val="24"/>
        </w:rPr>
      </w:pPr>
      <w:r>
        <w:rPr>
          <w:b/>
          <w:szCs w:val="24"/>
        </w:rPr>
        <w:t>3.8.2液压站压力开关</w:t>
      </w:r>
    </w:p>
    <w:p>
      <w:pPr>
        <w:tabs>
          <w:tab w:val="left" w:pos="993"/>
        </w:tabs>
        <w:rPr>
          <w:rFonts w:cs="Times New Roman" w:eastAsiaTheme="minorEastAsia"/>
          <w:color w:val="000000"/>
          <w:kern w:val="0"/>
        </w:rPr>
      </w:pPr>
      <w:r>
        <w:rPr>
          <w:rFonts w:cs="Times New Roman" w:eastAsiaTheme="minorEastAsia"/>
          <w:color w:val="000000"/>
          <w:kern w:val="0"/>
        </w:rPr>
        <w:t>压力控制开关用于高压介质控制系统的高、低压限位控制，适用于抗燃油等腐蚀性介质，具备耐腐蚀性；包括常开和常闭式节点。</w:t>
      </w:r>
    </w:p>
    <w:p>
      <w:pPr>
        <w:tabs>
          <w:tab w:val="left" w:pos="993"/>
        </w:tabs>
        <w:rPr>
          <w:rFonts w:cs="Times New Roman" w:eastAsiaTheme="minorEastAsia"/>
          <w:color w:val="000000"/>
          <w:kern w:val="0"/>
        </w:rPr>
      </w:pPr>
      <w:r>
        <w:rPr>
          <w:rFonts w:cs="Times New Roman" w:eastAsiaTheme="minorEastAsia"/>
          <w:color w:val="000000"/>
          <w:kern w:val="0"/>
        </w:rPr>
        <w:t>使用英制管螺纹快速接头，无需特殊的安装固定；密封式不锈钢感应器；上下限两个压力控制点可自由设定调节，利用回差设置可有效避免压力波动带来的频繁动作；迟滞小、耐震效果好、抗干扰能力强、响应速度快、性能稳定。</w:t>
      </w:r>
    </w:p>
    <w:p>
      <w:pPr>
        <w:tabs>
          <w:tab w:val="left" w:pos="993"/>
        </w:tabs>
        <w:rPr>
          <w:rFonts w:cs="Times New Roman" w:eastAsiaTheme="minorEastAsia"/>
          <w:color w:val="000000"/>
          <w:kern w:val="0"/>
        </w:rPr>
      </w:pPr>
      <w:r>
        <w:rPr>
          <w:rFonts w:cs="Times New Roman" w:eastAsiaTheme="minorEastAsia"/>
          <w:color w:val="000000"/>
          <w:kern w:val="0"/>
        </w:rPr>
        <w:t>介质温度：-15-80</w:t>
      </w:r>
      <w:r>
        <w:rPr>
          <w:rFonts w:hint="eastAsia" w:ascii="宋体" w:hAnsi="宋体" w:cs="宋体"/>
          <w:color w:val="000000"/>
          <w:kern w:val="0"/>
        </w:rPr>
        <w:t>℃</w:t>
      </w:r>
    </w:p>
    <w:p>
      <w:pPr>
        <w:tabs>
          <w:tab w:val="left" w:pos="993"/>
        </w:tabs>
        <w:rPr>
          <w:rFonts w:cs="Times New Roman" w:eastAsiaTheme="minorEastAsia"/>
          <w:color w:val="000000"/>
          <w:kern w:val="0"/>
        </w:rPr>
      </w:pPr>
      <w:r>
        <w:rPr>
          <w:rFonts w:cs="Times New Roman" w:eastAsiaTheme="minorEastAsia"/>
          <w:color w:val="000000"/>
          <w:kern w:val="0"/>
        </w:rPr>
        <w:t>校验量程：1000-3100 PSIG</w:t>
      </w:r>
    </w:p>
    <w:p>
      <w:pPr>
        <w:tabs>
          <w:tab w:val="left" w:pos="993"/>
        </w:tabs>
        <w:rPr>
          <w:rFonts w:cs="Times New Roman" w:eastAsiaTheme="minorEastAsia"/>
          <w:color w:val="000000"/>
          <w:kern w:val="0"/>
        </w:rPr>
      </w:pPr>
      <w:r>
        <w:rPr>
          <w:rFonts w:cs="Times New Roman" w:eastAsiaTheme="minorEastAsia"/>
          <w:color w:val="000000"/>
          <w:kern w:val="0"/>
        </w:rPr>
        <w:t>最大测量：7500 PSIG</w:t>
      </w:r>
    </w:p>
    <w:p>
      <w:pPr>
        <w:tabs>
          <w:tab w:val="left" w:pos="993"/>
        </w:tabs>
        <w:rPr>
          <w:rFonts w:cs="Times New Roman" w:eastAsiaTheme="minorEastAsia"/>
          <w:color w:val="000000"/>
          <w:kern w:val="0"/>
        </w:rPr>
      </w:pPr>
      <w:r>
        <w:rPr>
          <w:rFonts w:cs="Times New Roman" w:eastAsiaTheme="minorEastAsia"/>
          <w:color w:val="000000"/>
          <w:kern w:val="0"/>
        </w:rPr>
        <w:t>精度等级：±0.5%F.S</w:t>
      </w:r>
    </w:p>
    <w:p>
      <w:pPr>
        <w:tabs>
          <w:tab w:val="left" w:pos="993"/>
        </w:tabs>
        <w:rPr>
          <w:rFonts w:cs="Times New Roman" w:eastAsiaTheme="minorEastAsia"/>
          <w:color w:val="000000"/>
          <w:kern w:val="0"/>
        </w:rPr>
      </w:pPr>
      <w:r>
        <w:rPr>
          <w:rFonts w:cs="Times New Roman" w:eastAsiaTheme="minorEastAsia"/>
          <w:color w:val="000000"/>
          <w:kern w:val="0"/>
        </w:rPr>
        <w:t>电压等级：11A 1/4HP@125/250VAC</w:t>
      </w:r>
    </w:p>
    <w:p>
      <w:pPr>
        <w:tabs>
          <w:tab w:val="left" w:pos="993"/>
        </w:tabs>
        <w:rPr>
          <w:rFonts w:cs="Times New Roman" w:eastAsiaTheme="minorEastAsia"/>
          <w:color w:val="000000"/>
          <w:kern w:val="0"/>
        </w:rPr>
      </w:pPr>
      <w:r>
        <w:rPr>
          <w:rFonts w:cs="Times New Roman" w:eastAsiaTheme="minorEastAsia"/>
          <w:color w:val="000000"/>
          <w:kern w:val="0"/>
        </w:rPr>
        <w:t>5.0A RES@28VDC</w:t>
      </w:r>
    </w:p>
    <w:p>
      <w:pPr>
        <w:tabs>
          <w:tab w:val="left" w:pos="993"/>
        </w:tabs>
        <w:rPr>
          <w:rFonts w:cs="Times New Roman" w:eastAsiaTheme="minorEastAsia"/>
          <w:color w:val="000000"/>
          <w:kern w:val="0"/>
        </w:rPr>
      </w:pPr>
      <w:r>
        <w:rPr>
          <w:rFonts w:cs="Times New Roman" w:eastAsiaTheme="minorEastAsia"/>
          <w:color w:val="000000"/>
          <w:kern w:val="0"/>
        </w:rPr>
        <w:t>0.5A RES@125VDC</w:t>
      </w:r>
    </w:p>
    <w:p>
      <w:pPr>
        <w:tabs>
          <w:tab w:val="left" w:pos="993"/>
        </w:tabs>
        <w:rPr>
          <w:rFonts w:cs="Times New Roman" w:eastAsiaTheme="minorEastAsia"/>
          <w:color w:val="000000"/>
          <w:kern w:val="0"/>
        </w:rPr>
      </w:pPr>
      <w:r>
        <w:rPr>
          <w:rFonts w:cs="Times New Roman" w:eastAsiaTheme="minorEastAsia"/>
          <w:color w:val="000000"/>
          <w:kern w:val="0"/>
        </w:rPr>
        <w:t>防护等级：IP65</w:t>
      </w:r>
    </w:p>
    <w:p>
      <w:pPr>
        <w:tabs>
          <w:tab w:val="left" w:pos="993"/>
        </w:tabs>
        <w:rPr>
          <w:rFonts w:cs="Times New Roman" w:eastAsiaTheme="minorEastAsia"/>
          <w:color w:val="000000"/>
          <w:kern w:val="0"/>
        </w:rPr>
      </w:pPr>
      <w:r>
        <w:rPr>
          <w:rFonts w:cs="Times New Roman" w:eastAsiaTheme="minorEastAsia"/>
          <w:color w:val="000000"/>
          <w:kern w:val="0"/>
        </w:rPr>
        <w:t xml:space="preserve"> 安装位置：垂直安装</w:t>
      </w:r>
    </w:p>
    <w:p>
      <w:pPr>
        <w:tabs>
          <w:tab w:val="left" w:pos="993"/>
        </w:tabs>
        <w:rPr>
          <w:rFonts w:cs="Times New Roman" w:eastAsiaTheme="minorEastAsia"/>
          <w:color w:val="000000"/>
          <w:kern w:val="0"/>
        </w:rPr>
      </w:pPr>
      <w:r>
        <w:rPr>
          <w:rFonts w:cs="Times New Roman" w:eastAsiaTheme="minorEastAsia"/>
          <w:color w:val="000000"/>
          <w:kern w:val="0"/>
        </w:rPr>
        <w:t xml:space="preserve"> 外形尺寸：38×38×135mm</w:t>
      </w:r>
    </w:p>
    <w:p>
      <w:pPr>
        <w:tabs>
          <w:tab w:val="left" w:pos="993"/>
        </w:tabs>
        <w:rPr>
          <w:rFonts w:cs="Times New Roman" w:eastAsiaTheme="minorEastAsia"/>
          <w:color w:val="000000"/>
          <w:kern w:val="0"/>
        </w:rPr>
      </w:pPr>
      <w:r>
        <w:rPr>
          <w:rFonts w:cs="Times New Roman" w:eastAsiaTheme="minorEastAsia"/>
          <w:color w:val="000000"/>
          <w:kern w:val="0"/>
        </w:rPr>
        <w:t xml:space="preserve"> 外壳材质：铸铝、碳钢、不锈钢及特殊合金</w:t>
      </w:r>
    </w:p>
    <w:p>
      <w:pPr>
        <w:tabs>
          <w:tab w:val="left" w:pos="993"/>
        </w:tabs>
        <w:rPr>
          <w:rFonts w:cs="Times New Roman" w:eastAsiaTheme="minorEastAsia"/>
          <w:color w:val="000000"/>
          <w:kern w:val="0"/>
        </w:rPr>
      </w:pPr>
      <w:r>
        <w:rPr>
          <w:rFonts w:cs="Times New Roman" w:eastAsiaTheme="minorEastAsia"/>
          <w:color w:val="000000"/>
          <w:kern w:val="0"/>
        </w:rPr>
        <w:t xml:space="preserve"> 环境温度：-25-55</w:t>
      </w:r>
      <w:r>
        <w:rPr>
          <w:rFonts w:hint="eastAsia" w:ascii="宋体" w:hAnsi="宋体" w:cs="宋体"/>
          <w:color w:val="000000"/>
          <w:kern w:val="0"/>
        </w:rPr>
        <w:t>℃</w:t>
      </w:r>
    </w:p>
    <w:p>
      <w:pPr>
        <w:pStyle w:val="2"/>
        <w:numPr>
          <w:ilvl w:val="0"/>
          <w:numId w:val="0"/>
        </w:numPr>
        <w:rPr>
          <w:b/>
          <w:szCs w:val="24"/>
        </w:rPr>
      </w:pPr>
      <w:r>
        <w:rPr>
          <w:b/>
          <w:szCs w:val="24"/>
        </w:rPr>
        <w:t>3.8.3压力表、温度表</w:t>
      </w:r>
    </w:p>
    <w:p>
      <w:pPr>
        <w:tabs>
          <w:tab w:val="left" w:pos="993"/>
        </w:tabs>
        <w:rPr>
          <w:rFonts w:cs="Times New Roman" w:eastAsiaTheme="minorEastAsia"/>
          <w:color w:val="000000"/>
          <w:kern w:val="0"/>
        </w:rPr>
      </w:pPr>
      <w:r>
        <w:rPr>
          <w:rFonts w:cs="Times New Roman" w:eastAsiaTheme="minorEastAsia"/>
          <w:color w:val="000000"/>
          <w:kern w:val="0"/>
        </w:rPr>
        <w:t>所有压力表应为耐振型压力表。压力表壳的设计为坚固不锈钢结构，压力表表盘尺寸为φ100mm刻度盘，白底黑字。敏感元件为膜片式或布尔登无缝管式结构，带有排放口。选择量程范围，结果使正常操作压力大约相当于刻度盘标度的2/3。压力表能够耐受相当于最大量程压力150%的超限压力而不影响校准精度和性能。</w:t>
      </w:r>
    </w:p>
    <w:p>
      <w:pPr>
        <w:tabs>
          <w:tab w:val="left" w:pos="993"/>
        </w:tabs>
        <w:rPr>
          <w:rFonts w:cs="Times New Roman" w:eastAsiaTheme="minorEastAsia"/>
          <w:color w:val="000000"/>
          <w:kern w:val="0"/>
        </w:rPr>
      </w:pPr>
      <w:r>
        <w:rPr>
          <w:rFonts w:cs="Times New Roman" w:eastAsiaTheme="minorEastAsia"/>
          <w:color w:val="000000"/>
          <w:kern w:val="0"/>
        </w:rPr>
        <w:t>压力表的连接螺纹采用公制M20×1.5并配带取样缓冲管及与取样管路相连接的全部连接接头、垫片等安装附件。取样缓冲管采用304、TP316L不锈钢材质，管路直径不小于14mm，壁厚不小于2mm，角度为180°弯管。弯管两端接头一侧为M20×1.5内螺纹，另一侧为1/2NPT外螺纹。</w:t>
      </w:r>
    </w:p>
    <w:p>
      <w:pPr>
        <w:tabs>
          <w:tab w:val="left" w:pos="993"/>
        </w:tabs>
        <w:rPr>
          <w:rFonts w:cs="Times New Roman" w:eastAsiaTheme="minorEastAsia"/>
          <w:color w:val="000000"/>
          <w:kern w:val="0"/>
        </w:rPr>
      </w:pPr>
      <w:r>
        <w:rPr>
          <w:rFonts w:cs="Times New Roman" w:eastAsiaTheme="minorEastAsia"/>
          <w:color w:val="000000"/>
          <w:kern w:val="0"/>
        </w:rPr>
        <w:t>温度表应采用耐用金属结构防振型温度表。敏感元件应为双金属片。温度表应能够耐受相当于最大温度150%的超限温度而不影响校准精度和性能。</w:t>
      </w:r>
    </w:p>
    <w:p>
      <w:pPr>
        <w:tabs>
          <w:tab w:val="left" w:pos="993"/>
        </w:tabs>
        <w:rPr>
          <w:rFonts w:cs="Times New Roman" w:eastAsiaTheme="minorEastAsia"/>
          <w:color w:val="000000"/>
          <w:kern w:val="0"/>
        </w:rPr>
      </w:pPr>
      <w:r>
        <w:rPr>
          <w:rFonts w:cs="Times New Roman" w:eastAsiaTheme="minorEastAsia"/>
          <w:color w:val="000000"/>
          <w:kern w:val="0"/>
        </w:rPr>
        <w:t>温度表应采用万向型显示结构，由采购方在现场自由选择是径向型或轴向型。</w:t>
      </w:r>
    </w:p>
    <w:p>
      <w:pPr>
        <w:tabs>
          <w:tab w:val="left" w:pos="993"/>
        </w:tabs>
        <w:rPr>
          <w:rFonts w:cs="Times New Roman" w:eastAsiaTheme="minorEastAsia"/>
          <w:color w:val="000000"/>
          <w:kern w:val="0"/>
        </w:rPr>
      </w:pPr>
      <w:r>
        <w:rPr>
          <w:rFonts w:cs="Times New Roman" w:eastAsiaTheme="minorEastAsia"/>
          <w:color w:val="000000"/>
          <w:kern w:val="0"/>
        </w:rPr>
        <w:t>所有压力表、温度表应配备仪表接头、固定支架、保护套管等所有安装附件。温度表需配备缓震管。</w:t>
      </w:r>
    </w:p>
    <w:p>
      <w:pPr>
        <w:pStyle w:val="2"/>
        <w:numPr>
          <w:ilvl w:val="0"/>
          <w:numId w:val="0"/>
        </w:numPr>
        <w:rPr>
          <w:b/>
          <w:szCs w:val="24"/>
        </w:rPr>
      </w:pPr>
      <w:r>
        <w:rPr>
          <w:b/>
          <w:szCs w:val="24"/>
        </w:rPr>
        <w:t>3.8.4压力变送器</w:t>
      </w:r>
    </w:p>
    <w:p>
      <w:pPr>
        <w:tabs>
          <w:tab w:val="left" w:pos="993"/>
        </w:tabs>
        <w:rPr>
          <w:rFonts w:cs="Times New Roman" w:eastAsiaTheme="minorEastAsia"/>
          <w:color w:val="000000"/>
          <w:kern w:val="0"/>
        </w:rPr>
      </w:pPr>
      <w:r>
        <w:rPr>
          <w:rFonts w:cs="Times New Roman" w:eastAsiaTheme="minorEastAsia"/>
          <w:color w:val="000000"/>
          <w:kern w:val="0"/>
        </w:rPr>
        <w:t>所有变送器应带有碳钢以上材质并采用防腐处理的安装支架（包括U型螺栓</w:t>
      </w:r>
      <w:r>
        <w:rPr>
          <w:rFonts w:cs="Times New Roman" w:eastAsiaTheme="minorEastAsia"/>
          <w:color w:val="000000"/>
          <w:kern w:val="0"/>
        </w:rPr>
        <w:tab/>
      </w:r>
      <w:r>
        <w:rPr>
          <w:rFonts w:cs="Times New Roman" w:eastAsiaTheme="minorEastAsia"/>
          <w:color w:val="000000"/>
          <w:kern w:val="0"/>
        </w:rPr>
        <w:t>和连接螺母及垫片）。变送器与被测介质接触部分应采用316不锈钢及以上材质。</w:t>
      </w:r>
    </w:p>
    <w:p>
      <w:pPr>
        <w:tabs>
          <w:tab w:val="left" w:pos="993"/>
        </w:tabs>
        <w:rPr>
          <w:rFonts w:cs="Times New Roman" w:eastAsiaTheme="minorEastAsia"/>
          <w:color w:val="000000"/>
          <w:kern w:val="0"/>
        </w:rPr>
      </w:pPr>
      <w:r>
        <w:rPr>
          <w:rFonts w:cs="Times New Roman" w:eastAsiaTheme="minorEastAsia"/>
          <w:color w:val="000000"/>
          <w:kern w:val="0"/>
        </w:rPr>
        <w:t>变送器应具备下列最低性能：</w:t>
      </w:r>
    </w:p>
    <w:p>
      <w:pPr>
        <w:tabs>
          <w:tab w:val="left" w:pos="993"/>
        </w:tabs>
        <w:rPr>
          <w:rFonts w:cs="Times New Roman" w:eastAsiaTheme="minorEastAsia"/>
          <w:color w:val="000000"/>
          <w:kern w:val="0"/>
        </w:rPr>
      </w:pPr>
      <w:r>
        <w:rPr>
          <w:rFonts w:cs="Times New Roman" w:eastAsiaTheme="minorEastAsia"/>
          <w:color w:val="000000"/>
          <w:kern w:val="0"/>
        </w:rPr>
        <w:t>——量程比≥100:1</w:t>
      </w:r>
    </w:p>
    <w:p>
      <w:pPr>
        <w:tabs>
          <w:tab w:val="left" w:pos="993"/>
        </w:tabs>
        <w:rPr>
          <w:rFonts w:cs="Times New Roman" w:eastAsiaTheme="minorEastAsia"/>
          <w:color w:val="000000"/>
          <w:kern w:val="0"/>
        </w:rPr>
      </w:pPr>
      <w:r>
        <w:rPr>
          <w:rFonts w:cs="Times New Roman" w:eastAsiaTheme="minorEastAsia"/>
          <w:color w:val="000000"/>
          <w:kern w:val="0"/>
        </w:rPr>
        <w:t>——变差：校验量程的0.075%</w:t>
      </w:r>
    </w:p>
    <w:p>
      <w:pPr>
        <w:tabs>
          <w:tab w:val="left" w:pos="993"/>
        </w:tabs>
        <w:rPr>
          <w:rFonts w:cs="Times New Roman" w:eastAsiaTheme="minorEastAsia"/>
          <w:color w:val="000000"/>
          <w:kern w:val="0"/>
        </w:rPr>
      </w:pPr>
      <w:r>
        <w:rPr>
          <w:rFonts w:cs="Times New Roman" w:eastAsiaTheme="minorEastAsia"/>
          <w:color w:val="000000"/>
          <w:kern w:val="0"/>
        </w:rPr>
        <w:t>——稳定性：在5年内的精度在0.1%</w:t>
      </w:r>
    </w:p>
    <w:p>
      <w:pPr>
        <w:tabs>
          <w:tab w:val="left" w:pos="993"/>
        </w:tabs>
        <w:rPr>
          <w:rFonts w:cs="Times New Roman" w:eastAsiaTheme="minorEastAsia"/>
          <w:color w:val="000000"/>
          <w:kern w:val="0"/>
        </w:rPr>
      </w:pPr>
      <w:r>
        <w:rPr>
          <w:rFonts w:cs="Times New Roman" w:eastAsiaTheme="minorEastAsia"/>
          <w:color w:val="000000"/>
          <w:kern w:val="0"/>
        </w:rPr>
        <w:t>——温度漂移：零点≤0.8%/50</w:t>
      </w:r>
      <w:r>
        <w:rPr>
          <w:rFonts w:hint="eastAsia" w:ascii="宋体" w:hAnsi="宋体" w:cs="宋体"/>
          <w:color w:val="000000"/>
          <w:kern w:val="0"/>
        </w:rPr>
        <w:t>℃</w:t>
      </w:r>
      <w:r>
        <w:rPr>
          <w:rFonts w:cs="Times New Roman" w:eastAsiaTheme="minorEastAsia"/>
          <w:color w:val="000000"/>
          <w:kern w:val="0"/>
        </w:rPr>
        <w:t>；总量≤1%/50</w:t>
      </w:r>
      <w:r>
        <w:rPr>
          <w:rFonts w:hint="eastAsia" w:ascii="宋体" w:hAnsi="宋体" w:cs="宋体"/>
          <w:color w:val="000000"/>
          <w:kern w:val="0"/>
        </w:rPr>
        <w:t>℃</w:t>
      </w:r>
    </w:p>
    <w:p>
      <w:pPr>
        <w:tabs>
          <w:tab w:val="left" w:pos="993"/>
        </w:tabs>
        <w:rPr>
          <w:rFonts w:cs="Times New Roman" w:eastAsiaTheme="minorEastAsia"/>
          <w:color w:val="000000"/>
          <w:kern w:val="0"/>
        </w:rPr>
      </w:pPr>
      <w:r>
        <w:rPr>
          <w:rFonts w:cs="Times New Roman" w:eastAsiaTheme="minorEastAsia"/>
          <w:color w:val="000000"/>
          <w:kern w:val="0"/>
        </w:rPr>
        <w:t>——电源影响≤0.005%/V</w:t>
      </w:r>
    </w:p>
    <w:p>
      <w:pPr>
        <w:tabs>
          <w:tab w:val="left" w:pos="993"/>
        </w:tabs>
        <w:rPr>
          <w:rFonts w:cs="Times New Roman" w:eastAsiaTheme="minorEastAsia"/>
          <w:color w:val="000000"/>
          <w:kern w:val="0"/>
        </w:rPr>
      </w:pPr>
      <w:r>
        <w:rPr>
          <w:rFonts w:cs="Times New Roman" w:eastAsiaTheme="minorEastAsia"/>
          <w:color w:val="000000"/>
          <w:kern w:val="0"/>
        </w:rPr>
        <w:t>——静压影响≤0.1%/10kg</w:t>
      </w:r>
    </w:p>
    <w:p>
      <w:pPr>
        <w:tabs>
          <w:tab w:val="left" w:pos="993"/>
        </w:tabs>
        <w:rPr>
          <w:rFonts w:cs="Times New Roman" w:eastAsiaTheme="minorEastAsia"/>
          <w:color w:val="000000"/>
          <w:kern w:val="0"/>
        </w:rPr>
      </w:pPr>
      <w:r>
        <w:rPr>
          <w:rFonts w:cs="Times New Roman" w:eastAsiaTheme="minorEastAsia"/>
          <w:color w:val="000000"/>
          <w:kern w:val="0"/>
        </w:rPr>
        <w:t>压力变送器品牌按照安徽蓝德、重庆川仪或同等及以上品牌供货。</w:t>
      </w:r>
    </w:p>
    <w:p>
      <w:pPr>
        <w:tabs>
          <w:tab w:val="left" w:pos="993"/>
        </w:tabs>
        <w:rPr>
          <w:rFonts w:cs="Times New Roman" w:eastAsiaTheme="minorEastAsia"/>
          <w:color w:val="000000"/>
          <w:kern w:val="0"/>
        </w:rPr>
      </w:pPr>
      <w:r>
        <w:rPr>
          <w:rFonts w:cs="Times New Roman" w:eastAsiaTheme="minorEastAsia"/>
          <w:color w:val="000000"/>
          <w:kern w:val="0"/>
        </w:rPr>
        <w:t>液压站导波雷达液位变送器技术要求</w:t>
      </w:r>
    </w:p>
    <w:p>
      <w:pPr>
        <w:tabs>
          <w:tab w:val="left" w:pos="993"/>
        </w:tabs>
        <w:rPr>
          <w:rFonts w:cs="Times New Roman" w:eastAsiaTheme="minorEastAsia"/>
          <w:color w:val="000000"/>
          <w:kern w:val="0"/>
        </w:rPr>
      </w:pPr>
      <w:r>
        <w:rPr>
          <w:rFonts w:cs="Times New Roman" w:eastAsiaTheme="minorEastAsia"/>
          <w:color w:val="000000"/>
          <w:kern w:val="0"/>
        </w:rPr>
        <w:t>液位变送器采用高频导波雷达原理，测量杆为同轴护套，仪表头与测量杆为</w:t>
      </w:r>
      <w:r>
        <w:rPr>
          <w:rFonts w:cs="Times New Roman" w:eastAsiaTheme="minorEastAsia"/>
          <w:color w:val="000000"/>
          <w:kern w:val="0"/>
        </w:rPr>
        <w:tab/>
      </w:r>
      <w:r>
        <w:rPr>
          <w:rFonts w:cs="Times New Roman" w:eastAsiaTheme="minorEastAsia"/>
          <w:color w:val="000000"/>
          <w:kern w:val="0"/>
        </w:rPr>
        <w:t>一体化产品，不可拆装，测量杆安装接口为3/4NPT外螺纹。</w:t>
      </w:r>
    </w:p>
    <w:p>
      <w:pPr>
        <w:tabs>
          <w:tab w:val="left" w:pos="993"/>
        </w:tabs>
        <w:rPr>
          <w:rFonts w:cs="Times New Roman" w:eastAsiaTheme="minorEastAsia"/>
          <w:color w:val="000000"/>
          <w:kern w:val="0"/>
        </w:rPr>
      </w:pPr>
      <w:r>
        <w:rPr>
          <w:rFonts w:cs="Times New Roman" w:eastAsiaTheme="minorEastAsia"/>
          <w:color w:val="000000"/>
          <w:kern w:val="0"/>
        </w:rPr>
        <w:t>液位变送器仪表操作界面为中文界面，具有多路回波矢量跟踪技术对物位回波信号的定位，能够及时消除干扰。</w:t>
      </w:r>
    </w:p>
    <w:p>
      <w:pPr>
        <w:tabs>
          <w:tab w:val="left" w:pos="993"/>
        </w:tabs>
        <w:rPr>
          <w:rFonts w:cs="Times New Roman" w:eastAsiaTheme="minorEastAsia"/>
          <w:color w:val="000000"/>
          <w:kern w:val="0"/>
        </w:rPr>
      </w:pPr>
      <w:r>
        <w:rPr>
          <w:rFonts w:cs="Times New Roman" w:eastAsiaTheme="minorEastAsia"/>
          <w:color w:val="000000"/>
          <w:kern w:val="0"/>
        </w:rPr>
        <w:t>两线制仪表，通过DCS端子24VDC供电，输出4~20mA信号。</w:t>
      </w:r>
    </w:p>
    <w:p>
      <w:pPr>
        <w:tabs>
          <w:tab w:val="left" w:pos="993"/>
        </w:tabs>
        <w:rPr>
          <w:rFonts w:cs="Times New Roman" w:eastAsiaTheme="minorEastAsia"/>
          <w:color w:val="000000"/>
          <w:kern w:val="0"/>
        </w:rPr>
      </w:pPr>
      <w:r>
        <w:rPr>
          <w:rFonts w:cs="Times New Roman" w:eastAsiaTheme="minorEastAsia"/>
          <w:color w:val="000000"/>
          <w:kern w:val="0"/>
        </w:rPr>
        <w:t>液位变送器的量程：0~1750mm。</w:t>
      </w:r>
    </w:p>
    <w:p>
      <w:pPr>
        <w:tabs>
          <w:tab w:val="left" w:pos="993"/>
        </w:tabs>
        <w:rPr>
          <w:rFonts w:cs="Times New Roman" w:eastAsiaTheme="minorEastAsia"/>
          <w:color w:val="000000"/>
          <w:kern w:val="0"/>
        </w:rPr>
      </w:pPr>
      <w:r>
        <w:rPr>
          <w:rFonts w:cs="Times New Roman" w:eastAsiaTheme="minorEastAsia"/>
          <w:color w:val="000000"/>
          <w:kern w:val="0"/>
        </w:rPr>
        <w:t>液位变送器的测量精度：±2mm。</w:t>
      </w:r>
    </w:p>
    <w:p>
      <w:pPr>
        <w:tabs>
          <w:tab w:val="left" w:pos="993"/>
        </w:tabs>
        <w:rPr>
          <w:rFonts w:cs="Times New Roman" w:eastAsiaTheme="minorEastAsia"/>
          <w:color w:val="000000"/>
          <w:kern w:val="0"/>
        </w:rPr>
      </w:pPr>
      <w:r>
        <w:rPr>
          <w:rFonts w:cs="Times New Roman" w:eastAsiaTheme="minorEastAsia"/>
          <w:color w:val="000000"/>
          <w:kern w:val="0"/>
        </w:rPr>
        <w:t>液位变送器的允许工作环境温度：-40</w:t>
      </w:r>
      <w:r>
        <w:rPr>
          <w:rFonts w:hint="eastAsia" w:ascii="宋体" w:hAnsi="宋体" w:cs="宋体"/>
          <w:color w:val="000000"/>
          <w:kern w:val="0"/>
        </w:rPr>
        <w:t>℃</w:t>
      </w:r>
      <w:r>
        <w:rPr>
          <w:rFonts w:cs="Times New Roman" w:eastAsiaTheme="minorEastAsia"/>
          <w:color w:val="000000"/>
          <w:kern w:val="0"/>
        </w:rPr>
        <w:t>~80</w:t>
      </w:r>
      <w:r>
        <w:rPr>
          <w:rFonts w:hint="eastAsia" w:ascii="宋体" w:hAnsi="宋体" w:cs="宋体"/>
          <w:color w:val="000000"/>
          <w:kern w:val="0"/>
        </w:rPr>
        <w:t>℃</w:t>
      </w:r>
      <w:r>
        <w:rPr>
          <w:rFonts w:cs="Times New Roman" w:eastAsiaTheme="minorEastAsia"/>
          <w:color w:val="000000"/>
          <w:kern w:val="0"/>
        </w:rPr>
        <w:t>；介质温度：-40</w:t>
      </w:r>
      <w:r>
        <w:rPr>
          <w:rFonts w:hint="eastAsia" w:ascii="宋体" w:hAnsi="宋体" w:cs="宋体"/>
          <w:color w:val="000000"/>
          <w:kern w:val="0"/>
        </w:rPr>
        <w:t>℃</w:t>
      </w:r>
      <w:r>
        <w:rPr>
          <w:rFonts w:cs="Times New Roman" w:eastAsiaTheme="minorEastAsia"/>
          <w:color w:val="000000"/>
          <w:kern w:val="0"/>
        </w:rPr>
        <w:t>~200</w:t>
      </w:r>
      <w:r>
        <w:rPr>
          <w:rFonts w:hint="eastAsia" w:ascii="宋体" w:hAnsi="宋体" w:cs="宋体"/>
          <w:color w:val="000000"/>
          <w:kern w:val="0"/>
        </w:rPr>
        <w:t>℃</w:t>
      </w:r>
      <w:r>
        <w:rPr>
          <w:rFonts w:cs="Times New Roman" w:eastAsiaTheme="minorEastAsia"/>
          <w:color w:val="000000"/>
          <w:kern w:val="0"/>
        </w:rPr>
        <w:t>。</w:t>
      </w:r>
    </w:p>
    <w:p>
      <w:pPr>
        <w:tabs>
          <w:tab w:val="left" w:pos="993"/>
        </w:tabs>
        <w:rPr>
          <w:rFonts w:cs="Times New Roman" w:eastAsiaTheme="minorEastAsia"/>
          <w:color w:val="000000"/>
          <w:kern w:val="0"/>
        </w:rPr>
      </w:pPr>
      <w:r>
        <w:rPr>
          <w:rFonts w:cs="Times New Roman" w:eastAsiaTheme="minorEastAsia"/>
          <w:color w:val="000000"/>
          <w:kern w:val="0"/>
        </w:rPr>
        <w:t>液位变送器的主要接液部件材质：316L。</w:t>
      </w:r>
    </w:p>
    <w:p>
      <w:pPr>
        <w:tabs>
          <w:tab w:val="left" w:pos="993"/>
        </w:tabs>
        <w:rPr>
          <w:rFonts w:cs="Times New Roman" w:eastAsiaTheme="minorEastAsia"/>
          <w:color w:val="000000"/>
          <w:kern w:val="0"/>
        </w:rPr>
      </w:pPr>
      <w:r>
        <w:rPr>
          <w:rFonts w:cs="Times New Roman" w:eastAsiaTheme="minorEastAsia"/>
          <w:color w:val="000000"/>
          <w:kern w:val="0"/>
        </w:rPr>
        <w:t>表头与测量杆为一体化连接，不可拆卸。</w:t>
      </w:r>
    </w:p>
    <w:p>
      <w:pPr>
        <w:pStyle w:val="2"/>
        <w:numPr>
          <w:ilvl w:val="0"/>
          <w:numId w:val="0"/>
        </w:numPr>
        <w:rPr>
          <w:b/>
          <w:szCs w:val="24"/>
        </w:rPr>
      </w:pPr>
      <w:r>
        <w:rPr>
          <w:b/>
          <w:szCs w:val="24"/>
        </w:rPr>
        <w:t>3.8.5铠装热电阻</w:t>
      </w:r>
    </w:p>
    <w:p>
      <w:pPr>
        <w:tabs>
          <w:tab w:val="left" w:pos="993"/>
        </w:tabs>
        <w:rPr>
          <w:rFonts w:cs="Times New Roman" w:eastAsiaTheme="minorEastAsia"/>
          <w:color w:val="000000"/>
          <w:kern w:val="0"/>
        </w:rPr>
      </w:pPr>
      <w:r>
        <w:rPr>
          <w:rFonts w:cs="Times New Roman" w:eastAsiaTheme="minorEastAsia"/>
          <w:color w:val="000000"/>
          <w:kern w:val="0"/>
        </w:rPr>
        <w:t>热电阻分度号为Pt100，0</w:t>
      </w:r>
      <w:r>
        <w:rPr>
          <w:rFonts w:hint="eastAsia" w:ascii="宋体" w:hAnsi="宋体" w:cs="宋体"/>
          <w:color w:val="000000"/>
          <w:kern w:val="0"/>
        </w:rPr>
        <w:t>℃</w:t>
      </w:r>
      <w:r>
        <w:rPr>
          <w:rFonts w:cs="Times New Roman" w:eastAsiaTheme="minorEastAsia"/>
          <w:color w:val="000000"/>
          <w:kern w:val="0"/>
        </w:rPr>
        <w:t>时公称电阻值100Ω，每个热电阻均要求双支，</w:t>
      </w:r>
      <w:r>
        <w:rPr>
          <w:rFonts w:cs="Times New Roman" w:eastAsiaTheme="minorEastAsia"/>
          <w:color w:val="000000"/>
          <w:kern w:val="0"/>
        </w:rPr>
        <w:tab/>
      </w:r>
      <w:r>
        <w:rPr>
          <w:rFonts w:cs="Times New Roman" w:eastAsiaTheme="minorEastAsia"/>
          <w:color w:val="000000"/>
          <w:kern w:val="0"/>
        </w:rPr>
        <w:t>长度5000mm；</w:t>
      </w:r>
    </w:p>
    <w:p>
      <w:pPr>
        <w:tabs>
          <w:tab w:val="left" w:pos="993"/>
        </w:tabs>
        <w:rPr>
          <w:rFonts w:cs="Times New Roman" w:eastAsiaTheme="minorEastAsia"/>
          <w:color w:val="000000"/>
          <w:kern w:val="0"/>
        </w:rPr>
      </w:pPr>
      <w:r>
        <w:rPr>
          <w:rFonts w:cs="Times New Roman" w:eastAsiaTheme="minorEastAsia"/>
          <w:color w:val="000000"/>
          <w:kern w:val="0"/>
        </w:rPr>
        <w:t>热电阻适用温度范围-200</w:t>
      </w:r>
      <w:r>
        <w:rPr>
          <w:rFonts w:hint="eastAsia" w:ascii="宋体" w:hAnsi="宋体" w:cs="宋体"/>
          <w:color w:val="000000"/>
          <w:kern w:val="0"/>
        </w:rPr>
        <w:t>℃</w:t>
      </w:r>
      <w:r>
        <w:rPr>
          <w:rFonts w:cs="Times New Roman" w:eastAsiaTheme="minorEastAsia"/>
          <w:color w:val="000000"/>
          <w:kern w:val="0"/>
        </w:rPr>
        <w:t>～850</w:t>
      </w:r>
      <w:r>
        <w:rPr>
          <w:rFonts w:hint="eastAsia" w:ascii="宋体" w:hAnsi="宋体" w:cs="宋体"/>
          <w:color w:val="000000"/>
          <w:kern w:val="0"/>
        </w:rPr>
        <w:t>℃</w:t>
      </w:r>
      <w:r>
        <w:rPr>
          <w:rFonts w:cs="Times New Roman" w:eastAsiaTheme="minorEastAsia"/>
          <w:color w:val="000000"/>
          <w:kern w:val="0"/>
        </w:rPr>
        <w:t>，允差等级A级；</w:t>
      </w:r>
    </w:p>
    <w:p>
      <w:pPr>
        <w:tabs>
          <w:tab w:val="left" w:pos="993"/>
        </w:tabs>
        <w:rPr>
          <w:rFonts w:cs="Times New Roman" w:eastAsiaTheme="minorEastAsia"/>
          <w:color w:val="000000"/>
          <w:kern w:val="0"/>
        </w:rPr>
      </w:pPr>
      <w:r>
        <w:rPr>
          <w:rFonts w:cs="Times New Roman" w:eastAsiaTheme="minorEastAsia"/>
          <w:color w:val="000000"/>
          <w:kern w:val="0"/>
        </w:rPr>
        <w:t>在常温时，热电阻的绝缘电阻不小于100MΩ；</w:t>
      </w:r>
    </w:p>
    <w:p>
      <w:pPr>
        <w:tabs>
          <w:tab w:val="left" w:pos="993"/>
        </w:tabs>
        <w:rPr>
          <w:rFonts w:cs="Times New Roman" w:eastAsiaTheme="minorEastAsia"/>
          <w:color w:val="000000"/>
          <w:kern w:val="0"/>
        </w:rPr>
      </w:pPr>
      <w:r>
        <w:rPr>
          <w:rFonts w:cs="Times New Roman" w:eastAsiaTheme="minorEastAsia"/>
          <w:color w:val="000000"/>
          <w:kern w:val="0"/>
        </w:rPr>
        <w:t>热电阻外壳采用坚固耐磨的不锈钢铠套，内部填充高密度氧化物。</w:t>
      </w:r>
    </w:p>
    <w:p>
      <w:pPr>
        <w:pStyle w:val="2"/>
        <w:numPr>
          <w:ilvl w:val="0"/>
          <w:numId w:val="0"/>
        </w:numPr>
        <w:rPr>
          <w:b/>
          <w:szCs w:val="24"/>
        </w:rPr>
      </w:pPr>
      <w:r>
        <w:rPr>
          <w:b/>
          <w:szCs w:val="24"/>
        </w:rPr>
        <w:t>3.8.6铠装热电偶</w:t>
      </w:r>
    </w:p>
    <w:p>
      <w:pPr>
        <w:tabs>
          <w:tab w:val="left" w:pos="993"/>
        </w:tabs>
        <w:rPr>
          <w:rFonts w:cs="Times New Roman" w:eastAsiaTheme="minorEastAsia"/>
          <w:color w:val="000000"/>
          <w:kern w:val="0"/>
        </w:rPr>
      </w:pPr>
      <w:r>
        <w:rPr>
          <w:rFonts w:cs="Times New Roman" w:eastAsiaTheme="minorEastAsia"/>
          <w:color w:val="000000"/>
          <w:kern w:val="0"/>
        </w:rPr>
        <w:t>热电偶分度号为K型，每个热电偶均要求双支，长度5000mm；</w:t>
      </w:r>
      <w:r>
        <w:rPr>
          <w:rFonts w:cs="Times New Roman" w:eastAsiaTheme="minorEastAsia"/>
          <w:color w:val="000000"/>
          <w:kern w:val="0"/>
        </w:rPr>
        <w:tab/>
      </w:r>
    </w:p>
    <w:p>
      <w:pPr>
        <w:tabs>
          <w:tab w:val="left" w:pos="993"/>
        </w:tabs>
        <w:rPr>
          <w:rFonts w:cs="Times New Roman" w:eastAsiaTheme="minorEastAsia"/>
          <w:color w:val="000000"/>
          <w:kern w:val="0"/>
        </w:rPr>
      </w:pPr>
      <w:r>
        <w:rPr>
          <w:rFonts w:cs="Times New Roman" w:eastAsiaTheme="minorEastAsia"/>
          <w:color w:val="000000"/>
          <w:kern w:val="0"/>
        </w:rPr>
        <w:t>热电偶丝直径不小于1.6mm；</w:t>
      </w:r>
      <w:r>
        <w:rPr>
          <w:rFonts w:cs="Times New Roman" w:eastAsiaTheme="minorEastAsia"/>
          <w:color w:val="000000"/>
          <w:kern w:val="0"/>
        </w:rPr>
        <w:tab/>
      </w:r>
    </w:p>
    <w:p>
      <w:pPr>
        <w:tabs>
          <w:tab w:val="left" w:pos="993"/>
        </w:tabs>
        <w:rPr>
          <w:rFonts w:cs="Times New Roman" w:eastAsiaTheme="minorEastAsia"/>
          <w:color w:val="000000"/>
          <w:kern w:val="0"/>
        </w:rPr>
      </w:pPr>
      <w:r>
        <w:rPr>
          <w:rFonts w:cs="Times New Roman" w:eastAsiaTheme="minorEastAsia"/>
          <w:color w:val="000000"/>
          <w:kern w:val="0"/>
        </w:rPr>
        <w:t>长期使用温度大于800</w:t>
      </w:r>
      <w:r>
        <w:rPr>
          <w:rFonts w:hint="eastAsia" w:ascii="宋体" w:hAnsi="宋体" w:cs="宋体"/>
          <w:color w:val="000000"/>
          <w:kern w:val="0"/>
        </w:rPr>
        <w:t>℃</w:t>
      </w:r>
      <w:r>
        <w:rPr>
          <w:rFonts w:cs="Times New Roman" w:eastAsiaTheme="minorEastAsia"/>
          <w:color w:val="000000"/>
          <w:kern w:val="0"/>
        </w:rPr>
        <w:t>；</w:t>
      </w:r>
    </w:p>
    <w:p>
      <w:pPr>
        <w:tabs>
          <w:tab w:val="left" w:pos="993"/>
        </w:tabs>
        <w:rPr>
          <w:rFonts w:cs="Times New Roman" w:eastAsiaTheme="minorEastAsia"/>
          <w:color w:val="000000"/>
          <w:kern w:val="0"/>
        </w:rPr>
      </w:pPr>
      <w:r>
        <w:rPr>
          <w:rFonts w:cs="Times New Roman" w:eastAsiaTheme="minorEastAsia"/>
          <w:color w:val="000000"/>
          <w:kern w:val="0"/>
        </w:rPr>
        <w:t>允差等级</w:t>
      </w:r>
      <w:r>
        <w:rPr>
          <w:rFonts w:hint="eastAsia" w:ascii="宋体" w:hAnsi="宋体" w:cs="宋体"/>
          <w:color w:val="000000"/>
          <w:kern w:val="0"/>
        </w:rPr>
        <w:t>Ⅰ</w:t>
      </w:r>
      <w:r>
        <w:rPr>
          <w:rFonts w:cs="Times New Roman" w:eastAsiaTheme="minorEastAsia"/>
          <w:color w:val="000000"/>
          <w:kern w:val="0"/>
        </w:rPr>
        <w:t>级，即在-40</w:t>
      </w:r>
      <w:r>
        <w:rPr>
          <w:rFonts w:hint="eastAsia" w:ascii="宋体" w:hAnsi="宋体" w:cs="宋体"/>
          <w:color w:val="000000"/>
          <w:kern w:val="0"/>
        </w:rPr>
        <w:t>℃</w:t>
      </w:r>
      <w:r>
        <w:rPr>
          <w:rFonts w:cs="Times New Roman" w:eastAsiaTheme="minorEastAsia"/>
          <w:color w:val="000000"/>
          <w:kern w:val="0"/>
        </w:rPr>
        <w:t>～1000</w:t>
      </w:r>
      <w:r>
        <w:rPr>
          <w:rFonts w:hint="eastAsia" w:ascii="宋体" w:hAnsi="宋体" w:cs="宋体"/>
          <w:color w:val="000000"/>
          <w:kern w:val="0"/>
        </w:rPr>
        <w:t>℃</w:t>
      </w:r>
      <w:r>
        <w:rPr>
          <w:rFonts w:cs="Times New Roman" w:eastAsiaTheme="minorEastAsia"/>
          <w:color w:val="000000"/>
          <w:kern w:val="0"/>
        </w:rPr>
        <w:t>范围内允差值小于1.5</w:t>
      </w:r>
      <w:r>
        <w:rPr>
          <w:rFonts w:hint="eastAsia" w:ascii="宋体" w:hAnsi="宋体" w:cs="宋体"/>
          <w:color w:val="000000"/>
          <w:kern w:val="0"/>
        </w:rPr>
        <w:t>℃</w:t>
      </w:r>
      <w:r>
        <w:rPr>
          <w:rFonts w:cs="Times New Roman" w:eastAsiaTheme="minorEastAsia"/>
          <w:color w:val="000000"/>
          <w:kern w:val="0"/>
        </w:rPr>
        <w:t>；</w:t>
      </w:r>
    </w:p>
    <w:p>
      <w:pPr>
        <w:tabs>
          <w:tab w:val="left" w:pos="993"/>
        </w:tabs>
        <w:rPr>
          <w:rFonts w:cs="Times New Roman" w:eastAsiaTheme="minorEastAsia"/>
          <w:color w:val="000000"/>
          <w:kern w:val="0"/>
        </w:rPr>
      </w:pPr>
      <w:r>
        <w:rPr>
          <w:rFonts w:cs="Times New Roman" w:eastAsiaTheme="minorEastAsia"/>
          <w:color w:val="000000"/>
          <w:kern w:val="0"/>
        </w:rPr>
        <w:t>20</w:t>
      </w:r>
      <w:r>
        <w:rPr>
          <w:rFonts w:hint="eastAsia" w:ascii="宋体" w:hAnsi="宋体" w:cs="宋体"/>
          <w:color w:val="000000"/>
          <w:kern w:val="0"/>
        </w:rPr>
        <w:t>℃</w:t>
      </w:r>
      <w:r>
        <w:rPr>
          <w:rFonts w:cs="Times New Roman" w:eastAsiaTheme="minorEastAsia"/>
          <w:color w:val="000000"/>
          <w:kern w:val="0"/>
        </w:rPr>
        <w:t>时偶丝材料电阻率不大于0.70Ω.mm2/m；</w:t>
      </w:r>
    </w:p>
    <w:p>
      <w:pPr>
        <w:tabs>
          <w:tab w:val="left" w:pos="993"/>
        </w:tabs>
        <w:rPr>
          <w:rFonts w:cs="Times New Roman" w:eastAsiaTheme="minorEastAsia"/>
          <w:color w:val="000000"/>
          <w:kern w:val="0"/>
        </w:rPr>
      </w:pPr>
      <w:r>
        <w:rPr>
          <w:rFonts w:cs="Times New Roman" w:eastAsiaTheme="minorEastAsia"/>
          <w:color w:val="000000"/>
          <w:kern w:val="0"/>
        </w:rPr>
        <w:t>绝缘电阻：铠装热电偶在常温状态绝缘电阻（500V兆欧表测量）应不小于100MΩ.m；</w:t>
      </w:r>
    </w:p>
    <w:p>
      <w:pPr>
        <w:tabs>
          <w:tab w:val="left" w:pos="993"/>
        </w:tabs>
        <w:rPr>
          <w:rFonts w:cs="Times New Roman" w:eastAsiaTheme="minorEastAsia"/>
          <w:color w:val="000000"/>
          <w:kern w:val="0"/>
        </w:rPr>
      </w:pPr>
      <w:r>
        <w:rPr>
          <w:rFonts w:cs="Times New Roman" w:eastAsiaTheme="minorEastAsia"/>
          <w:color w:val="000000"/>
          <w:kern w:val="0"/>
        </w:rPr>
        <w:t>热电偶要求用坚固耐磨的不锈钢铠套双支并带安装用卡套接头；</w:t>
      </w:r>
    </w:p>
    <w:p>
      <w:pPr>
        <w:tabs>
          <w:tab w:val="left" w:pos="993"/>
        </w:tabs>
        <w:rPr>
          <w:rFonts w:cs="Times New Roman" w:eastAsiaTheme="minorEastAsia"/>
          <w:color w:val="000000"/>
          <w:kern w:val="0"/>
        </w:rPr>
      </w:pPr>
      <w:r>
        <w:rPr>
          <w:rFonts w:cs="Times New Roman" w:eastAsiaTheme="minorEastAsia"/>
          <w:color w:val="000000"/>
          <w:kern w:val="0"/>
        </w:rPr>
        <w:t>内部填充物应采用高密度氧化物，防止长时间受热膨胀引起铠套涨裂。</w:t>
      </w:r>
    </w:p>
    <w:p>
      <w:pPr>
        <w:pStyle w:val="2"/>
        <w:numPr>
          <w:ilvl w:val="0"/>
          <w:numId w:val="0"/>
        </w:numPr>
        <w:rPr>
          <w:b/>
          <w:szCs w:val="24"/>
        </w:rPr>
      </w:pPr>
      <w:r>
        <w:rPr>
          <w:b/>
          <w:szCs w:val="24"/>
        </w:rPr>
        <w:t>3.8.7仪表阀门及组件</w:t>
      </w:r>
    </w:p>
    <w:p>
      <w:pPr>
        <w:tabs>
          <w:tab w:val="left" w:pos="993"/>
        </w:tabs>
        <w:rPr>
          <w:rFonts w:cs="Times New Roman" w:eastAsiaTheme="minorEastAsia"/>
          <w:color w:val="000000"/>
          <w:kern w:val="0"/>
        </w:rPr>
      </w:pPr>
      <w:r>
        <w:rPr>
          <w:rFonts w:cs="Times New Roman" w:eastAsiaTheme="minorEastAsia"/>
          <w:color w:val="000000"/>
          <w:kern w:val="0"/>
        </w:rPr>
        <w:t>阀   体 ：一体式锻造阀体 316L不锈钢材质；</w:t>
      </w:r>
    </w:p>
    <w:p>
      <w:pPr>
        <w:tabs>
          <w:tab w:val="left" w:pos="993"/>
        </w:tabs>
        <w:rPr>
          <w:rFonts w:cs="Times New Roman" w:eastAsiaTheme="minorEastAsia"/>
          <w:color w:val="000000"/>
          <w:kern w:val="0"/>
        </w:rPr>
      </w:pPr>
      <w:r>
        <w:rPr>
          <w:rFonts w:cs="Times New Roman" w:eastAsiaTheme="minorEastAsia"/>
          <w:color w:val="000000"/>
          <w:kern w:val="0"/>
        </w:rPr>
        <w:t>工作压力：2500 PSIG；</w:t>
      </w:r>
    </w:p>
    <w:p>
      <w:pPr>
        <w:tabs>
          <w:tab w:val="left" w:pos="993"/>
        </w:tabs>
        <w:rPr>
          <w:rFonts w:cs="Times New Roman" w:eastAsiaTheme="minorEastAsia"/>
          <w:color w:val="000000"/>
          <w:kern w:val="0"/>
        </w:rPr>
      </w:pPr>
      <w:r>
        <w:rPr>
          <w:rFonts w:cs="Times New Roman" w:eastAsiaTheme="minorEastAsia"/>
          <w:color w:val="000000"/>
          <w:kern w:val="0"/>
        </w:rPr>
        <w:t>温度额定值：-54°C 至 649°C；</w:t>
      </w:r>
    </w:p>
    <w:p>
      <w:pPr>
        <w:tabs>
          <w:tab w:val="left" w:pos="993"/>
        </w:tabs>
        <w:rPr>
          <w:rFonts w:cs="Times New Roman" w:eastAsiaTheme="minorEastAsia"/>
          <w:color w:val="000000"/>
          <w:kern w:val="0"/>
        </w:rPr>
      </w:pPr>
      <w:r>
        <w:rPr>
          <w:rFonts w:cs="Times New Roman" w:eastAsiaTheme="minorEastAsia"/>
          <w:color w:val="000000"/>
          <w:kern w:val="0"/>
        </w:rPr>
        <w:t>阀门连接方式：对焊</w:t>
      </w:r>
    </w:p>
    <w:p>
      <w:pPr>
        <w:tabs>
          <w:tab w:val="left" w:pos="993"/>
        </w:tabs>
        <w:rPr>
          <w:rFonts w:cs="Times New Roman" w:eastAsiaTheme="minorEastAsia"/>
          <w:color w:val="000000"/>
          <w:kern w:val="0"/>
        </w:rPr>
      </w:pPr>
      <w:r>
        <w:rPr>
          <w:rFonts w:cs="Times New Roman" w:eastAsiaTheme="minorEastAsia"/>
          <w:color w:val="000000"/>
          <w:kern w:val="0"/>
        </w:rPr>
        <w:t>阀门类型：针型阀</w:t>
      </w:r>
    </w:p>
    <w:p>
      <w:pPr>
        <w:tabs>
          <w:tab w:val="left" w:pos="993"/>
        </w:tabs>
        <w:rPr>
          <w:rFonts w:cs="Times New Roman" w:eastAsiaTheme="minorEastAsia"/>
          <w:color w:val="000000"/>
          <w:kern w:val="0"/>
        </w:rPr>
      </w:pPr>
      <w:r>
        <w:rPr>
          <w:rFonts w:cs="Times New Roman" w:eastAsiaTheme="minorEastAsia"/>
          <w:color w:val="000000"/>
          <w:kern w:val="0"/>
        </w:rPr>
        <w:t>内通径：10mm。</w:t>
      </w:r>
    </w:p>
    <w:p>
      <w:pPr>
        <w:tabs>
          <w:tab w:val="left" w:pos="993"/>
        </w:tabs>
        <w:rPr>
          <w:rFonts w:cs="Times New Roman" w:eastAsiaTheme="minorEastAsia"/>
          <w:color w:val="000000"/>
          <w:kern w:val="0"/>
        </w:rPr>
      </w:pPr>
      <w:r>
        <w:rPr>
          <w:rFonts w:cs="Times New Roman" w:eastAsiaTheme="minorEastAsia"/>
          <w:color w:val="000000"/>
          <w:kern w:val="0"/>
        </w:rPr>
        <w:t>端口类型：14mm管对焊；</w:t>
      </w:r>
    </w:p>
    <w:p>
      <w:pPr>
        <w:tabs>
          <w:tab w:val="left" w:pos="993"/>
        </w:tabs>
        <w:rPr>
          <w:rFonts w:cs="Times New Roman" w:eastAsiaTheme="minorEastAsia"/>
          <w:color w:val="000000"/>
          <w:kern w:val="0"/>
        </w:rPr>
      </w:pPr>
      <w:r>
        <w:rPr>
          <w:rFonts w:cs="Times New Roman" w:eastAsiaTheme="minorEastAsia"/>
          <w:color w:val="000000"/>
          <w:kern w:val="0"/>
        </w:rPr>
        <w:t>填充材料：PEEK；</w:t>
      </w:r>
    </w:p>
    <w:p>
      <w:pPr>
        <w:tabs>
          <w:tab w:val="left" w:pos="993"/>
        </w:tabs>
        <w:rPr>
          <w:rFonts w:cs="Times New Roman" w:eastAsiaTheme="minorEastAsia"/>
          <w:color w:val="000000"/>
          <w:kern w:val="0"/>
        </w:rPr>
      </w:pPr>
      <w:r>
        <w:rPr>
          <w:rFonts w:cs="Times New Roman" w:eastAsiaTheme="minorEastAsia"/>
          <w:color w:val="000000"/>
          <w:kern w:val="0"/>
        </w:rPr>
        <w:t>手柄：黑色氧化铝条形手柄。</w:t>
      </w:r>
    </w:p>
    <w:p>
      <w:pPr>
        <w:tabs>
          <w:tab w:val="left" w:pos="993"/>
        </w:tabs>
        <w:rPr>
          <w:rFonts w:cs="Times New Roman" w:eastAsiaTheme="minorEastAsia"/>
          <w:color w:val="000000"/>
          <w:kern w:val="0"/>
        </w:rPr>
      </w:pPr>
      <w:r>
        <w:rPr>
          <w:rFonts w:cs="Times New Roman" w:eastAsiaTheme="minorEastAsia"/>
          <w:color w:val="000000"/>
          <w:kern w:val="0"/>
        </w:rPr>
        <w:t>仪表接头</w:t>
      </w:r>
    </w:p>
    <w:p>
      <w:pPr>
        <w:tabs>
          <w:tab w:val="left" w:pos="993"/>
        </w:tabs>
        <w:rPr>
          <w:rFonts w:cs="Times New Roman" w:eastAsiaTheme="minorEastAsia"/>
          <w:color w:val="000000"/>
          <w:kern w:val="0"/>
        </w:rPr>
      </w:pPr>
      <w:r>
        <w:rPr>
          <w:rFonts w:cs="Times New Roman" w:eastAsiaTheme="minorEastAsia"/>
          <w:color w:val="000000"/>
          <w:kern w:val="0"/>
        </w:rPr>
        <w:t>型号：SS-LM-ML10-NS4；</w:t>
      </w:r>
    </w:p>
    <w:p>
      <w:pPr>
        <w:tabs>
          <w:tab w:val="left" w:pos="993"/>
        </w:tabs>
        <w:rPr>
          <w:rFonts w:cs="Times New Roman" w:eastAsiaTheme="minorEastAsia"/>
          <w:color w:val="000000"/>
          <w:kern w:val="0"/>
        </w:rPr>
      </w:pPr>
      <w:r>
        <w:rPr>
          <w:rFonts w:cs="Times New Roman" w:eastAsiaTheme="minorEastAsia"/>
          <w:color w:val="000000"/>
          <w:kern w:val="0"/>
        </w:rPr>
        <w:t>工作压力 400bar；</w:t>
      </w:r>
    </w:p>
    <w:p>
      <w:pPr>
        <w:tabs>
          <w:tab w:val="left" w:pos="993"/>
        </w:tabs>
        <w:rPr>
          <w:rFonts w:cs="Times New Roman" w:eastAsiaTheme="minorEastAsia"/>
          <w:color w:val="000000"/>
          <w:kern w:val="0"/>
        </w:rPr>
      </w:pPr>
      <w:r>
        <w:rPr>
          <w:rFonts w:cs="Times New Roman" w:eastAsiaTheme="minorEastAsia"/>
          <w:color w:val="000000"/>
          <w:kern w:val="0"/>
        </w:rPr>
        <w:t>工作温度：-54</w:t>
      </w:r>
      <w:r>
        <w:rPr>
          <w:rFonts w:hint="eastAsia" w:ascii="宋体" w:hAnsi="宋体" w:cs="宋体"/>
          <w:color w:val="000000"/>
          <w:kern w:val="0"/>
        </w:rPr>
        <w:t>℃</w:t>
      </w:r>
      <w:r>
        <w:rPr>
          <w:rFonts w:cs="Times New Roman" w:eastAsiaTheme="minorEastAsia"/>
          <w:color w:val="000000"/>
          <w:kern w:val="0"/>
        </w:rPr>
        <w:t>至649</w:t>
      </w:r>
      <w:r>
        <w:rPr>
          <w:rFonts w:hint="eastAsia" w:ascii="宋体" w:hAnsi="宋体" w:cs="宋体"/>
          <w:color w:val="000000"/>
          <w:kern w:val="0"/>
        </w:rPr>
        <w:t>℃</w:t>
      </w:r>
      <w:r>
        <w:rPr>
          <w:rFonts w:cs="Times New Roman" w:eastAsiaTheme="minorEastAsia"/>
          <w:color w:val="000000"/>
          <w:kern w:val="0"/>
        </w:rPr>
        <w:t>；</w:t>
      </w:r>
    </w:p>
    <w:p>
      <w:pPr>
        <w:tabs>
          <w:tab w:val="left" w:pos="993"/>
        </w:tabs>
        <w:rPr>
          <w:rFonts w:cs="Times New Roman" w:eastAsiaTheme="minorEastAsia"/>
          <w:color w:val="000000"/>
          <w:kern w:val="0"/>
        </w:rPr>
      </w:pPr>
      <w:r>
        <w:rPr>
          <w:rFonts w:cs="Times New Roman" w:eastAsiaTheme="minorEastAsia"/>
          <w:color w:val="000000"/>
          <w:kern w:val="0"/>
        </w:rPr>
        <w:t>接头材质：316L 不锈钢。</w:t>
      </w:r>
    </w:p>
    <w:p>
      <w:pPr>
        <w:tabs>
          <w:tab w:val="left" w:pos="993"/>
        </w:tabs>
        <w:rPr>
          <w:rFonts w:cs="Times New Roman" w:eastAsiaTheme="minorEastAsia"/>
          <w:color w:val="000000"/>
          <w:kern w:val="0"/>
        </w:rPr>
      </w:pPr>
      <w:r>
        <w:rPr>
          <w:rFonts w:cs="Times New Roman" w:eastAsiaTheme="minorEastAsia"/>
          <w:color w:val="000000"/>
          <w:kern w:val="0"/>
        </w:rPr>
        <w:t>1/4NPT阳螺纹-Φ10卡套</w:t>
      </w:r>
    </w:p>
    <w:p>
      <w:pPr>
        <w:pStyle w:val="2"/>
        <w:numPr>
          <w:ilvl w:val="0"/>
          <w:numId w:val="0"/>
        </w:numPr>
        <w:rPr>
          <w:b/>
          <w:szCs w:val="24"/>
        </w:rPr>
      </w:pPr>
      <w:r>
        <w:rPr>
          <w:b/>
          <w:szCs w:val="24"/>
        </w:rPr>
        <w:t>3.8.8仪表取样管</w:t>
      </w:r>
    </w:p>
    <w:p>
      <w:pPr>
        <w:tabs>
          <w:tab w:val="left" w:pos="993"/>
        </w:tabs>
        <w:rPr>
          <w:rFonts w:cs="Times New Roman" w:eastAsiaTheme="minorEastAsia"/>
          <w:color w:val="000000"/>
          <w:kern w:val="0"/>
        </w:rPr>
      </w:pPr>
      <w:r>
        <w:rPr>
          <w:rFonts w:cs="Times New Roman" w:eastAsiaTheme="minorEastAsia"/>
          <w:color w:val="000000"/>
          <w:kern w:val="0"/>
        </w:rPr>
        <w:t>仪表取样管采用无缝不锈钢管，外表抛光，内里精轧脱脂酸白效果，钢管为退火软态。</w:t>
      </w:r>
    </w:p>
    <w:p>
      <w:pPr>
        <w:tabs>
          <w:tab w:val="left" w:pos="993"/>
        </w:tabs>
        <w:rPr>
          <w:rFonts w:cs="Times New Roman" w:eastAsiaTheme="minorEastAsia"/>
          <w:color w:val="000000"/>
          <w:kern w:val="0"/>
        </w:rPr>
      </w:pPr>
      <w:r>
        <w:rPr>
          <w:rFonts w:cs="Times New Roman" w:eastAsiaTheme="minorEastAsia"/>
          <w:color w:val="000000"/>
          <w:kern w:val="0"/>
        </w:rPr>
        <w:t>取样管规格（外径*壁厚*长度）：14mm*2mm*6000mm；</w:t>
      </w:r>
    </w:p>
    <w:p>
      <w:pPr>
        <w:tabs>
          <w:tab w:val="left" w:pos="993"/>
        </w:tabs>
        <w:rPr>
          <w:rFonts w:cs="Times New Roman" w:eastAsiaTheme="minorEastAsia"/>
          <w:color w:val="000000"/>
          <w:kern w:val="0"/>
        </w:rPr>
      </w:pPr>
      <w:r>
        <w:rPr>
          <w:rFonts w:cs="Times New Roman" w:eastAsiaTheme="minorEastAsia"/>
          <w:color w:val="000000"/>
          <w:kern w:val="0"/>
        </w:rPr>
        <w:t>取样管材质：316L不锈钢；</w:t>
      </w:r>
    </w:p>
    <w:p>
      <w:pPr>
        <w:tabs>
          <w:tab w:val="left" w:pos="993"/>
        </w:tabs>
        <w:rPr>
          <w:rFonts w:cs="Times New Roman" w:eastAsiaTheme="minorEastAsia"/>
          <w:color w:val="000000"/>
          <w:kern w:val="0"/>
        </w:rPr>
      </w:pPr>
      <w:r>
        <w:rPr>
          <w:rFonts w:cs="Times New Roman" w:eastAsiaTheme="minorEastAsia"/>
          <w:color w:val="000000"/>
          <w:kern w:val="0"/>
        </w:rPr>
        <w:t>取样管承压：可承受管内介质压力不小于35MPa</w:t>
      </w:r>
    </w:p>
    <w:p>
      <w:pPr>
        <w:pStyle w:val="31"/>
        <w:rPr>
          <w:rFonts w:ascii="Times New Roman" w:hAnsi="Times New Roman" w:cs="Times New Roman"/>
        </w:rPr>
      </w:pPr>
      <w:r>
        <w:rPr>
          <w:rFonts w:ascii="Times New Roman" w:hAnsi="Times New Roman" w:cs="Times New Roman"/>
        </w:rPr>
        <w:t>四、执行标准</w:t>
      </w:r>
    </w:p>
    <w:p>
      <w:pPr>
        <w:tabs>
          <w:tab w:val="left" w:pos="993"/>
        </w:tabs>
        <w:rPr>
          <w:rFonts w:cs="Times New Roman" w:eastAsiaTheme="minorEastAsia"/>
          <w:color w:val="000000"/>
          <w:kern w:val="0"/>
        </w:rPr>
      </w:pPr>
      <w:r>
        <w:rPr>
          <w:rFonts w:cs="Times New Roman"/>
          <w:color w:val="000000" w:themeColor="text1"/>
          <w14:textFill>
            <w14:solidFill>
              <w14:schemeClr w14:val="tx1"/>
            </w14:solidFill>
          </w14:textFill>
        </w:rPr>
        <w:t>供方</w:t>
      </w:r>
      <w:r>
        <w:rPr>
          <w:rFonts w:cs="Times New Roman" w:eastAsiaTheme="minorEastAsia"/>
          <w:color w:val="000000"/>
          <w:kern w:val="0"/>
        </w:rPr>
        <w:t>最低限度地应符合下列标准的规定，同时应采用最新版本的相应标准，具体如下：</w:t>
      </w:r>
    </w:p>
    <w:p>
      <w:pPr>
        <w:tabs>
          <w:tab w:val="left" w:pos="993"/>
        </w:tabs>
        <w:rPr>
          <w:rFonts w:cs="Times New Roman" w:eastAsiaTheme="minorEastAsia"/>
          <w:color w:val="000000"/>
          <w:kern w:val="0"/>
        </w:rPr>
      </w:pPr>
      <w:r>
        <w:rPr>
          <w:rFonts w:cs="Times New Roman" w:eastAsiaTheme="minorEastAsia"/>
          <w:color w:val="000000"/>
          <w:kern w:val="0"/>
        </w:rPr>
        <w:t>IEEE                           国际电气电子工程师学会标准</w:t>
      </w:r>
    </w:p>
    <w:p>
      <w:pPr>
        <w:tabs>
          <w:tab w:val="left" w:pos="993"/>
        </w:tabs>
        <w:rPr>
          <w:rFonts w:cs="Times New Roman" w:eastAsiaTheme="minorEastAsia"/>
          <w:color w:val="000000"/>
          <w:kern w:val="0"/>
        </w:rPr>
      </w:pPr>
      <w:r>
        <w:rPr>
          <w:rFonts w:cs="Times New Roman" w:eastAsiaTheme="minorEastAsia"/>
          <w:color w:val="000000"/>
          <w:kern w:val="0"/>
        </w:rPr>
        <w:t>ISO                            国际标准化组织标准</w:t>
      </w:r>
    </w:p>
    <w:p>
      <w:pPr>
        <w:tabs>
          <w:tab w:val="left" w:pos="993"/>
        </w:tabs>
        <w:rPr>
          <w:rFonts w:cs="Times New Roman" w:eastAsiaTheme="minorEastAsia"/>
          <w:color w:val="000000"/>
          <w:kern w:val="0"/>
        </w:rPr>
      </w:pPr>
      <w:r>
        <w:rPr>
          <w:rFonts w:cs="Times New Roman" w:eastAsiaTheme="minorEastAsia"/>
          <w:color w:val="000000"/>
          <w:kern w:val="0"/>
        </w:rPr>
        <w:t>MSS标准                       阀门和管件工业制造商标准化协会标准</w:t>
      </w:r>
    </w:p>
    <w:p>
      <w:pPr>
        <w:tabs>
          <w:tab w:val="left" w:pos="993"/>
        </w:tabs>
        <w:rPr>
          <w:rFonts w:cs="Times New Roman" w:eastAsiaTheme="minorEastAsia"/>
          <w:color w:val="000000"/>
          <w:kern w:val="0"/>
        </w:rPr>
      </w:pPr>
      <w:r>
        <w:rPr>
          <w:rFonts w:cs="Times New Roman" w:eastAsiaTheme="minorEastAsia"/>
          <w:color w:val="000000"/>
          <w:kern w:val="0"/>
        </w:rPr>
        <w:t>IEC                            国际电工委员会标准</w:t>
      </w:r>
    </w:p>
    <w:p>
      <w:pPr>
        <w:tabs>
          <w:tab w:val="left" w:pos="993"/>
        </w:tabs>
        <w:rPr>
          <w:rFonts w:cs="Times New Roman" w:eastAsiaTheme="minorEastAsia"/>
          <w:color w:val="000000"/>
          <w:kern w:val="0"/>
        </w:rPr>
      </w:pPr>
      <w:r>
        <w:rPr>
          <w:rFonts w:cs="Times New Roman" w:eastAsiaTheme="minorEastAsia"/>
          <w:color w:val="000000"/>
          <w:kern w:val="0"/>
        </w:rPr>
        <w:t>GB 12224-2005                  钢制阀门 一版要求</w:t>
      </w:r>
    </w:p>
    <w:p>
      <w:pPr>
        <w:tabs>
          <w:tab w:val="left" w:pos="993"/>
        </w:tabs>
        <w:rPr>
          <w:rFonts w:cs="Times New Roman" w:eastAsiaTheme="minorEastAsia"/>
          <w:color w:val="000000"/>
          <w:kern w:val="0"/>
        </w:rPr>
      </w:pPr>
      <w:r>
        <w:rPr>
          <w:rFonts w:cs="Times New Roman" w:eastAsiaTheme="minorEastAsia"/>
          <w:color w:val="000000"/>
          <w:kern w:val="0"/>
        </w:rPr>
        <w:t>GB/T 12221-2005                金属阀门的结构长度</w:t>
      </w:r>
    </w:p>
    <w:p>
      <w:pPr>
        <w:tabs>
          <w:tab w:val="left" w:pos="993"/>
        </w:tabs>
        <w:rPr>
          <w:rFonts w:cs="Times New Roman" w:eastAsiaTheme="minorEastAsia"/>
          <w:color w:val="000000"/>
          <w:kern w:val="0"/>
        </w:rPr>
      </w:pPr>
      <w:r>
        <w:rPr>
          <w:rFonts w:cs="Times New Roman" w:eastAsiaTheme="minorEastAsia"/>
          <w:color w:val="000000"/>
          <w:kern w:val="0"/>
        </w:rPr>
        <w:t>GB 22652-2008                  阀门密封面堆焊工艺评定</w:t>
      </w:r>
    </w:p>
    <w:p>
      <w:pPr>
        <w:tabs>
          <w:tab w:val="left" w:pos="993"/>
        </w:tabs>
        <w:rPr>
          <w:rFonts w:cs="Times New Roman" w:eastAsiaTheme="minorEastAsia"/>
          <w:color w:val="000000"/>
          <w:kern w:val="0"/>
        </w:rPr>
      </w:pPr>
      <w:r>
        <w:rPr>
          <w:rFonts w:cs="Times New Roman" w:eastAsiaTheme="minorEastAsia"/>
          <w:color w:val="000000"/>
          <w:kern w:val="0"/>
        </w:rPr>
        <w:t>JB/T 3595-2002                 电站阀门 一般要求</w:t>
      </w:r>
    </w:p>
    <w:p>
      <w:pPr>
        <w:tabs>
          <w:tab w:val="left" w:pos="993"/>
        </w:tabs>
        <w:rPr>
          <w:rFonts w:cs="Times New Roman" w:eastAsiaTheme="minorEastAsia"/>
          <w:color w:val="000000"/>
          <w:kern w:val="0"/>
        </w:rPr>
      </w:pPr>
      <w:r>
        <w:rPr>
          <w:rFonts w:cs="Times New Roman" w:eastAsiaTheme="minorEastAsia"/>
          <w:color w:val="000000"/>
          <w:kern w:val="0"/>
        </w:rPr>
        <w:t>GB3098.1-2010</w:t>
      </w:r>
      <w:r>
        <w:rPr>
          <w:rFonts w:cs="Times New Roman" w:eastAsiaTheme="minorEastAsia"/>
          <w:color w:val="000000"/>
          <w:kern w:val="0"/>
        </w:rPr>
        <w:tab/>
      </w:r>
      <w:r>
        <w:rPr>
          <w:rFonts w:cs="Times New Roman" w:eastAsiaTheme="minorEastAsia"/>
          <w:color w:val="000000"/>
          <w:kern w:val="0"/>
        </w:rPr>
        <w:t xml:space="preserve">                紧固件机械性能</w:t>
      </w:r>
    </w:p>
    <w:p>
      <w:pPr>
        <w:tabs>
          <w:tab w:val="left" w:pos="993"/>
        </w:tabs>
        <w:rPr>
          <w:rFonts w:cs="Times New Roman" w:eastAsiaTheme="minorEastAsia"/>
          <w:color w:val="000000"/>
          <w:kern w:val="0"/>
        </w:rPr>
      </w:pPr>
      <w:r>
        <w:rPr>
          <w:rFonts w:cs="Times New Roman" w:eastAsiaTheme="minorEastAsia"/>
          <w:color w:val="000000"/>
          <w:kern w:val="0"/>
        </w:rPr>
        <w:t>JB/T81-2015</w:t>
      </w:r>
      <w:r>
        <w:rPr>
          <w:rFonts w:cs="Times New Roman" w:eastAsiaTheme="minorEastAsia"/>
          <w:color w:val="000000"/>
          <w:kern w:val="0"/>
        </w:rPr>
        <w:tab/>
      </w:r>
      <w:r>
        <w:rPr>
          <w:rFonts w:cs="Times New Roman" w:eastAsiaTheme="minorEastAsia"/>
          <w:color w:val="000000"/>
          <w:kern w:val="0"/>
        </w:rPr>
        <w:tab/>
      </w:r>
      <w:r>
        <w:rPr>
          <w:rFonts w:cs="Times New Roman" w:eastAsiaTheme="minorEastAsia"/>
          <w:color w:val="000000"/>
          <w:kern w:val="0"/>
        </w:rPr>
        <w:t xml:space="preserve">            板式平焊钢制管法兰</w:t>
      </w:r>
    </w:p>
    <w:p>
      <w:pPr>
        <w:tabs>
          <w:tab w:val="left" w:pos="993"/>
        </w:tabs>
        <w:rPr>
          <w:rFonts w:cs="Times New Roman" w:eastAsiaTheme="minorEastAsia"/>
          <w:color w:val="000000"/>
          <w:kern w:val="0"/>
        </w:rPr>
      </w:pPr>
      <w:r>
        <w:rPr>
          <w:rFonts w:cs="Times New Roman" w:eastAsiaTheme="minorEastAsia"/>
          <w:color w:val="000000"/>
          <w:kern w:val="0"/>
        </w:rPr>
        <w:t>JB3336-2009</w:t>
      </w:r>
      <w:r>
        <w:rPr>
          <w:rFonts w:cs="Times New Roman" w:eastAsiaTheme="minorEastAsia"/>
          <w:color w:val="000000"/>
          <w:kern w:val="0"/>
        </w:rPr>
        <w:tab/>
      </w:r>
      <w:r>
        <w:rPr>
          <w:rFonts w:cs="Times New Roman" w:eastAsiaTheme="minorEastAsia"/>
          <w:color w:val="000000"/>
          <w:kern w:val="0"/>
        </w:rPr>
        <w:tab/>
      </w:r>
      <w:r>
        <w:rPr>
          <w:rFonts w:cs="Times New Roman" w:eastAsiaTheme="minorEastAsia"/>
          <w:color w:val="000000"/>
          <w:kern w:val="0"/>
        </w:rPr>
        <w:t xml:space="preserve">            电站设备自动装置通用技术条件</w:t>
      </w:r>
    </w:p>
    <w:p>
      <w:pPr>
        <w:tabs>
          <w:tab w:val="left" w:pos="993"/>
        </w:tabs>
        <w:rPr>
          <w:rFonts w:cs="Times New Roman" w:eastAsiaTheme="minorEastAsia"/>
          <w:color w:val="000000"/>
          <w:kern w:val="0"/>
        </w:rPr>
      </w:pPr>
      <w:r>
        <w:rPr>
          <w:rFonts w:cs="Times New Roman" w:eastAsiaTheme="minorEastAsia"/>
          <w:color w:val="000000"/>
          <w:kern w:val="0"/>
        </w:rPr>
        <w:t>JB/ZQ4000.10-2009</w:t>
      </w:r>
      <w:r>
        <w:rPr>
          <w:rFonts w:cs="Times New Roman" w:eastAsiaTheme="minorEastAsia"/>
          <w:color w:val="000000"/>
          <w:kern w:val="0"/>
        </w:rPr>
        <w:tab/>
      </w:r>
      <w:r>
        <w:rPr>
          <w:rFonts w:cs="Times New Roman" w:eastAsiaTheme="minorEastAsia"/>
          <w:color w:val="000000"/>
          <w:kern w:val="0"/>
        </w:rPr>
        <w:t xml:space="preserve">            涂装通用技术条件</w:t>
      </w:r>
    </w:p>
    <w:p>
      <w:pPr>
        <w:tabs>
          <w:tab w:val="left" w:pos="993"/>
        </w:tabs>
        <w:rPr>
          <w:rFonts w:cs="Times New Roman" w:eastAsiaTheme="minorEastAsia"/>
          <w:color w:val="000000"/>
          <w:kern w:val="0"/>
        </w:rPr>
      </w:pPr>
      <w:r>
        <w:rPr>
          <w:rFonts w:cs="Times New Roman" w:eastAsiaTheme="minorEastAsia"/>
          <w:color w:val="000000"/>
          <w:kern w:val="0"/>
        </w:rPr>
        <w:t>JB/ZQ4286-2014                包装通用技术条件</w:t>
      </w:r>
    </w:p>
    <w:p>
      <w:pPr>
        <w:tabs>
          <w:tab w:val="left" w:pos="993"/>
        </w:tabs>
        <w:rPr>
          <w:rFonts w:cs="Times New Roman" w:eastAsiaTheme="minorEastAsia"/>
          <w:color w:val="000000"/>
          <w:kern w:val="0"/>
        </w:rPr>
      </w:pPr>
      <w:r>
        <w:rPr>
          <w:rFonts w:cs="Times New Roman" w:eastAsiaTheme="minorEastAsia"/>
          <w:color w:val="000000"/>
          <w:kern w:val="0"/>
        </w:rPr>
        <w:t>GB11920-2008</w:t>
      </w:r>
      <w:r>
        <w:rPr>
          <w:rFonts w:cs="Times New Roman" w:eastAsiaTheme="minorEastAsia"/>
          <w:color w:val="000000"/>
          <w:kern w:val="0"/>
        </w:rPr>
        <w:tab/>
      </w:r>
      <w:r>
        <w:rPr>
          <w:rFonts w:cs="Times New Roman" w:eastAsiaTheme="minorEastAsia"/>
          <w:color w:val="000000"/>
          <w:kern w:val="0"/>
        </w:rPr>
        <w:t xml:space="preserve">                电站电气部分集中控制装置通用技术条件</w:t>
      </w:r>
    </w:p>
    <w:p>
      <w:pPr>
        <w:tabs>
          <w:tab w:val="left" w:pos="993"/>
        </w:tabs>
        <w:rPr>
          <w:rFonts w:cs="Times New Roman" w:eastAsiaTheme="minorEastAsia"/>
          <w:color w:val="000000"/>
          <w:kern w:val="0"/>
        </w:rPr>
      </w:pPr>
      <w:r>
        <w:rPr>
          <w:rFonts w:cs="Times New Roman" w:eastAsiaTheme="minorEastAsia"/>
          <w:color w:val="000000"/>
          <w:kern w:val="0"/>
        </w:rPr>
        <w:t>GB4720-2011</w:t>
      </w:r>
      <w:r>
        <w:rPr>
          <w:rFonts w:cs="Times New Roman" w:eastAsiaTheme="minorEastAsia"/>
          <w:color w:val="000000"/>
          <w:kern w:val="0"/>
        </w:rPr>
        <w:tab/>
      </w:r>
      <w:r>
        <w:rPr>
          <w:rFonts w:cs="Times New Roman" w:eastAsiaTheme="minorEastAsia"/>
          <w:color w:val="000000"/>
          <w:kern w:val="0"/>
        </w:rPr>
        <w:t xml:space="preserve">                低压电器电控设备</w:t>
      </w:r>
    </w:p>
    <w:p>
      <w:pPr>
        <w:tabs>
          <w:tab w:val="left" w:pos="993"/>
        </w:tabs>
        <w:rPr>
          <w:rFonts w:cs="Times New Roman" w:eastAsiaTheme="minorEastAsia"/>
          <w:color w:val="000000"/>
          <w:kern w:val="0"/>
        </w:rPr>
      </w:pPr>
      <w:r>
        <w:rPr>
          <w:rFonts w:cs="Times New Roman" w:eastAsiaTheme="minorEastAsia"/>
          <w:color w:val="000000"/>
          <w:kern w:val="0"/>
        </w:rPr>
        <w:t>GB3280-2007</w:t>
      </w:r>
      <w:r>
        <w:rPr>
          <w:rFonts w:cs="Times New Roman" w:eastAsiaTheme="minorEastAsia"/>
          <w:color w:val="000000"/>
          <w:kern w:val="0"/>
        </w:rPr>
        <w:tab/>
      </w:r>
      <w:r>
        <w:rPr>
          <w:rFonts w:cs="Times New Roman" w:eastAsiaTheme="minorEastAsia"/>
          <w:color w:val="000000"/>
          <w:kern w:val="0"/>
        </w:rPr>
        <w:tab/>
      </w:r>
      <w:r>
        <w:rPr>
          <w:rFonts w:cs="Times New Roman" w:eastAsiaTheme="minorEastAsia"/>
          <w:color w:val="000000"/>
          <w:kern w:val="0"/>
        </w:rPr>
        <w:t xml:space="preserve">            不锈钢冷轧钢板AWS美国焊接学会标准</w:t>
      </w:r>
    </w:p>
    <w:p>
      <w:pPr>
        <w:tabs>
          <w:tab w:val="left" w:pos="993"/>
        </w:tabs>
        <w:rPr>
          <w:rFonts w:cs="Times New Roman" w:eastAsiaTheme="minorEastAsia"/>
          <w:color w:val="000000"/>
          <w:kern w:val="0"/>
        </w:rPr>
      </w:pPr>
      <w:r>
        <w:rPr>
          <w:rFonts w:cs="Times New Roman" w:eastAsiaTheme="minorEastAsia"/>
          <w:color w:val="000000"/>
          <w:kern w:val="0"/>
        </w:rPr>
        <w:t>JB2765-1981                    阀门名词术语</w:t>
      </w:r>
    </w:p>
    <w:p>
      <w:pPr>
        <w:tabs>
          <w:tab w:val="left" w:pos="993"/>
        </w:tabs>
        <w:rPr>
          <w:rFonts w:cs="Times New Roman" w:eastAsiaTheme="minorEastAsia"/>
          <w:color w:val="000000"/>
          <w:kern w:val="0"/>
        </w:rPr>
      </w:pPr>
      <w:r>
        <w:rPr>
          <w:rFonts w:cs="Times New Roman" w:eastAsiaTheme="minorEastAsia"/>
          <w:color w:val="000000"/>
          <w:kern w:val="0"/>
        </w:rPr>
        <w:t>JB4018-1999                    电站阀门型号编制方法</w:t>
      </w:r>
    </w:p>
    <w:p>
      <w:pPr>
        <w:tabs>
          <w:tab w:val="left" w:pos="993"/>
        </w:tabs>
        <w:rPr>
          <w:rFonts w:cs="Times New Roman" w:eastAsiaTheme="minorEastAsia"/>
          <w:color w:val="000000"/>
          <w:kern w:val="0"/>
        </w:rPr>
      </w:pPr>
      <w:r>
        <w:rPr>
          <w:rFonts w:cs="Times New Roman" w:eastAsiaTheme="minorEastAsia"/>
          <w:color w:val="000000"/>
          <w:kern w:val="0"/>
        </w:rPr>
        <w:t>JB/T308-2004                   阀门型号的编制方法</w:t>
      </w:r>
    </w:p>
    <w:p>
      <w:pPr>
        <w:tabs>
          <w:tab w:val="left" w:pos="993"/>
        </w:tabs>
        <w:rPr>
          <w:rFonts w:cs="Times New Roman" w:eastAsiaTheme="minorEastAsia"/>
          <w:color w:val="000000"/>
          <w:kern w:val="0"/>
        </w:rPr>
      </w:pPr>
      <w:r>
        <w:rPr>
          <w:rFonts w:cs="Times New Roman" w:eastAsiaTheme="minorEastAsia"/>
          <w:color w:val="000000"/>
          <w:kern w:val="0"/>
        </w:rPr>
        <w:t>ZBJ98015-1989                  承压铸钢件技术条件</w:t>
      </w:r>
    </w:p>
    <w:p>
      <w:pPr>
        <w:tabs>
          <w:tab w:val="left" w:pos="993"/>
        </w:tabs>
        <w:rPr>
          <w:rFonts w:cs="Times New Roman" w:eastAsiaTheme="minorEastAsia"/>
          <w:color w:val="000000"/>
          <w:kern w:val="0"/>
        </w:rPr>
      </w:pPr>
      <w:r>
        <w:rPr>
          <w:rFonts w:cs="Times New Roman" w:eastAsiaTheme="minorEastAsia"/>
          <w:color w:val="000000"/>
          <w:kern w:val="0"/>
        </w:rPr>
        <w:t>GB12231-1989                   阀门铸钢件外观质量要求</w:t>
      </w:r>
    </w:p>
    <w:p>
      <w:pPr>
        <w:tabs>
          <w:tab w:val="left" w:pos="993"/>
        </w:tabs>
        <w:rPr>
          <w:rFonts w:cs="Times New Roman" w:eastAsiaTheme="minorEastAsia"/>
          <w:color w:val="000000"/>
          <w:kern w:val="0"/>
        </w:rPr>
      </w:pPr>
      <w:r>
        <w:rPr>
          <w:rFonts w:cs="Times New Roman" w:eastAsiaTheme="minorEastAsia"/>
          <w:color w:val="000000"/>
          <w:kern w:val="0"/>
        </w:rPr>
        <w:t>JB2633-1981                    锅炉锻件技术条件</w:t>
      </w:r>
    </w:p>
    <w:p>
      <w:pPr>
        <w:tabs>
          <w:tab w:val="left" w:pos="993"/>
        </w:tabs>
        <w:rPr>
          <w:rFonts w:cs="Times New Roman" w:eastAsiaTheme="minorEastAsia"/>
          <w:color w:val="000000"/>
          <w:kern w:val="0"/>
        </w:rPr>
      </w:pPr>
      <w:r>
        <w:rPr>
          <w:rFonts w:cs="Times New Roman" w:eastAsiaTheme="minorEastAsia"/>
          <w:color w:val="000000"/>
          <w:kern w:val="0"/>
        </w:rPr>
        <w:t>GB1176-2013                    铸造铜合金技术条件</w:t>
      </w:r>
    </w:p>
    <w:p>
      <w:pPr>
        <w:tabs>
          <w:tab w:val="left" w:pos="993"/>
        </w:tabs>
        <w:rPr>
          <w:rFonts w:cs="Times New Roman" w:eastAsiaTheme="minorEastAsia"/>
          <w:color w:val="000000"/>
          <w:kern w:val="0"/>
        </w:rPr>
      </w:pPr>
      <w:r>
        <w:rPr>
          <w:rFonts w:cs="Times New Roman" w:eastAsiaTheme="minorEastAsia"/>
          <w:color w:val="000000"/>
          <w:kern w:val="0"/>
        </w:rPr>
        <w:t>GB699-2015                     优质碳素结构钢技术条件</w:t>
      </w:r>
    </w:p>
    <w:p>
      <w:pPr>
        <w:tabs>
          <w:tab w:val="left" w:pos="993"/>
        </w:tabs>
        <w:rPr>
          <w:rFonts w:cs="Times New Roman" w:eastAsiaTheme="minorEastAsia"/>
          <w:color w:val="000000"/>
          <w:kern w:val="0"/>
        </w:rPr>
      </w:pPr>
      <w:r>
        <w:rPr>
          <w:rFonts w:cs="Times New Roman" w:eastAsiaTheme="minorEastAsia"/>
          <w:color w:val="000000"/>
          <w:kern w:val="0"/>
        </w:rPr>
        <w:t>GB3077-2019                    合金结构钢技术条件</w:t>
      </w:r>
    </w:p>
    <w:p>
      <w:pPr>
        <w:tabs>
          <w:tab w:val="left" w:pos="993"/>
        </w:tabs>
        <w:rPr>
          <w:rFonts w:cs="Times New Roman" w:eastAsiaTheme="minorEastAsia"/>
          <w:color w:val="000000"/>
          <w:kern w:val="0"/>
        </w:rPr>
      </w:pPr>
      <w:r>
        <w:rPr>
          <w:rFonts w:cs="Times New Roman" w:eastAsiaTheme="minorEastAsia"/>
          <w:color w:val="000000"/>
          <w:kern w:val="0"/>
        </w:rPr>
        <w:t>GB979-2021                     碳素钢铸件分类及技术条件</w:t>
      </w:r>
    </w:p>
    <w:p>
      <w:pPr>
        <w:tabs>
          <w:tab w:val="left" w:pos="993"/>
        </w:tabs>
        <w:rPr>
          <w:rFonts w:cs="Times New Roman" w:eastAsiaTheme="minorEastAsia"/>
          <w:color w:val="000000"/>
          <w:kern w:val="0"/>
        </w:rPr>
      </w:pPr>
      <w:r>
        <w:rPr>
          <w:rFonts w:cs="Times New Roman" w:eastAsiaTheme="minorEastAsia"/>
          <w:color w:val="000000"/>
          <w:kern w:val="0"/>
        </w:rPr>
        <w:t>GB4981-1985                    工业用阀门的压力试验</w:t>
      </w:r>
    </w:p>
    <w:p>
      <w:pPr>
        <w:tabs>
          <w:tab w:val="left" w:pos="993"/>
        </w:tabs>
        <w:rPr>
          <w:rFonts w:cs="Times New Roman" w:eastAsiaTheme="minorEastAsia"/>
          <w:color w:val="000000"/>
          <w:kern w:val="0"/>
        </w:rPr>
      </w:pPr>
      <w:r>
        <w:rPr>
          <w:rFonts w:cs="Times New Roman" w:eastAsiaTheme="minorEastAsia"/>
          <w:color w:val="000000"/>
          <w:kern w:val="0"/>
        </w:rPr>
        <w:t>GB1804-2000                    公差与配合未注公差尺寸的极限偏差</w:t>
      </w:r>
    </w:p>
    <w:p>
      <w:pPr>
        <w:tabs>
          <w:tab w:val="left" w:pos="993"/>
        </w:tabs>
        <w:rPr>
          <w:rFonts w:cs="Times New Roman" w:eastAsiaTheme="minorEastAsia"/>
          <w:color w:val="000000"/>
          <w:kern w:val="0"/>
        </w:rPr>
      </w:pPr>
      <w:r>
        <w:rPr>
          <w:rFonts w:cs="Times New Roman" w:eastAsiaTheme="minorEastAsia"/>
          <w:color w:val="000000"/>
          <w:kern w:val="0"/>
        </w:rPr>
        <w:t>GB-50169                       电气装置安装工程施工及验收规范</w:t>
      </w:r>
    </w:p>
    <w:p>
      <w:pPr>
        <w:tabs>
          <w:tab w:val="left" w:pos="993"/>
        </w:tabs>
        <w:rPr>
          <w:rFonts w:cs="Times New Roman" w:eastAsiaTheme="minorEastAsia"/>
          <w:color w:val="000000"/>
          <w:kern w:val="0"/>
        </w:rPr>
      </w:pPr>
      <w:r>
        <w:rPr>
          <w:rFonts w:cs="Times New Roman" w:eastAsiaTheme="minorEastAsia"/>
          <w:color w:val="000000"/>
          <w:kern w:val="0"/>
        </w:rPr>
        <w:t>GB-50150                      电气装置安装工程电气设备交接试验标准</w:t>
      </w:r>
    </w:p>
    <w:p>
      <w:pPr>
        <w:pStyle w:val="31"/>
        <w:rPr>
          <w:rFonts w:ascii="Times New Roman" w:hAnsi="Times New Roman" w:cs="Times New Roman"/>
        </w:rPr>
      </w:pPr>
      <w:r>
        <w:rPr>
          <w:rFonts w:ascii="Times New Roman" w:hAnsi="Times New Roman" w:cs="Times New Roman"/>
        </w:rPr>
        <w:t>五、质量保证及试验见证</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5.1</w:t>
      </w:r>
      <w:r>
        <w:rPr>
          <w:rFonts w:cs="Times New Roman"/>
        </w:rPr>
        <w:t>质量保证</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质量保证期以商务合同约定的时间为准，以先到为准。若维修更换零件保质期从维修更换零件之日起重新计算。</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a) 阀门主要部件设计寿命为 30 年</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b) 阀门及其附件在发货前应组装成一体并进行联动试验,阀门本体进行强度试验，密封面进行严密性试验。</w:t>
      </w:r>
    </w:p>
    <w:p>
      <w:pPr>
        <w:pStyle w:val="4"/>
        <w:numPr>
          <w:ilvl w:val="0"/>
          <w:numId w:val="0"/>
        </w:numPr>
        <w:snapToGrid/>
        <w:rPr>
          <w:color w:val="000000" w:themeColor="text1"/>
          <w:szCs w:val="24"/>
          <w14:textFill>
            <w14:solidFill>
              <w14:schemeClr w14:val="tx1"/>
            </w14:solidFill>
          </w14:textFill>
        </w:rPr>
      </w:pPr>
      <w:r>
        <w:rPr>
          <w:color w:val="000000" w:themeColor="text1"/>
          <w:szCs w:val="24"/>
          <w14:textFill>
            <w14:solidFill>
              <w14:schemeClr w14:val="tx1"/>
            </w14:solidFill>
          </w14:textFill>
        </w:rPr>
        <w:t>清理</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c)所有杂物(如金属屑、焊渣等)应从每个部件的内部清出。所有磨碎物、锈斑、油、脂、粉尘等有害物质从阀门内、外表面清除干净。确保出厂发运时阀门内、外表面清洁干净。</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d)当采用化学清洗时，严禁阀体有任何凹坑或其它损伤。</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供方保证制造过程中的所有工艺、材料、试验等（包括供方的外购件在内）均符合本文件的规定。</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本项目所采用的所有材料能适应恶劣工况。供方给出主要部件/部套和重要区域所用的材质，所有材料有内容完整的质量保证书。</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订购的新型产品除满足本文件外，供方还提供产品的鉴定证书。</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供方应采取措施确保设备质量。产品交货前，应交货设备、备件进行必要的检查与试验，以保证整个设计和制造符合标准要求。供方应对设备的技术性能和质量进行保证。</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必须进行检查和试验的项目，应能证明下列各项：</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（一）所供设备符合有关技术条件和安全规范。</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（二）安全装置和保护装置动作正确。</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（三）达到需方要求的规定值。</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（四）供方有责任将检查和试验资料及标准按规定完整并及时提交给需方；对重要的检查与试验项目，按合同规定应有需方派代表参加。</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（五）如产品质量和性能与标准不符时，需方有权拒绝验收，供方负责更换。</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（六）供方应负责对按投标文件所提供的服务、工艺、流程、产品和材料实行质量控制。</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（七）供方应该用质量管理计划检查各项目和服务（包括分包商的项目和服务）是否符合合同的要求和规定，质量管理系统应符合ISO9000系列标准的要求。</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供方遵守本文件中各条款和工作项目的ISO900GB/T1900质量保证体系，该质量保证体系已经过国家认证和正常运转。</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供方应提供质量保证计划和质量手册供需方审查。开始制造前，供方应提交制造程序表，介绍要进行的检验或试验。需方代表有权进入制造厂监督制造中的检验或工厂最终检验和试验。凡与规范不符之处，都必须记录在案进行处理。</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设备运到现场后，由甲乙双方在交货地点对所供设备进行清点，双方代表签章，办理并完成货物的交接手续。在质保期内发现供货范围内的任何设备、材料存在缺陷，经甲乙双方确认后，供方负责更换，费用自理。</w:t>
      </w:r>
    </w:p>
    <w:p>
      <w:pPr>
        <w:adjustRightInd w:val="0"/>
        <w:snapToGrid w:val="0"/>
        <w:spacing w:before="40" w:after="40"/>
        <w:ind w:firstLine="527"/>
        <w:rPr>
          <w:rFonts w:eastAsia="新宋体" w:cs="Times New Roman"/>
          <w:color w:val="000000" w:themeColor="text1"/>
          <w14:textFill>
            <w14:solidFill>
              <w14:schemeClr w14:val="tx1"/>
            </w14:solidFill>
          </w14:textFill>
        </w:rPr>
      </w:pPr>
      <w:bookmarkStart w:id="53" w:name="_Toc3750"/>
      <w:r>
        <w:rPr>
          <w:rFonts w:eastAsia="新宋体" w:cs="Times New Roman"/>
          <w:color w:val="000000" w:themeColor="text1"/>
          <w14:textFill>
            <w14:solidFill>
              <w14:schemeClr w14:val="tx1"/>
            </w14:solidFill>
          </w14:textFill>
        </w:rPr>
        <w:t>在质保期内如有问题供方负责免费处理，质保期外供方无偿提供技术支持。</w:t>
      </w:r>
      <w:bookmarkEnd w:id="53"/>
    </w:p>
    <w:p>
      <w:pPr>
        <w:pStyle w:val="31"/>
        <w:rPr>
          <w:rFonts w:ascii="Times New Roman" w:hAnsi="Times New Roman" w:cs="Times New Roman"/>
        </w:rPr>
      </w:pPr>
      <w:r>
        <w:rPr>
          <w:rFonts w:ascii="Times New Roman" w:hAnsi="Times New Roman" w:cs="Times New Roman"/>
        </w:rPr>
        <w:t>六、设备的监造、试验</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供方应在合同生效后7天内，向需方提供与本合同设备有关的监造、检查和性能验收试验标准。有关标准应符合本技术规范相关规定的要求。</w:t>
      </w:r>
    </w:p>
    <w:p>
      <w:pPr>
        <w:adjustRightInd w:val="0"/>
        <w:snapToGrid w:val="0"/>
        <w:spacing w:before="40" w:after="40"/>
        <w:ind w:firstLine="527"/>
        <w:rPr>
          <w:rFonts w:eastAsia="新宋体" w:cs="Times New Roman"/>
          <w:b/>
          <w:color w:val="000000" w:themeColor="text1"/>
          <w14:textFill>
            <w14:solidFill>
              <w14:schemeClr w14:val="tx1"/>
            </w14:solidFill>
          </w14:textFill>
        </w:rPr>
      </w:pPr>
      <w:r>
        <w:rPr>
          <w:rFonts w:eastAsia="新宋体" w:cs="Times New Roman"/>
          <w:b/>
          <w:color w:val="000000" w:themeColor="text1"/>
          <w14:textFill>
            <w14:solidFill>
              <w14:schemeClr w14:val="tx1"/>
            </w14:solidFill>
          </w14:textFill>
        </w:rPr>
        <w:t>6.1、工厂检查</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（一）工厂检查、检验是质量控制的一个重要组成部分。供方需严格进行厂内各生产环节的检查和试验。供方提供的合同设备须签发质量证明、检验记录和测试报告，并且作为交货时质量证明文件的组成部分。</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（二）检查的范围包括原材料和元器件的进厂，部件的加工、组装、试验、出厂试验。</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（三）供方检查的结果要满足技术规范技术部分的要求，如有不符之处或达不到标准要求，供方要采取措施处理直至满足要求，同时向需方提交不一致性报告。供方发生重大质量问题时应将情况及时通知需方。</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（四）工厂检查的所有费用包括在合同总价之中。</w:t>
      </w:r>
    </w:p>
    <w:p>
      <w:pPr>
        <w:adjustRightInd w:val="0"/>
        <w:snapToGrid w:val="0"/>
        <w:spacing w:before="40" w:after="40"/>
        <w:ind w:firstLine="527"/>
        <w:rPr>
          <w:rFonts w:eastAsia="新宋体" w:cs="Times New Roman"/>
          <w:b/>
          <w:color w:val="000000" w:themeColor="text1"/>
          <w14:textFill>
            <w14:solidFill>
              <w14:schemeClr w14:val="tx1"/>
            </w14:solidFill>
          </w14:textFill>
        </w:rPr>
      </w:pPr>
      <w:r>
        <w:rPr>
          <w:rFonts w:eastAsia="新宋体" w:cs="Times New Roman"/>
          <w:b/>
          <w:color w:val="000000" w:themeColor="text1"/>
          <w14:textFill>
            <w14:solidFill>
              <w14:schemeClr w14:val="tx1"/>
            </w14:solidFill>
          </w14:textFill>
        </w:rPr>
        <w:t>6.2、工厂试验</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一）在供方供货范围内，供方的产品在各方面都应是完整和正确的。所有的制造误差和缺项都由供方在现场自费予以纠正，如果由需方来纠正，则该部分费用由供方来承担。需要在现场完成的工作，其执行的质量标准、使用的工艺过程及人员与供方或分包商在工厂内所要求的一样。</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（二）供方提供材料证明书和工厂试验数据，以证实符合技术规范和合同的要求。对于一些重要的检查和试验项目，需方有权派代表参加，供方在试验前一周时间内通知需方。</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（三）工厂检验和试验的范围包括原材料、阀门及配套执行装置和元器件的进厂，部件的加工、组装、试验至出厂试验。</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四）在出厂前都必须进行必要的工厂试验如水压试验、气密性试验等，以确定工艺和材料没有缺陷，设计和制造符合规范的要求。试验前供方必须组织有需方人员参加的现场见证试验。虽然需方参加了现场见证试验，但并不能减轻供方的责任。</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（五）工艺系统安装结束后，要对整个工艺系统进行试验。试验的内容和方式按有关的规范和标准进行。</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（六）管道设备部件和支承件的焊缝与焊接头的无损探伤检验必须按有关的规范和标准进行。</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（七）供方必须按本文件和有关规范和标准所要求的所有测试报告随设备、附件、材料等提交给需方。</w:t>
      </w:r>
    </w:p>
    <w:p>
      <w:pPr>
        <w:adjustRightInd w:val="0"/>
        <w:snapToGrid w:val="0"/>
        <w:spacing w:before="40" w:after="40"/>
        <w:ind w:firstLine="527"/>
        <w:rPr>
          <w:rFonts w:eastAsia="新宋体" w:cs="Times New Roman"/>
          <w:b/>
          <w:color w:val="000000" w:themeColor="text1"/>
          <w14:textFill>
            <w14:solidFill>
              <w14:schemeClr w14:val="tx1"/>
            </w14:solidFill>
          </w14:textFill>
        </w:rPr>
      </w:pPr>
      <w:r>
        <w:rPr>
          <w:rFonts w:eastAsia="新宋体" w:cs="Times New Roman"/>
          <w:b/>
          <w:color w:val="000000" w:themeColor="text1"/>
          <w14:textFill>
            <w14:solidFill>
              <w14:schemeClr w14:val="tx1"/>
            </w14:solidFill>
          </w14:textFill>
        </w:rPr>
        <w:t>6.3、现场试验</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需方将在供方代表的指导下进行现场试验，以验证所提供的设备能满足指定的性能要求。</w:t>
      </w:r>
    </w:p>
    <w:p>
      <w:pPr>
        <w:adjustRightInd w:val="0"/>
        <w:snapToGrid w:val="0"/>
        <w:spacing w:before="40" w:after="40"/>
        <w:ind w:firstLine="527"/>
        <w:rPr>
          <w:rFonts w:cs="Times New Roman" w:eastAsiaTheme="minorEastAsia"/>
          <w:b/>
          <w:color w:val="000000" w:themeColor="text1"/>
          <w14:textFill>
            <w14:solidFill>
              <w14:schemeClr w14:val="tx1"/>
            </w14:solidFill>
          </w14:textFill>
        </w:rPr>
      </w:pPr>
      <w:r>
        <w:rPr>
          <w:rFonts w:cs="Times New Roman" w:eastAsiaTheme="minorEastAsia"/>
          <w:b/>
          <w:color w:val="000000" w:themeColor="text1"/>
          <w14:textFill>
            <w14:solidFill>
              <w14:schemeClr w14:val="tx1"/>
            </w14:solidFill>
          </w14:textFill>
        </w:rPr>
        <w:t>6.4、监造方式</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文件见证、现场见证和停工待检，即R点、W点、H点。每次监造内容完成后，供方和监造代表均须在见证表格上履行签字手续。供方复印3份，交监造代表1份。</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R点：供方只需提供检查或试验记录或报告的项目，即文件见证。</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W点：需方监造代表参加的检验或试验的项目，即现场见证。</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H点：供方在进行至该点时必须停工等待需方监造代表参加的检验或试验的项目，即停工待检。</w:t>
      </w:r>
    </w:p>
    <w:p>
      <w:pPr>
        <w:adjustRightInd w:val="0"/>
        <w:snapToGrid w:val="0"/>
        <w:spacing w:before="40" w:after="40"/>
        <w:ind w:firstLine="527"/>
        <w:rPr>
          <w:rFonts w:eastAsia="新宋体" w:cs="Times New Roman"/>
          <w:color w:val="FF0000"/>
        </w:rPr>
      </w:pPr>
      <w:r>
        <w:rPr>
          <w:rFonts w:eastAsia="新宋体" w:cs="Times New Roman"/>
          <w:color w:val="FF0000"/>
        </w:rPr>
        <w:t>H点、W点提前两周书面通知需方，一周内确认。</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需方接到见证通知后，应及时派代表到供方检验或试验的现场参加现场见证或停工待检。如果需方代表不能按时参加，W点可自动转为R点，但H点如果没有需方书面通知同意转为R点，供方不得自行转入下道工序，应与需方商定更改见证时间，如果更改后，需方仍不能按时参加，则H点自动转为R点。</w:t>
      </w:r>
    </w:p>
    <w:p>
      <w:pPr>
        <w:adjustRightInd w:val="0"/>
        <w:snapToGrid w:val="0"/>
        <w:spacing w:before="40" w:after="40"/>
        <w:ind w:firstLine="527"/>
        <w:rPr>
          <w:rFonts w:cs="Times New Roman" w:eastAsiaTheme="minorEastAsia"/>
          <w:b/>
          <w:color w:val="000000" w:themeColor="text1"/>
          <w14:textFill>
            <w14:solidFill>
              <w14:schemeClr w14:val="tx1"/>
            </w14:solidFill>
          </w14:textFill>
        </w:rPr>
      </w:pPr>
      <w:r>
        <w:rPr>
          <w:rFonts w:cs="Times New Roman" w:eastAsiaTheme="minorEastAsia"/>
          <w:b/>
          <w:color w:val="000000" w:themeColor="text1"/>
          <w14:textFill>
            <w14:solidFill>
              <w14:schemeClr w14:val="tx1"/>
            </w14:solidFill>
          </w14:textFill>
        </w:rPr>
        <w:t>6.5、监造依据</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《电力设备监造技术导则》（DL/T 586-2008）和《驻大型电力设备制造厂总代表组工作条例》，以及国家有关部门规定。</w:t>
      </w:r>
    </w:p>
    <w:p>
      <w:pPr>
        <w:adjustRightInd w:val="0"/>
        <w:snapToGrid w:val="0"/>
        <w:spacing w:before="40" w:after="40"/>
        <w:ind w:firstLine="527"/>
        <w:rPr>
          <w:rFonts w:cs="Times New Roman" w:eastAsiaTheme="minorEastAsia"/>
          <w:b/>
          <w:color w:val="000000" w:themeColor="text1"/>
          <w14:textFill>
            <w14:solidFill>
              <w14:schemeClr w14:val="tx1"/>
            </w14:solidFill>
          </w14:textFill>
        </w:rPr>
      </w:pPr>
      <w:r>
        <w:rPr>
          <w:rFonts w:cs="Times New Roman" w:eastAsiaTheme="minorEastAsia"/>
          <w:b/>
          <w:color w:val="000000" w:themeColor="text1"/>
          <w14:textFill>
            <w14:solidFill>
              <w14:schemeClr w14:val="tx1"/>
            </w14:solidFill>
          </w14:textFill>
        </w:rPr>
        <w:t>6.6、监造项目（具体内容由供方提出建议，需方可以对表中的项目增加或对监造方式调整，投标方保证接受。）</w:t>
      </w:r>
    </w:p>
    <w:p>
      <w:pPr>
        <w:ind w:firstLine="480" w:firstLineChars="200"/>
        <w:jc w:val="center"/>
        <w:rPr>
          <w:rFonts w:cs="Times New Roman"/>
        </w:rPr>
      </w:pPr>
      <w:r>
        <w:rPr>
          <w:rFonts w:cs="Times New Roman"/>
        </w:rPr>
        <w:t>设备质量监造主要内容</w:t>
      </w:r>
    </w:p>
    <w:tbl>
      <w:tblPr>
        <w:tblStyle w:val="35"/>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61"/>
        <w:gridCol w:w="5268"/>
        <w:gridCol w:w="509"/>
        <w:gridCol w:w="509"/>
        <w:gridCol w:w="509"/>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673" w:type="dxa"/>
            <w:vMerge w:val="restart"/>
            <w:vAlign w:val="center"/>
          </w:tcPr>
          <w:p>
            <w:pPr>
              <w:snapToGrid w:val="0"/>
              <w:jc w:val="center"/>
              <w:rPr>
                <w:rFonts w:cs="Times New Roman"/>
                <w:szCs w:val="21"/>
              </w:rPr>
            </w:pPr>
            <w:r>
              <w:rPr>
                <w:rFonts w:cs="Times New Roman"/>
                <w:szCs w:val="21"/>
              </w:rPr>
              <w:t>序号</w:t>
            </w:r>
          </w:p>
        </w:tc>
        <w:tc>
          <w:tcPr>
            <w:tcW w:w="1061" w:type="dxa"/>
            <w:vMerge w:val="restart"/>
            <w:vAlign w:val="center"/>
          </w:tcPr>
          <w:p>
            <w:pPr>
              <w:snapToGrid w:val="0"/>
              <w:ind w:left="-269" w:leftChars="-112" w:firstLine="268" w:firstLineChars="112"/>
              <w:jc w:val="center"/>
              <w:rPr>
                <w:rFonts w:cs="Times New Roman"/>
                <w:szCs w:val="21"/>
              </w:rPr>
            </w:pPr>
            <w:r>
              <w:rPr>
                <w:rFonts w:cs="Times New Roman"/>
                <w:szCs w:val="21"/>
              </w:rPr>
              <w:t>部件名称</w:t>
            </w:r>
          </w:p>
        </w:tc>
        <w:tc>
          <w:tcPr>
            <w:tcW w:w="5268" w:type="dxa"/>
            <w:vMerge w:val="restart"/>
            <w:vAlign w:val="center"/>
          </w:tcPr>
          <w:p>
            <w:pPr>
              <w:snapToGrid w:val="0"/>
              <w:jc w:val="center"/>
              <w:rPr>
                <w:rFonts w:cs="Times New Roman"/>
                <w:szCs w:val="21"/>
              </w:rPr>
            </w:pPr>
            <w:r>
              <w:rPr>
                <w:rFonts w:cs="Times New Roman"/>
                <w:szCs w:val="21"/>
              </w:rPr>
              <w:t>见证项目</w:t>
            </w:r>
          </w:p>
        </w:tc>
        <w:tc>
          <w:tcPr>
            <w:tcW w:w="2285" w:type="dxa"/>
            <w:gridSpan w:val="4"/>
            <w:vAlign w:val="center"/>
          </w:tcPr>
          <w:p>
            <w:pPr>
              <w:snapToGrid w:val="0"/>
              <w:jc w:val="center"/>
              <w:rPr>
                <w:rFonts w:cs="Times New Roman"/>
                <w:szCs w:val="21"/>
              </w:rPr>
            </w:pPr>
            <w:r>
              <w:rPr>
                <w:rFonts w:cs="Times New Roman"/>
                <w:szCs w:val="21"/>
              </w:rPr>
              <w:t>见证方式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673" w:type="dxa"/>
            <w:vMerge w:val="continue"/>
            <w:vAlign w:val="center"/>
          </w:tcPr>
          <w:p>
            <w:pPr>
              <w:snapToGrid w:val="0"/>
              <w:jc w:val="center"/>
              <w:rPr>
                <w:rFonts w:cs="Times New Roman"/>
                <w:szCs w:val="21"/>
              </w:rPr>
            </w:pPr>
          </w:p>
        </w:tc>
        <w:tc>
          <w:tcPr>
            <w:tcW w:w="1061" w:type="dxa"/>
            <w:vMerge w:val="continue"/>
            <w:vAlign w:val="center"/>
          </w:tcPr>
          <w:p>
            <w:pPr>
              <w:snapToGrid w:val="0"/>
              <w:jc w:val="center"/>
              <w:rPr>
                <w:rFonts w:cs="Times New Roman"/>
                <w:szCs w:val="21"/>
              </w:rPr>
            </w:pPr>
          </w:p>
        </w:tc>
        <w:tc>
          <w:tcPr>
            <w:tcW w:w="5268" w:type="dxa"/>
            <w:vMerge w:val="continue"/>
            <w:vAlign w:val="center"/>
          </w:tcPr>
          <w:p>
            <w:pPr>
              <w:snapToGrid w:val="0"/>
              <w:jc w:val="center"/>
              <w:rPr>
                <w:rFonts w:cs="Times New Roman"/>
                <w:szCs w:val="21"/>
              </w:rPr>
            </w:pPr>
          </w:p>
        </w:tc>
        <w:tc>
          <w:tcPr>
            <w:tcW w:w="509" w:type="dxa"/>
            <w:vAlign w:val="center"/>
          </w:tcPr>
          <w:p>
            <w:pPr>
              <w:snapToGrid w:val="0"/>
              <w:jc w:val="center"/>
              <w:rPr>
                <w:rFonts w:cs="Times New Roman"/>
                <w:szCs w:val="21"/>
              </w:rPr>
            </w:pPr>
            <w:r>
              <w:rPr>
                <w:rFonts w:cs="Times New Roman"/>
                <w:szCs w:val="21"/>
              </w:rPr>
              <w:t>H</w:t>
            </w:r>
          </w:p>
        </w:tc>
        <w:tc>
          <w:tcPr>
            <w:tcW w:w="509" w:type="dxa"/>
            <w:vAlign w:val="center"/>
          </w:tcPr>
          <w:p>
            <w:pPr>
              <w:snapToGrid w:val="0"/>
              <w:jc w:val="center"/>
              <w:rPr>
                <w:rFonts w:cs="Times New Roman"/>
                <w:szCs w:val="21"/>
              </w:rPr>
            </w:pPr>
            <w:r>
              <w:rPr>
                <w:rFonts w:cs="Times New Roman"/>
                <w:szCs w:val="21"/>
              </w:rPr>
              <w:t>W</w:t>
            </w:r>
          </w:p>
        </w:tc>
        <w:tc>
          <w:tcPr>
            <w:tcW w:w="509" w:type="dxa"/>
            <w:vAlign w:val="center"/>
          </w:tcPr>
          <w:p>
            <w:pPr>
              <w:snapToGrid w:val="0"/>
              <w:jc w:val="center"/>
              <w:rPr>
                <w:rFonts w:cs="Times New Roman"/>
                <w:szCs w:val="21"/>
              </w:rPr>
            </w:pPr>
            <w:r>
              <w:rPr>
                <w:rFonts w:cs="Times New Roman"/>
                <w:szCs w:val="21"/>
              </w:rPr>
              <w:t>R</w:t>
            </w:r>
          </w:p>
        </w:tc>
        <w:tc>
          <w:tcPr>
            <w:tcW w:w="758" w:type="dxa"/>
            <w:vAlign w:val="center"/>
          </w:tcPr>
          <w:p>
            <w:pPr>
              <w:snapToGrid w:val="0"/>
              <w:jc w:val="center"/>
              <w:rPr>
                <w:rFonts w:cs="Times New Roman"/>
                <w:szCs w:val="21"/>
              </w:rPr>
            </w:pPr>
            <w:r>
              <w:rPr>
                <w:rFonts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 w:type="dxa"/>
            <w:vMerge w:val="restart"/>
            <w:vAlign w:val="center"/>
          </w:tcPr>
          <w:p>
            <w:pPr>
              <w:snapToGrid w:val="0"/>
              <w:jc w:val="center"/>
              <w:rPr>
                <w:rFonts w:cs="Times New Roman"/>
                <w:szCs w:val="21"/>
              </w:rPr>
            </w:pPr>
            <w:r>
              <w:rPr>
                <w:rFonts w:cs="Times New Roman"/>
                <w:szCs w:val="21"/>
              </w:rPr>
              <w:t>1</w:t>
            </w:r>
          </w:p>
        </w:tc>
        <w:tc>
          <w:tcPr>
            <w:tcW w:w="1061" w:type="dxa"/>
            <w:vMerge w:val="restart"/>
            <w:vAlign w:val="center"/>
          </w:tcPr>
          <w:p>
            <w:pPr>
              <w:snapToGrid w:val="0"/>
              <w:jc w:val="center"/>
              <w:rPr>
                <w:rFonts w:cs="Times New Roman"/>
                <w:szCs w:val="21"/>
              </w:rPr>
            </w:pPr>
            <w:r>
              <w:rPr>
                <w:rFonts w:cs="Times New Roman"/>
                <w:szCs w:val="21"/>
              </w:rPr>
              <w:t>蝶阀</w:t>
            </w:r>
          </w:p>
        </w:tc>
        <w:tc>
          <w:tcPr>
            <w:tcW w:w="5268" w:type="dxa"/>
            <w:vAlign w:val="center"/>
          </w:tcPr>
          <w:p>
            <w:pPr>
              <w:rPr>
                <w:rFonts w:cs="Times New Roman"/>
                <w:szCs w:val="21"/>
              </w:rPr>
            </w:pPr>
            <w:r>
              <w:rPr>
                <w:rFonts w:cs="Times New Roman"/>
                <w:szCs w:val="21"/>
              </w:rPr>
              <w:t>原材料外观、几何尺寸、机械性能、化学成分</w:t>
            </w:r>
          </w:p>
        </w:tc>
        <w:tc>
          <w:tcPr>
            <w:tcW w:w="509" w:type="dxa"/>
          </w:tcPr>
          <w:p>
            <w:pPr>
              <w:snapToGrid w:val="0"/>
              <w:jc w:val="center"/>
              <w:rPr>
                <w:rFonts w:cs="Times New Roman"/>
                <w:szCs w:val="21"/>
              </w:rPr>
            </w:pPr>
          </w:p>
        </w:tc>
        <w:tc>
          <w:tcPr>
            <w:tcW w:w="509" w:type="dxa"/>
          </w:tcPr>
          <w:p>
            <w:pPr>
              <w:snapToGrid w:val="0"/>
              <w:jc w:val="center"/>
              <w:rPr>
                <w:rFonts w:cs="Times New Roman"/>
                <w:szCs w:val="21"/>
              </w:rPr>
            </w:pPr>
          </w:p>
        </w:tc>
        <w:tc>
          <w:tcPr>
            <w:tcW w:w="509" w:type="dxa"/>
          </w:tcPr>
          <w:p>
            <w:pPr>
              <w:snapToGrid w:val="0"/>
              <w:jc w:val="center"/>
              <w:rPr>
                <w:rFonts w:cs="Times New Roman"/>
                <w:szCs w:val="21"/>
              </w:rPr>
            </w:pPr>
            <w:r>
              <w:rPr>
                <w:rFonts w:cs="Times New Roman"/>
                <w:szCs w:val="21"/>
              </w:rPr>
              <w:t>√</w:t>
            </w:r>
          </w:p>
        </w:tc>
        <w:tc>
          <w:tcPr>
            <w:tcW w:w="758" w:type="dxa"/>
          </w:tcPr>
          <w:p>
            <w:pPr>
              <w:snapToGrid w:val="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 w:type="dxa"/>
            <w:vMerge w:val="continue"/>
            <w:vAlign w:val="center"/>
          </w:tcPr>
          <w:p>
            <w:pPr>
              <w:snapToGrid w:val="0"/>
              <w:jc w:val="center"/>
              <w:rPr>
                <w:rFonts w:cs="Times New Roman"/>
                <w:szCs w:val="21"/>
              </w:rPr>
            </w:pPr>
          </w:p>
        </w:tc>
        <w:tc>
          <w:tcPr>
            <w:tcW w:w="1061" w:type="dxa"/>
            <w:vMerge w:val="continue"/>
            <w:vAlign w:val="center"/>
          </w:tcPr>
          <w:p>
            <w:pPr>
              <w:snapToGrid w:val="0"/>
              <w:jc w:val="center"/>
              <w:rPr>
                <w:rFonts w:cs="Times New Roman"/>
                <w:szCs w:val="21"/>
              </w:rPr>
            </w:pPr>
          </w:p>
        </w:tc>
        <w:tc>
          <w:tcPr>
            <w:tcW w:w="5268" w:type="dxa"/>
            <w:vAlign w:val="center"/>
          </w:tcPr>
          <w:p>
            <w:pPr>
              <w:rPr>
                <w:rFonts w:cs="Times New Roman"/>
                <w:szCs w:val="21"/>
              </w:rPr>
            </w:pPr>
            <w:r>
              <w:rPr>
                <w:rFonts w:cs="Times New Roman"/>
                <w:szCs w:val="21"/>
              </w:rPr>
              <w:t>焊缝探伤底片</w:t>
            </w:r>
          </w:p>
        </w:tc>
        <w:tc>
          <w:tcPr>
            <w:tcW w:w="509" w:type="dxa"/>
          </w:tcPr>
          <w:p>
            <w:pPr>
              <w:snapToGrid w:val="0"/>
              <w:jc w:val="center"/>
              <w:rPr>
                <w:rFonts w:cs="Times New Roman"/>
                <w:szCs w:val="21"/>
              </w:rPr>
            </w:pPr>
          </w:p>
        </w:tc>
        <w:tc>
          <w:tcPr>
            <w:tcW w:w="509" w:type="dxa"/>
          </w:tcPr>
          <w:p>
            <w:pPr>
              <w:snapToGrid w:val="0"/>
              <w:jc w:val="center"/>
              <w:rPr>
                <w:rFonts w:cs="Times New Roman"/>
                <w:szCs w:val="21"/>
              </w:rPr>
            </w:pPr>
            <w:r>
              <w:rPr>
                <w:rFonts w:cs="Times New Roman"/>
                <w:szCs w:val="21"/>
              </w:rPr>
              <w:t>√</w:t>
            </w:r>
          </w:p>
        </w:tc>
        <w:tc>
          <w:tcPr>
            <w:tcW w:w="509" w:type="dxa"/>
          </w:tcPr>
          <w:p>
            <w:pPr>
              <w:snapToGrid w:val="0"/>
              <w:jc w:val="center"/>
              <w:rPr>
                <w:rFonts w:cs="Times New Roman"/>
                <w:szCs w:val="21"/>
              </w:rPr>
            </w:pPr>
          </w:p>
        </w:tc>
        <w:tc>
          <w:tcPr>
            <w:tcW w:w="758" w:type="dxa"/>
          </w:tcPr>
          <w:p>
            <w:pPr>
              <w:snapToGrid w:val="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 w:type="dxa"/>
            <w:vMerge w:val="continue"/>
            <w:vAlign w:val="center"/>
          </w:tcPr>
          <w:p>
            <w:pPr>
              <w:snapToGrid w:val="0"/>
              <w:jc w:val="center"/>
              <w:rPr>
                <w:rFonts w:cs="Times New Roman"/>
                <w:szCs w:val="21"/>
              </w:rPr>
            </w:pPr>
          </w:p>
        </w:tc>
        <w:tc>
          <w:tcPr>
            <w:tcW w:w="1061" w:type="dxa"/>
            <w:vMerge w:val="continue"/>
            <w:vAlign w:val="center"/>
          </w:tcPr>
          <w:p>
            <w:pPr>
              <w:snapToGrid w:val="0"/>
              <w:jc w:val="center"/>
              <w:rPr>
                <w:rFonts w:cs="Times New Roman"/>
                <w:szCs w:val="21"/>
              </w:rPr>
            </w:pPr>
          </w:p>
        </w:tc>
        <w:tc>
          <w:tcPr>
            <w:tcW w:w="5268" w:type="dxa"/>
            <w:vAlign w:val="center"/>
          </w:tcPr>
          <w:p>
            <w:pPr>
              <w:rPr>
                <w:rFonts w:cs="Times New Roman"/>
                <w:szCs w:val="21"/>
              </w:rPr>
            </w:pPr>
            <w:r>
              <w:rPr>
                <w:rFonts w:cs="Times New Roman"/>
                <w:szCs w:val="21"/>
              </w:rPr>
              <w:t>阀门严密性试验</w:t>
            </w:r>
          </w:p>
        </w:tc>
        <w:tc>
          <w:tcPr>
            <w:tcW w:w="509" w:type="dxa"/>
          </w:tcPr>
          <w:p>
            <w:pPr>
              <w:snapToGrid w:val="0"/>
              <w:jc w:val="center"/>
              <w:rPr>
                <w:rFonts w:cs="Times New Roman"/>
                <w:szCs w:val="21"/>
              </w:rPr>
            </w:pPr>
            <w:r>
              <w:rPr>
                <w:rFonts w:cs="Times New Roman"/>
                <w:szCs w:val="21"/>
              </w:rPr>
              <w:t>√</w:t>
            </w:r>
          </w:p>
        </w:tc>
        <w:tc>
          <w:tcPr>
            <w:tcW w:w="509" w:type="dxa"/>
          </w:tcPr>
          <w:p>
            <w:pPr>
              <w:snapToGrid w:val="0"/>
              <w:jc w:val="center"/>
              <w:rPr>
                <w:rFonts w:cs="Times New Roman"/>
                <w:szCs w:val="21"/>
              </w:rPr>
            </w:pPr>
          </w:p>
        </w:tc>
        <w:tc>
          <w:tcPr>
            <w:tcW w:w="509" w:type="dxa"/>
          </w:tcPr>
          <w:p>
            <w:pPr>
              <w:snapToGrid w:val="0"/>
              <w:jc w:val="center"/>
              <w:rPr>
                <w:rFonts w:cs="Times New Roman"/>
                <w:szCs w:val="21"/>
              </w:rPr>
            </w:pPr>
          </w:p>
        </w:tc>
        <w:tc>
          <w:tcPr>
            <w:tcW w:w="758" w:type="dxa"/>
          </w:tcPr>
          <w:p>
            <w:pPr>
              <w:snapToGrid w:val="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 w:type="dxa"/>
            <w:vMerge w:val="continue"/>
            <w:vAlign w:val="center"/>
          </w:tcPr>
          <w:p>
            <w:pPr>
              <w:snapToGrid w:val="0"/>
              <w:jc w:val="center"/>
              <w:rPr>
                <w:rFonts w:cs="Times New Roman"/>
                <w:szCs w:val="21"/>
              </w:rPr>
            </w:pPr>
          </w:p>
        </w:tc>
        <w:tc>
          <w:tcPr>
            <w:tcW w:w="1061" w:type="dxa"/>
            <w:vMerge w:val="continue"/>
            <w:vAlign w:val="center"/>
          </w:tcPr>
          <w:p>
            <w:pPr>
              <w:snapToGrid w:val="0"/>
              <w:jc w:val="center"/>
              <w:rPr>
                <w:rFonts w:cs="Times New Roman"/>
                <w:szCs w:val="21"/>
              </w:rPr>
            </w:pPr>
          </w:p>
        </w:tc>
        <w:tc>
          <w:tcPr>
            <w:tcW w:w="5268" w:type="dxa"/>
            <w:vAlign w:val="center"/>
          </w:tcPr>
          <w:p>
            <w:pPr>
              <w:rPr>
                <w:rFonts w:cs="Times New Roman"/>
                <w:szCs w:val="21"/>
              </w:rPr>
            </w:pPr>
            <w:r>
              <w:rPr>
                <w:rFonts w:cs="Times New Roman"/>
                <w:szCs w:val="21"/>
              </w:rPr>
              <w:t>设备本体油漆、包装</w:t>
            </w:r>
          </w:p>
        </w:tc>
        <w:tc>
          <w:tcPr>
            <w:tcW w:w="509" w:type="dxa"/>
          </w:tcPr>
          <w:p>
            <w:pPr>
              <w:snapToGrid w:val="0"/>
              <w:jc w:val="center"/>
              <w:rPr>
                <w:rFonts w:cs="Times New Roman"/>
                <w:szCs w:val="21"/>
              </w:rPr>
            </w:pPr>
          </w:p>
        </w:tc>
        <w:tc>
          <w:tcPr>
            <w:tcW w:w="509" w:type="dxa"/>
          </w:tcPr>
          <w:p>
            <w:pPr>
              <w:snapToGrid w:val="0"/>
              <w:jc w:val="center"/>
              <w:rPr>
                <w:rFonts w:cs="Times New Roman"/>
                <w:szCs w:val="21"/>
              </w:rPr>
            </w:pPr>
          </w:p>
        </w:tc>
        <w:tc>
          <w:tcPr>
            <w:tcW w:w="509" w:type="dxa"/>
          </w:tcPr>
          <w:p>
            <w:pPr>
              <w:snapToGrid w:val="0"/>
              <w:jc w:val="center"/>
              <w:rPr>
                <w:rFonts w:cs="Times New Roman"/>
                <w:szCs w:val="21"/>
              </w:rPr>
            </w:pPr>
            <w:r>
              <w:rPr>
                <w:rFonts w:cs="Times New Roman"/>
                <w:szCs w:val="21"/>
              </w:rPr>
              <w:t>√</w:t>
            </w:r>
          </w:p>
        </w:tc>
        <w:tc>
          <w:tcPr>
            <w:tcW w:w="758" w:type="dxa"/>
          </w:tcPr>
          <w:p>
            <w:pPr>
              <w:snapToGrid w:val="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3" w:type="dxa"/>
            <w:vMerge w:val="continue"/>
            <w:vAlign w:val="center"/>
          </w:tcPr>
          <w:p>
            <w:pPr>
              <w:snapToGrid w:val="0"/>
              <w:jc w:val="center"/>
              <w:rPr>
                <w:rFonts w:cs="Times New Roman"/>
                <w:szCs w:val="21"/>
              </w:rPr>
            </w:pPr>
          </w:p>
        </w:tc>
        <w:tc>
          <w:tcPr>
            <w:tcW w:w="1061" w:type="dxa"/>
            <w:vMerge w:val="continue"/>
            <w:vAlign w:val="center"/>
          </w:tcPr>
          <w:p>
            <w:pPr>
              <w:snapToGrid w:val="0"/>
              <w:jc w:val="center"/>
              <w:rPr>
                <w:rFonts w:cs="Times New Roman"/>
                <w:szCs w:val="21"/>
              </w:rPr>
            </w:pPr>
          </w:p>
        </w:tc>
        <w:tc>
          <w:tcPr>
            <w:tcW w:w="5268" w:type="dxa"/>
            <w:vAlign w:val="center"/>
          </w:tcPr>
          <w:p>
            <w:pPr>
              <w:rPr>
                <w:rFonts w:cs="Times New Roman"/>
                <w:szCs w:val="21"/>
              </w:rPr>
            </w:pPr>
            <w:r>
              <w:rPr>
                <w:rFonts w:cs="Times New Roman"/>
                <w:szCs w:val="21"/>
              </w:rPr>
              <w:t>设备出厂前整体验收</w:t>
            </w:r>
          </w:p>
        </w:tc>
        <w:tc>
          <w:tcPr>
            <w:tcW w:w="509" w:type="dxa"/>
          </w:tcPr>
          <w:p>
            <w:pPr>
              <w:snapToGrid w:val="0"/>
              <w:jc w:val="center"/>
              <w:rPr>
                <w:rFonts w:cs="Times New Roman"/>
                <w:szCs w:val="21"/>
              </w:rPr>
            </w:pPr>
          </w:p>
        </w:tc>
        <w:tc>
          <w:tcPr>
            <w:tcW w:w="509" w:type="dxa"/>
          </w:tcPr>
          <w:p>
            <w:pPr>
              <w:snapToGrid w:val="0"/>
              <w:jc w:val="center"/>
              <w:rPr>
                <w:rFonts w:cs="Times New Roman"/>
                <w:szCs w:val="21"/>
              </w:rPr>
            </w:pPr>
            <w:r>
              <w:rPr>
                <w:rFonts w:cs="Times New Roman"/>
                <w:szCs w:val="21"/>
              </w:rPr>
              <w:t>√</w:t>
            </w:r>
          </w:p>
        </w:tc>
        <w:tc>
          <w:tcPr>
            <w:tcW w:w="509" w:type="dxa"/>
          </w:tcPr>
          <w:p>
            <w:pPr>
              <w:snapToGrid w:val="0"/>
              <w:jc w:val="center"/>
              <w:rPr>
                <w:rFonts w:cs="Times New Roman"/>
                <w:szCs w:val="21"/>
              </w:rPr>
            </w:pPr>
          </w:p>
        </w:tc>
        <w:tc>
          <w:tcPr>
            <w:tcW w:w="758" w:type="dxa"/>
          </w:tcPr>
          <w:p>
            <w:pPr>
              <w:snapToGrid w:val="0"/>
              <w:jc w:val="center"/>
              <w:rPr>
                <w:rFonts w:cs="Times New Roman"/>
                <w:szCs w:val="21"/>
              </w:rPr>
            </w:pPr>
          </w:p>
        </w:tc>
      </w:tr>
    </w:tbl>
    <w:p>
      <w:pPr>
        <w:adjustRightInd w:val="0"/>
        <w:snapToGrid w:val="0"/>
        <w:spacing w:before="40" w:after="40"/>
        <w:ind w:firstLine="527"/>
        <w:rPr>
          <w:rFonts w:cs="Times New Roman" w:eastAsiaTheme="minorEastAsia"/>
          <w:b/>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注：H—停工待检，W—现场见证，R—文件见证</w:t>
      </w:r>
    </w:p>
    <w:p>
      <w:pPr>
        <w:adjustRightInd w:val="0"/>
        <w:snapToGrid w:val="0"/>
        <w:spacing w:before="40" w:after="40"/>
        <w:ind w:firstLine="527"/>
        <w:rPr>
          <w:rFonts w:cs="Times New Roman" w:eastAsiaTheme="minorEastAsia"/>
          <w:b/>
          <w:color w:val="000000" w:themeColor="text1"/>
          <w14:textFill>
            <w14:solidFill>
              <w14:schemeClr w14:val="tx1"/>
            </w14:solidFill>
          </w14:textFill>
        </w:rPr>
      </w:pPr>
      <w:r>
        <w:rPr>
          <w:rFonts w:cs="Times New Roman" w:eastAsiaTheme="minorEastAsia"/>
          <w:b/>
          <w:color w:val="000000" w:themeColor="text1"/>
          <w14:textFill>
            <w14:solidFill>
              <w14:schemeClr w14:val="tx1"/>
            </w14:solidFill>
          </w14:textFill>
        </w:rPr>
        <w:t>6.6、对供方配合监造的要求</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供方有配合需方监造的义务，并及时提供相关资料，并不发生任何费用。</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供方应给需方监造代表提供工作、生活方便。</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供方应在现场见证或停工待检前10天将设备监造项目及时间通知需方监造代表。</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需方监造代表有权查(借)阅与合同监造设备有关的技术资料，如需方认为需要复印存档，供方应提供方便。</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供方应在见证后十天内将有关检查或试验记录或报告资料提供给需方监造代表。</w:t>
      </w:r>
    </w:p>
    <w:p>
      <w:pPr>
        <w:adjustRightInd w:val="0"/>
        <w:snapToGrid w:val="0"/>
        <w:spacing w:before="40" w:after="40"/>
        <w:ind w:firstLine="527"/>
        <w:rPr>
          <w:rFonts w:eastAsia="新宋体" w:cs="Times New Roman"/>
          <w:color w:val="000000" w:themeColor="text1"/>
          <w14:textFill>
            <w14:solidFill>
              <w14:schemeClr w14:val="tx1"/>
            </w14:solidFill>
          </w14:textFill>
        </w:rPr>
      </w:pPr>
      <w:r>
        <w:rPr>
          <w:rFonts w:eastAsia="新宋体" w:cs="Times New Roman"/>
          <w:color w:val="000000" w:themeColor="text1"/>
          <w14:textFill>
            <w14:solidFill>
              <w14:schemeClr w14:val="tx1"/>
            </w14:solidFill>
          </w14:textFill>
        </w:rPr>
        <w:t>需方人员在监造过程中如发现设备和材料缺陷或不符合规定的标准要求时，需方有权提出意见，供方应采取相应改进措施，以保证设备质量。无论需方是否要求和知道，供方均应主动及时向招标方提供合同设备制造过程中出现的较大的质量缺陷和问题，不得隐瞒。在需方不知道的情况下供方不得擅自处理。</w:t>
      </w:r>
    </w:p>
    <w:p>
      <w:pPr>
        <w:pStyle w:val="31"/>
        <w:rPr>
          <w:rFonts w:ascii="Times New Roman" w:hAnsi="Times New Roman" w:cs="Times New Roman"/>
        </w:rPr>
      </w:pPr>
      <w:r>
        <w:rPr>
          <w:rFonts w:ascii="Times New Roman" w:hAnsi="Times New Roman" w:cs="Times New Roman"/>
        </w:rPr>
        <w:t>七、文件资料</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（1）阀门及其执行机构组装为一体的结构总图，该图应包括外形尺寸、连接接口、材料、重量以及必要的局部结构放大图。</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（2）控制逻辑说明书及图纸，DCS控制原理图、逻辑图、端子图、测点清册等。</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（3）阀门及其执行机构安装、调试、维护、使用要求说明书。</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（4）阀门及其附件的产品质量证明书、检验记录、试验报告、产品合格证等质量证明文件；交货清单、装箱清单。</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（5）详细的产品质量文件,包括材质、材质检验、焊接、热处理,加工质量,外形尺寸。水压试验和性能检验等的证明。</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材质试验报告：包括重要部件的化学成份、物理性能以及探伤、水压试验报告等。</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焊接记录及试验合格证：包括焊接方法、热处理工艺、射线探伤及透视拍片报告。</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改造中形成的项目文件材料，由供方负责积累、整理和立卷，在项目竣工完成十天内，由甲乙双方项目负责人共同审定后，向档案部门移交归档。</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（6）所提供资料要求提供电子版(CAD、Word和PDF格式)1份。</w:t>
      </w:r>
    </w:p>
    <w:p>
      <w:pPr>
        <w:pStyle w:val="31"/>
        <w:rPr>
          <w:rFonts w:ascii="Times New Roman" w:hAnsi="Times New Roman" w:cs="Times New Roman"/>
        </w:rPr>
      </w:pPr>
      <w:r>
        <w:rPr>
          <w:rFonts w:ascii="Times New Roman" w:hAnsi="Times New Roman" w:cs="Times New Roman"/>
        </w:rPr>
        <w:t>八、其他要求</w:t>
      </w:r>
    </w:p>
    <w:p>
      <w:pPr>
        <w:spacing w:line="480" w:lineRule="exact"/>
        <w:ind w:firstLine="480" w:firstLineChars="200"/>
        <w:rPr>
          <w:rFonts w:cs="Times New Roman"/>
          <w:color w:val="000000" w:themeColor="text1"/>
          <w14:textFill>
            <w14:solidFill>
              <w14:schemeClr w14:val="tx1"/>
            </w14:solidFill>
          </w14:textFill>
        </w:rPr>
      </w:pPr>
      <w:bookmarkStart w:id="54" w:name="_Toc32274"/>
      <w:bookmarkStart w:id="55" w:name="_Toc7889"/>
      <w:r>
        <w:rPr>
          <w:rFonts w:cs="Times New Roman"/>
          <w:color w:val="000000" w:themeColor="text1"/>
          <w14:textFill>
            <w14:solidFill>
              <w14:schemeClr w14:val="tx1"/>
            </w14:solidFill>
          </w14:textFill>
        </w:rPr>
        <w:t>（一）清洁</w:t>
      </w:r>
      <w:bookmarkEnd w:id="54"/>
      <w:bookmarkEnd w:id="55"/>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1、设备在出厂之前，应对设备进行清理。</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2、所有杂物，如金属碎片、铁屑、焊渣、碎布和一切其它异物都应从各部清除。</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3、所有施工中产生的垃圾及危废品由供方自行按国家规定合法处置。</w:t>
      </w:r>
    </w:p>
    <w:p>
      <w:pPr>
        <w:spacing w:line="480" w:lineRule="exact"/>
        <w:ind w:firstLine="480" w:firstLineChars="200"/>
        <w:rPr>
          <w:rFonts w:cs="Times New Roman"/>
          <w:color w:val="000000" w:themeColor="text1"/>
          <w14:textFill>
            <w14:solidFill>
              <w14:schemeClr w14:val="tx1"/>
            </w14:solidFill>
          </w14:textFill>
        </w:rPr>
      </w:pPr>
      <w:bookmarkStart w:id="56" w:name="_Toc31283"/>
      <w:bookmarkStart w:id="57" w:name="_Toc18121"/>
      <w:r>
        <w:rPr>
          <w:rFonts w:cs="Times New Roman"/>
          <w:color w:val="000000" w:themeColor="text1"/>
          <w14:textFill>
            <w14:solidFill>
              <w14:schemeClr w14:val="tx1"/>
            </w14:solidFill>
          </w14:textFill>
        </w:rPr>
        <w:t>（二） 油漆</w:t>
      </w:r>
      <w:bookmarkEnd w:id="56"/>
      <w:bookmarkEnd w:id="57"/>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 供方应选择最好的涂层涂敷方式，以防止设备在运输、储存期间不被腐蚀。</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2、设备出厂前应喷涂防锈漆（经过相关厂内质量验收后才进行喷涂等）。</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3、供方应提供内部防腐的完整说明，包括清洗和涂层工艺及所用涂料的特性说明。</w:t>
      </w:r>
    </w:p>
    <w:p>
      <w:pPr>
        <w:spacing w:line="480" w:lineRule="exact"/>
        <w:ind w:firstLine="480" w:firstLineChars="200"/>
        <w:rPr>
          <w:rFonts w:cs="Times New Roman"/>
          <w:color w:val="000000" w:themeColor="text1"/>
          <w14:textFill>
            <w14:solidFill>
              <w14:schemeClr w14:val="tx1"/>
            </w14:solidFill>
          </w14:textFill>
        </w:rPr>
      </w:pPr>
      <w:bookmarkStart w:id="58" w:name="_Toc6017"/>
      <w:bookmarkStart w:id="59" w:name="_Toc19274"/>
      <w:r>
        <w:rPr>
          <w:rFonts w:cs="Times New Roman"/>
          <w:color w:val="000000" w:themeColor="text1"/>
          <w14:textFill>
            <w14:solidFill>
              <w14:schemeClr w14:val="tx1"/>
            </w14:solidFill>
          </w14:textFill>
        </w:rPr>
        <w:t>（三）标志</w:t>
      </w:r>
      <w:bookmarkEnd w:id="58"/>
      <w:bookmarkEnd w:id="59"/>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在所供设备的明显部位，应装设用耐腐蚀材料制作的金属铭牌，金属铭牌至少应包括下列内容：设备名称、设备制造厂名称、制造年月、制造厂产品编号、制造许可证编号、设备型号、容器类别、设计压力、设计温度、额定出力、最高工作压力、设备净重。</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2、金属铭牌型式、尺寸、技术条件和检验规则，应符合JBB-82《产品标牌》的规定。</w:t>
      </w:r>
    </w:p>
    <w:p>
      <w:pPr>
        <w:spacing w:line="480" w:lineRule="exact"/>
        <w:ind w:firstLine="480" w:firstLineChars="200"/>
        <w:rPr>
          <w:rFonts w:cs="Times New Roman"/>
          <w:color w:val="000000" w:themeColor="text1"/>
          <w14:textFill>
            <w14:solidFill>
              <w14:schemeClr w14:val="tx1"/>
            </w14:solidFill>
          </w14:textFill>
        </w:rPr>
      </w:pPr>
      <w:bookmarkStart w:id="60" w:name="_Toc18805"/>
      <w:bookmarkStart w:id="61" w:name="_Toc9076"/>
      <w:r>
        <w:rPr>
          <w:rFonts w:cs="Times New Roman"/>
          <w:color w:val="000000" w:themeColor="text1"/>
          <w14:textFill>
            <w14:solidFill>
              <w14:schemeClr w14:val="tx1"/>
            </w14:solidFill>
          </w14:textFill>
        </w:rPr>
        <w:t>（四） 包装标志</w:t>
      </w:r>
      <w:bookmarkEnd w:id="60"/>
      <w:bookmarkEnd w:id="61"/>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 供方所供设备部件，均应遵照国家标准和有关技术条件进行包装，并标明合同号、主要设备名称的标签。</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2、对装箱供给的设备，应在箱子的两面注明如下内容：</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合同号；装运标志；目的港；收货人代码；设备名称和项目号；箱号；毛/净重；外形尺寸；长×宽×高。</w:t>
      </w:r>
    </w:p>
    <w:p>
      <w:pPr>
        <w:spacing w:line="480" w:lineRule="exact"/>
        <w:ind w:firstLine="480" w:firstLineChars="200"/>
        <w:rPr>
          <w:rFonts w:cs="Times New Roman"/>
          <w:color w:val="000000" w:themeColor="text1"/>
          <w14:textFill>
            <w14:solidFill>
              <w14:schemeClr w14:val="tx1"/>
            </w14:solidFill>
          </w14:textFill>
        </w:rPr>
      </w:pPr>
      <w:bookmarkStart w:id="62" w:name="_Toc26909"/>
      <w:bookmarkStart w:id="63" w:name="_Toc18743"/>
      <w:r>
        <w:rPr>
          <w:rFonts w:cs="Times New Roman"/>
          <w:color w:val="000000" w:themeColor="text1"/>
          <w14:textFill>
            <w14:solidFill>
              <w14:schemeClr w14:val="tx1"/>
            </w14:solidFill>
          </w14:textFill>
        </w:rPr>
        <w:t>装卸、运输与储存</w:t>
      </w:r>
      <w:bookmarkEnd w:id="62"/>
      <w:bookmarkEnd w:id="63"/>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1、供方所供设备，均应按照国家标准和有关规定进行装卸、运输与储存。</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2、经由铁路运输的部件，其尺寸不应超过对非标准外形体的规定。</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3、当部件经由除铁路外的其他方式运输时，其重量和体积的限值应按有关运输方式的规定。</w:t>
      </w:r>
    </w:p>
    <w:p>
      <w:pPr>
        <w:pStyle w:val="31"/>
        <w:rPr>
          <w:rFonts w:ascii="Times New Roman" w:hAnsi="Times New Roman" w:cs="Times New Roman"/>
        </w:rPr>
      </w:pPr>
      <w:r>
        <w:rPr>
          <w:rFonts w:ascii="Times New Roman" w:hAnsi="Times New Roman" w:cs="Times New Roman"/>
        </w:rPr>
        <w:t>九、技术服务</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供方现场服务人员负责全权处理现场出现的一切技术和商务问题。如现场发生质量问题，供方现场人员要在需方规定的时间内处理解决。如供方委托需方进行处理，供方现场服务人员要出委托书并承担相应的经济责任；               </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供方对其现场服务人员的一切行为负全部责任；                          </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供方现场服务人员的正常来去和更换应事先与需方及电厂协商。</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供方现场服务人员的任务主要包括设备催交、货物的开箱检验、设备质量问题的处理、指导安装和调试、参加试运和性能验收试验；</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在安装和调试前，供方技术服务人员应向需方进行技术交底，讲解和示范将要进行的程序和方法。对重要工序(见下表) ，供方技术人员要对施工情况进行确认和签 证，否则需方不能进行下一道工序。经供方确认和签证的工序因供方技术人员指导错误而发生的问题，供方应负全部责任；</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供方相关部门接到其现场人员反馈信息，并确定为属于供方责任后,应在需方及电厂规定的时间内处理解决。</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在质保期内和质保期外如遇到设备发生故障，供方接到需方或电厂的通知后，应派专业技术人员24小时到达现场，协助需方或电厂处理故障。</w:t>
      </w:r>
    </w:p>
    <w:p>
      <w:pPr>
        <w:pStyle w:val="31"/>
        <w:rPr>
          <w:rFonts w:ascii="Times New Roman" w:hAnsi="Times New Roman" w:cs="Times New Roman"/>
        </w:rPr>
      </w:pPr>
      <w:r>
        <w:rPr>
          <w:rFonts w:ascii="Times New Roman" w:hAnsi="Times New Roman" w:cs="Times New Roman"/>
        </w:rPr>
        <w:t>十、交货期与交货地点</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2024年4月20日前发货到现场；</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交货地点为：河北上安华能上安发电有限公司。</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供方负责运输，采用公路汽车运输至需方指定地点，运输及保险等各种费用全部由供方负责。</w:t>
      </w:r>
    </w:p>
    <w:p>
      <w:pPr>
        <w:pStyle w:val="31"/>
        <w:rPr>
          <w:rFonts w:ascii="Times New Roman" w:hAnsi="Times New Roman" w:cs="Times New Roman"/>
        </w:rPr>
      </w:pPr>
      <w:r>
        <w:rPr>
          <w:rFonts w:ascii="Times New Roman" w:hAnsi="Times New Roman" w:cs="Times New Roman"/>
        </w:rPr>
        <w:t>十一、考核条款</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11.1</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所有供方提供的设备如不能满足规范书的要求或低于保证值，经供方消缺后仍不能使设备达到设计要求，供方要无条件更换设备，并依据使用期间超出额定值所耗用的电量扣罚相应质保金。扣罚标准：超出额定值10%，扣罚质保金5%；超出额定值20%，扣罚质保金10%；以此类推。</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11.2</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所有供方提供的设备质保期为性能试验后一年。若供热季超过，无法进行性能试验，则以机组启动时为准，运行超过1年时间，算性能试验合格。</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11.3</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供方所有供货主设备必须在合同约定期内到达采购，因设备延期到货造成的损失由供方承担，按合同考核条款执行。</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11.4</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供方提供的设备能满足机组在低压缸零出力供热工况下安全稳定运行，否则考核合同金额的10%。</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11.5</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删除。</w:t>
      </w:r>
    </w:p>
    <w:p>
      <w:pPr>
        <w:spacing w:line="480" w:lineRule="exact"/>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11.6</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低压缸零出力供热改造后，因供方提供的设备导致主机发生的振动、温度及其他主要运行参数达到报警值，每处扣罚1万元，并且负责处理至合格范围。</w:t>
      </w:r>
    </w:p>
    <w:p>
      <w:pPr>
        <w:rPr>
          <w:rFonts w:cs="Times New Roman"/>
          <w:color w:val="000000" w:themeColor="text1"/>
          <w14:textFill>
            <w14:solidFill>
              <w14:schemeClr w14:val="tx1"/>
            </w14:solidFill>
          </w14:textFill>
        </w:rPr>
        <w:sectPr>
          <w:pgSz w:w="11907" w:h="16839"/>
          <w:pgMar w:top="1474" w:right="1418" w:bottom="1134" w:left="1418" w:header="567" w:footer="567" w:gutter="0"/>
          <w:cols w:space="720" w:num="1"/>
          <w:docGrid w:linePitch="326" w:charSpace="0"/>
        </w:sectPr>
      </w:pPr>
      <w:r>
        <w:rPr>
          <w:rFonts w:cs="Times New Roman"/>
          <w:color w:val="000000" w:themeColor="text1"/>
          <w14:textFill>
            <w14:solidFill>
              <w14:schemeClr w14:val="tx1"/>
            </w14:solidFill>
          </w14:textFill>
        </w:rPr>
        <w:t>11.7</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质保期间出现阀门内漏，每处考核1万元，并负责更换处理。</w:t>
      </w:r>
    </w:p>
    <w:p>
      <w:pPr>
        <w:pStyle w:val="2"/>
        <w:keepNext/>
        <w:keepLines/>
        <w:numPr>
          <w:ilvl w:val="0"/>
          <w:numId w:val="0"/>
        </w:numPr>
        <w:tabs>
          <w:tab w:val="left" w:pos="360"/>
        </w:tabs>
        <w:adjustRightInd w:val="0"/>
        <w:spacing w:before="120" w:beforeLines="50" w:after="156"/>
        <w:textAlignment w:val="baseline"/>
      </w:pPr>
      <w:bookmarkStart w:id="64" w:name="_Toc161505700"/>
      <w:r>
        <w:t>附件2、机务管道管件采购技术要求</w:t>
      </w:r>
      <w:bookmarkEnd w:id="64"/>
    </w:p>
    <w:p>
      <w:pPr>
        <w:pStyle w:val="2"/>
        <w:keepNext/>
        <w:keepLines/>
        <w:numPr>
          <w:ilvl w:val="0"/>
          <w:numId w:val="13"/>
        </w:numPr>
        <w:adjustRightInd w:val="0"/>
        <w:spacing w:before="120" w:beforeLines="50" w:after="120" w:afterLines="50"/>
        <w:textAlignment w:val="baseline"/>
      </w:pPr>
      <w:bookmarkStart w:id="65" w:name="_Toc14277203"/>
      <w:bookmarkStart w:id="66" w:name="_Toc147140306"/>
      <w:bookmarkStart w:id="67" w:name="_Toc334799296"/>
      <w:bookmarkStart w:id="68" w:name="_Toc158106396"/>
      <w:bookmarkStart w:id="69" w:name="_Toc161505701"/>
      <w:r>
        <w:t>总则</w:t>
      </w:r>
      <w:bookmarkEnd w:id="65"/>
      <w:bookmarkEnd w:id="66"/>
      <w:bookmarkEnd w:id="67"/>
      <w:bookmarkEnd w:id="68"/>
      <w:bookmarkEnd w:id="69"/>
    </w:p>
    <w:p>
      <w:pPr>
        <w:numPr>
          <w:ilvl w:val="0"/>
          <w:numId w:val="14"/>
        </w:numPr>
        <w:rPr>
          <w:rFonts w:cs="Times New Roman"/>
          <w:szCs w:val="24"/>
        </w:rPr>
      </w:pPr>
      <w:r>
        <w:rPr>
          <w:rFonts w:cs="Times New Roman"/>
          <w:szCs w:val="24"/>
        </w:rPr>
        <w:t>本技术协议适用于</w:t>
      </w:r>
      <w:r>
        <w:rPr>
          <w:rFonts w:cs="Times New Roman"/>
          <w:b/>
          <w:szCs w:val="24"/>
        </w:rPr>
        <w:t>华能国际电力股份有限公司上安电厂上安4号机组低压缸零出力改造项目</w:t>
      </w:r>
      <w:r>
        <w:rPr>
          <w:rFonts w:cs="Times New Roman"/>
          <w:szCs w:val="24"/>
        </w:rPr>
        <w:t>配套的管道、管件。它提出了该管道、管件的功能设计、结构、性能、安装和试验等方面的技术要求。</w:t>
      </w:r>
    </w:p>
    <w:p>
      <w:pPr>
        <w:numPr>
          <w:ilvl w:val="0"/>
          <w:numId w:val="14"/>
        </w:numPr>
        <w:rPr>
          <w:rFonts w:cs="Times New Roman"/>
          <w:szCs w:val="24"/>
        </w:rPr>
      </w:pPr>
      <w:r>
        <w:rPr>
          <w:rFonts w:cs="Times New Roman"/>
          <w:szCs w:val="24"/>
        </w:rPr>
        <w:t>本技术协议中提出了最低限度的技术要求，并未规定所有的技术要求和适用的标准，供方应提供一套满足本技术协议和所列标准要求和最新工业标准的高质量产品及其相应服务。对国家有关安全、环保等强制性标准，必须满足其要求。</w:t>
      </w:r>
    </w:p>
    <w:p>
      <w:pPr>
        <w:numPr>
          <w:ilvl w:val="0"/>
          <w:numId w:val="14"/>
        </w:numPr>
        <w:rPr>
          <w:rFonts w:cs="Times New Roman"/>
          <w:szCs w:val="24"/>
        </w:rPr>
      </w:pPr>
      <w:r>
        <w:rPr>
          <w:rFonts w:cs="Times New Roman"/>
          <w:szCs w:val="24"/>
        </w:rPr>
        <w:t>供方应执行本技术协议所列标准，有不一致时，按较高标准执行。供方在管道及管件设计和制造中所涉及的各项规程、规范和标准必须遵循现行最新标准版本。</w:t>
      </w:r>
    </w:p>
    <w:p>
      <w:pPr>
        <w:numPr>
          <w:ilvl w:val="0"/>
          <w:numId w:val="14"/>
        </w:numPr>
        <w:rPr>
          <w:rFonts w:cs="Times New Roman"/>
          <w:szCs w:val="24"/>
        </w:rPr>
      </w:pPr>
      <w:r>
        <w:rPr>
          <w:rFonts w:cs="Times New Roman"/>
          <w:szCs w:val="24"/>
        </w:rPr>
        <w:t>如果供方没有以书面形式对本技术协议的条文提出异议，那么买方可以认为供方提出的产品完全符合本技术协议的要求。</w:t>
      </w:r>
    </w:p>
    <w:p>
      <w:pPr>
        <w:numPr>
          <w:ilvl w:val="0"/>
          <w:numId w:val="14"/>
        </w:numPr>
        <w:rPr>
          <w:rFonts w:cs="Times New Roman"/>
          <w:szCs w:val="24"/>
        </w:rPr>
      </w:pPr>
      <w:r>
        <w:rPr>
          <w:rFonts w:cs="Times New Roman"/>
          <w:szCs w:val="24"/>
        </w:rPr>
        <w:t>供方对供货范围内的管道管件负有全责，即包括分包（或对外采购）的产品。分包（或对外采购）的主要产品提供三家。由买方的认可后，并选择其中一家。</w:t>
      </w:r>
    </w:p>
    <w:p>
      <w:pPr>
        <w:numPr>
          <w:ilvl w:val="0"/>
          <w:numId w:val="14"/>
        </w:numPr>
        <w:rPr>
          <w:rFonts w:cs="Times New Roman"/>
          <w:szCs w:val="24"/>
        </w:rPr>
      </w:pPr>
      <w:r>
        <w:rPr>
          <w:rFonts w:cs="Times New Roman"/>
          <w:szCs w:val="24"/>
        </w:rPr>
        <w:t>合同签订后7日内供方提出合同管道及管件的设计﹑制造﹑检验、试验﹑装配﹑安装﹑调试﹑试运﹑验收﹑试验﹑运行和维护等标准清单给买方，买方确认。</w:t>
      </w:r>
    </w:p>
    <w:p>
      <w:pPr>
        <w:numPr>
          <w:ilvl w:val="0"/>
          <w:numId w:val="14"/>
        </w:numPr>
        <w:rPr>
          <w:rFonts w:cs="Times New Roman"/>
          <w:szCs w:val="28"/>
        </w:rPr>
      </w:pPr>
      <w:r>
        <w:rPr>
          <w:rFonts w:cs="Times New Roman"/>
          <w:szCs w:val="28"/>
        </w:rPr>
        <w:t>本技术文件所有表格均需填写、不得删除，可以补充。</w:t>
      </w:r>
    </w:p>
    <w:p>
      <w:pPr>
        <w:numPr>
          <w:ilvl w:val="0"/>
          <w:numId w:val="14"/>
        </w:numPr>
        <w:rPr>
          <w:rFonts w:cs="Times New Roman"/>
          <w:szCs w:val="28"/>
        </w:rPr>
      </w:pPr>
      <w:r>
        <w:rPr>
          <w:rFonts w:cs="Times New Roman"/>
          <w:szCs w:val="24"/>
        </w:rPr>
        <w:t>供方</w:t>
      </w:r>
      <w:r>
        <w:rPr>
          <w:rFonts w:cs="Times New Roman"/>
          <w:szCs w:val="28"/>
        </w:rPr>
        <w:t>对供货管道管件负有全责，即包括分包（或采购）的产品。分包（或采购）的产品制造商应事先征得买方的认可。</w:t>
      </w:r>
      <w:r>
        <w:rPr>
          <w:rFonts w:cs="Times New Roman"/>
          <w:szCs w:val="24"/>
        </w:rPr>
        <w:t>供方</w:t>
      </w:r>
      <w:r>
        <w:rPr>
          <w:rFonts w:cs="Times New Roman"/>
          <w:szCs w:val="28"/>
        </w:rPr>
        <w:t>对其分包商的技术要求应通过买方的审核通过，买方的审核不减轻或免除</w:t>
      </w:r>
      <w:r>
        <w:rPr>
          <w:rFonts w:cs="Times New Roman"/>
          <w:szCs w:val="24"/>
        </w:rPr>
        <w:t>供方</w:t>
      </w:r>
      <w:r>
        <w:rPr>
          <w:rFonts w:cs="Times New Roman"/>
          <w:szCs w:val="28"/>
        </w:rPr>
        <w:t>的责任。</w:t>
      </w:r>
    </w:p>
    <w:p>
      <w:pPr>
        <w:numPr>
          <w:ilvl w:val="0"/>
          <w:numId w:val="14"/>
        </w:numPr>
        <w:rPr>
          <w:rFonts w:cs="Times New Roman"/>
          <w:szCs w:val="28"/>
        </w:rPr>
      </w:pPr>
      <w:r>
        <w:rPr>
          <w:rFonts w:cs="Times New Roman"/>
          <w:szCs w:val="28"/>
        </w:rPr>
        <w:t>若本技术协议各附件前后有不一致的地方，以有利于管道管件安全运行、工程质量为原则，由买方确认。</w:t>
      </w:r>
    </w:p>
    <w:p>
      <w:pPr>
        <w:numPr>
          <w:ilvl w:val="0"/>
          <w:numId w:val="14"/>
        </w:numPr>
        <w:spacing w:before="120" w:after="120"/>
        <w:rPr>
          <w:rFonts w:cs="Times New Roman"/>
        </w:rPr>
      </w:pPr>
      <w:r>
        <w:rPr>
          <w:rFonts w:cs="Times New Roman"/>
          <w:szCs w:val="28"/>
        </w:rPr>
        <w:t>作为风险防范措施，如买方通过多种渠道和方式了解和发现此类管道管件存在生产运行隐患。买方有权要求</w:t>
      </w:r>
      <w:r>
        <w:rPr>
          <w:rFonts w:cs="Times New Roman"/>
          <w:szCs w:val="24"/>
        </w:rPr>
        <w:t>供方</w:t>
      </w:r>
      <w:r>
        <w:rPr>
          <w:rFonts w:cs="Times New Roman"/>
          <w:szCs w:val="28"/>
        </w:rPr>
        <w:t>在制造过程中免费进行整改。</w:t>
      </w:r>
      <w:bookmarkStart w:id="70" w:name="_Toc14277205"/>
    </w:p>
    <w:p>
      <w:pPr>
        <w:numPr>
          <w:ilvl w:val="0"/>
          <w:numId w:val="14"/>
        </w:numPr>
        <w:spacing w:before="120" w:after="120"/>
        <w:rPr>
          <w:rFonts w:cs="Times New Roman"/>
        </w:rPr>
        <w:sectPr>
          <w:footerReference r:id="rId15" w:type="default"/>
          <w:pgSz w:w="11907" w:h="16840"/>
          <w:pgMar w:top="1418" w:right="1418" w:bottom="1418" w:left="1418" w:header="850" w:footer="720" w:gutter="284"/>
          <w:cols w:space="720" w:num="1"/>
          <w:docGrid w:linePitch="286" w:charSpace="0"/>
        </w:sectPr>
      </w:pPr>
    </w:p>
    <w:p>
      <w:pPr>
        <w:pStyle w:val="2"/>
        <w:keepNext/>
        <w:keepLines/>
        <w:numPr>
          <w:ilvl w:val="0"/>
          <w:numId w:val="13"/>
        </w:numPr>
        <w:adjustRightInd w:val="0"/>
        <w:spacing w:before="120" w:beforeLines="50" w:after="120" w:afterLines="50"/>
        <w:textAlignment w:val="baseline"/>
        <w:rPr>
          <w:szCs w:val="28"/>
        </w:rPr>
      </w:pPr>
      <w:bookmarkStart w:id="71" w:name="_Toc161505702"/>
      <w:bookmarkStart w:id="72" w:name="_Toc158106397"/>
      <w:r>
        <w:t>标准及规范</w:t>
      </w:r>
      <w:bookmarkEnd w:id="70"/>
      <w:bookmarkEnd w:id="71"/>
      <w:bookmarkEnd w:id="72"/>
    </w:p>
    <w:p>
      <w:pPr>
        <w:ind w:firstLine="480"/>
        <w:rPr>
          <w:rFonts w:cs="Times New Roman"/>
          <w:szCs w:val="24"/>
        </w:rPr>
      </w:pPr>
      <w:r>
        <w:rPr>
          <w:rFonts w:cs="Times New Roman"/>
          <w:szCs w:val="24"/>
        </w:rPr>
        <w:t>供方应采取有效措施，保证产品符合本技术协议及有关标准、规范的要求，有关技术标准如下（不限于此，请供方补全，同时采用最新版本的相应标准）：</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 713-2014《锅炉和压力容器用钢板》</w:t>
      </w:r>
    </w:p>
    <w:p>
      <w:pPr>
        <w:numPr>
          <w:ilvl w:val="0"/>
          <w:numId w:val="15"/>
        </w:numPr>
        <w:tabs>
          <w:tab w:val="left" w:pos="425"/>
        </w:tabs>
        <w:autoSpaceDE w:val="0"/>
        <w:autoSpaceDN w:val="0"/>
        <w:adjustRightInd w:val="0"/>
        <w:snapToGrid w:val="0"/>
        <w:jc w:val="left"/>
        <w:textAlignment w:val="baseline"/>
        <w:rPr>
          <w:rFonts w:cs="Times New Roman"/>
          <w:b/>
          <w:szCs w:val="24"/>
        </w:rPr>
      </w:pPr>
      <w:r>
        <w:rPr>
          <w:rFonts w:cs="Times New Roman"/>
          <w:b/>
          <w:szCs w:val="24"/>
        </w:rPr>
        <w:t>GBT 3091-2015 《低压流体输送用焊接钢管》</w:t>
      </w:r>
    </w:p>
    <w:p>
      <w:pPr>
        <w:numPr>
          <w:ilvl w:val="0"/>
          <w:numId w:val="15"/>
        </w:numPr>
        <w:tabs>
          <w:tab w:val="left" w:pos="425"/>
        </w:tabs>
        <w:autoSpaceDE w:val="0"/>
        <w:autoSpaceDN w:val="0"/>
        <w:adjustRightInd w:val="0"/>
        <w:snapToGrid w:val="0"/>
        <w:jc w:val="left"/>
        <w:textAlignment w:val="baseline"/>
        <w:rPr>
          <w:rFonts w:cs="Times New Roman"/>
          <w:b/>
          <w:szCs w:val="24"/>
        </w:rPr>
      </w:pPr>
      <w:r>
        <w:rPr>
          <w:rFonts w:cs="Times New Roman"/>
          <w:b/>
          <w:szCs w:val="24"/>
        </w:rPr>
        <w:t>GB/T 3087-2022《低中压锅炉用无缝钢管》</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GB/T 5310-2017《高压锅炉用无缝钢管》</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GB/9711-2017《石油天然气工业管线输送用钢管》</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GB/T 17395-2008《无缝钢管尺寸、外形、重量及允许偏差》</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DL/T 5054-2016《火力发电厂汽水管道设计规范》</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GB/T 32270-2015《压力管道规范 动力管道》</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GB/T 5777-2019《无缝和焊接（埋弧焊除外）钢管纵向和/或横向缺欠的全圆周自动超声检测》</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GB/T 10561-2023《钢中非金属夹杂物含量的测定 标准评级图显微检验法》</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GB/T 11345-2013《焊缝无损检测 超声检测 技术、检测等级和评定》</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GB/T 13401-2017《钢板制对焊管件 技术协议》</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GB/T 223《钢铁及合金化学分析方法（系列标准）》</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GD 1987《火力发电厂——汽水管道零部件典型设计手册》</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GD 2000《火力发电厂——汽水管道零部件典型设计手册》</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GD 2016《火力发电厂——汽水管道零部件典型设计手册》</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DL/T 438-2016《火力发电厂金属技术监督规程》</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DL/T 820.2-2019《管道焊接接头超声波检测技术规程 第2部分：A型脉冲反射法》</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DL/T 695-2014《电站钢制对焊管件》</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GB/T 12459-2017《钢制对焊管件 类型与参数》</w:t>
      </w:r>
    </w:p>
    <w:p>
      <w:pPr>
        <w:numPr>
          <w:ilvl w:val="0"/>
          <w:numId w:val="15"/>
        </w:numPr>
        <w:tabs>
          <w:tab w:val="left" w:pos="425"/>
        </w:tabs>
        <w:autoSpaceDE w:val="0"/>
        <w:autoSpaceDN w:val="0"/>
        <w:adjustRightInd w:val="0"/>
        <w:snapToGrid w:val="0"/>
        <w:jc w:val="left"/>
        <w:textAlignment w:val="baseline"/>
        <w:rPr>
          <w:rFonts w:cs="Times New Roman"/>
          <w:szCs w:val="24"/>
        </w:rPr>
      </w:pPr>
      <w:r>
        <w:rPr>
          <w:rFonts w:cs="Times New Roman"/>
          <w:szCs w:val="24"/>
        </w:rPr>
        <w:t>NB/T 47008-2017《承压设备用碳素钢和合金钢锻件》</w:t>
      </w:r>
    </w:p>
    <w:p>
      <w:pPr>
        <w:ind w:firstLine="482"/>
        <w:rPr>
          <w:rFonts w:cs="Times New Roman"/>
          <w:szCs w:val="24"/>
        </w:rPr>
      </w:pPr>
      <w:r>
        <w:rPr>
          <w:rFonts w:cs="Times New Roman"/>
          <w:szCs w:val="24"/>
        </w:rPr>
        <w:t>上述标准和规定仅提出了基本的技术要求。如果供方提出了更经济合理的设计、材料、制造工艺等，同时又能使供方提供的管道及管件性能达到本标书的要求，并确保安全﹑稳定﹑连续运行，在征得买方同意后，供方可以不全部使用上述标准和规定。</w:t>
      </w:r>
    </w:p>
    <w:p>
      <w:pPr>
        <w:pStyle w:val="2"/>
        <w:keepNext/>
        <w:keepLines/>
        <w:numPr>
          <w:ilvl w:val="0"/>
          <w:numId w:val="13"/>
        </w:numPr>
        <w:adjustRightInd w:val="0"/>
        <w:spacing w:before="120" w:beforeLines="50" w:after="120" w:afterLines="50"/>
        <w:textAlignment w:val="baseline"/>
        <w:rPr>
          <w:szCs w:val="28"/>
        </w:rPr>
        <w:sectPr>
          <w:pgSz w:w="11907" w:h="16840"/>
          <w:pgMar w:top="1418" w:right="1418" w:bottom="1418" w:left="1418" w:header="850" w:footer="720" w:gutter="284"/>
          <w:cols w:space="720" w:num="1"/>
          <w:docGrid w:linePitch="286" w:charSpace="0"/>
        </w:sectPr>
      </w:pPr>
      <w:bookmarkStart w:id="73" w:name="_Toc147140309"/>
      <w:bookmarkStart w:id="74" w:name="_Toc334799299"/>
    </w:p>
    <w:bookmarkEnd w:id="73"/>
    <w:bookmarkEnd w:id="74"/>
    <w:p>
      <w:pPr>
        <w:pStyle w:val="2"/>
        <w:keepNext/>
        <w:keepLines/>
        <w:numPr>
          <w:ilvl w:val="0"/>
          <w:numId w:val="13"/>
        </w:numPr>
        <w:adjustRightInd w:val="0"/>
        <w:spacing w:before="120" w:beforeLines="50" w:after="120" w:afterLines="50"/>
        <w:textAlignment w:val="baseline"/>
        <w:rPr>
          <w:szCs w:val="28"/>
        </w:rPr>
      </w:pPr>
      <w:bookmarkStart w:id="75" w:name="_Toc158106398"/>
      <w:bookmarkStart w:id="76" w:name="_Toc161505703"/>
      <w:r>
        <w:rPr>
          <w:szCs w:val="28"/>
        </w:rPr>
        <w:t>技术规范</w:t>
      </w:r>
      <w:bookmarkEnd w:id="75"/>
      <w:bookmarkEnd w:id="76"/>
    </w:p>
    <w:p>
      <w:pPr>
        <w:pStyle w:val="3"/>
        <w:keepNext/>
        <w:keepLines/>
        <w:numPr>
          <w:ilvl w:val="1"/>
          <w:numId w:val="13"/>
        </w:numPr>
      </w:pPr>
      <w:bookmarkStart w:id="77" w:name="_Toc161505704"/>
      <w:bookmarkStart w:id="78" w:name="_Toc158106399"/>
      <w:r>
        <w:t>管道及管件范围</w:t>
      </w:r>
      <w:bookmarkEnd w:id="77"/>
      <w:bookmarkEnd w:id="78"/>
    </w:p>
    <w:p>
      <w:pPr>
        <w:pStyle w:val="12"/>
      </w:pPr>
      <w:r>
        <w:t>所有管件壁厚按设计温度和设计压力核算，并且其厚度不小于所接直管的壁厚，弯头和三通内径与所接管道内经相同，管口处厚度与接管厚度保持一致。</w:t>
      </w:r>
    </w:p>
    <w:p>
      <w:pPr>
        <w:pStyle w:val="12"/>
      </w:pPr>
      <w:r>
        <w:t>管道管件清单详见附件。</w:t>
      </w:r>
    </w:p>
    <w:p>
      <w:pPr>
        <w:pStyle w:val="3"/>
        <w:keepNext/>
        <w:keepLines/>
        <w:numPr>
          <w:ilvl w:val="1"/>
          <w:numId w:val="13"/>
        </w:numPr>
      </w:pPr>
      <w:bookmarkStart w:id="79" w:name="_Toc161505705"/>
      <w:bookmarkStart w:id="80" w:name="_Toc158106400"/>
      <w:r>
        <w:t>技术要求</w:t>
      </w:r>
      <w:bookmarkEnd w:id="79"/>
      <w:bookmarkEnd w:id="80"/>
    </w:p>
    <w:p>
      <w:pPr>
        <w:tabs>
          <w:tab w:val="left" w:pos="426"/>
        </w:tabs>
        <w:rPr>
          <w:rFonts w:cs="Times New Roman"/>
          <w:szCs w:val="24"/>
        </w:rPr>
      </w:pPr>
      <w:r>
        <w:rPr>
          <w:rFonts w:cs="Times New Roman"/>
          <w:szCs w:val="24"/>
        </w:rPr>
        <w:t>4.3.1 管道要求</w:t>
      </w:r>
    </w:p>
    <w:p>
      <w:pPr>
        <w:rPr>
          <w:rFonts w:cs="Times New Roman"/>
          <w:b/>
          <w:szCs w:val="24"/>
        </w:rPr>
      </w:pPr>
      <w:r>
        <w:rPr>
          <w:rFonts w:cs="Times New Roman"/>
          <w:b/>
          <w:szCs w:val="24"/>
        </w:rPr>
        <w:t>1）直缝埋弧焊钢管的标准符合GB/T 3091-2015最新的规定，无缝钢管的标准符合GB/T 3087-2022最新的规定。公称外径、壁厚允许偏差按规范“高级”要求执行。管件参考GD1987、GD2000或GD2016的规定执行。</w:t>
      </w:r>
    </w:p>
    <w:p>
      <w:pPr>
        <w:rPr>
          <w:rFonts w:cs="Times New Roman"/>
          <w:szCs w:val="24"/>
        </w:rPr>
      </w:pPr>
      <w:r>
        <w:rPr>
          <w:rFonts w:cs="Times New Roman"/>
          <w:szCs w:val="24"/>
        </w:rPr>
        <w:t>2）生产厂商必须对钢管焊缝进行超声波连续探伤或X射线探伤，并提供检测报告。</w:t>
      </w:r>
      <w:r>
        <w:rPr>
          <w:rFonts w:cs="Times New Roman"/>
          <w:b/>
          <w:szCs w:val="24"/>
        </w:rPr>
        <w:t>供方必须提供所供钢管的质量证明文件和特种设备制造监督检验证书。</w:t>
      </w:r>
    </w:p>
    <w:p>
      <w:pPr>
        <w:rPr>
          <w:rFonts w:cs="Times New Roman"/>
          <w:szCs w:val="24"/>
        </w:rPr>
      </w:pPr>
      <w:r>
        <w:rPr>
          <w:rFonts w:cs="Times New Roman"/>
          <w:szCs w:val="24"/>
        </w:rPr>
        <w:t>3）</w:t>
      </w:r>
      <w:r>
        <w:rPr>
          <w:rFonts w:cs="Times New Roman"/>
          <w:b/>
          <w:szCs w:val="24"/>
        </w:rPr>
        <w:t>不同材质管道应做好易识别的分类标识，且在管道上应标明管道规格及材质，例如“</w:t>
      </w:r>
      <w:r>
        <w:rPr>
          <w:rFonts w:ascii="Cambria Math" w:hAnsi="Cambria Math" w:eastAsia="MS Mincho" w:cs="Cambria Math"/>
          <w:b/>
        </w:rPr>
        <w:t>∅</w:t>
      </w:r>
      <w:r>
        <w:rPr>
          <w:rFonts w:cs="Times New Roman"/>
          <w:b/>
        </w:rPr>
        <w:t>426×11  20</w:t>
      </w:r>
      <w:r>
        <w:rPr>
          <w:rFonts w:cs="Times New Roman"/>
          <w:b/>
          <w:szCs w:val="24"/>
        </w:rPr>
        <w:t>”等标记。</w:t>
      </w:r>
    </w:p>
    <w:p>
      <w:pPr>
        <w:rPr>
          <w:rFonts w:cs="Times New Roman"/>
          <w:szCs w:val="24"/>
        </w:rPr>
      </w:pPr>
      <w:r>
        <w:rPr>
          <w:rFonts w:cs="Times New Roman"/>
          <w:szCs w:val="24"/>
        </w:rPr>
        <w:t>4）管道的规格、直度、长度、材质、椭圆度、外径公差、壁厚公差、平均单量和重量偏差等数据符合有关标准要求。管道的强度按不低于需方提供的设计压力和设计温度考虑，其运行寿命保证30年。</w:t>
      </w:r>
    </w:p>
    <w:p>
      <w:pPr>
        <w:rPr>
          <w:rFonts w:cs="Times New Roman"/>
          <w:szCs w:val="24"/>
        </w:rPr>
      </w:pPr>
      <w:r>
        <w:rPr>
          <w:rFonts w:cs="Times New Roman"/>
          <w:szCs w:val="24"/>
        </w:rPr>
        <w:t>5）所有管件均应按发包提供的接管尺寸参数设计加工制造，管件的通流能力与连接管道基本相当：热压弯头最小内径所保证的通流面积宜与接管相等，但不得小于接管通流面积的95%，接管处管径偏差应符合有关的要求，三通最小内径所保证的通流面积宜与接管相等，但不得小于接管通流面积的90%。</w:t>
      </w:r>
    </w:p>
    <w:p>
      <w:pPr>
        <w:rPr>
          <w:rFonts w:cs="Times New Roman"/>
          <w:szCs w:val="24"/>
        </w:rPr>
      </w:pPr>
      <w:r>
        <w:rPr>
          <w:rFonts w:cs="Times New Roman"/>
          <w:szCs w:val="24"/>
        </w:rPr>
        <w:t>6）管件供货时，生产厂商应按管件品种、规格分别提供化学成分、机械性能、金相组织、无损检测和热处理检验等内容的检测报告。</w:t>
      </w:r>
    </w:p>
    <w:p>
      <w:pPr>
        <w:rPr>
          <w:rFonts w:cs="Times New Roman"/>
          <w:szCs w:val="24"/>
        </w:rPr>
      </w:pPr>
      <w:r>
        <w:rPr>
          <w:rFonts w:cs="Times New Roman"/>
          <w:szCs w:val="24"/>
        </w:rPr>
        <w:t>7）加工管件的原材料或毛胚进厂后必须进行100%的质量检查，包括光谱、硬度、金相等检查。</w:t>
      </w:r>
    </w:p>
    <w:p>
      <w:pPr>
        <w:rPr>
          <w:rFonts w:cs="Times New Roman"/>
          <w:szCs w:val="24"/>
        </w:rPr>
      </w:pPr>
      <w:r>
        <w:rPr>
          <w:rFonts w:cs="Times New Roman"/>
          <w:szCs w:val="24"/>
        </w:rPr>
        <w:t>8）承包方应按钢管制造厂的技术证件，检查材料的质量，必要时根据检查试验和分析来检查材料质量。合金钢制成的管件应检查合金成分。化学成份需符合</w:t>
      </w:r>
      <w:r>
        <w:rPr>
          <w:rFonts w:cs="Times New Roman"/>
          <w:b/>
          <w:szCs w:val="24"/>
        </w:rPr>
        <w:t>GB/T 3091-2015和GB/T 3087-2022</w:t>
      </w:r>
      <w:r>
        <w:rPr>
          <w:rFonts w:cs="Times New Roman"/>
          <w:szCs w:val="24"/>
        </w:rPr>
        <w:t>等最新版标准的规定。出厂前应检查管件的外形尺寸、偏差以及坡口加工情况，使之符合设计要求。</w:t>
      </w:r>
    </w:p>
    <w:p>
      <w:pPr>
        <w:rPr>
          <w:rFonts w:cs="Times New Roman"/>
          <w:szCs w:val="24"/>
        </w:rPr>
      </w:pPr>
      <w:r>
        <w:rPr>
          <w:rFonts w:cs="Times New Roman"/>
          <w:szCs w:val="24"/>
        </w:rPr>
        <w:t>9）管道用钢应附有钢材生产单位和钢材质量证书，管道制造单位应按质量证书对钢材进行验收，必要时应进行复验。</w:t>
      </w:r>
    </w:p>
    <w:p>
      <w:pPr>
        <w:rPr>
          <w:rFonts w:cs="Times New Roman"/>
          <w:szCs w:val="24"/>
        </w:rPr>
      </w:pPr>
      <w:r>
        <w:rPr>
          <w:rFonts w:cs="Times New Roman"/>
          <w:szCs w:val="24"/>
        </w:rPr>
        <w:t>10）管道表面处理和防腐前，所有的废物都应从管道内部清除干净。所有加工过程中的标记及其它有害物质都应从其内部和外表面除去。</w:t>
      </w:r>
      <w:r>
        <w:rPr>
          <w:rFonts w:cs="Times New Roman"/>
          <w:b/>
          <w:szCs w:val="24"/>
        </w:rPr>
        <w:t>在对管道进行运输前应对它的内部和外部进行清洁处理，一旦最终清理，必须采用保护措施，不得出现损坏、腐蚀或锈蚀。</w:t>
      </w:r>
    </w:p>
    <w:p>
      <w:pPr>
        <w:tabs>
          <w:tab w:val="left" w:pos="426"/>
        </w:tabs>
        <w:rPr>
          <w:rFonts w:cs="Times New Roman"/>
          <w:szCs w:val="24"/>
        </w:rPr>
      </w:pPr>
      <w:r>
        <w:rPr>
          <w:rFonts w:cs="Times New Roman"/>
          <w:szCs w:val="24"/>
        </w:rPr>
        <w:t>4.3.2 材料要求</w:t>
      </w:r>
    </w:p>
    <w:p>
      <w:pPr>
        <w:tabs>
          <w:tab w:val="left" w:pos="426"/>
        </w:tabs>
        <w:rPr>
          <w:rFonts w:cs="Times New Roman"/>
          <w:szCs w:val="24"/>
        </w:rPr>
      </w:pPr>
      <w:r>
        <w:rPr>
          <w:rFonts w:cs="Times New Roman"/>
          <w:szCs w:val="24"/>
        </w:rPr>
        <w:t>1）材料的化学成分和机械性能符合GB700-2006的要求。</w:t>
      </w:r>
    </w:p>
    <w:p>
      <w:pPr>
        <w:tabs>
          <w:tab w:val="left" w:pos="426"/>
        </w:tabs>
        <w:rPr>
          <w:rFonts w:cs="Times New Roman"/>
          <w:szCs w:val="24"/>
        </w:rPr>
      </w:pPr>
      <w:r>
        <w:rPr>
          <w:rFonts w:cs="Times New Roman"/>
          <w:szCs w:val="24"/>
        </w:rPr>
        <w:t>2）</w:t>
      </w:r>
      <w:r>
        <w:rPr>
          <w:rFonts w:cs="Times New Roman"/>
          <w:b/>
          <w:szCs w:val="24"/>
        </w:rPr>
        <w:t>直缝埋弧焊钢管根据GB/T 3091-2015中的规定进行制造。</w:t>
      </w:r>
      <w:r>
        <w:rPr>
          <w:rFonts w:cs="Times New Roman"/>
          <w:szCs w:val="24"/>
        </w:rPr>
        <w:t>无缝钢管根据</w:t>
      </w:r>
      <w:r>
        <w:rPr>
          <w:rFonts w:cs="Times New Roman"/>
          <w:b/>
          <w:szCs w:val="24"/>
        </w:rPr>
        <w:t>GB/T 3087-2022</w:t>
      </w:r>
      <w:r>
        <w:rPr>
          <w:rFonts w:cs="Times New Roman"/>
          <w:szCs w:val="24"/>
        </w:rPr>
        <w:t>中的规定进行制造，提交的钢管不允许有对接焊缝。</w:t>
      </w:r>
    </w:p>
    <w:p>
      <w:pPr>
        <w:tabs>
          <w:tab w:val="left" w:pos="426"/>
        </w:tabs>
        <w:rPr>
          <w:rFonts w:cs="Times New Roman"/>
          <w:szCs w:val="24"/>
        </w:rPr>
      </w:pPr>
      <w:r>
        <w:rPr>
          <w:rFonts w:cs="Times New Roman"/>
          <w:szCs w:val="24"/>
        </w:rPr>
        <w:t>3）质量及要求：钢管的径向错边不大于1.6mm。钢管焊缝内外焊道熔透深度不得小于1.5mm，内外焊道中心偏差不大于3.0mm。焊缝附近100mm范围内，钢管圆弧的径向偏差不得大于1.6mm允许的尺寸误差：钢管外径：</w:t>
      </w:r>
      <w:r>
        <w:rPr>
          <w:rFonts w:cs="Times New Roman"/>
          <w:b/>
          <w:szCs w:val="24"/>
        </w:rPr>
        <w:t>供货钢管管端100mm长度范围外径极限偏差为±0.5mm，其余部分圆度最大偏差为0.5%D。钢管外径用周长法测量。</w:t>
      </w:r>
      <w:r>
        <w:rPr>
          <w:rFonts w:cs="Times New Roman"/>
          <w:b/>
          <w:color w:val="FF0000"/>
          <w:szCs w:val="24"/>
        </w:rPr>
        <w:t>钢管壁厚：壁厚必须为正偏差。</w:t>
      </w:r>
    </w:p>
    <w:p>
      <w:pPr>
        <w:tabs>
          <w:tab w:val="left" w:pos="426"/>
        </w:tabs>
        <w:rPr>
          <w:rFonts w:cs="Times New Roman"/>
          <w:szCs w:val="24"/>
        </w:rPr>
      </w:pPr>
      <w:r>
        <w:rPr>
          <w:rFonts w:cs="Times New Roman"/>
          <w:szCs w:val="24"/>
        </w:rPr>
        <w:t>4）管端：管端符合</w:t>
      </w:r>
      <w:r>
        <w:rPr>
          <w:rFonts w:cs="Times New Roman"/>
          <w:b/>
          <w:szCs w:val="24"/>
        </w:rPr>
        <w:t>GB/T 3091-2015和GB/T 3087-2022</w:t>
      </w:r>
      <w:r>
        <w:rPr>
          <w:rFonts w:cs="Times New Roman"/>
          <w:szCs w:val="24"/>
        </w:rPr>
        <w:t>等最新规范的要求。</w:t>
      </w:r>
      <w:r>
        <w:rPr>
          <w:rFonts w:cs="Times New Roman"/>
          <w:b/>
          <w:szCs w:val="24"/>
        </w:rPr>
        <w:t>管端做坡口，距管端100mm长度范围内将内焊缝磨平管端无毛刺。</w:t>
      </w:r>
      <w:r>
        <w:rPr>
          <w:rFonts w:cs="Times New Roman"/>
          <w:szCs w:val="24"/>
        </w:rPr>
        <w:t>坡口的具体型式由供需双方协商，管端在工厂进行消磁处理。管端面垂直于钢管轴线，极限偏差不得大于2.0mm。钢管管端100mm范围内椭圆度不得超过3mm。</w:t>
      </w:r>
    </w:p>
    <w:p>
      <w:pPr>
        <w:rPr>
          <w:rFonts w:cs="Times New Roman"/>
          <w:szCs w:val="24"/>
        </w:rPr>
      </w:pPr>
      <w:r>
        <w:rPr>
          <w:rFonts w:cs="Times New Roman"/>
          <w:szCs w:val="24"/>
        </w:rPr>
        <w:t>4.3.3 管件要求</w:t>
      </w:r>
    </w:p>
    <w:p>
      <w:pPr>
        <w:numPr>
          <w:ilvl w:val="0"/>
          <w:numId w:val="16"/>
        </w:numPr>
        <w:tabs>
          <w:tab w:val="left" w:pos="0"/>
        </w:tabs>
        <w:jc w:val="left"/>
        <w:rPr>
          <w:rFonts w:cs="Times New Roman"/>
          <w:szCs w:val="24"/>
          <w:lang w:val="zh-CN"/>
        </w:rPr>
      </w:pPr>
      <w:r>
        <w:rPr>
          <w:rFonts w:cs="Times New Roman"/>
          <w:szCs w:val="24"/>
          <w:lang w:val="zh-CN"/>
        </w:rPr>
        <w:t>所有管件必须满足有关管件原材料、加工制作、焊接、安装等验收标准和规范（规程）的要求（管件接口中径应满足标准要求）；满足施工单位对运输、装卸、安装、调试等的一些特殊要求。以上标准有矛盾时按照更严格标准执行。</w:t>
      </w:r>
    </w:p>
    <w:p>
      <w:pPr>
        <w:numPr>
          <w:ilvl w:val="0"/>
          <w:numId w:val="16"/>
        </w:numPr>
        <w:tabs>
          <w:tab w:val="left" w:pos="0"/>
        </w:tabs>
        <w:jc w:val="left"/>
        <w:rPr>
          <w:rFonts w:cs="Times New Roman"/>
          <w:szCs w:val="24"/>
          <w:lang w:val="zh-CN"/>
        </w:rPr>
      </w:pPr>
      <w:r>
        <w:rPr>
          <w:rFonts w:cs="Times New Roman"/>
          <w:szCs w:val="24"/>
          <w:lang w:val="zh-CN"/>
        </w:rPr>
        <w:t>管件中所列出的热压三通必须是成品三通（含异径三通、等径三通），所有三通应一次冲压成形，不得采用焊接或加强筋方式进行后期制作。</w:t>
      </w:r>
    </w:p>
    <w:p>
      <w:pPr>
        <w:numPr>
          <w:ilvl w:val="0"/>
          <w:numId w:val="16"/>
        </w:numPr>
        <w:tabs>
          <w:tab w:val="left" w:pos="0"/>
        </w:tabs>
        <w:jc w:val="left"/>
        <w:rPr>
          <w:rFonts w:cs="Times New Roman"/>
          <w:szCs w:val="24"/>
          <w:lang w:val="zh-CN"/>
        </w:rPr>
      </w:pPr>
      <w:r>
        <w:rPr>
          <w:rFonts w:cs="Times New Roman"/>
          <w:b/>
          <w:szCs w:val="24"/>
          <w:lang w:val="zh-CN"/>
        </w:rPr>
        <w:t>热压弯头壁厚</w:t>
      </w:r>
      <w:r>
        <w:rPr>
          <w:rFonts w:cs="Times New Roman"/>
          <w:b/>
          <w:szCs w:val="24"/>
        </w:rPr>
        <w:t>允许偏差均按上偏差执行，弯头任何一点的壁厚不应小于相应点的计算壁厚，且外弧侧壁厚不应小于相连管子的最小取用壁厚Sq，若现场检验不满足要求时，供方应免费更换相应管道管件。</w:t>
      </w:r>
    </w:p>
    <w:p>
      <w:pPr>
        <w:numPr>
          <w:ilvl w:val="0"/>
          <w:numId w:val="16"/>
        </w:numPr>
        <w:tabs>
          <w:tab w:val="left" w:pos="0"/>
        </w:tabs>
        <w:jc w:val="left"/>
        <w:rPr>
          <w:rFonts w:cs="Times New Roman"/>
          <w:szCs w:val="24"/>
          <w:lang w:val="zh-CN"/>
        </w:rPr>
      </w:pPr>
      <w:r>
        <w:rPr>
          <w:rFonts w:cs="Times New Roman"/>
          <w:szCs w:val="24"/>
          <w:lang w:val="zh-CN"/>
        </w:rPr>
        <w:t>若管件遵循GB/T12459－2017《钢制对焊无缝管件》时，则应符合以下要求：管件可采用弯曲、挤压、推制、模压、机械加工等冷加工或热加工方法成形，但成形方法应做到使管件不产生有害缺陷。</w:t>
      </w:r>
    </w:p>
    <w:p>
      <w:pPr>
        <w:numPr>
          <w:ilvl w:val="0"/>
          <w:numId w:val="16"/>
        </w:numPr>
        <w:tabs>
          <w:tab w:val="left" w:pos="0"/>
        </w:tabs>
        <w:jc w:val="left"/>
        <w:rPr>
          <w:rFonts w:cs="Times New Roman"/>
          <w:szCs w:val="24"/>
          <w:lang w:val="zh-CN"/>
        </w:rPr>
      </w:pPr>
      <w:r>
        <w:rPr>
          <w:rFonts w:cs="Times New Roman"/>
          <w:szCs w:val="24"/>
          <w:lang w:val="zh-CN"/>
        </w:rPr>
        <w:t>若管件遵循GB/T</w:t>
      </w:r>
      <w:r>
        <w:rPr>
          <w:rFonts w:cs="Times New Roman"/>
          <w:szCs w:val="24"/>
        </w:rPr>
        <w:t>13401</w:t>
      </w:r>
      <w:r>
        <w:rPr>
          <w:rFonts w:cs="Times New Roman"/>
          <w:szCs w:val="24"/>
          <w:lang w:val="zh-CN"/>
        </w:rPr>
        <w:t>－2017《钢板制对焊管件》时，则应符合以下要求：</w:t>
      </w:r>
    </w:p>
    <w:p>
      <w:pPr>
        <w:numPr>
          <w:ilvl w:val="0"/>
          <w:numId w:val="17"/>
        </w:numPr>
        <w:tabs>
          <w:tab w:val="left" w:pos="0"/>
          <w:tab w:val="left" w:pos="425"/>
        </w:tabs>
        <w:jc w:val="left"/>
        <w:rPr>
          <w:rFonts w:cs="Times New Roman"/>
          <w:szCs w:val="24"/>
          <w:lang w:val="zh-CN"/>
        </w:rPr>
      </w:pPr>
      <w:r>
        <w:rPr>
          <w:rFonts w:cs="Times New Roman"/>
          <w:szCs w:val="24"/>
          <w:lang w:val="zh-CN"/>
        </w:rPr>
        <w:t>管件可采用钢板或钢带经过冷加工或热加工成形。</w:t>
      </w:r>
    </w:p>
    <w:p>
      <w:pPr>
        <w:numPr>
          <w:ilvl w:val="0"/>
          <w:numId w:val="17"/>
        </w:numPr>
        <w:tabs>
          <w:tab w:val="left" w:pos="0"/>
          <w:tab w:val="left" w:pos="425"/>
        </w:tabs>
        <w:jc w:val="left"/>
        <w:rPr>
          <w:rFonts w:cs="Times New Roman"/>
          <w:szCs w:val="24"/>
          <w:lang w:val="zh-CN"/>
        </w:rPr>
      </w:pPr>
      <w:r>
        <w:rPr>
          <w:rFonts w:cs="Times New Roman"/>
          <w:szCs w:val="24"/>
          <w:lang w:val="zh-CN"/>
        </w:rPr>
        <w:t>管帽可由两块对接的钢板制成，对接焊缝距管帽中心线不应大于管帽外径的四分之一。</w:t>
      </w:r>
    </w:p>
    <w:p>
      <w:pPr>
        <w:numPr>
          <w:ilvl w:val="0"/>
          <w:numId w:val="17"/>
        </w:numPr>
        <w:tabs>
          <w:tab w:val="left" w:pos="0"/>
          <w:tab w:val="left" w:pos="425"/>
        </w:tabs>
        <w:jc w:val="left"/>
        <w:rPr>
          <w:rFonts w:cs="Times New Roman"/>
          <w:szCs w:val="24"/>
          <w:lang w:val="zh-CN"/>
        </w:rPr>
      </w:pPr>
      <w:r>
        <w:rPr>
          <w:rFonts w:cs="Times New Roman"/>
          <w:szCs w:val="24"/>
          <w:lang w:val="zh-CN"/>
        </w:rPr>
        <w:t>坡口的加工宜采用机械方法。如用热切割法，必须去除坡口表面的氧化皮，并将影响焊接质量的凹凸不平处打磨平整。</w:t>
      </w:r>
      <w:r>
        <w:rPr>
          <w:rFonts w:cs="Times New Roman"/>
          <w:szCs w:val="24"/>
        </w:rPr>
        <w:t xml:space="preserve">                                                                                                                                                                                                                                                                                                                                                                                                                                                                                                                                                                                                                                                                                                                                                                                                                                                                                                                                                                                                                                                                                                                                                                                                                                                                                                                                                                                                                                                                                                                                                                                                                                                                                                                                                                                                                                                                                                                                                                                                                                                                                                                                                                                                                                                                                                                                                                                                                                                                         </w:t>
      </w:r>
    </w:p>
    <w:p>
      <w:pPr>
        <w:numPr>
          <w:ilvl w:val="0"/>
          <w:numId w:val="16"/>
        </w:numPr>
        <w:tabs>
          <w:tab w:val="left" w:pos="0"/>
        </w:tabs>
        <w:jc w:val="left"/>
        <w:rPr>
          <w:rFonts w:cs="Times New Roman"/>
          <w:szCs w:val="24"/>
          <w:lang w:val="zh-CN"/>
        </w:rPr>
      </w:pPr>
      <w:r>
        <w:rPr>
          <w:rFonts w:cs="Times New Roman"/>
          <w:szCs w:val="24"/>
          <w:lang w:val="zh-CN"/>
        </w:rPr>
        <w:t>制造工艺应保证管件在成形时，其圆弧过渡部分外形圆滑。</w:t>
      </w:r>
    </w:p>
    <w:p>
      <w:pPr>
        <w:numPr>
          <w:ilvl w:val="0"/>
          <w:numId w:val="16"/>
        </w:numPr>
        <w:tabs>
          <w:tab w:val="left" w:pos="0"/>
        </w:tabs>
        <w:jc w:val="left"/>
        <w:rPr>
          <w:rFonts w:cs="Times New Roman"/>
          <w:szCs w:val="24"/>
          <w:lang w:val="zh-CN"/>
        </w:rPr>
      </w:pPr>
      <w:r>
        <w:rPr>
          <w:rFonts w:cs="Times New Roman"/>
          <w:szCs w:val="24"/>
          <w:lang w:val="zh-CN"/>
        </w:rPr>
        <w:t>采用冷加工成形的管件，成形后应进行消除应力的热处理。</w:t>
      </w:r>
    </w:p>
    <w:p>
      <w:pPr>
        <w:numPr>
          <w:ilvl w:val="0"/>
          <w:numId w:val="16"/>
        </w:numPr>
        <w:tabs>
          <w:tab w:val="left" w:pos="0"/>
        </w:tabs>
        <w:jc w:val="left"/>
        <w:rPr>
          <w:rFonts w:cs="Times New Roman"/>
          <w:szCs w:val="24"/>
          <w:lang w:val="zh-CN"/>
        </w:rPr>
      </w:pPr>
      <w:r>
        <w:rPr>
          <w:rFonts w:cs="Times New Roman"/>
          <w:szCs w:val="24"/>
          <w:lang w:val="zh-CN"/>
        </w:rPr>
        <w:t>采用热加工成形的管件，对不锈钢材料，应进行热处理；对碳素钢材料，其最终成形温度低于750</w:t>
      </w:r>
      <w:r>
        <w:rPr>
          <w:rFonts w:hint="eastAsia" w:ascii="宋体" w:hAnsi="宋体" w:cs="宋体"/>
          <w:szCs w:val="24"/>
          <w:lang w:val="zh-CN"/>
        </w:rPr>
        <w:t>℃</w:t>
      </w:r>
      <w:r>
        <w:rPr>
          <w:rFonts w:cs="Times New Roman"/>
          <w:szCs w:val="24"/>
          <w:lang w:val="zh-CN"/>
        </w:rPr>
        <w:t>时，应进行热处理。</w:t>
      </w:r>
    </w:p>
    <w:p>
      <w:pPr>
        <w:numPr>
          <w:ilvl w:val="0"/>
          <w:numId w:val="16"/>
        </w:numPr>
        <w:tabs>
          <w:tab w:val="left" w:pos="0"/>
        </w:tabs>
        <w:jc w:val="left"/>
        <w:rPr>
          <w:rFonts w:cs="Times New Roman"/>
          <w:szCs w:val="24"/>
          <w:lang w:val="zh-CN"/>
        </w:rPr>
      </w:pPr>
      <w:r>
        <w:rPr>
          <w:rFonts w:cs="Times New Roman"/>
          <w:szCs w:val="24"/>
          <w:lang w:val="zh-CN"/>
        </w:rPr>
        <w:t>以上列出的仅为通用标准，卖方如有相关的部门或工厂标准，原则上不应低于上述的通用标准。如在制作前有新版本的标准规范发行，按最新版本的标准规范执行。</w:t>
      </w:r>
    </w:p>
    <w:p>
      <w:pPr>
        <w:numPr>
          <w:ilvl w:val="0"/>
          <w:numId w:val="16"/>
        </w:numPr>
        <w:tabs>
          <w:tab w:val="left" w:pos="0"/>
        </w:tabs>
        <w:jc w:val="left"/>
        <w:rPr>
          <w:rFonts w:cs="Times New Roman"/>
          <w:szCs w:val="24"/>
          <w:lang w:val="zh-CN"/>
        </w:rPr>
      </w:pPr>
      <w:r>
        <w:rPr>
          <w:rFonts w:cs="Times New Roman"/>
          <w:szCs w:val="24"/>
          <w:lang w:val="zh-CN"/>
        </w:rPr>
        <w:t>成品管件上应有钢厂的名称代号、炉号或钢厂对炉号的标志，使用等级号，钢的级别号和尺寸及热处理和相应的试验报告的标志，所有的合格证书按相关标准执行，并提供相关资料。</w:t>
      </w:r>
    </w:p>
    <w:p>
      <w:pPr>
        <w:pStyle w:val="3"/>
        <w:keepNext/>
        <w:keepLines/>
        <w:numPr>
          <w:ilvl w:val="1"/>
          <w:numId w:val="13"/>
        </w:numPr>
      </w:pPr>
      <w:bookmarkStart w:id="81" w:name="_Toc158106401"/>
      <w:bookmarkStart w:id="82" w:name="_Toc161505706"/>
      <w:r>
        <w:t>检验与试验</w:t>
      </w:r>
      <w:bookmarkEnd w:id="81"/>
      <w:bookmarkEnd w:id="82"/>
    </w:p>
    <w:p>
      <w:pPr>
        <w:tabs>
          <w:tab w:val="left" w:pos="425"/>
        </w:tabs>
        <w:rPr>
          <w:rFonts w:cs="Times New Roman"/>
          <w:szCs w:val="24"/>
        </w:rPr>
      </w:pPr>
      <w:r>
        <w:rPr>
          <w:rFonts w:cs="Times New Roman"/>
          <w:szCs w:val="24"/>
        </w:rPr>
        <w:tab/>
      </w:r>
      <w:r>
        <w:rPr>
          <w:rFonts w:cs="Times New Roman"/>
          <w:szCs w:val="24"/>
        </w:rPr>
        <w:t>所有管道及管件应当通过制造厂质检部门的检验，制造过程中买方监造代表可随时进入制造厂对管道及管件制造进行考察及检验。监造代表有权亲自观察任何一道工序，监造代表在生产厂的监造并不免除供货商对合同产品承担责任。</w:t>
      </w:r>
    </w:p>
    <w:p>
      <w:pPr>
        <w:tabs>
          <w:tab w:val="left" w:pos="425"/>
        </w:tabs>
        <w:rPr>
          <w:rFonts w:cs="Times New Roman"/>
          <w:szCs w:val="24"/>
        </w:rPr>
      </w:pPr>
      <w:r>
        <w:rPr>
          <w:rFonts w:cs="Times New Roman"/>
          <w:szCs w:val="24"/>
        </w:rPr>
        <w:t>3.3.1材料检验</w:t>
      </w:r>
    </w:p>
    <w:p>
      <w:pPr>
        <w:tabs>
          <w:tab w:val="left" w:pos="426"/>
        </w:tabs>
        <w:rPr>
          <w:rFonts w:cs="Times New Roman"/>
          <w:szCs w:val="24"/>
        </w:rPr>
      </w:pPr>
      <w:r>
        <w:rPr>
          <w:rFonts w:cs="Times New Roman"/>
          <w:szCs w:val="24"/>
        </w:rPr>
        <w:t xml:space="preserve">    所有材料和焊接须经试验以满足协议的技术要求。在碳钢、低合金钢和不锈钢铸件的修补表面要进行磁力探伤和液体渗漏试验。应提供使用的开孔和堵头的数据，以进行所有管道现场焊接的射线检查。</w:t>
      </w:r>
    </w:p>
    <w:p>
      <w:pPr>
        <w:tabs>
          <w:tab w:val="left" w:pos="425"/>
        </w:tabs>
        <w:rPr>
          <w:rFonts w:cs="Times New Roman"/>
          <w:szCs w:val="24"/>
        </w:rPr>
      </w:pPr>
      <w:r>
        <w:rPr>
          <w:rFonts w:cs="Times New Roman"/>
          <w:szCs w:val="24"/>
        </w:rPr>
        <w:t>3.3.2制造厂应当提供车间试验报告或证书(原材料化学成分，机械性能等及复检报告)。</w:t>
      </w:r>
    </w:p>
    <w:p>
      <w:pPr>
        <w:tabs>
          <w:tab w:val="left" w:pos="425"/>
        </w:tabs>
        <w:rPr>
          <w:rFonts w:cs="Times New Roman"/>
          <w:szCs w:val="24"/>
        </w:rPr>
      </w:pPr>
      <w:r>
        <w:rPr>
          <w:rFonts w:cs="Times New Roman"/>
          <w:szCs w:val="24"/>
        </w:rPr>
        <w:t>3.3.3尺寸检验：主要尺寸及偏差符合相关标准规范。</w:t>
      </w:r>
    </w:p>
    <w:p>
      <w:pPr>
        <w:tabs>
          <w:tab w:val="left" w:pos="425"/>
        </w:tabs>
        <w:rPr>
          <w:rFonts w:cs="Times New Roman"/>
          <w:szCs w:val="24"/>
        </w:rPr>
      </w:pPr>
      <w:r>
        <w:rPr>
          <w:rFonts w:cs="Times New Roman"/>
          <w:szCs w:val="24"/>
        </w:rPr>
        <w:t>3.3.4压力试验：所有管道及管件应保证符合适用的协议和标准的水压试验的要求。</w:t>
      </w:r>
    </w:p>
    <w:p>
      <w:pPr>
        <w:tabs>
          <w:tab w:val="left" w:pos="425"/>
        </w:tabs>
        <w:rPr>
          <w:rFonts w:cs="Times New Roman"/>
          <w:szCs w:val="24"/>
        </w:rPr>
      </w:pPr>
      <w:r>
        <w:rPr>
          <w:rFonts w:cs="Times New Roman"/>
          <w:szCs w:val="24"/>
        </w:rPr>
        <w:t>3.3.5产品的最终验收在买方安装施工现场进行。</w:t>
      </w:r>
    </w:p>
    <w:p>
      <w:pPr>
        <w:pStyle w:val="3"/>
        <w:keepNext/>
        <w:keepLines/>
        <w:numPr>
          <w:ilvl w:val="1"/>
          <w:numId w:val="13"/>
        </w:numPr>
      </w:pPr>
      <w:bookmarkStart w:id="83" w:name="_Toc158106402"/>
      <w:bookmarkStart w:id="84" w:name="_Toc161505707"/>
      <w:r>
        <w:t>供方的工作范围及责任</w:t>
      </w:r>
      <w:bookmarkEnd w:id="83"/>
      <w:bookmarkEnd w:id="84"/>
    </w:p>
    <w:p>
      <w:pPr>
        <w:tabs>
          <w:tab w:val="left" w:pos="425"/>
        </w:tabs>
        <w:rPr>
          <w:rFonts w:cs="Times New Roman"/>
          <w:szCs w:val="24"/>
        </w:rPr>
      </w:pPr>
      <w:r>
        <w:rPr>
          <w:rFonts w:cs="Times New Roman"/>
          <w:szCs w:val="24"/>
        </w:rPr>
        <w:t>3.4.1供方对管道及管件本体的技术、性能、设计、安全、可靠性及加工制造的部件质量全面负责。</w:t>
      </w:r>
    </w:p>
    <w:p>
      <w:pPr>
        <w:tabs>
          <w:tab w:val="left" w:pos="425"/>
        </w:tabs>
        <w:rPr>
          <w:rFonts w:cs="Times New Roman"/>
          <w:szCs w:val="24"/>
        </w:rPr>
      </w:pPr>
      <w:r>
        <w:rPr>
          <w:rFonts w:cs="Times New Roman"/>
          <w:szCs w:val="24"/>
        </w:rPr>
        <w:t>3.4.2供方的工作范围包括管道及管件的设计、制造、试验、包装和运输，还包括对管道及管件的安装、运行所需的技术服务。供方派出技术好、水平高、工作认真负责的技术人员、检查人员在管道及管件安装、启动调试及投运期间进行现场技术指导和质量监督。</w:t>
      </w:r>
    </w:p>
    <w:p>
      <w:pPr>
        <w:tabs>
          <w:tab w:val="left" w:pos="425"/>
        </w:tabs>
        <w:rPr>
          <w:rFonts w:cs="Times New Roman"/>
          <w:szCs w:val="24"/>
        </w:rPr>
      </w:pPr>
      <w:r>
        <w:rPr>
          <w:rFonts w:cs="Times New Roman"/>
          <w:szCs w:val="24"/>
        </w:rPr>
        <w:t>3.4.3 供方提供设计、制造、安装、运行、检验、使用和维修的技术文件和图纸。</w:t>
      </w:r>
    </w:p>
    <w:p>
      <w:pPr>
        <w:tabs>
          <w:tab w:val="left" w:pos="425"/>
        </w:tabs>
        <w:rPr>
          <w:rFonts w:cs="Times New Roman"/>
          <w:szCs w:val="24"/>
        </w:rPr>
      </w:pPr>
      <w:r>
        <w:rPr>
          <w:rFonts w:cs="Times New Roman"/>
          <w:szCs w:val="24"/>
        </w:rPr>
        <w:t>3.4.4 供方提供备品备件及专用工具，并保证在的管道及管件寿命期内提供备品备件。</w:t>
      </w:r>
    </w:p>
    <w:p>
      <w:pPr>
        <w:pStyle w:val="3"/>
        <w:keepNext/>
        <w:keepLines/>
        <w:numPr>
          <w:ilvl w:val="1"/>
          <w:numId w:val="13"/>
        </w:numPr>
      </w:pPr>
      <w:bookmarkStart w:id="85" w:name="_Toc161505708"/>
      <w:bookmarkStart w:id="86" w:name="_Toc158106403"/>
      <w:r>
        <w:t>清洁、包装和运输</w:t>
      </w:r>
      <w:bookmarkEnd w:id="85"/>
      <w:bookmarkEnd w:id="86"/>
    </w:p>
    <w:p>
      <w:pPr>
        <w:tabs>
          <w:tab w:val="left" w:pos="425"/>
        </w:tabs>
        <w:jc w:val="left"/>
        <w:rPr>
          <w:rFonts w:cs="Times New Roman"/>
          <w:szCs w:val="24"/>
        </w:rPr>
      </w:pPr>
      <w:r>
        <w:rPr>
          <w:rFonts w:cs="Times New Roman"/>
          <w:szCs w:val="24"/>
        </w:rPr>
        <w:t>3.5.1清洁</w:t>
      </w:r>
    </w:p>
    <w:p>
      <w:pPr>
        <w:adjustRightInd w:val="0"/>
        <w:snapToGrid w:val="0"/>
        <w:ind w:firstLine="480" w:firstLineChars="200"/>
        <w:rPr>
          <w:rFonts w:cs="Times New Roman"/>
          <w:szCs w:val="24"/>
        </w:rPr>
      </w:pPr>
      <w:r>
        <w:rPr>
          <w:rFonts w:cs="Times New Roman"/>
          <w:szCs w:val="24"/>
        </w:rPr>
        <w:t>管道及管件出厂前清除全部加工垃圾，如金属切削、填充物等,应从内外表面清除所有轧屑、锈皮油脂等。管道表面不得有锈蚀</w:t>
      </w:r>
    </w:p>
    <w:p>
      <w:pPr>
        <w:tabs>
          <w:tab w:val="left" w:pos="425"/>
        </w:tabs>
        <w:jc w:val="left"/>
        <w:rPr>
          <w:rFonts w:cs="Times New Roman"/>
          <w:szCs w:val="24"/>
        </w:rPr>
      </w:pPr>
      <w:r>
        <w:rPr>
          <w:rFonts w:cs="Times New Roman"/>
          <w:szCs w:val="24"/>
        </w:rPr>
        <w:t>3.5.2 包装﹑运输</w:t>
      </w:r>
    </w:p>
    <w:p>
      <w:pPr>
        <w:tabs>
          <w:tab w:val="left" w:pos="425"/>
        </w:tabs>
        <w:jc w:val="left"/>
        <w:rPr>
          <w:rFonts w:cs="Times New Roman"/>
          <w:b/>
          <w:szCs w:val="24"/>
        </w:rPr>
      </w:pPr>
      <w:r>
        <w:rPr>
          <w:rFonts w:cs="Times New Roman"/>
          <w:szCs w:val="24"/>
        </w:rPr>
        <w:tab/>
      </w:r>
      <w:r>
        <w:rPr>
          <w:rFonts w:cs="Times New Roman"/>
          <w:szCs w:val="24"/>
        </w:rPr>
        <w:t>管道及管件的包装、运输、贮存按国标规定。卖方所供管道及管件部件，均遵照国家标准和有关技术条件进行包装。备品备件、专用工具应单独包装和发运，并特别注明。</w:t>
      </w:r>
      <w:r>
        <w:rPr>
          <w:rFonts w:cs="Times New Roman"/>
          <w:b/>
          <w:szCs w:val="24"/>
        </w:rPr>
        <w:t>所有管道在装车运输前均应做好端口封堵和保护，不得敞口运输。并随车附带质量证明文件及检测报告（文件袋封装）。不同材质管道、管件应做好易识别的分类标识，且在管道上应标明管道规格及材质，例如“</w:t>
      </w:r>
      <w:r>
        <w:rPr>
          <w:rFonts w:ascii="Cambria Math" w:hAnsi="Cambria Math" w:cs="Cambria Math"/>
          <w:b/>
          <w:szCs w:val="24"/>
        </w:rPr>
        <w:t>∅</w:t>
      </w:r>
      <w:r>
        <w:rPr>
          <w:rFonts w:cs="Times New Roman"/>
          <w:b/>
          <w:szCs w:val="24"/>
        </w:rPr>
        <w:t>426×11  20”等标记。</w:t>
      </w:r>
    </w:p>
    <w:p>
      <w:pPr>
        <w:ind w:firstLine="420"/>
        <w:rPr>
          <w:rFonts w:cs="Times New Roman"/>
          <w:szCs w:val="24"/>
        </w:rPr>
      </w:pPr>
      <w:r>
        <w:rPr>
          <w:rFonts w:cs="Times New Roman"/>
          <w:szCs w:val="24"/>
        </w:rPr>
        <w:t>管道及管件的标志按有关标准规定的要求。</w:t>
      </w:r>
    </w:p>
    <w:p>
      <w:pPr>
        <w:ind w:firstLine="359"/>
        <w:rPr>
          <w:rFonts w:cs="Times New Roman"/>
          <w:szCs w:val="24"/>
        </w:rPr>
      </w:pPr>
      <w:r>
        <w:rPr>
          <w:rFonts w:cs="Times New Roman"/>
          <w:szCs w:val="24"/>
        </w:rPr>
        <w:t>包装标志</w:t>
      </w:r>
    </w:p>
    <w:p>
      <w:pPr>
        <w:ind w:firstLine="410" w:firstLineChars="171"/>
        <w:rPr>
          <w:rFonts w:cs="Times New Roman"/>
          <w:szCs w:val="24"/>
        </w:rPr>
      </w:pPr>
      <w:r>
        <w:rPr>
          <w:rFonts w:cs="Times New Roman"/>
          <w:szCs w:val="24"/>
        </w:rPr>
        <w:t>1）</w:t>
      </w:r>
      <w:r>
        <w:rPr>
          <w:rFonts w:cs="Times New Roman"/>
          <w:b/>
          <w:szCs w:val="24"/>
        </w:rPr>
        <w:t>卖方所供管道及管件的包装，都标明合同号、主要管道及管件名称及材质、数量的标签。</w:t>
      </w:r>
    </w:p>
    <w:p>
      <w:pPr>
        <w:ind w:firstLine="410" w:firstLineChars="171"/>
        <w:rPr>
          <w:rFonts w:cs="Times New Roman"/>
          <w:szCs w:val="24"/>
        </w:rPr>
      </w:pPr>
      <w:r>
        <w:rPr>
          <w:rFonts w:cs="Times New Roman"/>
          <w:szCs w:val="24"/>
        </w:rPr>
        <w:t>2）</w:t>
      </w:r>
      <w:r>
        <w:rPr>
          <w:rFonts w:cs="Times New Roman"/>
          <w:b/>
          <w:szCs w:val="24"/>
        </w:rPr>
        <w:t>对装箱供给的管道及管件，应在箱子的两面注明如下内容：</w:t>
      </w:r>
    </w:p>
    <w:p>
      <w:pPr>
        <w:ind w:firstLine="410" w:firstLineChars="171"/>
        <w:rPr>
          <w:rFonts w:cs="Times New Roman"/>
          <w:szCs w:val="24"/>
        </w:rPr>
      </w:pPr>
      <w:r>
        <w:rPr>
          <w:rFonts w:cs="Times New Roman"/>
          <w:szCs w:val="24"/>
        </w:rPr>
        <w:t>合同号；装运标志；目的港；收货人代码；管道及管件名称和项目号；箱号；毛/净重；外形尺寸；长×宽×高。</w:t>
      </w:r>
    </w:p>
    <w:p>
      <w:pPr>
        <w:tabs>
          <w:tab w:val="left" w:pos="425"/>
        </w:tabs>
        <w:jc w:val="left"/>
        <w:rPr>
          <w:rFonts w:cs="Times New Roman"/>
          <w:szCs w:val="24"/>
        </w:rPr>
      </w:pPr>
      <w:r>
        <w:rPr>
          <w:rFonts w:cs="Times New Roman"/>
          <w:szCs w:val="24"/>
        </w:rPr>
        <w:t>3.5.3 运输</w:t>
      </w:r>
    </w:p>
    <w:p>
      <w:pPr>
        <w:rPr>
          <w:rFonts w:cs="Times New Roman" w:eastAsiaTheme="minorEastAsia"/>
        </w:rPr>
      </w:pPr>
      <w:r>
        <w:rPr>
          <w:rFonts w:cs="Times New Roman"/>
          <w:szCs w:val="24"/>
        </w:rPr>
        <w:t>部件重量和体积的限值应按有关运输方式的规定。</w:t>
      </w:r>
    </w:p>
    <w:p>
      <w:pPr>
        <w:pStyle w:val="2"/>
        <w:keepNext/>
        <w:keepLines/>
        <w:numPr>
          <w:ilvl w:val="0"/>
          <w:numId w:val="13"/>
        </w:numPr>
        <w:adjustRightInd w:val="0"/>
        <w:spacing w:before="120" w:beforeLines="50" w:after="120" w:afterLines="50"/>
        <w:textAlignment w:val="baseline"/>
        <w:rPr>
          <w:szCs w:val="28"/>
        </w:rPr>
      </w:pPr>
      <w:bookmarkStart w:id="87" w:name="_Toc161505709"/>
      <w:r>
        <w:rPr>
          <w:szCs w:val="28"/>
        </w:rPr>
        <w:t>供货范围</w:t>
      </w:r>
      <w:bookmarkEnd w:id="87"/>
    </w:p>
    <w:p>
      <w:pPr>
        <w:tabs>
          <w:tab w:val="left" w:pos="425"/>
        </w:tabs>
        <w:jc w:val="left"/>
        <w:rPr>
          <w:rFonts w:cs="Times New Roman"/>
          <w:szCs w:val="24"/>
        </w:rPr>
      </w:pPr>
      <w:r>
        <w:rPr>
          <w:rFonts w:cs="Times New Roman"/>
          <w:szCs w:val="24"/>
        </w:rPr>
        <w:t>供货范围详见技术协议3.2.5条。</w:t>
      </w:r>
    </w:p>
    <w:p>
      <w:pPr>
        <w:pStyle w:val="2"/>
        <w:keepNext/>
        <w:keepLines/>
        <w:numPr>
          <w:ilvl w:val="0"/>
          <w:numId w:val="13"/>
        </w:numPr>
        <w:adjustRightInd w:val="0"/>
        <w:spacing w:before="120" w:beforeLines="50" w:after="120" w:afterLines="50"/>
        <w:textAlignment w:val="baseline"/>
      </w:pPr>
      <w:bookmarkStart w:id="88" w:name="_Toc158106407"/>
      <w:bookmarkStart w:id="89" w:name="_Toc161505710"/>
      <w:bookmarkStart w:id="90" w:name="_Toc509632585"/>
      <w:bookmarkStart w:id="91" w:name="_Toc147140311"/>
      <w:bookmarkStart w:id="92" w:name="_Toc334799340"/>
      <w:bookmarkStart w:id="93" w:name="_Toc14277208"/>
      <w:r>
        <w:t>技术资料</w:t>
      </w:r>
      <w:bookmarkEnd w:id="88"/>
      <w:bookmarkEnd w:id="89"/>
      <w:bookmarkEnd w:id="90"/>
      <w:bookmarkEnd w:id="91"/>
      <w:bookmarkEnd w:id="92"/>
      <w:bookmarkEnd w:id="93"/>
    </w:p>
    <w:p>
      <w:pPr>
        <w:outlineLvl w:val="1"/>
        <w:rPr>
          <w:rFonts w:cs="Times New Roman"/>
          <w:szCs w:val="24"/>
        </w:rPr>
      </w:pPr>
      <w:bookmarkStart w:id="94" w:name="_Toc161505711"/>
      <w:bookmarkStart w:id="95" w:name="_Toc334799341"/>
      <w:bookmarkStart w:id="96" w:name="_Toc158106408"/>
      <w:r>
        <w:rPr>
          <w:rFonts w:cs="Times New Roman"/>
          <w:szCs w:val="24"/>
        </w:rPr>
        <w:t>5.1  一般要求</w:t>
      </w:r>
      <w:bookmarkEnd w:id="94"/>
      <w:bookmarkEnd w:id="95"/>
      <w:bookmarkEnd w:id="96"/>
    </w:p>
    <w:p>
      <w:pPr>
        <w:rPr>
          <w:rFonts w:cs="Times New Roman"/>
          <w:szCs w:val="24"/>
        </w:rPr>
      </w:pPr>
      <w:r>
        <w:rPr>
          <w:rFonts w:cs="Times New Roman"/>
          <w:szCs w:val="24"/>
        </w:rPr>
        <w:t>5.1.1 卖方提供的资料应使用国家法定单位制即国际单位制即国际单位制，外方提供的图纸和资料翻译成中文后随同原文一并提交买方，图纸资料以中文为准，图纸资料除提供书面文件外还须提供相对应的pdf格式光盘形式电子文件。管道及管件外型图及系统图等除提供不可编辑的pdf格式电子文件外，还须提供可编辑的为AutoCAD2004格式DWG文件，文本文件为不可编辑的pdf格式和可编辑的Word/Excel格式文件。</w:t>
      </w:r>
    </w:p>
    <w:p>
      <w:pPr>
        <w:rPr>
          <w:rFonts w:cs="Times New Roman"/>
          <w:szCs w:val="24"/>
        </w:rPr>
      </w:pPr>
      <w:r>
        <w:rPr>
          <w:rFonts w:cs="Times New Roman"/>
          <w:szCs w:val="24"/>
        </w:rPr>
        <w:t>5.1.2卖方提供的技术文件包括纸介质文件和电子版文件，卖方应保证所提供的工程资料纸介资料与电子版资料的一致性。配合用的中间版资料可以采用电子版文件，终版资料文件必须包括纸介质文件和电子版文件，缺任一介质资料，均视为没有完整提供全部资料。</w:t>
      </w:r>
    </w:p>
    <w:p>
      <w:pPr>
        <w:rPr>
          <w:rFonts w:cs="Times New Roman"/>
          <w:szCs w:val="24"/>
        </w:rPr>
      </w:pPr>
      <w:r>
        <w:rPr>
          <w:rFonts w:cs="Times New Roman"/>
          <w:szCs w:val="24"/>
        </w:rPr>
        <w:t>5.1.3 资料的组织结构清晰、逻辑性强。资料内容正确、准确、一致、清晰完整，满足工程要求。</w:t>
      </w:r>
    </w:p>
    <w:p>
      <w:pPr>
        <w:rPr>
          <w:rFonts w:cs="Times New Roman"/>
          <w:szCs w:val="24"/>
        </w:rPr>
      </w:pPr>
      <w:r>
        <w:rPr>
          <w:rFonts w:cs="Times New Roman"/>
          <w:szCs w:val="24"/>
        </w:rPr>
        <w:t>5.1.4 卖方资料的提交及时、充分，满足工程进度要求。</w:t>
      </w:r>
    </w:p>
    <w:p>
      <w:pPr>
        <w:rPr>
          <w:rFonts w:cs="Times New Roman"/>
          <w:szCs w:val="24"/>
        </w:rPr>
      </w:pPr>
      <w:r>
        <w:rPr>
          <w:rFonts w:cs="Times New Roman"/>
          <w:szCs w:val="24"/>
        </w:rPr>
        <w:t>5.1.5 卖方提供的技术资料一般可分为投标阶段，配合设计阶段，管道及管件监造检验、施工调试试运、性能试验验收和运行维护等四个方面。卖方须满足以上四个方面的具体要求。</w:t>
      </w:r>
    </w:p>
    <w:p>
      <w:pPr>
        <w:rPr>
          <w:rFonts w:cs="Times New Roman"/>
          <w:szCs w:val="24"/>
        </w:rPr>
      </w:pPr>
      <w:r>
        <w:rPr>
          <w:rFonts w:cs="Times New Roman"/>
          <w:szCs w:val="24"/>
        </w:rPr>
        <w:t>5.1.6 对于其它没有列入合同技术资料清单，是工程所必需文件和资料，一经发现，卖方应及时免费提供。</w:t>
      </w:r>
    </w:p>
    <w:p>
      <w:pPr>
        <w:rPr>
          <w:rFonts w:cs="Times New Roman"/>
          <w:szCs w:val="24"/>
        </w:rPr>
      </w:pPr>
      <w:r>
        <w:rPr>
          <w:rFonts w:cs="Times New Roman"/>
          <w:szCs w:val="24"/>
        </w:rPr>
        <w:t>5.1.7卖方要及时提供与合同管道及管件设计制造有关的资料。</w:t>
      </w:r>
    </w:p>
    <w:p>
      <w:pPr>
        <w:rPr>
          <w:rFonts w:cs="Times New Roman"/>
          <w:szCs w:val="24"/>
        </w:rPr>
      </w:pPr>
      <w:r>
        <w:rPr>
          <w:rFonts w:cs="Times New Roman"/>
          <w:szCs w:val="24"/>
        </w:rPr>
        <w:t>5.1.8卖方提供的技术资料为9套，提供3套电子版。</w:t>
      </w:r>
    </w:p>
    <w:p>
      <w:pPr>
        <w:rPr>
          <w:rFonts w:cs="Times New Roman"/>
          <w:szCs w:val="24"/>
        </w:rPr>
      </w:pPr>
      <w:r>
        <w:rPr>
          <w:rFonts w:cs="Times New Roman"/>
          <w:szCs w:val="24"/>
        </w:rPr>
        <w:t>5.1.9卖方在接到预中标通知两日内提供正式图纸文件资料，最终图纸注明订货合同号并有明显的最终版标记。提供文件的份数为9份，同时提供给设计院和买方、EPC方电子文件各一份。</w:t>
      </w:r>
    </w:p>
    <w:p>
      <w:pPr>
        <w:outlineLvl w:val="1"/>
        <w:rPr>
          <w:rFonts w:cs="Times New Roman"/>
          <w:szCs w:val="24"/>
        </w:rPr>
      </w:pPr>
      <w:bookmarkStart w:id="97" w:name="_Toc334799342"/>
      <w:bookmarkStart w:id="98" w:name="_Toc158106409"/>
      <w:bookmarkStart w:id="99" w:name="_Toc161505712"/>
      <w:r>
        <w:rPr>
          <w:rFonts w:cs="Times New Roman"/>
          <w:szCs w:val="24"/>
        </w:rPr>
        <w:t>5.2  技术文件和图纸</w:t>
      </w:r>
      <w:bookmarkEnd w:id="97"/>
      <w:bookmarkEnd w:id="98"/>
      <w:bookmarkEnd w:id="99"/>
    </w:p>
    <w:p>
      <w:pPr>
        <w:rPr>
          <w:rFonts w:cs="Times New Roman"/>
          <w:szCs w:val="24"/>
        </w:rPr>
      </w:pPr>
      <w:r>
        <w:rPr>
          <w:rFonts w:cs="Times New Roman"/>
          <w:szCs w:val="24"/>
        </w:rPr>
        <w:t>5.2.1  投标时应提供的文件</w:t>
      </w:r>
    </w:p>
    <w:p>
      <w:pPr>
        <w:rPr>
          <w:rFonts w:cs="Times New Roman"/>
          <w:szCs w:val="24"/>
        </w:rPr>
      </w:pPr>
      <w:r>
        <w:rPr>
          <w:rFonts w:cs="Times New Roman"/>
          <w:szCs w:val="24"/>
        </w:rPr>
        <w:t>（1）工厂质量认证材料、工厂概况和业绩表。</w:t>
      </w:r>
    </w:p>
    <w:p>
      <w:pPr>
        <w:rPr>
          <w:rFonts w:cs="Times New Roman"/>
          <w:szCs w:val="24"/>
        </w:rPr>
      </w:pPr>
      <w:r>
        <w:rPr>
          <w:rFonts w:cs="Times New Roman"/>
          <w:szCs w:val="24"/>
        </w:rPr>
        <w:t>（2）外协和外购的重要部件的生产许可证。</w:t>
      </w:r>
    </w:p>
    <w:p>
      <w:pPr>
        <w:rPr>
          <w:rFonts w:cs="Times New Roman"/>
          <w:szCs w:val="24"/>
        </w:rPr>
      </w:pPr>
      <w:r>
        <w:rPr>
          <w:rFonts w:cs="Times New Roman"/>
          <w:szCs w:val="24"/>
        </w:rPr>
        <w:t>（3）为说明投标书而必须的图纸和其它文件。</w:t>
      </w:r>
    </w:p>
    <w:p>
      <w:pPr>
        <w:rPr>
          <w:rFonts w:cs="Times New Roman"/>
          <w:szCs w:val="24"/>
        </w:rPr>
      </w:pPr>
      <w:r>
        <w:rPr>
          <w:rFonts w:cs="Times New Roman"/>
          <w:szCs w:val="24"/>
        </w:rPr>
        <w:t>（4）已投运产品曾发生过的问题、解决办法及效果，本次拟采取那些完善措施？</w:t>
      </w:r>
    </w:p>
    <w:p>
      <w:pPr>
        <w:rPr>
          <w:rFonts w:cs="Times New Roman"/>
          <w:szCs w:val="24"/>
        </w:rPr>
      </w:pPr>
      <w:r>
        <w:rPr>
          <w:rFonts w:cs="Times New Roman"/>
          <w:szCs w:val="24"/>
        </w:rPr>
        <w:t>（5）管道及管件产品（包括主要外购件）生产许可证。</w:t>
      </w:r>
    </w:p>
    <w:p>
      <w:pPr>
        <w:rPr>
          <w:rFonts w:cs="Times New Roman"/>
          <w:szCs w:val="24"/>
        </w:rPr>
      </w:pPr>
      <w:r>
        <w:rPr>
          <w:rFonts w:cs="Times New Roman"/>
          <w:szCs w:val="24"/>
        </w:rPr>
        <w:t>5.2.2  合同（含技术协议）签订后应提供的文件</w:t>
      </w:r>
    </w:p>
    <w:p>
      <w:pPr>
        <w:rPr>
          <w:rFonts w:cs="Times New Roman"/>
          <w:szCs w:val="24"/>
        </w:rPr>
      </w:pPr>
      <w:r>
        <w:rPr>
          <w:rFonts w:cs="Times New Roman"/>
          <w:szCs w:val="24"/>
        </w:rPr>
        <w:t>5.2.2.1  卖方在技术协议签订后两周内应提供满足设计院施工图设计要求的第一版文件</w:t>
      </w:r>
    </w:p>
    <w:p>
      <w:pPr>
        <w:ind w:firstLine="420"/>
        <w:rPr>
          <w:rFonts w:cs="Times New Roman"/>
          <w:szCs w:val="24"/>
        </w:rPr>
      </w:pPr>
      <w:r>
        <w:rPr>
          <w:rFonts w:cs="Times New Roman"/>
          <w:szCs w:val="24"/>
        </w:rPr>
        <w:t>管道及管件的外形图、接口尺寸、基础荷载（参考重量）、管道及管件规范、接口表等； 安装使用维护说明书；提供所执行的标准名称。</w:t>
      </w:r>
    </w:p>
    <w:p>
      <w:pPr>
        <w:rPr>
          <w:rFonts w:cs="Times New Roman"/>
          <w:szCs w:val="24"/>
        </w:rPr>
      </w:pPr>
      <w:r>
        <w:rPr>
          <w:rFonts w:cs="Times New Roman"/>
          <w:szCs w:val="24"/>
        </w:rPr>
        <w:t>5.2.2.2  卖方在收到设计院反馈意见后7日内应提供以上文件的最终设计文件</w:t>
      </w:r>
    </w:p>
    <w:p>
      <w:pPr>
        <w:rPr>
          <w:rFonts w:cs="Times New Roman"/>
          <w:szCs w:val="24"/>
        </w:rPr>
      </w:pPr>
      <w:r>
        <w:rPr>
          <w:rFonts w:cs="Times New Roman"/>
          <w:szCs w:val="24"/>
        </w:rPr>
        <w:t>5.2.2.3  卖方应在图纸的适当位置表示出供货分界线。</w:t>
      </w:r>
    </w:p>
    <w:p>
      <w:pPr>
        <w:rPr>
          <w:rFonts w:cs="Times New Roman"/>
          <w:szCs w:val="24"/>
        </w:rPr>
      </w:pPr>
      <w:r>
        <w:rPr>
          <w:rFonts w:cs="Times New Roman"/>
          <w:szCs w:val="24"/>
        </w:rPr>
        <w:t>5.2.2.4  检查与试验报告</w:t>
      </w:r>
    </w:p>
    <w:p>
      <w:pPr>
        <w:rPr>
          <w:rFonts w:cs="Times New Roman"/>
          <w:szCs w:val="24"/>
        </w:rPr>
      </w:pPr>
      <w:r>
        <w:rPr>
          <w:rFonts w:cs="Times New Roman"/>
          <w:szCs w:val="24"/>
        </w:rPr>
        <w:t>5.2.2.5  供货清单。</w:t>
      </w:r>
    </w:p>
    <w:p>
      <w:pPr>
        <w:rPr>
          <w:rFonts w:cs="Times New Roman"/>
          <w:szCs w:val="24"/>
        </w:rPr>
      </w:pPr>
      <w:r>
        <w:rPr>
          <w:rFonts w:cs="Times New Roman"/>
          <w:szCs w:val="24"/>
        </w:rPr>
        <w:t>5.2.2.6  产品合格证。</w:t>
      </w:r>
    </w:p>
    <w:p>
      <w:pPr>
        <w:rPr>
          <w:rFonts w:cs="Times New Roman"/>
          <w:szCs w:val="24"/>
        </w:rPr>
      </w:pPr>
      <w:r>
        <w:rPr>
          <w:rFonts w:cs="Times New Roman"/>
          <w:szCs w:val="24"/>
        </w:rPr>
        <w:t>5.2.2.7  买卖双方一致通过的“变更”文件及证明。</w:t>
      </w:r>
    </w:p>
    <w:p>
      <w:pPr>
        <w:rPr>
          <w:rFonts w:cs="Times New Roman"/>
          <w:szCs w:val="24"/>
        </w:rPr>
      </w:pPr>
      <w:r>
        <w:rPr>
          <w:rFonts w:cs="Times New Roman"/>
          <w:szCs w:val="24"/>
        </w:rPr>
        <w:t>5.2.2.8  卖方应及时提供适用于本工程实际情况的，为本工程专用的技术资料。最终资料提交后不得任意修改，管道及管件到货后到所提资料有符所造成的一切返工和损失由卖方负责赔偿。</w:t>
      </w:r>
    </w:p>
    <w:p>
      <w:pPr>
        <w:rPr>
          <w:rFonts w:cs="Times New Roman"/>
          <w:szCs w:val="24"/>
        </w:rPr>
      </w:pPr>
      <w:r>
        <w:rPr>
          <w:rFonts w:cs="Times New Roman"/>
          <w:szCs w:val="24"/>
        </w:rPr>
        <w:t>5.2.2.9　卖方提供的技术资料深度应满足买方进行阶段设计的要求。这些资料应准确，不能任意修改。</w:t>
      </w:r>
      <w:r>
        <w:rPr>
          <w:rFonts w:cs="Times New Roman"/>
          <w:szCs w:val="24"/>
        </w:rPr>
        <w:tab/>
      </w:r>
    </w:p>
    <w:p>
      <w:pPr>
        <w:rPr>
          <w:rFonts w:cs="Times New Roman"/>
          <w:szCs w:val="24"/>
        </w:rPr>
      </w:pPr>
      <w:r>
        <w:rPr>
          <w:rFonts w:cs="Times New Roman"/>
          <w:szCs w:val="24"/>
        </w:rPr>
        <w:t>5.2.2.10  卖方应提供满足合同管道及管件监造检查见证所需要的全部技术资料。</w:t>
      </w:r>
    </w:p>
    <w:p>
      <w:pPr>
        <w:rPr>
          <w:rFonts w:cs="Times New Roman"/>
          <w:szCs w:val="24"/>
        </w:rPr>
      </w:pPr>
      <w:r>
        <w:rPr>
          <w:rFonts w:cs="Times New Roman"/>
          <w:szCs w:val="24"/>
        </w:rPr>
        <w:t>5.2.2.11　施工、调试、试运、机组性能试验和运行维护所需的技术资料（买方提供具体清单和要求，卖方细化，买方确认）。包括但不限于：</w:t>
      </w:r>
    </w:p>
    <w:p>
      <w:pPr>
        <w:rPr>
          <w:rFonts w:cs="Times New Roman"/>
          <w:szCs w:val="24"/>
        </w:rPr>
      </w:pPr>
      <w:r>
        <w:rPr>
          <w:rFonts w:cs="Times New Roman"/>
          <w:szCs w:val="24"/>
        </w:rPr>
        <w:t>(1) 提供管道及管件安装说明书，以及组装、拆卸时所需用的技术资料。</w:t>
      </w:r>
    </w:p>
    <w:p>
      <w:pPr>
        <w:rPr>
          <w:rFonts w:cs="Times New Roman"/>
          <w:szCs w:val="24"/>
        </w:rPr>
      </w:pPr>
      <w:r>
        <w:rPr>
          <w:rFonts w:cs="Times New Roman"/>
          <w:szCs w:val="24"/>
        </w:rPr>
        <w:t>(2) 安装、运行、维护、检修所需详尽图纸和技术资料(包括管道及管件总图、部件总图、分图和必要的零件图、计算资料等)。</w:t>
      </w:r>
    </w:p>
    <w:p>
      <w:pPr>
        <w:rPr>
          <w:rFonts w:cs="Times New Roman"/>
          <w:szCs w:val="24"/>
        </w:rPr>
      </w:pPr>
      <w:r>
        <w:rPr>
          <w:rFonts w:cs="Times New Roman"/>
          <w:szCs w:val="24"/>
        </w:rPr>
        <w:t>(3) 管道及管件安装、运行、维护、检修说明书(包括管道及管件结构特点、安装程序和工艺要求、启动调试要领、运行操作规定和控制数据、定期校验和维护说明等)。</w:t>
      </w:r>
    </w:p>
    <w:p>
      <w:pPr>
        <w:rPr>
          <w:rFonts w:cs="Times New Roman"/>
          <w:szCs w:val="24"/>
        </w:rPr>
      </w:pPr>
      <w:r>
        <w:rPr>
          <w:rFonts w:cs="Times New Roman"/>
          <w:szCs w:val="24"/>
        </w:rPr>
        <w:t>(4) 卖方须提供备品备件清单和易损零件图。</w:t>
      </w:r>
    </w:p>
    <w:p>
      <w:pPr>
        <w:rPr>
          <w:rFonts w:cs="Times New Roman"/>
          <w:szCs w:val="24"/>
        </w:rPr>
      </w:pPr>
      <w:r>
        <w:rPr>
          <w:rFonts w:cs="Times New Roman"/>
          <w:szCs w:val="24"/>
        </w:rPr>
        <w:t>5.2.2.12卖方提供的其它技术资料(买方提供具体清单和要求，卖方细化，买方确认)。包括但不限于：</w:t>
      </w:r>
    </w:p>
    <w:p>
      <w:pPr>
        <w:rPr>
          <w:rFonts w:cs="Times New Roman"/>
          <w:szCs w:val="24"/>
        </w:rPr>
      </w:pPr>
      <w:r>
        <w:rPr>
          <w:rFonts w:cs="Times New Roman"/>
          <w:szCs w:val="24"/>
        </w:rPr>
        <w:t>(1) 检验记录、试验报告及质量合格证等出厂报告。</w:t>
      </w:r>
    </w:p>
    <w:p>
      <w:pPr>
        <w:rPr>
          <w:rFonts w:cs="Times New Roman"/>
          <w:szCs w:val="24"/>
        </w:rPr>
      </w:pPr>
      <w:r>
        <w:rPr>
          <w:rFonts w:cs="Times New Roman"/>
          <w:szCs w:val="24"/>
        </w:rPr>
        <w:t>(2) 卖方提供在设计、制造时所遵循的规范、标准和规程清单。</w:t>
      </w:r>
    </w:p>
    <w:p>
      <w:pPr>
        <w:rPr>
          <w:rFonts w:cs="Times New Roman"/>
          <w:szCs w:val="24"/>
        </w:rPr>
      </w:pPr>
      <w:r>
        <w:rPr>
          <w:rFonts w:cs="Times New Roman"/>
          <w:szCs w:val="24"/>
        </w:rPr>
        <w:t>(3) 管道及管件和备品管理资料文件(包括管道及管件和备品备件发运和装箱的详细资料，管道及管件和备品备件存放与保管的技术要求，运输超重超大件的明细表和外形图)。</w:t>
      </w:r>
    </w:p>
    <w:p>
      <w:pPr>
        <w:tabs>
          <w:tab w:val="left" w:pos="425"/>
        </w:tabs>
        <w:jc w:val="left"/>
        <w:rPr>
          <w:rFonts w:cs="Times New Roman"/>
          <w:szCs w:val="24"/>
        </w:rPr>
      </w:pPr>
      <w:r>
        <w:rPr>
          <w:rFonts w:cs="Times New Roman"/>
          <w:szCs w:val="24"/>
        </w:rPr>
        <w:t>(4) 详细的产品质量文件(包括材质、材质检验、焊接、热处理、加工质量、外形尺寸等)的证明。</w:t>
      </w:r>
    </w:p>
    <w:p>
      <w:pPr>
        <w:tabs>
          <w:tab w:val="left" w:pos="425"/>
        </w:tabs>
        <w:jc w:val="left"/>
        <w:rPr>
          <w:rFonts w:cs="Times New Roman"/>
          <w:szCs w:val="24"/>
        </w:rPr>
      </w:pPr>
    </w:p>
    <w:p>
      <w:pPr>
        <w:rPr>
          <w:rFonts w:cs="Times New Roman" w:eastAsiaTheme="minorEastAsia"/>
          <w:b/>
        </w:rPr>
      </w:pPr>
    </w:p>
    <w:p>
      <w:pPr>
        <w:rPr>
          <w:rFonts w:cs="Times New Roman" w:eastAsiaTheme="minorEastAsia"/>
          <w:b/>
        </w:rPr>
        <w:sectPr>
          <w:pgSz w:w="11907" w:h="16839"/>
          <w:pgMar w:top="1474" w:right="1418" w:bottom="1134" w:left="1418" w:header="850" w:footer="737" w:gutter="0"/>
          <w:cols w:space="720" w:num="1"/>
          <w:docGrid w:linePitch="326" w:charSpace="0"/>
        </w:sectPr>
      </w:pPr>
    </w:p>
    <w:p>
      <w:pPr>
        <w:pStyle w:val="2"/>
        <w:keepNext/>
        <w:keepLines/>
        <w:numPr>
          <w:ilvl w:val="0"/>
          <w:numId w:val="0"/>
        </w:numPr>
        <w:tabs>
          <w:tab w:val="left" w:pos="360"/>
        </w:tabs>
        <w:adjustRightInd w:val="0"/>
        <w:spacing w:before="156" w:beforeLines="50" w:after="156"/>
        <w:textAlignment w:val="baseline"/>
      </w:pPr>
      <w:bookmarkStart w:id="100" w:name="_Toc161505713"/>
      <w:r>
        <w:t>附件3、机务管道支吊架采购技术要求</w:t>
      </w:r>
      <w:bookmarkEnd w:id="100"/>
    </w:p>
    <w:p>
      <w:pPr>
        <w:numPr>
          <w:ilvl w:val="1"/>
          <w:numId w:val="18"/>
        </w:numPr>
        <w:tabs>
          <w:tab w:val="left" w:pos="525"/>
          <w:tab w:val="clear" w:pos="1100"/>
        </w:tabs>
        <w:ind w:hanging="1100"/>
        <w:rPr>
          <w:rFonts w:cs="Times New Roman"/>
          <w:b/>
          <w:bCs/>
        </w:rPr>
      </w:pPr>
      <w:r>
        <w:rPr>
          <w:rFonts w:cs="Times New Roman"/>
          <w:b/>
          <w:bCs/>
        </w:rPr>
        <w:t>总则</w:t>
      </w:r>
    </w:p>
    <w:p>
      <w:pPr>
        <w:rPr>
          <w:rFonts w:cs="Times New Roman"/>
        </w:rPr>
      </w:pPr>
      <w:r>
        <w:rPr>
          <w:rFonts w:cs="Times New Roman"/>
        </w:rPr>
        <w:t>1.1  本技术规范书适用于</w:t>
      </w:r>
      <w:r>
        <w:rPr>
          <w:rFonts w:cs="Times New Roman"/>
          <w:b/>
        </w:rPr>
        <w:t>华能国际电力股份有限公司上安电厂上安4号机组低压缸零出力改造项目</w:t>
      </w:r>
      <w:r>
        <w:rPr>
          <w:rFonts w:cs="Times New Roman"/>
        </w:rPr>
        <w:t>所配套的汽水管道支吊架。它提出了该汽水管道支吊架的功能设计、结构、性能、安装和试验等方面的技术要求。</w:t>
      </w:r>
    </w:p>
    <w:p>
      <w:pPr>
        <w:rPr>
          <w:rFonts w:cs="Times New Roman"/>
        </w:rPr>
      </w:pPr>
      <w:r>
        <w:rPr>
          <w:rFonts w:cs="Times New Roman"/>
        </w:rPr>
        <w:t>1.2  本技术规范书中提出了最低限度的技术要求，并未规定所有的技术要求和适用的标准，卖方应提供一套满足本技术规范书和所列标准要求和最新工业标准的高质量产品及其相应服务。对国家有关安全、环保等强制性标准，必须满足其要求。</w:t>
      </w:r>
    </w:p>
    <w:p>
      <w:pPr>
        <w:rPr>
          <w:rFonts w:cs="Times New Roman"/>
        </w:rPr>
      </w:pPr>
      <w:r>
        <w:rPr>
          <w:rFonts w:cs="Times New Roman"/>
        </w:rPr>
        <w:t>1.3  卖方应执行本技术规范书所列标准，有不一致时，按较高标准执行。卖方在汽水管道支吊架设计和制造中所涉及的各项规程、规范和标准必须遵循现行最新标准版本。</w:t>
      </w:r>
    </w:p>
    <w:p>
      <w:pPr>
        <w:rPr>
          <w:rFonts w:cs="Times New Roman"/>
        </w:rPr>
      </w:pPr>
      <w:r>
        <w:rPr>
          <w:rFonts w:cs="Times New Roman"/>
        </w:rPr>
        <w:t>1.4  如果卖方没有以书面形式对本技术规范书的条文提出异议，那么买方可以认为卖方提出的产品完全符合本技术规范书的要求。</w:t>
      </w:r>
    </w:p>
    <w:p>
      <w:pPr>
        <w:rPr>
          <w:rFonts w:cs="Times New Roman"/>
        </w:rPr>
      </w:pPr>
      <w:r>
        <w:rPr>
          <w:rFonts w:cs="Times New Roman"/>
        </w:rPr>
        <w:t>1.5  卖方对供货范围内的汽水管道支吊架负有全责，即包括分包（或对外采购）的产品。分包（或对外采购）的主要产品提供三家。由买方的认可后，并选择其中一家。</w:t>
      </w:r>
    </w:p>
    <w:p>
      <w:pPr>
        <w:rPr>
          <w:rFonts w:cs="Times New Roman"/>
        </w:rPr>
      </w:pPr>
      <w:r>
        <w:rPr>
          <w:rFonts w:cs="Times New Roman"/>
        </w:rPr>
        <w:t>1.6  合同签订后7日内卖方提出合同汽水管道支吊架的设计﹑制造﹑检验、试验﹑装配﹑安装﹑调试﹑试运﹑验收﹑试验﹑运行和维护等标准清单给买方，买方确认。</w:t>
      </w:r>
    </w:p>
    <w:p>
      <w:pPr>
        <w:rPr>
          <w:rFonts w:cs="Times New Roman"/>
          <w:kern w:val="0"/>
        </w:rPr>
      </w:pPr>
      <w:r>
        <w:rPr>
          <w:rFonts w:cs="Times New Roman"/>
        </w:rPr>
        <w:t xml:space="preserve">1.7  </w:t>
      </w:r>
      <w:r>
        <w:rPr>
          <w:rFonts w:cs="Times New Roman"/>
          <w:kern w:val="0"/>
        </w:rPr>
        <w:t>卖方应执有合格的资质证明并且产品应在相同类型机组工程（600MW或以上机组条件下）有10台以上运行并超过2年以上，已证明安全可靠，或能提供引进成熟技术进行合作生产的产品。</w:t>
      </w:r>
    </w:p>
    <w:p>
      <w:pPr>
        <w:rPr>
          <w:rFonts w:cs="Times New Roman"/>
          <w:szCs w:val="28"/>
        </w:rPr>
      </w:pPr>
      <w:r>
        <w:rPr>
          <w:rFonts w:cs="Times New Roman"/>
          <w:szCs w:val="28"/>
        </w:rPr>
        <w:t>1.8 本技术文件所有表格均需填写、不得删除，可以补充。</w:t>
      </w:r>
    </w:p>
    <w:p>
      <w:pPr>
        <w:rPr>
          <w:rFonts w:cs="Times New Roman"/>
          <w:szCs w:val="28"/>
        </w:rPr>
      </w:pPr>
      <w:r>
        <w:rPr>
          <w:rFonts w:cs="Times New Roman"/>
          <w:szCs w:val="28"/>
        </w:rPr>
        <w:t>1.9 卖方对供货</w:t>
      </w:r>
      <w:r>
        <w:rPr>
          <w:rFonts w:cs="Times New Roman"/>
        </w:rPr>
        <w:t>汽水管道支吊架</w:t>
      </w:r>
      <w:r>
        <w:rPr>
          <w:rFonts w:cs="Times New Roman"/>
          <w:szCs w:val="28"/>
        </w:rPr>
        <w:t>负有全责，即包括分包（或采购）的产品。分包（或采购）的产品制造商应事先征得买方的认可。卖方对其分包商的技术要求应通过买方的审核通过，买方的审核不减轻或免除卖方的责任。</w:t>
      </w:r>
    </w:p>
    <w:p>
      <w:pPr>
        <w:rPr>
          <w:rFonts w:cs="Times New Roman"/>
          <w:szCs w:val="28"/>
        </w:rPr>
      </w:pPr>
      <w:r>
        <w:rPr>
          <w:rFonts w:cs="Times New Roman"/>
          <w:szCs w:val="28"/>
        </w:rPr>
        <w:t>1.10若本技术规范书各附件前后有不一致的地方，以有利于汽水管道支吊架安全运行、工程质量为原则，由买方确认。</w:t>
      </w:r>
    </w:p>
    <w:p>
      <w:pPr>
        <w:rPr>
          <w:rFonts w:cs="Times New Roman"/>
          <w:szCs w:val="28"/>
        </w:rPr>
      </w:pPr>
      <w:r>
        <w:rPr>
          <w:rFonts w:cs="Times New Roman"/>
          <w:szCs w:val="28"/>
        </w:rPr>
        <w:t>1.11作为风险防范措施，如买方通过多种渠道和方式了解和发现此类汽水管道支吊架存在生产运行隐患。买方有权要求卖方在制造过程中免费进行整改。</w:t>
      </w:r>
    </w:p>
    <w:p>
      <w:pPr>
        <w:numPr>
          <w:ilvl w:val="1"/>
          <w:numId w:val="18"/>
        </w:numPr>
        <w:tabs>
          <w:tab w:val="left" w:pos="525"/>
          <w:tab w:val="clear" w:pos="1100"/>
        </w:tabs>
        <w:ind w:hanging="1100"/>
        <w:rPr>
          <w:rFonts w:cs="Times New Roman"/>
          <w:b/>
          <w:bCs/>
        </w:rPr>
      </w:pPr>
      <w:r>
        <w:rPr>
          <w:rFonts w:cs="Times New Roman"/>
          <w:b/>
          <w:bCs/>
        </w:rPr>
        <w:t>标准及规范</w:t>
      </w:r>
    </w:p>
    <w:p>
      <w:pPr>
        <w:ind w:firstLine="482" w:firstLineChars="200"/>
        <w:rPr>
          <w:rFonts w:cs="Times New Roman"/>
          <w:b/>
          <w:color w:val="000000"/>
        </w:rPr>
      </w:pPr>
      <w:r>
        <w:rPr>
          <w:rFonts w:cs="Times New Roman"/>
          <w:b/>
          <w:color w:val="000000"/>
        </w:rPr>
        <w:t>本技术规范书所列供货范围为本项目中4号机组接口部分管道所涉及的汽水管道支吊架。所有的管道和支吊架的设计应遵循《火力发电厂汽水管道设计规定》等的有关标准和规范。</w:t>
      </w:r>
    </w:p>
    <w:p>
      <w:pPr>
        <w:ind w:firstLine="482" w:firstLineChars="200"/>
        <w:rPr>
          <w:rFonts w:cs="Times New Roman"/>
          <w:b/>
          <w:color w:val="000000"/>
        </w:rPr>
      </w:pPr>
      <w:r>
        <w:rPr>
          <w:rFonts w:cs="Times New Roman"/>
          <w:b/>
          <w:color w:val="000000"/>
        </w:rPr>
        <w:t>本工程支吊架的设计参考水利电力部西北电力设计院1983年版《火力发电厂汽水管道支吊架设计手册》和《火力发电厂汽水管道支吊架设计手册（D-ZD2010）》，不足部分参考相关厂家标准。</w:t>
      </w:r>
    </w:p>
    <w:p>
      <w:pPr>
        <w:ind w:firstLine="482" w:firstLineChars="200"/>
        <w:rPr>
          <w:rFonts w:cs="Times New Roman"/>
          <w:b/>
          <w:color w:val="000000"/>
        </w:rPr>
      </w:pPr>
      <w:r>
        <w:rPr>
          <w:rFonts w:cs="Times New Roman"/>
          <w:b/>
          <w:color w:val="000000"/>
        </w:rPr>
        <w:t>本工程支吊架所承受荷载及温度要求还应符合设计图纸中的规定。</w:t>
      </w:r>
    </w:p>
    <w:p>
      <w:pPr>
        <w:numPr>
          <w:ilvl w:val="1"/>
          <w:numId w:val="18"/>
        </w:numPr>
        <w:tabs>
          <w:tab w:val="left" w:pos="525"/>
          <w:tab w:val="clear" w:pos="1100"/>
        </w:tabs>
        <w:ind w:hanging="1100"/>
        <w:rPr>
          <w:rFonts w:cs="Times New Roman"/>
          <w:b/>
          <w:bCs/>
        </w:rPr>
      </w:pPr>
      <w:r>
        <w:rPr>
          <w:rFonts w:cs="Times New Roman"/>
          <w:b/>
          <w:bCs/>
        </w:rPr>
        <w:t>技术要求</w:t>
      </w:r>
    </w:p>
    <w:p>
      <w:pPr>
        <w:rPr>
          <w:rFonts w:cs="Times New Roman"/>
        </w:rPr>
      </w:pPr>
      <w:r>
        <w:rPr>
          <w:rFonts w:cs="Times New Roman"/>
        </w:rPr>
        <w:t>3.1本工程支吊架的设计参考水利电力部西北电力设计院1983年版《火力发电厂汽水管道支吊架设计手册》和《火力发电厂汽水管道支吊架设计手册（D-ZD2010）》，不足部分参考相关厂家标准。</w:t>
      </w:r>
    </w:p>
    <w:p>
      <w:pPr>
        <w:rPr>
          <w:rFonts w:cs="Times New Roman"/>
        </w:rPr>
      </w:pPr>
      <w:r>
        <w:rPr>
          <w:rFonts w:cs="Times New Roman"/>
        </w:rPr>
        <w:t>3.2管道支吊架的设计应能保证不仅在承受静荷载（包括水压试验荷载），而且在振动、水击及其它动力冲击的情况下有足够的强度。</w:t>
      </w:r>
    </w:p>
    <w:p>
      <w:pPr>
        <w:rPr>
          <w:rFonts w:cs="Times New Roman"/>
        </w:rPr>
      </w:pPr>
      <w:r>
        <w:rPr>
          <w:rFonts w:cs="Times New Roman"/>
        </w:rPr>
        <w:t>3.3管道支架具体要求如下：</w:t>
      </w:r>
    </w:p>
    <w:tbl>
      <w:tblPr>
        <w:tblStyle w:val="35"/>
        <w:tblW w:w="9286" w:type="dxa"/>
        <w:tblInd w:w="0" w:type="dxa"/>
        <w:tblLayout w:type="fixed"/>
        <w:tblCellMar>
          <w:top w:w="0" w:type="dxa"/>
          <w:left w:w="108" w:type="dxa"/>
          <w:bottom w:w="0" w:type="dxa"/>
          <w:right w:w="108" w:type="dxa"/>
        </w:tblCellMar>
      </w:tblPr>
      <w:tblGrid>
        <w:gridCol w:w="441"/>
        <w:gridCol w:w="3118"/>
        <w:gridCol w:w="890"/>
        <w:gridCol w:w="1515"/>
        <w:gridCol w:w="1517"/>
        <w:gridCol w:w="1805"/>
      </w:tblGrid>
      <w:tr>
        <w:tblPrEx>
          <w:tblLayout w:type="fixed"/>
          <w:tblCellMar>
            <w:top w:w="0" w:type="dxa"/>
            <w:left w:w="108" w:type="dxa"/>
            <w:bottom w:w="0" w:type="dxa"/>
            <w:right w:w="108" w:type="dxa"/>
          </w:tblCellMar>
        </w:tblPrEx>
        <w:trPr>
          <w:cantSplit/>
          <w:trHeight w:val="247" w:hRule="atLeast"/>
        </w:trPr>
        <w:tc>
          <w:tcPr>
            <w:tcW w:w="441" w:type="dxa"/>
            <w:vMerge w:val="restart"/>
            <w:tcBorders>
              <w:top w:val="single" w:color="auto" w:sz="6" w:space="0"/>
              <w:left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项 次</w:t>
            </w:r>
          </w:p>
        </w:tc>
        <w:tc>
          <w:tcPr>
            <w:tcW w:w="3118"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检验项目</w:t>
            </w:r>
          </w:p>
        </w:tc>
        <w:tc>
          <w:tcPr>
            <w:tcW w:w="890"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性质</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质量标准</w:t>
            </w:r>
          </w:p>
        </w:tc>
        <w:tc>
          <w:tcPr>
            <w:tcW w:w="1805"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检验方法和器具</w:t>
            </w:r>
          </w:p>
        </w:tc>
      </w:tr>
      <w:tr>
        <w:tblPrEx>
          <w:tblLayout w:type="fixed"/>
          <w:tblCellMar>
            <w:top w:w="0" w:type="dxa"/>
            <w:left w:w="108" w:type="dxa"/>
            <w:bottom w:w="0" w:type="dxa"/>
            <w:right w:w="108" w:type="dxa"/>
          </w:tblCellMar>
        </w:tblPrEx>
        <w:trPr>
          <w:cantSplit/>
          <w:trHeight w:val="253" w:hRule="atLeast"/>
        </w:trPr>
        <w:tc>
          <w:tcPr>
            <w:tcW w:w="441" w:type="dxa"/>
            <w:vMerge w:val="continue"/>
            <w:tcBorders>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118" w:type="dxa"/>
            <w:vMerge w:val="continue"/>
            <w:tcBorders>
              <w:top w:val="nil"/>
              <w:left w:val="single" w:color="auto" w:sz="6" w:space="0"/>
              <w:bottom w:val="single" w:color="auto" w:sz="6" w:space="0"/>
              <w:right w:val="single" w:color="auto" w:sz="6" w:space="0"/>
            </w:tcBorders>
            <w:vAlign w:val="center"/>
          </w:tcPr>
          <w:p>
            <w:pPr>
              <w:ind w:left="-90"/>
              <w:rPr>
                <w:rFonts w:cs="Times New Roman"/>
                <w:sz w:val="21"/>
                <w:szCs w:val="21"/>
              </w:rPr>
            </w:pPr>
          </w:p>
        </w:tc>
        <w:tc>
          <w:tcPr>
            <w:tcW w:w="890" w:type="dxa"/>
            <w:vMerge w:val="continue"/>
            <w:tcBorders>
              <w:top w:val="nil"/>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151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合格</w:t>
            </w:r>
          </w:p>
        </w:tc>
        <w:tc>
          <w:tcPr>
            <w:tcW w:w="1517"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优良</w:t>
            </w:r>
          </w:p>
        </w:tc>
        <w:tc>
          <w:tcPr>
            <w:tcW w:w="1805" w:type="dxa"/>
            <w:vMerge w:val="continue"/>
            <w:tcBorders>
              <w:top w:val="nil"/>
              <w:left w:val="single" w:color="auto" w:sz="6" w:space="0"/>
              <w:bottom w:val="single" w:color="auto" w:sz="6" w:space="0"/>
              <w:right w:val="single" w:color="auto" w:sz="6" w:space="0"/>
            </w:tcBorders>
            <w:vAlign w:val="center"/>
          </w:tcPr>
          <w:p>
            <w:pPr>
              <w:ind w:left="-90"/>
              <w:jc w:val="center"/>
              <w:rPr>
                <w:rFonts w:cs="Times New Roman"/>
                <w:sz w:val="21"/>
                <w:szCs w:val="21"/>
              </w:rPr>
            </w:pPr>
          </w:p>
        </w:tc>
      </w:tr>
      <w:tr>
        <w:tblPrEx>
          <w:tblLayout w:type="fixed"/>
          <w:tblCellMar>
            <w:top w:w="0" w:type="dxa"/>
            <w:left w:w="108" w:type="dxa"/>
            <w:bottom w:w="0" w:type="dxa"/>
            <w:right w:w="108" w:type="dxa"/>
          </w:tblCellMar>
        </w:tblPrEx>
        <w:trPr>
          <w:trHeight w:val="195"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l</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构件长度允许偏差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十3mm</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0"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构件宽度允许偏差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十3mm</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0"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3</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构件垂直允许偏差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2mm</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506"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4</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型钢直线度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position w:val="-24"/>
                <w:sz w:val="21"/>
                <w:szCs w:val="21"/>
              </w:rPr>
              <w:object>
                <v:shape id="_x0000_i1025" o:spt="75" type="#_x0000_t75" style="height:30.75pt;width:27.7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cs="Times New Roman"/>
                <w:spacing w:val="5"/>
                <w:kern w:val="0"/>
                <w:sz w:val="21"/>
                <w:szCs w:val="21"/>
              </w:rPr>
              <w:t xml:space="preserve">≤8mm  </w:t>
            </w:r>
            <w:r>
              <w:rPr>
                <w:rFonts w:cs="Times New Roman"/>
                <w:spacing w:val="5"/>
                <w:kern w:val="0"/>
                <w:position w:val="-24"/>
                <w:sz w:val="21"/>
                <w:szCs w:val="21"/>
              </w:rPr>
              <w:object>
                <v:shape id="_x0000_i1026" o:spt="75" type="#_x0000_t75" style="height:30.75pt;width:27.7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cs="Times New Roman"/>
                <w:spacing w:val="5"/>
                <w:kern w:val="0"/>
                <w:sz w:val="21"/>
                <w:szCs w:val="21"/>
              </w:rPr>
              <w:t>≤6mm</w:t>
            </w:r>
          </w:p>
          <w:p>
            <w:pPr>
              <w:ind w:left="-90"/>
              <w:jc w:val="center"/>
              <w:rPr>
                <w:rFonts w:cs="Times New Roman"/>
                <w:sz w:val="21"/>
                <w:szCs w:val="21"/>
              </w:rPr>
            </w:pPr>
            <w:r>
              <w:rPr>
                <w:rFonts w:cs="Times New Roman"/>
                <w:spacing w:val="5"/>
                <w:kern w:val="0"/>
                <w:sz w:val="21"/>
                <w:szCs w:val="21"/>
              </w:rPr>
              <w:t>(L—型钢长度)</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拉线和用尺检查</w:t>
            </w:r>
          </w:p>
        </w:tc>
      </w:tr>
      <w:tr>
        <w:tblPrEx>
          <w:tblLayout w:type="fixed"/>
          <w:tblCellMar>
            <w:top w:w="0" w:type="dxa"/>
            <w:left w:w="108" w:type="dxa"/>
            <w:bottom w:w="0" w:type="dxa"/>
            <w:right w:w="108" w:type="dxa"/>
          </w:tblCellMar>
        </w:tblPrEx>
        <w:trPr>
          <w:trHeight w:val="512"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5</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弧形板半径允许偏差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sz w:val="21"/>
                <w:szCs w:val="21"/>
              </w:rPr>
              <w:t>+</w:t>
            </w:r>
            <w:r>
              <w:rPr>
                <w:rFonts w:cs="Times New Roman"/>
                <w:spacing w:val="5"/>
                <w:kern w:val="0"/>
                <w:position w:val="-24"/>
                <w:sz w:val="21"/>
                <w:szCs w:val="21"/>
              </w:rPr>
              <w:object>
                <v:shape id="_x0000_i1027" o:spt="75" type="#_x0000_t75" style="height:30.75pt;width:27.7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cs="Times New Roman"/>
                <w:spacing w:val="5"/>
                <w:kern w:val="0"/>
                <w:sz w:val="21"/>
                <w:szCs w:val="21"/>
              </w:rPr>
              <w:t xml:space="preserve">         +</w:t>
            </w:r>
            <w:r>
              <w:rPr>
                <w:rFonts w:cs="Times New Roman"/>
                <w:spacing w:val="5"/>
                <w:kern w:val="0"/>
                <w:position w:val="-24"/>
                <w:sz w:val="21"/>
                <w:szCs w:val="21"/>
              </w:rPr>
              <w:object>
                <v:shape id="_x0000_i1028" o:spt="75" type="#_x0000_t75" style="height:30.75pt;width:27.75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p>
          <w:p>
            <w:pPr>
              <w:ind w:left="-90"/>
              <w:jc w:val="center"/>
              <w:rPr>
                <w:rFonts w:cs="Times New Roman"/>
                <w:sz w:val="21"/>
                <w:szCs w:val="21"/>
              </w:rPr>
            </w:pPr>
            <w:r>
              <w:rPr>
                <w:rFonts w:cs="Times New Roman"/>
                <w:spacing w:val="5"/>
                <w:kern w:val="0"/>
                <w:sz w:val="21"/>
                <w:szCs w:val="21"/>
              </w:rPr>
              <w:t>(R—设计半径)</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用弦长D／4样板检查</w:t>
            </w:r>
          </w:p>
        </w:tc>
      </w:tr>
      <w:tr>
        <w:tblPrEx>
          <w:tblLayout w:type="fixed"/>
          <w:tblCellMar>
            <w:top w:w="0" w:type="dxa"/>
            <w:left w:w="108" w:type="dxa"/>
            <w:bottom w:w="0" w:type="dxa"/>
            <w:right w:w="108" w:type="dxa"/>
          </w:tblCellMar>
        </w:tblPrEx>
        <w:trPr>
          <w:trHeight w:val="190"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6</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枕垫平面度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2mm</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0"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7</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枕垫长度允许偏差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十3mm</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0"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8</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底板平面度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2mm</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用平尺和尺检查</w:t>
            </w:r>
          </w:p>
        </w:tc>
      </w:tr>
      <w:tr>
        <w:tblPrEx>
          <w:tblLayout w:type="fixed"/>
          <w:tblCellMar>
            <w:top w:w="0" w:type="dxa"/>
            <w:left w:w="108" w:type="dxa"/>
            <w:bottom w:w="0" w:type="dxa"/>
            <w:right w:w="108" w:type="dxa"/>
          </w:tblCellMar>
        </w:tblPrEx>
        <w:trPr>
          <w:trHeight w:val="195"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9</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切割面子面度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1mm</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观查检查</w:t>
            </w:r>
          </w:p>
        </w:tc>
      </w:tr>
      <w:tr>
        <w:tblPrEx>
          <w:tblLayout w:type="fixed"/>
          <w:tblCellMar>
            <w:top w:w="0" w:type="dxa"/>
            <w:left w:w="108" w:type="dxa"/>
            <w:bottom w:w="0" w:type="dxa"/>
            <w:right w:w="108" w:type="dxa"/>
          </w:tblCellMar>
        </w:tblPrEx>
        <w:trPr>
          <w:trHeight w:val="190"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10</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焊接</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按&lt;验标)焊接篇</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r>
      <w:tr>
        <w:tblPrEx>
          <w:tblLayout w:type="fixed"/>
          <w:tblCellMar>
            <w:top w:w="0" w:type="dxa"/>
            <w:left w:w="108" w:type="dxa"/>
            <w:bottom w:w="0" w:type="dxa"/>
            <w:right w:w="108" w:type="dxa"/>
          </w:tblCellMar>
        </w:tblPrEx>
        <w:trPr>
          <w:cantSplit/>
          <w:trHeight w:val="190" w:hRule="atLeast"/>
        </w:trPr>
        <w:tc>
          <w:tcPr>
            <w:tcW w:w="441"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1l</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涂漆</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按(验标)锅炉篇</w:t>
            </w:r>
          </w:p>
        </w:tc>
        <w:tc>
          <w:tcPr>
            <w:tcW w:w="180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r>
    </w:tbl>
    <w:p>
      <w:pPr>
        <w:numPr>
          <w:ilvl w:val="0"/>
          <w:numId w:val="19"/>
        </w:numPr>
        <w:rPr>
          <w:rFonts w:cs="Times New Roman"/>
        </w:rPr>
        <w:sectPr>
          <w:pgSz w:w="11906" w:h="16838"/>
          <w:pgMar w:top="1418" w:right="1418" w:bottom="1418" w:left="1418" w:header="1021" w:footer="851" w:gutter="0"/>
          <w:cols w:space="720" w:num="1"/>
          <w:docGrid w:type="lines" w:linePitch="312" w:charSpace="0"/>
        </w:sectPr>
      </w:pPr>
    </w:p>
    <w:p>
      <w:pPr>
        <w:rPr>
          <w:rFonts w:cs="Times New Roman"/>
        </w:rPr>
      </w:pPr>
      <w:r>
        <w:rPr>
          <w:rFonts w:cs="Times New Roman"/>
        </w:rPr>
        <w:t>3.4管道吊架的具体要求如下：</w:t>
      </w:r>
    </w:p>
    <w:tbl>
      <w:tblPr>
        <w:tblStyle w:val="35"/>
        <w:tblW w:w="9286" w:type="dxa"/>
        <w:tblInd w:w="0" w:type="dxa"/>
        <w:tblLayout w:type="fixed"/>
        <w:tblCellMar>
          <w:top w:w="0" w:type="dxa"/>
          <w:left w:w="108" w:type="dxa"/>
          <w:bottom w:w="0" w:type="dxa"/>
          <w:right w:w="108" w:type="dxa"/>
        </w:tblCellMar>
      </w:tblPr>
      <w:tblGrid>
        <w:gridCol w:w="440"/>
        <w:gridCol w:w="3118"/>
        <w:gridCol w:w="890"/>
        <w:gridCol w:w="1538"/>
        <w:gridCol w:w="1538"/>
        <w:gridCol w:w="1762"/>
      </w:tblGrid>
      <w:tr>
        <w:tblPrEx>
          <w:tblLayout w:type="fixed"/>
          <w:tblCellMar>
            <w:top w:w="0" w:type="dxa"/>
            <w:left w:w="108" w:type="dxa"/>
            <w:bottom w:w="0" w:type="dxa"/>
            <w:right w:w="108" w:type="dxa"/>
          </w:tblCellMar>
        </w:tblPrEx>
        <w:trPr>
          <w:cantSplit/>
          <w:trHeight w:val="247" w:hRule="atLeast"/>
        </w:trPr>
        <w:tc>
          <w:tcPr>
            <w:tcW w:w="440" w:type="dxa"/>
            <w:vMerge w:val="restart"/>
            <w:tcBorders>
              <w:top w:val="single" w:color="auto" w:sz="6" w:space="0"/>
              <w:left w:val="single" w:color="auto" w:sz="6" w:space="0"/>
              <w:right w:val="single" w:color="auto" w:sz="6" w:space="0"/>
            </w:tcBorders>
            <w:vAlign w:val="center"/>
          </w:tcPr>
          <w:p>
            <w:pPr>
              <w:ind w:left="-90"/>
              <w:jc w:val="center"/>
              <w:rPr>
                <w:rFonts w:cs="Times New Roman"/>
                <w:sz w:val="21"/>
                <w:szCs w:val="21"/>
              </w:rPr>
            </w:pPr>
            <w:r>
              <w:rPr>
                <w:rFonts w:cs="Times New Roman"/>
                <w:sz w:val="21"/>
                <w:szCs w:val="21"/>
              </w:rPr>
              <w:t>项次</w:t>
            </w:r>
          </w:p>
        </w:tc>
        <w:tc>
          <w:tcPr>
            <w:tcW w:w="3118"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检验项目</w:t>
            </w:r>
          </w:p>
        </w:tc>
        <w:tc>
          <w:tcPr>
            <w:tcW w:w="890"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性质</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质  量  标  准</w:t>
            </w:r>
          </w:p>
        </w:tc>
        <w:tc>
          <w:tcPr>
            <w:tcW w:w="1762"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检验方法和器具</w:t>
            </w:r>
          </w:p>
        </w:tc>
      </w:tr>
      <w:tr>
        <w:tblPrEx>
          <w:tblLayout w:type="fixed"/>
          <w:tblCellMar>
            <w:top w:w="0" w:type="dxa"/>
            <w:left w:w="108" w:type="dxa"/>
            <w:bottom w:w="0" w:type="dxa"/>
            <w:right w:w="108" w:type="dxa"/>
          </w:tblCellMar>
        </w:tblPrEx>
        <w:trPr>
          <w:cantSplit/>
          <w:trHeight w:val="259" w:hRule="atLeast"/>
        </w:trPr>
        <w:tc>
          <w:tcPr>
            <w:tcW w:w="440" w:type="dxa"/>
            <w:vMerge w:val="continue"/>
            <w:tcBorders>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118" w:type="dxa"/>
            <w:vMerge w:val="continue"/>
            <w:tcBorders>
              <w:top w:val="nil"/>
              <w:left w:val="single" w:color="auto" w:sz="6" w:space="0"/>
              <w:bottom w:val="single" w:color="auto" w:sz="6" w:space="0"/>
              <w:right w:val="single" w:color="auto" w:sz="6" w:space="0"/>
            </w:tcBorders>
            <w:vAlign w:val="center"/>
          </w:tcPr>
          <w:p>
            <w:pPr>
              <w:ind w:left="-90"/>
              <w:rPr>
                <w:rFonts w:cs="Times New Roman"/>
                <w:sz w:val="21"/>
                <w:szCs w:val="21"/>
              </w:rPr>
            </w:pPr>
          </w:p>
        </w:tc>
        <w:tc>
          <w:tcPr>
            <w:tcW w:w="890" w:type="dxa"/>
            <w:vMerge w:val="continue"/>
            <w:tcBorders>
              <w:top w:val="nil"/>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合  格</w:t>
            </w:r>
          </w:p>
        </w:tc>
        <w:tc>
          <w:tcPr>
            <w:tcW w:w="1538"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优    良</w:t>
            </w:r>
          </w:p>
        </w:tc>
        <w:tc>
          <w:tcPr>
            <w:tcW w:w="1762" w:type="dxa"/>
            <w:vMerge w:val="continue"/>
            <w:tcBorders>
              <w:top w:val="nil"/>
              <w:left w:val="single" w:color="auto" w:sz="6" w:space="0"/>
              <w:bottom w:val="single" w:color="auto" w:sz="6" w:space="0"/>
              <w:right w:val="single" w:color="auto" w:sz="6" w:space="0"/>
            </w:tcBorders>
            <w:vAlign w:val="center"/>
          </w:tcPr>
          <w:p>
            <w:pPr>
              <w:ind w:left="-90"/>
              <w:jc w:val="center"/>
              <w:rPr>
                <w:rFonts w:cs="Times New Roman"/>
                <w:sz w:val="21"/>
                <w:szCs w:val="21"/>
              </w:rPr>
            </w:pPr>
          </w:p>
        </w:tc>
      </w:tr>
      <w:tr>
        <w:tblPrEx>
          <w:tblLayout w:type="fixed"/>
          <w:tblCellMar>
            <w:top w:w="0" w:type="dxa"/>
            <w:left w:w="108" w:type="dxa"/>
            <w:bottom w:w="0" w:type="dxa"/>
            <w:right w:w="108" w:type="dxa"/>
          </w:tblCellMar>
        </w:tblPrEx>
        <w:trPr>
          <w:trHeight w:val="512"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半箍弧形板长度允许偏差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right="235" w:rightChars="98"/>
              <w:jc w:val="center"/>
              <w:rPr>
                <w:rFonts w:cs="Times New Roman"/>
                <w:sz w:val="21"/>
                <w:szCs w:val="21"/>
              </w:rPr>
            </w:pPr>
            <w:r>
              <w:rPr>
                <w:rFonts w:cs="Times New Roman"/>
                <w:spacing w:val="5"/>
                <w:kern w:val="0"/>
                <w:sz w:val="21"/>
                <w:szCs w:val="21"/>
              </w:rPr>
              <w:t>主要</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sz w:val="21"/>
                <w:szCs w:val="21"/>
              </w:rPr>
              <w:t>+</w:t>
            </w:r>
            <w:r>
              <w:rPr>
                <w:rFonts w:cs="Times New Roman"/>
                <w:spacing w:val="5"/>
                <w:kern w:val="0"/>
                <w:position w:val="-24"/>
                <w:sz w:val="21"/>
                <w:szCs w:val="21"/>
              </w:rPr>
              <w:object>
                <v:shape id="_x0000_i1029" o:spt="75" type="#_x0000_t75" style="height:30.75pt;width:27.75pt;" o:ole="t" filled="f" o:preferrelative="t" stroked="f" coordsize="21600,21600">
                  <v:path/>
                  <v:fill on="f" focussize="0,0"/>
                  <v:stroke on="f" joinstyle="miter"/>
                  <v:imagedata r:id="rId26" o:title=""/>
                  <o:lock v:ext="edit" aspectratio="t"/>
                  <w10:wrap type="none"/>
                  <w10:anchorlock/>
                </v:shape>
                <o:OLEObject Type="Embed" ProgID="Equation.3" ShapeID="_x0000_i1029" DrawAspect="Content" ObjectID="_1468075729" r:id="rId25">
                  <o:LockedField>false</o:LockedField>
                </o:OLEObject>
              </w:object>
            </w:r>
            <w:r>
              <w:rPr>
                <w:rFonts w:cs="Times New Roman"/>
                <w:spacing w:val="5"/>
                <w:kern w:val="0"/>
                <w:sz w:val="21"/>
                <w:szCs w:val="21"/>
              </w:rPr>
              <w:t xml:space="preserve">    +</w:t>
            </w:r>
            <w:r>
              <w:rPr>
                <w:rFonts w:cs="Times New Roman"/>
                <w:spacing w:val="5"/>
                <w:kern w:val="0"/>
                <w:position w:val="-24"/>
                <w:sz w:val="21"/>
                <w:szCs w:val="21"/>
              </w:rPr>
              <w:object>
                <v:shape id="_x0000_i1030" o:spt="75" type="#_x0000_t75" style="height:30.75pt;width:27.75pt;" o:ole="t" filled="f" o:preferrelative="t" stroked="f" coordsize="21600,21600">
                  <v:path/>
                  <v:fill on="f" focussize="0,0"/>
                  <v:stroke on="f" joinstyle="miter"/>
                  <v:imagedata r:id="rId28" o:title=""/>
                  <o:lock v:ext="edit" aspectratio="t"/>
                  <w10:wrap type="none"/>
                  <w10:anchorlock/>
                </v:shape>
                <o:OLEObject Type="Embed" ProgID="Equation.3" ShapeID="_x0000_i1030" DrawAspect="Content" ObjectID="_1468075730" r:id="rId27">
                  <o:LockedField>false</o:LockedField>
                </o:OLEObject>
              </w:object>
            </w:r>
          </w:p>
          <w:p>
            <w:pPr>
              <w:ind w:left="-103" w:leftChars="-43" w:firstLine="440" w:firstLineChars="200"/>
              <w:jc w:val="center"/>
              <w:rPr>
                <w:rFonts w:cs="Times New Roman"/>
                <w:sz w:val="21"/>
                <w:szCs w:val="21"/>
              </w:rPr>
            </w:pPr>
            <w:r>
              <w:rPr>
                <w:rFonts w:cs="Times New Roman"/>
                <w:spacing w:val="5"/>
                <w:kern w:val="0"/>
                <w:sz w:val="21"/>
                <w:szCs w:val="21"/>
              </w:rPr>
              <w:t>(R—设计半径)</w:t>
            </w:r>
          </w:p>
        </w:tc>
        <w:tc>
          <w:tcPr>
            <w:tcW w:w="1762" w:type="dxa"/>
            <w:tcBorders>
              <w:top w:val="single" w:color="auto" w:sz="6" w:space="0"/>
              <w:left w:val="single" w:color="auto" w:sz="6" w:space="0"/>
              <w:bottom w:val="single" w:color="auto" w:sz="6" w:space="0"/>
              <w:right w:val="single" w:color="auto" w:sz="6" w:space="0"/>
            </w:tcBorders>
            <w:vAlign w:val="center"/>
          </w:tcPr>
          <w:p>
            <w:pPr>
              <w:jc w:val="center"/>
              <w:rPr>
                <w:rFonts w:cs="Times New Roman"/>
                <w:spacing w:val="5"/>
                <w:kern w:val="0"/>
                <w:sz w:val="21"/>
                <w:szCs w:val="21"/>
              </w:rPr>
            </w:pPr>
            <w:r>
              <w:rPr>
                <w:rFonts w:cs="Times New Roman"/>
                <w:spacing w:val="5"/>
                <w:kern w:val="0"/>
                <w:sz w:val="21"/>
                <w:szCs w:val="21"/>
              </w:rPr>
              <w:t>用弦长D／4</w:t>
            </w:r>
          </w:p>
          <w:p>
            <w:pPr>
              <w:jc w:val="center"/>
              <w:rPr>
                <w:rFonts w:cs="Times New Roman"/>
                <w:sz w:val="21"/>
                <w:szCs w:val="21"/>
              </w:rPr>
            </w:pPr>
            <w:r>
              <w:rPr>
                <w:rFonts w:cs="Times New Roman"/>
                <w:spacing w:val="5"/>
                <w:kern w:val="0"/>
                <w:sz w:val="21"/>
                <w:szCs w:val="21"/>
              </w:rPr>
              <w:t>样板检查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半箍弧形板长度允许偏差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±3mm</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5"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3</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型钢长度允许偏差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±3mm</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506" w:hRule="atLeast"/>
        </w:trPr>
        <w:tc>
          <w:tcPr>
            <w:tcW w:w="440" w:type="dxa"/>
            <w:tcBorders>
              <w:top w:val="single" w:color="auto" w:sz="6" w:space="0"/>
              <w:left w:val="single" w:color="auto" w:sz="6" w:space="0"/>
              <w:bottom w:val="single" w:color="auto" w:sz="4"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4</w:t>
            </w:r>
          </w:p>
        </w:tc>
        <w:tc>
          <w:tcPr>
            <w:tcW w:w="3118" w:type="dxa"/>
            <w:tcBorders>
              <w:top w:val="single" w:color="auto" w:sz="6" w:space="0"/>
              <w:left w:val="single" w:color="auto" w:sz="6" w:space="0"/>
              <w:bottom w:val="single" w:color="auto" w:sz="4" w:space="0"/>
              <w:right w:val="single" w:color="auto" w:sz="6" w:space="0"/>
            </w:tcBorders>
            <w:vAlign w:val="center"/>
          </w:tcPr>
          <w:p>
            <w:pPr>
              <w:ind w:left="-90"/>
              <w:rPr>
                <w:rFonts w:cs="Times New Roman"/>
                <w:sz w:val="21"/>
                <w:szCs w:val="21"/>
              </w:rPr>
            </w:pPr>
            <w:r>
              <w:rPr>
                <w:rFonts w:cs="Times New Roman"/>
                <w:spacing w:val="5"/>
                <w:kern w:val="0"/>
                <w:sz w:val="21"/>
                <w:szCs w:val="21"/>
              </w:rPr>
              <w:t>型钢直线度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position w:val="-24"/>
                <w:sz w:val="21"/>
                <w:szCs w:val="21"/>
              </w:rPr>
              <w:object>
                <v:shape id="_x0000_i1031" o:spt="75" type="#_x0000_t75" style="height:30.75pt;width:27.75pt;" o:ole="t" filled="f" o:preferrelative="t" stroked="f" coordsize="21600,21600">
                  <v:path/>
                  <v:fill on="f" focussize="0,0"/>
                  <v:stroke on="f" joinstyle="miter"/>
                  <v:imagedata r:id="rId30" o:title=""/>
                  <o:lock v:ext="edit" aspectratio="t"/>
                  <w10:wrap type="none"/>
                  <w10:anchorlock/>
                </v:shape>
                <o:OLEObject Type="Embed" ProgID="Equation.3" ShapeID="_x0000_i1031" DrawAspect="Content" ObjectID="_1468075731" r:id="rId29">
                  <o:LockedField>false</o:LockedField>
                </o:OLEObject>
              </w:object>
            </w:r>
            <w:r>
              <w:rPr>
                <w:rFonts w:cs="Times New Roman"/>
                <w:spacing w:val="5"/>
                <w:kern w:val="0"/>
                <w:sz w:val="21"/>
                <w:szCs w:val="21"/>
              </w:rPr>
              <w:t xml:space="preserve">≤8mm </w:t>
            </w:r>
            <w:r>
              <w:rPr>
                <w:rFonts w:cs="Times New Roman"/>
                <w:spacing w:val="5"/>
                <w:kern w:val="0"/>
                <w:position w:val="-24"/>
                <w:sz w:val="21"/>
                <w:szCs w:val="21"/>
              </w:rPr>
              <w:object>
                <v:shape id="_x0000_i1032" o:spt="75" type="#_x0000_t75" style="height:30.75pt;width:27.75pt;" o:ole="t" filled="f" o:preferrelative="t" stroked="f" coordsize="21600,21600">
                  <v:path/>
                  <v:fill on="f" focussize="0,0"/>
                  <v:stroke on="f" joinstyle="miter"/>
                  <v:imagedata r:id="rId32" o:title=""/>
                  <o:lock v:ext="edit" aspectratio="t"/>
                  <w10:wrap type="none"/>
                  <w10:anchorlock/>
                </v:shape>
                <o:OLEObject Type="Embed" ProgID="Equation.3" ShapeID="_x0000_i1032" DrawAspect="Content" ObjectID="_1468075732" r:id="rId31">
                  <o:LockedField>false</o:LockedField>
                </o:OLEObject>
              </w:object>
            </w:r>
            <w:r>
              <w:rPr>
                <w:rFonts w:cs="Times New Roman"/>
                <w:spacing w:val="5"/>
                <w:kern w:val="0"/>
                <w:sz w:val="21"/>
                <w:szCs w:val="21"/>
              </w:rPr>
              <w:t>≤6mm</w:t>
            </w:r>
          </w:p>
          <w:p>
            <w:pPr>
              <w:ind w:left="-90"/>
              <w:jc w:val="center"/>
              <w:rPr>
                <w:rFonts w:cs="Times New Roman"/>
                <w:sz w:val="21"/>
                <w:szCs w:val="21"/>
              </w:rPr>
            </w:pPr>
            <w:r>
              <w:rPr>
                <w:rFonts w:cs="Times New Roman"/>
                <w:spacing w:val="5"/>
                <w:kern w:val="0"/>
                <w:sz w:val="21"/>
                <w:szCs w:val="21"/>
              </w:rPr>
              <w:t>(L—型钢长度)</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sz w:val="21"/>
                <w:szCs w:val="21"/>
              </w:rPr>
              <w:t>拉线和用</w:t>
            </w:r>
          </w:p>
          <w:p>
            <w:pPr>
              <w:ind w:left="-90"/>
              <w:jc w:val="center"/>
              <w:rPr>
                <w:rFonts w:cs="Times New Roman"/>
                <w:sz w:val="21"/>
                <w:szCs w:val="21"/>
              </w:rPr>
            </w:pPr>
            <w:r>
              <w:rPr>
                <w:rFonts w:cs="Times New Roman"/>
                <w:spacing w:val="5"/>
                <w:kern w:val="0"/>
                <w:sz w:val="21"/>
                <w:szCs w:val="21"/>
              </w:rPr>
              <w:t>尺检查</w:t>
            </w:r>
          </w:p>
        </w:tc>
      </w:tr>
      <w:tr>
        <w:tblPrEx>
          <w:tblLayout w:type="fixed"/>
          <w:tblCellMar>
            <w:top w:w="0" w:type="dxa"/>
            <w:left w:w="108" w:type="dxa"/>
            <w:bottom w:w="0" w:type="dxa"/>
            <w:right w:w="108" w:type="dxa"/>
          </w:tblCellMar>
        </w:tblPrEx>
        <w:trPr>
          <w:trHeight w:val="230" w:hRule="atLeast"/>
        </w:trPr>
        <w:tc>
          <w:tcPr>
            <w:tcW w:w="440" w:type="dxa"/>
            <w:tcBorders>
              <w:top w:val="single" w:color="auto" w:sz="4"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5</w:t>
            </w:r>
          </w:p>
        </w:tc>
        <w:tc>
          <w:tcPr>
            <w:tcW w:w="3118" w:type="dxa"/>
            <w:tcBorders>
              <w:top w:val="single" w:color="auto" w:sz="4"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拉杆长度允许偏差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w:t>
            </w:r>
            <w:r>
              <w:rPr>
                <w:rFonts w:cs="Times New Roman"/>
                <w:sz w:val="21"/>
                <w:szCs w:val="21"/>
              </w:rPr>
              <w:t>3mm</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224"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6</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螺纹拉杆丝扣长度允许偏差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十4mm</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224"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7</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螺纹公差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按GB197-81  6级精度</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螺纹量规</w:t>
            </w:r>
          </w:p>
        </w:tc>
      </w:tr>
      <w:tr>
        <w:tblPrEx>
          <w:tblLayout w:type="fixed"/>
          <w:tblCellMar>
            <w:top w:w="0" w:type="dxa"/>
            <w:left w:w="108" w:type="dxa"/>
            <w:bottom w:w="0" w:type="dxa"/>
            <w:right w:w="108" w:type="dxa"/>
          </w:tblCellMar>
        </w:tblPrEx>
        <w:trPr>
          <w:trHeight w:val="23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8</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吊耳环内横向纵向尺寸允许偏差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十2mm</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23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9</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吊耳环与吊杆焊后平面度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1mm</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512"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10</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拉杆直线度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position w:val="-24"/>
                <w:sz w:val="21"/>
                <w:szCs w:val="21"/>
              </w:rPr>
              <w:object>
                <v:shape id="_x0000_i1033" o:spt="75" type="#_x0000_t75" style="height:30.75pt;width:27.75pt;" o:ole="t" filled="f" o:preferrelative="t" stroked="f" coordsize="21600,21600">
                  <v:path/>
                  <v:fill on="f" focussize="0,0"/>
                  <v:stroke on="f" joinstyle="miter"/>
                  <v:imagedata r:id="rId18" o:title=""/>
                  <o:lock v:ext="edit" aspectratio="t"/>
                  <w10:wrap type="none"/>
                  <w10:anchorlock/>
                </v:shape>
                <o:OLEObject Type="Embed" ProgID="Equation.3" ShapeID="_x0000_i1033" DrawAspect="Content" ObjectID="_1468075733" r:id="rId33">
                  <o:LockedField>false</o:LockedField>
                </o:OLEObject>
              </w:object>
            </w:r>
            <w:r>
              <w:rPr>
                <w:rFonts w:cs="Times New Roman"/>
                <w:spacing w:val="5"/>
                <w:kern w:val="0"/>
                <w:sz w:val="21"/>
                <w:szCs w:val="21"/>
              </w:rPr>
              <w:t>≤4mm</w:t>
            </w:r>
          </w:p>
          <w:p>
            <w:pPr>
              <w:ind w:left="-90"/>
              <w:jc w:val="center"/>
              <w:rPr>
                <w:rFonts w:cs="Times New Roman"/>
                <w:sz w:val="21"/>
                <w:szCs w:val="21"/>
              </w:rPr>
            </w:pPr>
            <w:r>
              <w:rPr>
                <w:rFonts w:cs="Times New Roman"/>
                <w:spacing w:val="5"/>
                <w:kern w:val="0"/>
                <w:sz w:val="21"/>
                <w:szCs w:val="21"/>
              </w:rPr>
              <w:t>(L—拉杆设计长度)</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拉线和用尺检查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II</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包箍各边尺寸允许偏差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十2mm</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512"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12</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包箍内径允许偏差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position w:val="-24"/>
                <w:sz w:val="21"/>
                <w:szCs w:val="21"/>
              </w:rPr>
              <w:object>
                <v:shape id="_x0000_i1034" o:spt="75" type="#_x0000_t75" style="height:30.75pt;width:27.75pt;" o:ole="t" filled="f" o:preferrelative="t" stroked="f" coordsize="21600,21600">
                  <v:path/>
                  <v:fill on="f" focussize="0,0"/>
                  <v:stroke on="f" joinstyle="miter"/>
                  <v:imagedata r:id="rId35" o:title=""/>
                  <o:lock v:ext="edit" aspectratio="t"/>
                  <w10:wrap type="none"/>
                  <w10:anchorlock/>
                </v:shape>
                <o:OLEObject Type="Embed" ProgID="Equation.3" ShapeID="_x0000_i1034" DrawAspect="Content" ObjectID="_1468075734" r:id="rId34">
                  <o:LockedField>false</o:LockedField>
                </o:OLEObject>
              </w:object>
            </w:r>
          </w:p>
          <w:p>
            <w:pPr>
              <w:ind w:left="-90"/>
              <w:jc w:val="center"/>
              <w:rPr>
                <w:rFonts w:cs="Times New Roman"/>
                <w:sz w:val="21"/>
                <w:szCs w:val="21"/>
              </w:rPr>
            </w:pPr>
            <w:r>
              <w:rPr>
                <w:rFonts w:cs="Times New Roman"/>
                <w:spacing w:val="5"/>
                <w:kern w:val="0"/>
                <w:sz w:val="21"/>
                <w:szCs w:val="21"/>
              </w:rPr>
              <w:t>(D—包箍设计内径)</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13</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切割面平面度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1mm</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观察检查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14</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焊接</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按&lt;验标)焊接篇</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15</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涂漆</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7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按(验标)锅炉篇</w:t>
            </w:r>
          </w:p>
        </w:tc>
        <w:tc>
          <w:tcPr>
            <w:tcW w:w="1762"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r>
    </w:tbl>
    <w:p>
      <w:pPr>
        <w:rPr>
          <w:rFonts w:cs="Times New Roman"/>
        </w:rPr>
      </w:pPr>
      <w:r>
        <w:rPr>
          <w:rFonts w:cs="Times New Roman"/>
        </w:rPr>
        <w:t>3.5弹簧支吊架</w:t>
      </w:r>
    </w:p>
    <w:p>
      <w:pPr>
        <w:ind w:firstLine="480" w:firstLineChars="200"/>
        <w:rPr>
          <w:rFonts w:cs="Times New Roman"/>
        </w:rPr>
      </w:pPr>
      <w:r>
        <w:rPr>
          <w:rFonts w:cs="Times New Roman"/>
        </w:rPr>
        <w:t>弹簧支吊架无论是单个部件或两个以上部件组成，每个部件不可拼接，必须拼接时，应该用连接板过渡，连接板的尺寸应能保证焊缝长度≥100mm。</w:t>
      </w:r>
    </w:p>
    <w:p>
      <w:pPr>
        <w:ind w:firstLine="480" w:firstLineChars="200"/>
        <w:rPr>
          <w:rFonts w:cs="Times New Roman"/>
        </w:rPr>
      </w:pPr>
      <w:r>
        <w:rPr>
          <w:rFonts w:cs="Times New Roman"/>
        </w:rPr>
        <w:t>弹簧支吊架的根部构件应留有调节余量，该余量应有标志，以便在安装现场按需要进行切割调整。</w:t>
      </w:r>
    </w:p>
    <w:p>
      <w:pPr>
        <w:ind w:firstLine="480" w:firstLineChars="200"/>
        <w:rPr>
          <w:rFonts w:cs="Times New Roman"/>
        </w:rPr>
      </w:pPr>
      <w:r>
        <w:rPr>
          <w:rFonts w:cs="Times New Roman"/>
        </w:rPr>
        <w:t>所有的弹簧支吊架预制完毕，应按设计要求或规范要求进行符合性检查和质量检查，确保预制的支、吊架正确无误。</w:t>
      </w:r>
    </w:p>
    <w:p>
      <w:pPr>
        <w:numPr>
          <w:ilvl w:val="1"/>
          <w:numId w:val="18"/>
        </w:numPr>
        <w:tabs>
          <w:tab w:val="left" w:pos="525"/>
          <w:tab w:val="clear" w:pos="1100"/>
        </w:tabs>
        <w:ind w:hanging="1100"/>
        <w:rPr>
          <w:rFonts w:cs="Times New Roman"/>
          <w:b/>
          <w:bCs/>
        </w:rPr>
      </w:pPr>
      <w:r>
        <w:rPr>
          <w:rFonts w:cs="Times New Roman"/>
          <w:b/>
          <w:bCs/>
        </w:rPr>
        <w:t>质量保证</w:t>
      </w:r>
    </w:p>
    <w:p>
      <w:pPr>
        <w:rPr>
          <w:rFonts w:cs="Times New Roman"/>
        </w:rPr>
      </w:pPr>
      <w:r>
        <w:rPr>
          <w:rFonts w:cs="Times New Roman"/>
        </w:rPr>
        <w:t>卖方应有质量保证体系以确保产品质量和服务工作符合本技术规范书规定的要求。</w:t>
      </w:r>
    </w:p>
    <w:p>
      <w:pPr>
        <w:rPr>
          <w:rFonts w:cs="Times New Roman"/>
        </w:rPr>
      </w:pPr>
      <w:r>
        <w:rPr>
          <w:rFonts w:cs="Times New Roman"/>
        </w:rPr>
        <w:t>4.1设备生产制造之前，卖方应提交一份制造阶段将要进行检查试验的内容报告，使买方有所了解并对其进行见证。</w:t>
      </w:r>
    </w:p>
    <w:p>
      <w:pPr>
        <w:rPr>
          <w:rFonts w:cs="Times New Roman"/>
        </w:rPr>
      </w:pPr>
      <w:r>
        <w:rPr>
          <w:rFonts w:cs="Times New Roman"/>
        </w:rPr>
        <w:t>4.2对设备或材料有影响的一切制造、加工工序、试验和检查操作，都要接收卖方或买方检查员的监督。</w:t>
      </w:r>
    </w:p>
    <w:p>
      <w:pPr>
        <w:rPr>
          <w:rFonts w:cs="Times New Roman"/>
        </w:rPr>
      </w:pPr>
      <w:r>
        <w:rPr>
          <w:rFonts w:cs="Times New Roman"/>
        </w:rPr>
        <w:t>4.3对于设备在制造、加工和试验过程中不符合规程或标准的所有偏差，必须要有文件记录，并且卖方应及时进行处理。</w:t>
      </w:r>
    </w:p>
    <w:p>
      <w:pPr>
        <w:rPr>
          <w:rFonts w:cs="Times New Roman"/>
        </w:rPr>
      </w:pPr>
      <w:r>
        <w:rPr>
          <w:rFonts w:cs="Times New Roman"/>
        </w:rPr>
        <w:t>4.4同工作五天前提出。</w:t>
      </w:r>
    </w:p>
    <w:p>
      <w:pPr>
        <w:rPr>
          <w:rFonts w:cs="Times New Roman"/>
        </w:rPr>
      </w:pPr>
      <w:r>
        <w:rPr>
          <w:rFonts w:cs="Times New Roman"/>
        </w:rPr>
        <w:t>4.5卖方应提供有关质量保证的各项文件。这些文件至少包括：</w:t>
      </w:r>
    </w:p>
    <w:p>
      <w:pPr>
        <w:rPr>
          <w:rFonts w:cs="Times New Roman"/>
        </w:rPr>
      </w:pPr>
      <w:r>
        <w:rPr>
          <w:rFonts w:cs="Times New Roman"/>
        </w:rPr>
        <w:t>4.5.1产品检验合格证书（包括主要外购件）：表示全部设备和材料的供应是根据本技术规范书的要求和认可的误差。</w:t>
      </w:r>
    </w:p>
    <w:p>
      <w:pPr>
        <w:rPr>
          <w:rFonts w:cs="Times New Roman"/>
        </w:rPr>
      </w:pPr>
      <w:r>
        <w:rPr>
          <w:rFonts w:cs="Times New Roman"/>
        </w:rPr>
        <w:t>4.5.2材料检验合格证书</w:t>
      </w:r>
    </w:p>
    <w:p>
      <w:pPr>
        <w:rPr>
          <w:rFonts w:cs="Times New Roman"/>
        </w:rPr>
      </w:pPr>
      <w:r>
        <w:rPr>
          <w:rFonts w:cs="Times New Roman"/>
        </w:rPr>
        <w:t>4.5.3设备和材料加工制造中误差的文件记录和认可记录</w:t>
      </w:r>
    </w:p>
    <w:p>
      <w:pPr>
        <w:numPr>
          <w:ilvl w:val="1"/>
          <w:numId w:val="18"/>
        </w:numPr>
        <w:tabs>
          <w:tab w:val="left" w:pos="525"/>
          <w:tab w:val="clear" w:pos="1100"/>
        </w:tabs>
        <w:ind w:hanging="1100"/>
        <w:rPr>
          <w:rFonts w:cs="Times New Roman"/>
          <w:b/>
          <w:bCs/>
        </w:rPr>
      </w:pPr>
      <w:r>
        <w:rPr>
          <w:rFonts w:cs="Times New Roman"/>
          <w:b/>
          <w:bCs/>
        </w:rPr>
        <w:t>清洁，油漆，包装，装卸，运输与储存</w:t>
      </w:r>
    </w:p>
    <w:p>
      <w:pPr>
        <w:rPr>
          <w:rFonts w:cs="Times New Roman"/>
        </w:rPr>
      </w:pPr>
      <w:r>
        <w:rPr>
          <w:rFonts w:cs="Times New Roman"/>
        </w:rPr>
        <w:t>5.1设备的包装应符合GB/T13384标准的规定。</w:t>
      </w:r>
    </w:p>
    <w:p>
      <w:pPr>
        <w:rPr>
          <w:rFonts w:cs="Times New Roman"/>
        </w:rPr>
      </w:pPr>
      <w:r>
        <w:rPr>
          <w:rFonts w:cs="Times New Roman"/>
        </w:rPr>
        <w:t>5.2为了防止腐蚀，支吊架应进行油漆。所有钢结构的防腐满足相关规范的防腐要求。5.3所有支吊架按相关规范刷底漆，螺纹部分涂有防锈油脂。</w:t>
      </w:r>
    </w:p>
    <w:p>
      <w:pPr>
        <w:rPr>
          <w:rFonts w:cs="Times New Roman"/>
        </w:rPr>
      </w:pPr>
      <w:r>
        <w:rPr>
          <w:rFonts w:cs="Times New Roman"/>
        </w:rPr>
        <w:t>5.4高温管道支吊架应采用高温防腐漆。</w:t>
      </w:r>
    </w:p>
    <w:p>
      <w:pPr>
        <w:rPr>
          <w:rFonts w:cs="Times New Roman"/>
        </w:rPr>
      </w:pPr>
      <w:r>
        <w:rPr>
          <w:rFonts w:cs="Times New Roman"/>
        </w:rPr>
        <w:t>5.5设备应按装箱单分类包装，并使之在箱内固定牢靠，以免运输过程中变形和损坏。</w:t>
      </w:r>
    </w:p>
    <w:p>
      <w:pPr>
        <w:rPr>
          <w:rFonts w:cs="Times New Roman"/>
        </w:rPr>
      </w:pPr>
      <w:r>
        <w:rPr>
          <w:rFonts w:cs="Times New Roman"/>
        </w:rPr>
        <w:t>5.6所有外露部分应有保护装置和措施，防止在运输和储存期间损坏。</w:t>
      </w:r>
    </w:p>
    <w:p>
      <w:pPr>
        <w:rPr>
          <w:rFonts w:cs="Times New Roman"/>
        </w:rPr>
      </w:pPr>
      <w:r>
        <w:rPr>
          <w:rFonts w:cs="Times New Roman"/>
        </w:rPr>
        <w:t>5.7需要现场连接的螺纹孔或管座的焊接孔应采用螺纹或其它方式予以保护。</w:t>
      </w:r>
    </w:p>
    <w:p>
      <w:pPr>
        <w:rPr>
          <w:rFonts w:cs="Times New Roman"/>
        </w:rPr>
      </w:pPr>
      <w:r>
        <w:rPr>
          <w:rFonts w:cs="Times New Roman"/>
        </w:rPr>
        <w:t>5.8拉杆螺纹部分应采用胶带或橡胶套进行保护。</w:t>
      </w:r>
    </w:p>
    <w:p>
      <w:pPr>
        <w:rPr>
          <w:rFonts w:cs="Times New Roman"/>
        </w:rPr>
      </w:pPr>
      <w:r>
        <w:rPr>
          <w:rFonts w:cs="Times New Roman"/>
        </w:rPr>
        <w:t>5.9遮盖物、金属带子或紧扣件不应焊在设备上。</w:t>
      </w:r>
    </w:p>
    <w:p>
      <w:pPr>
        <w:numPr>
          <w:ilvl w:val="1"/>
          <w:numId w:val="18"/>
        </w:numPr>
        <w:tabs>
          <w:tab w:val="left" w:pos="525"/>
          <w:tab w:val="clear" w:pos="1100"/>
        </w:tabs>
        <w:ind w:hanging="1100"/>
        <w:rPr>
          <w:rFonts w:cs="Times New Roman"/>
          <w:b/>
          <w:bCs/>
        </w:rPr>
      </w:pPr>
      <w:r>
        <w:rPr>
          <w:rFonts w:cs="Times New Roman"/>
          <w:b/>
          <w:bCs/>
        </w:rPr>
        <w:t>供货范围</w:t>
      </w:r>
    </w:p>
    <w:p>
      <w:pPr>
        <w:rPr>
          <w:rFonts w:cs="Times New Roman"/>
        </w:rPr>
      </w:pPr>
      <w:r>
        <w:rPr>
          <w:rFonts w:cs="Times New Roman"/>
        </w:rPr>
        <w:t>6.1卖方应在买卖双方商定的时间内提供给买方所需数量的设备及备品备件，并保证符合本技术规范书规定的条文和买方书面提出的特殊要求。</w:t>
      </w:r>
    </w:p>
    <w:p>
      <w:pPr>
        <w:rPr>
          <w:rFonts w:cs="Times New Roman"/>
        </w:rPr>
      </w:pPr>
      <w:r>
        <w:rPr>
          <w:rFonts w:cs="Times New Roman"/>
        </w:rPr>
        <w:t>6.2支吊架包括吊架、支架、导向装置、固定装置、限位装置、阻尼器、弹簧等。</w:t>
      </w:r>
    </w:p>
    <w:p>
      <w:pPr>
        <w:rPr>
          <w:rFonts w:cs="Times New Roman"/>
          <w:b/>
        </w:rPr>
      </w:pPr>
      <w:r>
        <w:rPr>
          <w:rFonts w:cs="Times New Roman"/>
          <w:b/>
        </w:rPr>
        <w:t>6.3供货范围为所有支吊架的管部、弹簧、连接件等附件。且在支吊架生产之前需得到买方确认。</w:t>
      </w:r>
    </w:p>
    <w:p>
      <w:pPr>
        <w:rPr>
          <w:rFonts w:cs="Times New Roman"/>
        </w:rPr>
      </w:pPr>
      <w:r>
        <w:rPr>
          <w:rFonts w:cs="Times New Roman"/>
        </w:rPr>
        <w:t>6.4根据现场施工进度，卖方可采用分批供货。</w:t>
      </w:r>
    </w:p>
    <w:p>
      <w:pPr>
        <w:rPr>
          <w:rFonts w:cs="Times New Roman"/>
        </w:rPr>
      </w:pPr>
      <w:r>
        <w:rPr>
          <w:rFonts w:cs="Times New Roman"/>
        </w:rPr>
        <w:t>6.5供货应按系统分批分类供货，方便现场到货清点和安装，不得多系统参杂在一起供货。</w:t>
      </w:r>
    </w:p>
    <w:p>
      <w:pPr>
        <w:numPr>
          <w:ilvl w:val="1"/>
          <w:numId w:val="18"/>
        </w:numPr>
        <w:tabs>
          <w:tab w:val="left" w:pos="525"/>
          <w:tab w:val="clear" w:pos="1100"/>
        </w:tabs>
        <w:ind w:hanging="1100"/>
        <w:rPr>
          <w:rFonts w:cs="Times New Roman"/>
          <w:b/>
          <w:bCs/>
        </w:rPr>
      </w:pPr>
      <w:r>
        <w:rPr>
          <w:rFonts w:cs="Times New Roman"/>
          <w:b/>
          <w:bCs/>
        </w:rPr>
        <w:t>技术文件和图纸</w:t>
      </w:r>
    </w:p>
    <w:p>
      <w:pPr>
        <w:tabs>
          <w:tab w:val="left" w:pos="420"/>
          <w:tab w:val="left" w:pos="672"/>
        </w:tabs>
        <w:rPr>
          <w:rFonts w:cs="Times New Roman"/>
        </w:rPr>
      </w:pPr>
      <w:r>
        <w:rPr>
          <w:rFonts w:cs="Times New Roman"/>
        </w:rPr>
        <w:t>卖方应提供的技术文件（包括但不限于）</w:t>
      </w:r>
    </w:p>
    <w:p>
      <w:pPr>
        <w:numPr>
          <w:ilvl w:val="0"/>
          <w:numId w:val="20"/>
        </w:numPr>
        <w:rPr>
          <w:rFonts w:cs="Times New Roman"/>
        </w:rPr>
      </w:pPr>
      <w:r>
        <w:rPr>
          <w:rFonts w:cs="Times New Roman"/>
        </w:rPr>
        <w:t>有关说明书、供货清单；</w:t>
      </w:r>
    </w:p>
    <w:p>
      <w:pPr>
        <w:numPr>
          <w:ilvl w:val="0"/>
          <w:numId w:val="20"/>
        </w:numPr>
        <w:rPr>
          <w:rFonts w:cs="Times New Roman"/>
        </w:rPr>
      </w:pPr>
      <w:r>
        <w:rPr>
          <w:rFonts w:cs="Times New Roman"/>
        </w:rPr>
        <w:t>套装设备的供货清单及需要方自备的设备清单；</w:t>
      </w:r>
    </w:p>
    <w:p>
      <w:pPr>
        <w:numPr>
          <w:ilvl w:val="0"/>
          <w:numId w:val="20"/>
        </w:numPr>
        <w:rPr>
          <w:rFonts w:cs="Times New Roman"/>
        </w:rPr>
      </w:pPr>
      <w:r>
        <w:rPr>
          <w:rFonts w:cs="Times New Roman"/>
        </w:rPr>
        <w:t>主要部件试验报告，材料检验报告；</w:t>
      </w:r>
    </w:p>
    <w:p>
      <w:pPr>
        <w:numPr>
          <w:ilvl w:val="0"/>
          <w:numId w:val="20"/>
        </w:numPr>
        <w:rPr>
          <w:rFonts w:cs="Times New Roman"/>
        </w:rPr>
      </w:pPr>
      <w:r>
        <w:rPr>
          <w:rFonts w:cs="Times New Roman"/>
        </w:rPr>
        <w:t>装箱清单、合格证。</w:t>
      </w:r>
    </w:p>
    <w:p>
      <w:pPr>
        <w:numPr>
          <w:ilvl w:val="1"/>
          <w:numId w:val="18"/>
        </w:numPr>
        <w:tabs>
          <w:tab w:val="left" w:pos="525"/>
          <w:tab w:val="clear" w:pos="1100"/>
        </w:tabs>
        <w:ind w:hanging="1100"/>
        <w:rPr>
          <w:rFonts w:cs="Times New Roman"/>
          <w:b/>
        </w:rPr>
      </w:pPr>
      <w:r>
        <w:rPr>
          <w:rFonts w:cs="Times New Roman"/>
          <w:b/>
        </w:rPr>
        <w:t>供货清单</w:t>
      </w:r>
    </w:p>
    <w:p>
      <w:pPr>
        <w:rPr>
          <w:rFonts w:cs="Times New Roman" w:eastAsiaTheme="minorEastAsia"/>
          <w:b/>
        </w:rPr>
      </w:pPr>
      <w:r>
        <w:rPr>
          <w:rFonts w:cs="Times New Roman"/>
          <w:b/>
        </w:rPr>
        <w:t>供货清单详见本技术协议3.2.3条。</w:t>
      </w:r>
    </w:p>
    <w:p>
      <w:pPr>
        <w:rPr>
          <w:rFonts w:cs="Times New Roman" w:eastAsiaTheme="minorEastAsia"/>
        </w:rPr>
      </w:pPr>
    </w:p>
    <w:p>
      <w:pPr>
        <w:rPr>
          <w:rFonts w:cs="Times New Roman" w:eastAsiaTheme="minorEastAsia"/>
        </w:rPr>
      </w:pPr>
    </w:p>
    <w:p>
      <w:pPr>
        <w:rPr>
          <w:rFonts w:cs="Times New Roman" w:eastAsiaTheme="minorEastAsia"/>
          <w:b/>
        </w:rPr>
        <w:sectPr>
          <w:pgSz w:w="11907" w:h="16839"/>
          <w:pgMar w:top="1474" w:right="1418" w:bottom="1134" w:left="1418" w:header="567" w:footer="567" w:gutter="0"/>
          <w:cols w:space="720" w:num="1"/>
          <w:docGrid w:linePitch="326" w:charSpace="0"/>
        </w:sectPr>
      </w:pPr>
    </w:p>
    <w:p>
      <w:pPr>
        <w:pStyle w:val="2"/>
        <w:keepNext/>
        <w:keepLines/>
        <w:numPr>
          <w:ilvl w:val="0"/>
          <w:numId w:val="0"/>
        </w:numPr>
        <w:tabs>
          <w:tab w:val="left" w:pos="360"/>
        </w:tabs>
        <w:adjustRightInd w:val="0"/>
        <w:spacing w:before="120" w:beforeLines="50" w:after="156"/>
        <w:textAlignment w:val="baseline"/>
        <w:rPr>
          <w:rFonts w:hint="eastAsia"/>
        </w:rPr>
      </w:pPr>
      <w:bookmarkStart w:id="101" w:name="_Toc161505638"/>
      <w:r>
        <w:t>附件4、仪表、仪表阀及附件采购技术要求</w:t>
      </w:r>
      <w:bookmarkEnd w:id="101"/>
      <w:bookmarkStart w:id="102" w:name="_Toc161505681"/>
    </w:p>
    <w:p>
      <w:pPr>
        <w:pStyle w:val="2"/>
        <w:keepNext/>
        <w:keepLines/>
        <w:numPr>
          <w:ilvl w:val="0"/>
          <w:numId w:val="0"/>
        </w:numPr>
        <w:tabs>
          <w:tab w:val="left" w:pos="360"/>
        </w:tabs>
        <w:adjustRightInd w:val="0"/>
        <w:spacing w:before="120" w:beforeLines="50" w:after="156"/>
        <w:textAlignment w:val="baseline"/>
      </w:pPr>
      <w:r>
        <w:t>附件5、DCS部分采购技术要求</w:t>
      </w:r>
      <w:bookmarkEnd w:id="102"/>
    </w:p>
    <w:sectPr>
      <w:pgSz w:w="11907" w:h="16839"/>
      <w:pgMar w:top="1474" w:right="1418" w:bottom="1134" w:left="1418" w:header="850" w:footer="73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7264666"/>
    </w:sdtPr>
    <w:sdtContent>
      <w:p>
        <w:pPr>
          <w:pStyle w:val="22"/>
          <w:jc w:val="center"/>
        </w:pPr>
        <w:r>
          <w:fldChar w:fldCharType="begin"/>
        </w:r>
        <w:r>
          <w:instrText xml:space="preserve">PAGE   \* MERGEFORMAT</w:instrText>
        </w:r>
        <w:r>
          <w:fldChar w:fldCharType="separate"/>
        </w:r>
        <w:r>
          <w:rPr>
            <w:lang w:val="zh-CN"/>
          </w:rPr>
          <w:t>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873624"/>
    </w:sdtPr>
    <w:sdtContent>
      <w:p>
        <w:pPr>
          <w:pStyle w:val="22"/>
          <w:jc w:val="center"/>
        </w:pPr>
        <w:r>
          <w:fldChar w:fldCharType="begin"/>
        </w:r>
        <w:r>
          <w:instrText xml:space="preserve">PAGE   \* MERGEFORMAT</w:instrText>
        </w:r>
        <w:r>
          <w:fldChar w:fldCharType="separate"/>
        </w:r>
        <w:r>
          <w:rPr>
            <w:lang w:val="zh-CN"/>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465357"/>
    </w:sdtPr>
    <w:sdtContent>
      <w:p>
        <w:pPr>
          <w:pStyle w:val="22"/>
          <w:jc w:val="center"/>
        </w:pPr>
        <w:r>
          <w:rPr>
            <w:rFonts w:cs="Times New Roman"/>
            <w:sz w:val="21"/>
            <w:szCs w:val="21"/>
          </w:rPr>
          <w:fldChar w:fldCharType="begin"/>
        </w:r>
        <w:r>
          <w:rPr>
            <w:rFonts w:cs="Times New Roman"/>
            <w:sz w:val="21"/>
            <w:szCs w:val="21"/>
          </w:rPr>
          <w:instrText xml:space="preserve">PAGE   \* MERGEFORMAT</w:instrText>
        </w:r>
        <w:r>
          <w:rPr>
            <w:rFonts w:cs="Times New Roman"/>
            <w:sz w:val="21"/>
            <w:szCs w:val="21"/>
          </w:rPr>
          <w:fldChar w:fldCharType="separate"/>
        </w:r>
        <w:r>
          <w:rPr>
            <w:rFonts w:cs="Times New Roman"/>
            <w:sz w:val="21"/>
            <w:szCs w:val="21"/>
            <w:lang w:val="zh-CN"/>
          </w:rPr>
          <w:t>10</w:t>
        </w:r>
        <w:r>
          <w:rPr>
            <w:rFonts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801429"/>
    </w:sdtPr>
    <w:sdtContent>
      <w:p>
        <w:pPr>
          <w:pStyle w:val="22"/>
          <w:jc w:val="center"/>
        </w:pPr>
        <w:r>
          <w:rPr>
            <w:rFonts w:cs="Times New Roman"/>
            <w:sz w:val="21"/>
            <w:szCs w:val="21"/>
          </w:rPr>
          <w:fldChar w:fldCharType="begin"/>
        </w:r>
        <w:r>
          <w:rPr>
            <w:rFonts w:cs="Times New Roman"/>
            <w:sz w:val="21"/>
            <w:szCs w:val="21"/>
          </w:rPr>
          <w:instrText xml:space="preserve">PAGE   \* MERGEFORMAT</w:instrText>
        </w:r>
        <w:r>
          <w:rPr>
            <w:rFonts w:cs="Times New Roman"/>
            <w:sz w:val="21"/>
            <w:szCs w:val="21"/>
          </w:rPr>
          <w:fldChar w:fldCharType="separate"/>
        </w:r>
        <w:r>
          <w:rPr>
            <w:rFonts w:cs="Times New Roman"/>
            <w:sz w:val="21"/>
            <w:szCs w:val="21"/>
            <w:lang w:val="zh-CN"/>
          </w:rPr>
          <w:t>16</w:t>
        </w:r>
        <w:r>
          <w:rPr>
            <w:rFonts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jc w:val="center"/>
      <w:rPr>
        <w:rStyle w:val="38"/>
      </w:rPr>
    </w:pPr>
    <w:r>
      <w:fldChar w:fldCharType="begin"/>
    </w:r>
    <w:r>
      <w:rPr>
        <w:rStyle w:val="38"/>
      </w:rPr>
      <w:instrText xml:space="preserve"> PAGE </w:instrText>
    </w:r>
    <w:r>
      <w:fldChar w:fldCharType="separate"/>
    </w:r>
    <w:r>
      <w:rPr>
        <w:rStyle w:val="38"/>
      </w:rPr>
      <w:t>62</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decimal"/>
      <w:lvlText w:val="%1)"/>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0CF53C48"/>
    <w:multiLevelType w:val="multilevel"/>
    <w:tmpl w:val="0CF53C48"/>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0E0A61"/>
    <w:multiLevelType w:val="multilevel"/>
    <w:tmpl w:val="100E0A61"/>
    <w:lvl w:ilvl="0" w:tentative="0">
      <w:start w:val="1"/>
      <w:numFmt w:val="decimal"/>
      <w:lvlText w:val="4.%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0.13.%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1962039F"/>
    <w:multiLevelType w:val="multilevel"/>
    <w:tmpl w:val="1962039F"/>
    <w:lvl w:ilvl="0" w:tentative="0">
      <w:start w:val="1"/>
      <w:numFmt w:val="decimal"/>
      <w:lvlText w:val="%1)"/>
      <w:lvlJc w:val="left"/>
      <w:pPr>
        <w:ind w:left="1066" w:hanging="420"/>
      </w:pPr>
      <w:rPr>
        <w:rFonts w:hint="default" w:ascii="Times New Roman" w:hAnsi="Times New Roman" w:cs="Times New Roman"/>
        <w:sz w:val="24"/>
        <w:szCs w:val="24"/>
      </w:r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abstractNum w:abstractNumId="4">
    <w:nsid w:val="1B50747F"/>
    <w:multiLevelType w:val="multilevel"/>
    <w:tmpl w:val="1B50747F"/>
    <w:lvl w:ilvl="0" w:tentative="0">
      <w:start w:val="1"/>
      <w:numFmt w:val="decimal"/>
      <w:lvlText w:val="%1."/>
      <w:lvlJc w:val="left"/>
      <w:pPr>
        <w:tabs>
          <w:tab w:val="left" w:pos="680"/>
        </w:tabs>
        <w:ind w:left="680" w:hanging="680"/>
      </w:pPr>
      <w:rPr>
        <w:rFonts w:hint="eastAsia"/>
      </w:rPr>
    </w:lvl>
    <w:lvl w:ilvl="1" w:tentative="0">
      <w:start w:val="1"/>
      <w:numFmt w:val="decimal"/>
      <w:lvlText w:val="%2."/>
      <w:lvlJc w:val="left"/>
      <w:pPr>
        <w:tabs>
          <w:tab w:val="left" w:pos="1100"/>
        </w:tabs>
        <w:ind w:left="1100" w:hanging="680"/>
      </w:pPr>
      <w:rPr>
        <w:rFonts w:hint="eastAsia"/>
      </w:r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557176"/>
    <w:multiLevelType w:val="multilevel"/>
    <w:tmpl w:val="21557176"/>
    <w:lvl w:ilvl="0" w:tentative="0">
      <w:start w:val="1"/>
      <w:numFmt w:val="decimal"/>
      <w:pStyle w:val="60"/>
      <w:lvlText w:val="%1."/>
      <w:lvlJc w:val="left"/>
      <w:pPr>
        <w:ind w:left="168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3E07FF4"/>
    <w:multiLevelType w:val="multilevel"/>
    <w:tmpl w:val="23E07FF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lowerLetter"/>
      <w:lvlText w:val="%3)"/>
      <w:lvlJc w:val="left"/>
      <w:pPr>
        <w:ind w:left="2127" w:hanging="709"/>
      </w:pPr>
    </w:lvl>
    <w:lvl w:ilvl="3" w:tentative="0">
      <w:start w:val="1"/>
      <w:numFmt w:val="decimal"/>
      <w:lvlText w:val="%1.%2.%3.%4."/>
      <w:lvlJc w:val="left"/>
      <w:pPr>
        <w:ind w:left="1418"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280D285A"/>
    <w:multiLevelType w:val="multilevel"/>
    <w:tmpl w:val="280D285A"/>
    <w:lvl w:ilvl="0" w:tentative="0">
      <w:start w:val="1"/>
      <w:numFmt w:val="decimal"/>
      <w:pStyle w:val="2"/>
      <w:suff w:val="space"/>
      <w:lvlText w:val="%1."/>
      <w:lvlJc w:val="left"/>
      <w:pPr>
        <w:ind w:left="420" w:hanging="420"/>
      </w:pPr>
      <w:rPr>
        <w:rFonts w:hint="eastAsia"/>
      </w:rPr>
    </w:lvl>
    <w:lvl w:ilvl="1" w:tentative="0">
      <w:start w:val="1"/>
      <w:numFmt w:val="decimal"/>
      <w:pStyle w:val="3"/>
      <w:suff w:val="space"/>
      <w:lvlText w:val="%1.%2"/>
      <w:lvlJc w:val="left"/>
      <w:pPr>
        <w:ind w:left="0" w:firstLine="0"/>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4"/>
      <w:suff w:val="space"/>
      <w:lvlText w:val="%1.%2.%3"/>
      <w:lvlJc w:val="left"/>
      <w:pPr>
        <w:ind w:left="426" w:firstLine="0"/>
      </w:pPr>
      <w:rPr>
        <w:rFonts w:hint="default" w:ascii="Times New Roman" w:hAnsi="Times New Roman" w:cs="Times New Roman"/>
        <w:sz w:val="24"/>
        <w:szCs w:val="24"/>
        <w:lang w:val="en-US"/>
      </w:rPr>
    </w:lvl>
    <w:lvl w:ilvl="3" w:tentative="0">
      <w:start w:val="1"/>
      <w:numFmt w:val="decimal"/>
      <w:pStyle w:val="5"/>
      <w:suff w:val="space"/>
      <w:lvlText w:val="%1.%2.%3.%4"/>
      <w:lvlJc w:val="left"/>
      <w:pPr>
        <w:ind w:left="0" w:firstLine="0"/>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8">
    <w:nsid w:val="349164A9"/>
    <w:multiLevelType w:val="multilevel"/>
    <w:tmpl w:val="349164A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334C305"/>
    <w:multiLevelType w:val="singleLevel"/>
    <w:tmpl w:val="5334C305"/>
    <w:lvl w:ilvl="0" w:tentative="0">
      <w:start w:val="1"/>
      <w:numFmt w:val="decimal"/>
      <w:lvlText w:val="3.1.%1、"/>
      <w:lvlJc w:val="left"/>
      <w:pPr>
        <w:ind w:left="1412" w:hanging="420"/>
      </w:pPr>
      <w:rPr>
        <w:rFonts w:hint="default"/>
        <w:color w:val="auto"/>
      </w:rPr>
    </w:lvl>
  </w:abstractNum>
  <w:abstractNum w:abstractNumId="10">
    <w:nsid w:val="533BA86E"/>
    <w:multiLevelType w:val="singleLevel"/>
    <w:tmpl w:val="533BA86E"/>
    <w:lvl w:ilvl="0" w:tentative="0">
      <w:start w:val="1"/>
      <w:numFmt w:val="decimal"/>
      <w:lvlText w:val="%1)"/>
      <w:lvlJc w:val="left"/>
      <w:pPr>
        <w:tabs>
          <w:tab w:val="left" w:pos="425"/>
        </w:tabs>
        <w:ind w:left="425" w:hanging="425"/>
      </w:pPr>
      <w:rPr>
        <w:rFonts w:hint="default"/>
      </w:rPr>
    </w:lvl>
  </w:abstractNum>
  <w:abstractNum w:abstractNumId="11">
    <w:nsid w:val="54CAFAC8"/>
    <w:multiLevelType w:val="singleLevel"/>
    <w:tmpl w:val="54CAFAC8"/>
    <w:lvl w:ilvl="0" w:tentative="0">
      <w:start w:val="1"/>
      <w:numFmt w:val="decimalEnclosedCircleChinese"/>
      <w:suff w:val="nothing"/>
      <w:lvlText w:val="%1　"/>
      <w:lvlJc w:val="left"/>
      <w:pPr>
        <w:ind w:left="0" w:firstLine="400"/>
      </w:pPr>
      <w:rPr>
        <w:rFonts w:hint="eastAsia"/>
      </w:rPr>
    </w:lvl>
  </w:abstractNum>
  <w:abstractNum w:abstractNumId="12">
    <w:nsid w:val="5688726E"/>
    <w:multiLevelType w:val="multilevel"/>
    <w:tmpl w:val="5688726E"/>
    <w:lvl w:ilvl="0" w:tentative="0">
      <w:start w:val="1"/>
      <w:numFmt w:val="decimal"/>
      <w:suff w:val="space"/>
      <w:lvlText w:val="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8A87B9C"/>
    <w:multiLevelType w:val="multilevel"/>
    <w:tmpl w:val="58A87B9C"/>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ind w:left="142" w:firstLine="0"/>
      </w:pPr>
      <w:rPr>
        <w:rFonts w:hint="eastAsia"/>
      </w:rPr>
    </w:lvl>
    <w:lvl w:ilvl="3" w:tentative="0">
      <w:start w:val="1"/>
      <w:numFmt w:val="decimal"/>
      <w:suff w:val="nothing"/>
      <w:lvlText w:val="%4."/>
      <w:lvlJc w:val="left"/>
      <w:pPr>
        <w:ind w:left="142" w:firstLine="0"/>
      </w:pPr>
      <w:rPr>
        <w:rFonts w:hint="eastAsia"/>
      </w:rPr>
    </w:lvl>
    <w:lvl w:ilvl="4" w:tentative="0">
      <w:start w:val="1"/>
      <w:numFmt w:val="decimal"/>
      <w:suff w:val="nothing"/>
      <w:lvlText w:val="%4.%5"/>
      <w:lvlJc w:val="left"/>
      <w:pPr>
        <w:ind w:left="142" w:firstLine="0"/>
      </w:pPr>
      <w:rPr>
        <w:rFonts w:hint="eastAsia"/>
      </w:rPr>
    </w:lvl>
    <w:lvl w:ilvl="5" w:tentative="0">
      <w:start w:val="1"/>
      <w:numFmt w:val="none"/>
      <w:suff w:val="nothing"/>
      <w:lvlText w:val=""/>
      <w:lvlJc w:val="left"/>
      <w:pPr>
        <w:ind w:left="142" w:firstLine="0"/>
      </w:pPr>
      <w:rPr>
        <w:rFonts w:hint="eastAsia"/>
      </w:rPr>
    </w:lvl>
    <w:lvl w:ilvl="6" w:tentative="0">
      <w:start w:val="1"/>
      <w:numFmt w:val="none"/>
      <w:suff w:val="nothing"/>
      <w:lvlText w:val=""/>
      <w:lvlJc w:val="left"/>
      <w:pPr>
        <w:ind w:left="142" w:firstLine="0"/>
      </w:pPr>
      <w:rPr>
        <w:rFonts w:hint="eastAsia"/>
      </w:rPr>
    </w:lvl>
    <w:lvl w:ilvl="7" w:tentative="0">
      <w:start w:val="1"/>
      <w:numFmt w:val="none"/>
      <w:suff w:val="nothing"/>
      <w:lvlText w:val=""/>
      <w:lvlJc w:val="left"/>
      <w:pPr>
        <w:ind w:left="142" w:firstLine="0"/>
      </w:pPr>
      <w:rPr>
        <w:rFonts w:hint="eastAsia"/>
      </w:rPr>
    </w:lvl>
    <w:lvl w:ilvl="8" w:tentative="0">
      <w:start w:val="1"/>
      <w:numFmt w:val="none"/>
      <w:suff w:val="nothing"/>
      <w:lvlText w:val=""/>
      <w:lvlJc w:val="left"/>
      <w:pPr>
        <w:ind w:left="142" w:firstLine="0"/>
      </w:pPr>
      <w:rPr>
        <w:rFonts w:hint="eastAsia"/>
      </w:rPr>
    </w:lvl>
  </w:abstractNum>
  <w:abstractNum w:abstractNumId="14">
    <w:nsid w:val="6F4E4A1B"/>
    <w:multiLevelType w:val="multilevel"/>
    <w:tmpl w:val="6F4E4A1B"/>
    <w:lvl w:ilvl="0" w:tentative="0">
      <w:start w:val="1"/>
      <w:numFmt w:val="decimal"/>
      <w:lvlText w:val="10.2.%1"/>
      <w:lvlJc w:val="left"/>
      <w:pPr>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576141C"/>
    <w:multiLevelType w:val="multilevel"/>
    <w:tmpl w:val="7576141C"/>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rPr>
        <w:rFonts w:hint="eastAsia" w:ascii="Times New Roman" w:hAnsi="Times New Roman" w:eastAsia="宋体"/>
        <w:b w:val="0"/>
        <w:sz w:val="24"/>
        <w:szCs w:val="24"/>
      </w:rPr>
    </w:lvl>
    <w:lvl w:ilvl="2" w:tentative="0">
      <w:start w:val="1"/>
      <w:numFmt w:val="decimal"/>
      <w:suff w:val="space"/>
      <w:lvlText w:val="%1.%2.%3"/>
      <w:lvlJc w:val="left"/>
      <w:pPr>
        <w:ind w:left="0" w:firstLine="0"/>
      </w:pPr>
      <w:rPr>
        <w:rFonts w:hint="default" w:ascii="Times New Roman" w:hAnsi="Times New Roman" w:eastAsia="宋体"/>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5"/>
  </w:num>
  <w:num w:numId="3">
    <w:abstractNumId w:val="15"/>
  </w:num>
  <w:num w:numId="4">
    <w:abstractNumId w:val="6"/>
  </w:num>
  <w:num w:numId="5">
    <w:abstractNumId w:val="15"/>
    <w:lvlOverride w:ilvl="0">
      <w:startOverride w:val="6"/>
    </w:lvlOverride>
    <w:lvlOverride w:ilvl="1">
      <w:startOverride w:val="1"/>
    </w:lvlOverride>
    <w:lvlOverride w:ilvl="2">
      <w:startOverride w:val="2"/>
    </w:lvlOverride>
  </w:num>
  <w:num w:numId="6">
    <w:abstractNumId w:val="15"/>
    <w:lvlOverride w:ilvl="0">
      <w:startOverride w:val="6"/>
    </w:lvlOverride>
    <w:lvlOverride w:ilvl="1">
      <w:startOverride w:val="2"/>
    </w:lvlOverride>
    <w:lvlOverride w:ilvl="2">
      <w:startOverride w:val="4"/>
    </w:lvlOverride>
  </w:num>
  <w:num w:numId="7">
    <w:abstractNumId w:val="15"/>
    <w:lvlOverride w:ilvl="0">
      <w:startOverride w:val="6"/>
    </w:lvlOverride>
    <w:lvlOverride w:ilvl="1">
      <w:startOverride w:val="4"/>
    </w:lvlOverride>
  </w:num>
  <w:num w:numId="8">
    <w:abstractNumId w:val="1"/>
  </w:num>
  <w:num w:numId="9">
    <w:abstractNumId w:val="0"/>
  </w:num>
  <w:num w:numId="10">
    <w:abstractNumId w:val="14"/>
  </w:num>
  <w:num w:numId="11">
    <w:abstractNumId w:val="15"/>
    <w:lvlOverride w:ilvl="0">
      <w:startOverride w:val="6"/>
    </w:lvlOverride>
    <w:lvlOverride w:ilvl="1">
      <w:startOverride w:val="3"/>
    </w:lvlOverride>
  </w:num>
  <w:num w:numId="12">
    <w:abstractNumId w:val="9"/>
  </w:num>
  <w:num w:numId="13">
    <w:abstractNumId w:val="13"/>
  </w:num>
  <w:num w:numId="14">
    <w:abstractNumId w:val="12"/>
  </w:num>
  <w:num w:numId="15">
    <w:abstractNumId w:val="3"/>
  </w:num>
  <w:num w:numId="16">
    <w:abstractNumId w:val="10"/>
  </w:num>
  <w:num w:numId="17">
    <w:abstractNumId w:val="11"/>
  </w:num>
  <w:num w:numId="18">
    <w:abstractNumId w:val="4"/>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zFhOGVmNzRkM2M5ODI1N2QyYzk3YTNmOGQxMzAifQ=="/>
  </w:docVars>
  <w:rsids>
    <w:rsidRoot w:val="006255D9"/>
    <w:rsid w:val="000015CC"/>
    <w:rsid w:val="00001C57"/>
    <w:rsid w:val="00002A7D"/>
    <w:rsid w:val="00002C4C"/>
    <w:rsid w:val="00005354"/>
    <w:rsid w:val="00024BA8"/>
    <w:rsid w:val="000330C4"/>
    <w:rsid w:val="00034151"/>
    <w:rsid w:val="000348FB"/>
    <w:rsid w:val="00034C17"/>
    <w:rsid w:val="000358C7"/>
    <w:rsid w:val="00040714"/>
    <w:rsid w:val="00040B96"/>
    <w:rsid w:val="00046F58"/>
    <w:rsid w:val="000548BC"/>
    <w:rsid w:val="00054A89"/>
    <w:rsid w:val="00054C5F"/>
    <w:rsid w:val="000574AA"/>
    <w:rsid w:val="00057B19"/>
    <w:rsid w:val="00060453"/>
    <w:rsid w:val="00066E20"/>
    <w:rsid w:val="000671E9"/>
    <w:rsid w:val="00071959"/>
    <w:rsid w:val="00071BCD"/>
    <w:rsid w:val="00071F12"/>
    <w:rsid w:val="00072D5A"/>
    <w:rsid w:val="000742DD"/>
    <w:rsid w:val="00075B37"/>
    <w:rsid w:val="00076E6C"/>
    <w:rsid w:val="00077DC4"/>
    <w:rsid w:val="00093B12"/>
    <w:rsid w:val="00093CA5"/>
    <w:rsid w:val="0009729C"/>
    <w:rsid w:val="000974C6"/>
    <w:rsid w:val="000A019B"/>
    <w:rsid w:val="000A0FD7"/>
    <w:rsid w:val="000A3574"/>
    <w:rsid w:val="000A61DE"/>
    <w:rsid w:val="000B7C5A"/>
    <w:rsid w:val="000C233A"/>
    <w:rsid w:val="000C60B2"/>
    <w:rsid w:val="000D0F15"/>
    <w:rsid w:val="000D4A0A"/>
    <w:rsid w:val="000D6EB9"/>
    <w:rsid w:val="000E527D"/>
    <w:rsid w:val="000F56DF"/>
    <w:rsid w:val="000F7F1C"/>
    <w:rsid w:val="0010000F"/>
    <w:rsid w:val="001033A0"/>
    <w:rsid w:val="0010404C"/>
    <w:rsid w:val="00105F92"/>
    <w:rsid w:val="00106611"/>
    <w:rsid w:val="0011118E"/>
    <w:rsid w:val="00112EA9"/>
    <w:rsid w:val="0011790A"/>
    <w:rsid w:val="00120929"/>
    <w:rsid w:val="00120CF9"/>
    <w:rsid w:val="001309C7"/>
    <w:rsid w:val="00150381"/>
    <w:rsid w:val="00150713"/>
    <w:rsid w:val="001509FC"/>
    <w:rsid w:val="00152718"/>
    <w:rsid w:val="001649B7"/>
    <w:rsid w:val="00164FEC"/>
    <w:rsid w:val="00172DC2"/>
    <w:rsid w:val="00174C13"/>
    <w:rsid w:val="00180520"/>
    <w:rsid w:val="0018490C"/>
    <w:rsid w:val="00187016"/>
    <w:rsid w:val="001949BE"/>
    <w:rsid w:val="00195879"/>
    <w:rsid w:val="001A18A8"/>
    <w:rsid w:val="001A52C8"/>
    <w:rsid w:val="001A65F4"/>
    <w:rsid w:val="001A6DD6"/>
    <w:rsid w:val="001A78ED"/>
    <w:rsid w:val="001B1102"/>
    <w:rsid w:val="001B13D5"/>
    <w:rsid w:val="001B1FCA"/>
    <w:rsid w:val="001B34E1"/>
    <w:rsid w:val="001B6231"/>
    <w:rsid w:val="001C0891"/>
    <w:rsid w:val="001C60C0"/>
    <w:rsid w:val="001D2F15"/>
    <w:rsid w:val="001D3097"/>
    <w:rsid w:val="001D66E1"/>
    <w:rsid w:val="001F598D"/>
    <w:rsid w:val="0020304D"/>
    <w:rsid w:val="00213499"/>
    <w:rsid w:val="00216013"/>
    <w:rsid w:val="00216578"/>
    <w:rsid w:val="00217EFE"/>
    <w:rsid w:val="00222452"/>
    <w:rsid w:val="00226DFB"/>
    <w:rsid w:val="00234372"/>
    <w:rsid w:val="002343A6"/>
    <w:rsid w:val="002352C1"/>
    <w:rsid w:val="0023596F"/>
    <w:rsid w:val="002363C1"/>
    <w:rsid w:val="00245098"/>
    <w:rsid w:val="00250B83"/>
    <w:rsid w:val="00250B9A"/>
    <w:rsid w:val="00250F69"/>
    <w:rsid w:val="00251975"/>
    <w:rsid w:val="00257179"/>
    <w:rsid w:val="00257E28"/>
    <w:rsid w:val="00264BA4"/>
    <w:rsid w:val="00265A7D"/>
    <w:rsid w:val="00267B67"/>
    <w:rsid w:val="002704EF"/>
    <w:rsid w:val="00271B0B"/>
    <w:rsid w:val="00275A17"/>
    <w:rsid w:val="00281B8E"/>
    <w:rsid w:val="002854FB"/>
    <w:rsid w:val="00287104"/>
    <w:rsid w:val="00296846"/>
    <w:rsid w:val="002A07D9"/>
    <w:rsid w:val="002A13B4"/>
    <w:rsid w:val="002A3C74"/>
    <w:rsid w:val="002A3F8B"/>
    <w:rsid w:val="002A4630"/>
    <w:rsid w:val="002B312B"/>
    <w:rsid w:val="002B34D0"/>
    <w:rsid w:val="002C140F"/>
    <w:rsid w:val="002D5B14"/>
    <w:rsid w:val="002D647A"/>
    <w:rsid w:val="002D6E15"/>
    <w:rsid w:val="002E18D6"/>
    <w:rsid w:val="00301D80"/>
    <w:rsid w:val="0030639D"/>
    <w:rsid w:val="00312C7A"/>
    <w:rsid w:val="00312E4A"/>
    <w:rsid w:val="00320360"/>
    <w:rsid w:val="00321146"/>
    <w:rsid w:val="0033548F"/>
    <w:rsid w:val="00344349"/>
    <w:rsid w:val="00344A08"/>
    <w:rsid w:val="003529E4"/>
    <w:rsid w:val="00356B87"/>
    <w:rsid w:val="003708BC"/>
    <w:rsid w:val="00371492"/>
    <w:rsid w:val="003725F3"/>
    <w:rsid w:val="00374577"/>
    <w:rsid w:val="00374FCD"/>
    <w:rsid w:val="003764D8"/>
    <w:rsid w:val="0038065A"/>
    <w:rsid w:val="00391DCD"/>
    <w:rsid w:val="00394631"/>
    <w:rsid w:val="003A1895"/>
    <w:rsid w:val="003A2FF4"/>
    <w:rsid w:val="003A3348"/>
    <w:rsid w:val="003A7430"/>
    <w:rsid w:val="003B0753"/>
    <w:rsid w:val="003B7040"/>
    <w:rsid w:val="003C052D"/>
    <w:rsid w:val="003C2DA5"/>
    <w:rsid w:val="003D1854"/>
    <w:rsid w:val="003D5B29"/>
    <w:rsid w:val="003E316C"/>
    <w:rsid w:val="003E3C3F"/>
    <w:rsid w:val="003E41F8"/>
    <w:rsid w:val="003F4426"/>
    <w:rsid w:val="003F518F"/>
    <w:rsid w:val="00400C3A"/>
    <w:rsid w:val="00404953"/>
    <w:rsid w:val="00411009"/>
    <w:rsid w:val="0041116D"/>
    <w:rsid w:val="00411235"/>
    <w:rsid w:val="00415F0F"/>
    <w:rsid w:val="00423129"/>
    <w:rsid w:val="00427F2D"/>
    <w:rsid w:val="00433F67"/>
    <w:rsid w:val="00441745"/>
    <w:rsid w:val="00442705"/>
    <w:rsid w:val="004466F8"/>
    <w:rsid w:val="00447658"/>
    <w:rsid w:val="00447B17"/>
    <w:rsid w:val="00451E07"/>
    <w:rsid w:val="00456A09"/>
    <w:rsid w:val="0046006C"/>
    <w:rsid w:val="0046397C"/>
    <w:rsid w:val="00465CAD"/>
    <w:rsid w:val="00472085"/>
    <w:rsid w:val="00476AA2"/>
    <w:rsid w:val="00482F8C"/>
    <w:rsid w:val="00496564"/>
    <w:rsid w:val="004A6953"/>
    <w:rsid w:val="004C3975"/>
    <w:rsid w:val="004C5BFC"/>
    <w:rsid w:val="004D0193"/>
    <w:rsid w:val="004D050C"/>
    <w:rsid w:val="004D2D85"/>
    <w:rsid w:val="004D3BFA"/>
    <w:rsid w:val="004E2AA9"/>
    <w:rsid w:val="004E5E4C"/>
    <w:rsid w:val="004E7965"/>
    <w:rsid w:val="004F2CED"/>
    <w:rsid w:val="004F4E5B"/>
    <w:rsid w:val="004F726F"/>
    <w:rsid w:val="005076B4"/>
    <w:rsid w:val="00511760"/>
    <w:rsid w:val="00535D19"/>
    <w:rsid w:val="005424ED"/>
    <w:rsid w:val="00543B59"/>
    <w:rsid w:val="00544782"/>
    <w:rsid w:val="005473C0"/>
    <w:rsid w:val="0055303E"/>
    <w:rsid w:val="00553B75"/>
    <w:rsid w:val="0056293B"/>
    <w:rsid w:val="00580506"/>
    <w:rsid w:val="00581504"/>
    <w:rsid w:val="00582DD2"/>
    <w:rsid w:val="00585C6E"/>
    <w:rsid w:val="005926BF"/>
    <w:rsid w:val="00593FEB"/>
    <w:rsid w:val="005961E7"/>
    <w:rsid w:val="005965A9"/>
    <w:rsid w:val="005A3933"/>
    <w:rsid w:val="005B2FD0"/>
    <w:rsid w:val="005C10B1"/>
    <w:rsid w:val="005C5B03"/>
    <w:rsid w:val="005C6054"/>
    <w:rsid w:val="005C6AD9"/>
    <w:rsid w:val="005C6BAE"/>
    <w:rsid w:val="005D0C8E"/>
    <w:rsid w:val="005D2E5D"/>
    <w:rsid w:val="005D5744"/>
    <w:rsid w:val="005D720E"/>
    <w:rsid w:val="005E2675"/>
    <w:rsid w:val="005E2805"/>
    <w:rsid w:val="005E6315"/>
    <w:rsid w:val="005F0D29"/>
    <w:rsid w:val="005F2AB4"/>
    <w:rsid w:val="0060393D"/>
    <w:rsid w:val="00605167"/>
    <w:rsid w:val="0061588A"/>
    <w:rsid w:val="006200B0"/>
    <w:rsid w:val="00624B3F"/>
    <w:rsid w:val="006255D9"/>
    <w:rsid w:val="00626CBC"/>
    <w:rsid w:val="00634EF4"/>
    <w:rsid w:val="00636B3B"/>
    <w:rsid w:val="0064246B"/>
    <w:rsid w:val="00646002"/>
    <w:rsid w:val="00661FD8"/>
    <w:rsid w:val="00661FF1"/>
    <w:rsid w:val="006655FB"/>
    <w:rsid w:val="006659B1"/>
    <w:rsid w:val="00666BCC"/>
    <w:rsid w:val="00670BA1"/>
    <w:rsid w:val="00672B82"/>
    <w:rsid w:val="006748BC"/>
    <w:rsid w:val="0067585D"/>
    <w:rsid w:val="00680F9E"/>
    <w:rsid w:val="00691DC5"/>
    <w:rsid w:val="00693FC5"/>
    <w:rsid w:val="006968B5"/>
    <w:rsid w:val="006A1F8A"/>
    <w:rsid w:val="006A405A"/>
    <w:rsid w:val="006A4B56"/>
    <w:rsid w:val="006A613C"/>
    <w:rsid w:val="006A6951"/>
    <w:rsid w:val="006C0205"/>
    <w:rsid w:val="006D15D3"/>
    <w:rsid w:val="006D3A5A"/>
    <w:rsid w:val="006D3D3A"/>
    <w:rsid w:val="006D45B0"/>
    <w:rsid w:val="006E1269"/>
    <w:rsid w:val="006E3C3B"/>
    <w:rsid w:val="006E5303"/>
    <w:rsid w:val="00700884"/>
    <w:rsid w:val="0070107D"/>
    <w:rsid w:val="00705914"/>
    <w:rsid w:val="00705FA7"/>
    <w:rsid w:val="007071BC"/>
    <w:rsid w:val="00711448"/>
    <w:rsid w:val="00715B60"/>
    <w:rsid w:val="00724AAC"/>
    <w:rsid w:val="00733C8D"/>
    <w:rsid w:val="00735427"/>
    <w:rsid w:val="0075560C"/>
    <w:rsid w:val="00763193"/>
    <w:rsid w:val="0076400A"/>
    <w:rsid w:val="00765800"/>
    <w:rsid w:val="007741CE"/>
    <w:rsid w:val="00774B06"/>
    <w:rsid w:val="00777216"/>
    <w:rsid w:val="00777370"/>
    <w:rsid w:val="007818AF"/>
    <w:rsid w:val="00784FDD"/>
    <w:rsid w:val="00792404"/>
    <w:rsid w:val="0079431C"/>
    <w:rsid w:val="007A373D"/>
    <w:rsid w:val="007B77CD"/>
    <w:rsid w:val="007B7BB0"/>
    <w:rsid w:val="007C25B1"/>
    <w:rsid w:val="007C4A68"/>
    <w:rsid w:val="007C77F2"/>
    <w:rsid w:val="007D66B1"/>
    <w:rsid w:val="007E1A48"/>
    <w:rsid w:val="007E1EF2"/>
    <w:rsid w:val="007E6085"/>
    <w:rsid w:val="007E6820"/>
    <w:rsid w:val="007F182C"/>
    <w:rsid w:val="007F343D"/>
    <w:rsid w:val="007F3876"/>
    <w:rsid w:val="007F455F"/>
    <w:rsid w:val="007F5034"/>
    <w:rsid w:val="00800B64"/>
    <w:rsid w:val="0080774C"/>
    <w:rsid w:val="008111F9"/>
    <w:rsid w:val="00815916"/>
    <w:rsid w:val="00820051"/>
    <w:rsid w:val="0082090D"/>
    <w:rsid w:val="00822335"/>
    <w:rsid w:val="00824EC3"/>
    <w:rsid w:val="00834C5C"/>
    <w:rsid w:val="00840531"/>
    <w:rsid w:val="008409AE"/>
    <w:rsid w:val="008457F3"/>
    <w:rsid w:val="00852124"/>
    <w:rsid w:val="008524E7"/>
    <w:rsid w:val="00854AD0"/>
    <w:rsid w:val="00855931"/>
    <w:rsid w:val="008609D2"/>
    <w:rsid w:val="00863E22"/>
    <w:rsid w:val="00867D75"/>
    <w:rsid w:val="00867F3E"/>
    <w:rsid w:val="008703CB"/>
    <w:rsid w:val="00872318"/>
    <w:rsid w:val="008738A4"/>
    <w:rsid w:val="008753A2"/>
    <w:rsid w:val="00875E3F"/>
    <w:rsid w:val="00877341"/>
    <w:rsid w:val="0088259A"/>
    <w:rsid w:val="00883A49"/>
    <w:rsid w:val="008840E9"/>
    <w:rsid w:val="00884BA4"/>
    <w:rsid w:val="008868FB"/>
    <w:rsid w:val="00895DDA"/>
    <w:rsid w:val="00897338"/>
    <w:rsid w:val="008979EC"/>
    <w:rsid w:val="008A162B"/>
    <w:rsid w:val="008A218E"/>
    <w:rsid w:val="008A507A"/>
    <w:rsid w:val="008A670B"/>
    <w:rsid w:val="008A7ED1"/>
    <w:rsid w:val="008B3FBA"/>
    <w:rsid w:val="008C3C50"/>
    <w:rsid w:val="008C621A"/>
    <w:rsid w:val="008D01A8"/>
    <w:rsid w:val="008E4443"/>
    <w:rsid w:val="008E4468"/>
    <w:rsid w:val="008E7026"/>
    <w:rsid w:val="008F1557"/>
    <w:rsid w:val="008F6A83"/>
    <w:rsid w:val="00901232"/>
    <w:rsid w:val="00904ADF"/>
    <w:rsid w:val="009067B4"/>
    <w:rsid w:val="00907E8B"/>
    <w:rsid w:val="0091066B"/>
    <w:rsid w:val="00914FE8"/>
    <w:rsid w:val="009176AE"/>
    <w:rsid w:val="009206C3"/>
    <w:rsid w:val="00923D5C"/>
    <w:rsid w:val="009268E7"/>
    <w:rsid w:val="00930C7C"/>
    <w:rsid w:val="00931299"/>
    <w:rsid w:val="00934987"/>
    <w:rsid w:val="00934CD5"/>
    <w:rsid w:val="00937F8B"/>
    <w:rsid w:val="009477BB"/>
    <w:rsid w:val="00947D3D"/>
    <w:rsid w:val="00954E25"/>
    <w:rsid w:val="00962A95"/>
    <w:rsid w:val="009665A1"/>
    <w:rsid w:val="0096755F"/>
    <w:rsid w:val="00971A88"/>
    <w:rsid w:val="009827C6"/>
    <w:rsid w:val="00982990"/>
    <w:rsid w:val="00982F54"/>
    <w:rsid w:val="00984208"/>
    <w:rsid w:val="009900DD"/>
    <w:rsid w:val="009912C4"/>
    <w:rsid w:val="009937C5"/>
    <w:rsid w:val="009A0086"/>
    <w:rsid w:val="009A6EEE"/>
    <w:rsid w:val="009B2CCC"/>
    <w:rsid w:val="009C5F39"/>
    <w:rsid w:val="009C7AD5"/>
    <w:rsid w:val="009D078D"/>
    <w:rsid w:val="009D14FE"/>
    <w:rsid w:val="009D275F"/>
    <w:rsid w:val="009D6EFF"/>
    <w:rsid w:val="009E2C76"/>
    <w:rsid w:val="009E4DC6"/>
    <w:rsid w:val="009E54F9"/>
    <w:rsid w:val="009F31B6"/>
    <w:rsid w:val="00A04E5B"/>
    <w:rsid w:val="00A05670"/>
    <w:rsid w:val="00A05DE3"/>
    <w:rsid w:val="00A07929"/>
    <w:rsid w:val="00A10520"/>
    <w:rsid w:val="00A10825"/>
    <w:rsid w:val="00A11F60"/>
    <w:rsid w:val="00A174C3"/>
    <w:rsid w:val="00A20BC3"/>
    <w:rsid w:val="00A21B96"/>
    <w:rsid w:val="00A23139"/>
    <w:rsid w:val="00A30DA1"/>
    <w:rsid w:val="00A32947"/>
    <w:rsid w:val="00A33662"/>
    <w:rsid w:val="00A3408A"/>
    <w:rsid w:val="00A35932"/>
    <w:rsid w:val="00A40075"/>
    <w:rsid w:val="00A4350C"/>
    <w:rsid w:val="00A50386"/>
    <w:rsid w:val="00A57846"/>
    <w:rsid w:val="00A6097C"/>
    <w:rsid w:val="00A60BAB"/>
    <w:rsid w:val="00A63DBE"/>
    <w:rsid w:val="00A67792"/>
    <w:rsid w:val="00A67B78"/>
    <w:rsid w:val="00A7062C"/>
    <w:rsid w:val="00A80437"/>
    <w:rsid w:val="00A84644"/>
    <w:rsid w:val="00A86322"/>
    <w:rsid w:val="00A90B30"/>
    <w:rsid w:val="00A921CD"/>
    <w:rsid w:val="00A94C05"/>
    <w:rsid w:val="00A958DD"/>
    <w:rsid w:val="00AA0D5D"/>
    <w:rsid w:val="00AA329B"/>
    <w:rsid w:val="00AA6D2D"/>
    <w:rsid w:val="00AB1798"/>
    <w:rsid w:val="00AB20F0"/>
    <w:rsid w:val="00AB3CDE"/>
    <w:rsid w:val="00AB4A49"/>
    <w:rsid w:val="00AB7966"/>
    <w:rsid w:val="00AC377D"/>
    <w:rsid w:val="00AC3C40"/>
    <w:rsid w:val="00AD386C"/>
    <w:rsid w:val="00AD39AA"/>
    <w:rsid w:val="00AD6C86"/>
    <w:rsid w:val="00AD7A46"/>
    <w:rsid w:val="00AE070D"/>
    <w:rsid w:val="00AE0A69"/>
    <w:rsid w:val="00AE2CB7"/>
    <w:rsid w:val="00AE3658"/>
    <w:rsid w:val="00AE554F"/>
    <w:rsid w:val="00AE5FD4"/>
    <w:rsid w:val="00AE7515"/>
    <w:rsid w:val="00AF0C54"/>
    <w:rsid w:val="00AF41FA"/>
    <w:rsid w:val="00AF47CA"/>
    <w:rsid w:val="00AF6855"/>
    <w:rsid w:val="00B00EBF"/>
    <w:rsid w:val="00B017DA"/>
    <w:rsid w:val="00B07ED5"/>
    <w:rsid w:val="00B20916"/>
    <w:rsid w:val="00B24051"/>
    <w:rsid w:val="00B26C42"/>
    <w:rsid w:val="00B27FD2"/>
    <w:rsid w:val="00B30507"/>
    <w:rsid w:val="00B30FAB"/>
    <w:rsid w:val="00B33380"/>
    <w:rsid w:val="00B333BB"/>
    <w:rsid w:val="00B360CE"/>
    <w:rsid w:val="00B44BA8"/>
    <w:rsid w:val="00B56321"/>
    <w:rsid w:val="00B568E1"/>
    <w:rsid w:val="00B574E6"/>
    <w:rsid w:val="00B6109E"/>
    <w:rsid w:val="00B62D6C"/>
    <w:rsid w:val="00B6460F"/>
    <w:rsid w:val="00B64CE4"/>
    <w:rsid w:val="00B65A2B"/>
    <w:rsid w:val="00B67467"/>
    <w:rsid w:val="00B72740"/>
    <w:rsid w:val="00B72F00"/>
    <w:rsid w:val="00B90DC1"/>
    <w:rsid w:val="00B91168"/>
    <w:rsid w:val="00B91580"/>
    <w:rsid w:val="00B92E5D"/>
    <w:rsid w:val="00B934E4"/>
    <w:rsid w:val="00B940DB"/>
    <w:rsid w:val="00BA0BBB"/>
    <w:rsid w:val="00BA21A7"/>
    <w:rsid w:val="00BA5591"/>
    <w:rsid w:val="00BA6244"/>
    <w:rsid w:val="00BB27E9"/>
    <w:rsid w:val="00BB2EFD"/>
    <w:rsid w:val="00BB4A94"/>
    <w:rsid w:val="00BB5FCE"/>
    <w:rsid w:val="00BB6B76"/>
    <w:rsid w:val="00BD5091"/>
    <w:rsid w:val="00BD7CBE"/>
    <w:rsid w:val="00BE130C"/>
    <w:rsid w:val="00BE1499"/>
    <w:rsid w:val="00BE2568"/>
    <w:rsid w:val="00BE3EEE"/>
    <w:rsid w:val="00BE4FA8"/>
    <w:rsid w:val="00BE5A33"/>
    <w:rsid w:val="00BF154D"/>
    <w:rsid w:val="00C009BE"/>
    <w:rsid w:val="00C02061"/>
    <w:rsid w:val="00C024EE"/>
    <w:rsid w:val="00C23765"/>
    <w:rsid w:val="00C26F5F"/>
    <w:rsid w:val="00C378E1"/>
    <w:rsid w:val="00C4230A"/>
    <w:rsid w:val="00C43883"/>
    <w:rsid w:val="00C76B6D"/>
    <w:rsid w:val="00C87690"/>
    <w:rsid w:val="00C93376"/>
    <w:rsid w:val="00C93922"/>
    <w:rsid w:val="00CA3918"/>
    <w:rsid w:val="00CA70D8"/>
    <w:rsid w:val="00CA75CB"/>
    <w:rsid w:val="00CB0B7E"/>
    <w:rsid w:val="00CB3717"/>
    <w:rsid w:val="00CB5C5F"/>
    <w:rsid w:val="00CB6942"/>
    <w:rsid w:val="00CC0419"/>
    <w:rsid w:val="00CC1A5B"/>
    <w:rsid w:val="00CD3234"/>
    <w:rsid w:val="00CD5E38"/>
    <w:rsid w:val="00CE51E0"/>
    <w:rsid w:val="00CE6C99"/>
    <w:rsid w:val="00CF13EC"/>
    <w:rsid w:val="00CF38BE"/>
    <w:rsid w:val="00CF410F"/>
    <w:rsid w:val="00D035AF"/>
    <w:rsid w:val="00D152C0"/>
    <w:rsid w:val="00D177A6"/>
    <w:rsid w:val="00D202AD"/>
    <w:rsid w:val="00D237A7"/>
    <w:rsid w:val="00D26AAC"/>
    <w:rsid w:val="00D303B3"/>
    <w:rsid w:val="00D313B1"/>
    <w:rsid w:val="00D318D4"/>
    <w:rsid w:val="00D45E41"/>
    <w:rsid w:val="00D46861"/>
    <w:rsid w:val="00D46EBA"/>
    <w:rsid w:val="00D50B50"/>
    <w:rsid w:val="00D527AD"/>
    <w:rsid w:val="00D52995"/>
    <w:rsid w:val="00D539A1"/>
    <w:rsid w:val="00D60B2E"/>
    <w:rsid w:val="00D63FBC"/>
    <w:rsid w:val="00D6435A"/>
    <w:rsid w:val="00D70E34"/>
    <w:rsid w:val="00D72E36"/>
    <w:rsid w:val="00D73B7E"/>
    <w:rsid w:val="00D73F75"/>
    <w:rsid w:val="00D73FD0"/>
    <w:rsid w:val="00D740F2"/>
    <w:rsid w:val="00D812BB"/>
    <w:rsid w:val="00D81B77"/>
    <w:rsid w:val="00D84D03"/>
    <w:rsid w:val="00D87D0B"/>
    <w:rsid w:val="00D94996"/>
    <w:rsid w:val="00D95B75"/>
    <w:rsid w:val="00DA25CB"/>
    <w:rsid w:val="00DA3D8B"/>
    <w:rsid w:val="00DA6468"/>
    <w:rsid w:val="00DB0150"/>
    <w:rsid w:val="00DB52A9"/>
    <w:rsid w:val="00DC67BE"/>
    <w:rsid w:val="00DD1299"/>
    <w:rsid w:val="00DD2A87"/>
    <w:rsid w:val="00DD381D"/>
    <w:rsid w:val="00DD5BF6"/>
    <w:rsid w:val="00DE1DE5"/>
    <w:rsid w:val="00DE6550"/>
    <w:rsid w:val="00DE7B10"/>
    <w:rsid w:val="00DF0CBE"/>
    <w:rsid w:val="00DF25B0"/>
    <w:rsid w:val="00E019AB"/>
    <w:rsid w:val="00E02320"/>
    <w:rsid w:val="00E02801"/>
    <w:rsid w:val="00E02BDC"/>
    <w:rsid w:val="00E05175"/>
    <w:rsid w:val="00E079A0"/>
    <w:rsid w:val="00E11481"/>
    <w:rsid w:val="00E12482"/>
    <w:rsid w:val="00E14961"/>
    <w:rsid w:val="00E21E7D"/>
    <w:rsid w:val="00E37CE0"/>
    <w:rsid w:val="00E42331"/>
    <w:rsid w:val="00E429FB"/>
    <w:rsid w:val="00E4798B"/>
    <w:rsid w:val="00E56E0B"/>
    <w:rsid w:val="00E63528"/>
    <w:rsid w:val="00E63541"/>
    <w:rsid w:val="00E66DF5"/>
    <w:rsid w:val="00E67643"/>
    <w:rsid w:val="00E71275"/>
    <w:rsid w:val="00E71576"/>
    <w:rsid w:val="00E76D51"/>
    <w:rsid w:val="00E82B41"/>
    <w:rsid w:val="00E90D45"/>
    <w:rsid w:val="00EA1523"/>
    <w:rsid w:val="00EA5ECA"/>
    <w:rsid w:val="00EB0392"/>
    <w:rsid w:val="00EB08BC"/>
    <w:rsid w:val="00EC0DE4"/>
    <w:rsid w:val="00EE73FD"/>
    <w:rsid w:val="00EE7569"/>
    <w:rsid w:val="00EF0528"/>
    <w:rsid w:val="00F0261C"/>
    <w:rsid w:val="00F02734"/>
    <w:rsid w:val="00F03FE2"/>
    <w:rsid w:val="00F05B75"/>
    <w:rsid w:val="00F153C8"/>
    <w:rsid w:val="00F17927"/>
    <w:rsid w:val="00F22077"/>
    <w:rsid w:val="00F259CD"/>
    <w:rsid w:val="00F27B17"/>
    <w:rsid w:val="00F3203A"/>
    <w:rsid w:val="00F335CF"/>
    <w:rsid w:val="00F453C8"/>
    <w:rsid w:val="00F603E9"/>
    <w:rsid w:val="00F7420E"/>
    <w:rsid w:val="00F8029F"/>
    <w:rsid w:val="00F84DA3"/>
    <w:rsid w:val="00F9394D"/>
    <w:rsid w:val="00F97AE1"/>
    <w:rsid w:val="00FA0FD2"/>
    <w:rsid w:val="00FA135B"/>
    <w:rsid w:val="00FA2367"/>
    <w:rsid w:val="00FA23FD"/>
    <w:rsid w:val="00FA526F"/>
    <w:rsid w:val="00FB0179"/>
    <w:rsid w:val="00FB2215"/>
    <w:rsid w:val="00FC60DD"/>
    <w:rsid w:val="00FC691F"/>
    <w:rsid w:val="00FD1B31"/>
    <w:rsid w:val="00FD4DAA"/>
    <w:rsid w:val="00FD58E1"/>
    <w:rsid w:val="00FD72BE"/>
    <w:rsid w:val="00FE0495"/>
    <w:rsid w:val="00FF350A"/>
    <w:rsid w:val="00FF35F3"/>
    <w:rsid w:val="00FF6A38"/>
    <w:rsid w:val="0FD74E06"/>
    <w:rsid w:val="1B507FEC"/>
    <w:rsid w:val="25726251"/>
    <w:rsid w:val="26D90B8A"/>
    <w:rsid w:val="2C8449A2"/>
    <w:rsid w:val="2CF975B3"/>
    <w:rsid w:val="39EC42E1"/>
    <w:rsid w:val="455E5395"/>
    <w:rsid w:val="4B310AF5"/>
    <w:rsid w:val="653A7427"/>
    <w:rsid w:val="6A406013"/>
    <w:rsid w:val="70B97F85"/>
    <w:rsid w:val="7A4B7C9D"/>
    <w:rsid w:val="7F1C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43"/>
    <w:qFormat/>
    <w:uiPriority w:val="0"/>
    <w:pPr>
      <w:numPr>
        <w:ilvl w:val="0"/>
        <w:numId w:val="1"/>
      </w:numPr>
      <w:jc w:val="left"/>
      <w:outlineLvl w:val="0"/>
    </w:pPr>
    <w:rPr>
      <w:rFonts w:eastAsia="黑体" w:cs="Times New Roman"/>
      <w:bCs/>
      <w:kern w:val="44"/>
      <w:sz w:val="28"/>
      <w:szCs w:val="44"/>
    </w:rPr>
  </w:style>
  <w:style w:type="paragraph" w:styleId="3">
    <w:name w:val="heading 2"/>
    <w:basedOn w:val="1"/>
    <w:next w:val="1"/>
    <w:link w:val="42"/>
    <w:qFormat/>
    <w:uiPriority w:val="0"/>
    <w:pPr>
      <w:numPr>
        <w:ilvl w:val="1"/>
        <w:numId w:val="1"/>
      </w:numPr>
      <w:outlineLvl w:val="1"/>
    </w:pPr>
    <w:rPr>
      <w:rFonts w:cs="Times New Roman"/>
      <w:bCs/>
      <w:szCs w:val="24"/>
    </w:rPr>
  </w:style>
  <w:style w:type="paragraph" w:styleId="4">
    <w:name w:val="heading 3"/>
    <w:basedOn w:val="1"/>
    <w:next w:val="1"/>
    <w:link w:val="44"/>
    <w:qFormat/>
    <w:uiPriority w:val="0"/>
    <w:pPr>
      <w:numPr>
        <w:ilvl w:val="2"/>
        <w:numId w:val="1"/>
      </w:numPr>
      <w:snapToGrid w:val="0"/>
      <w:outlineLvl w:val="2"/>
    </w:pPr>
    <w:rPr>
      <w:rFonts w:cs="Times New Roman"/>
      <w:bCs/>
      <w:szCs w:val="28"/>
    </w:rPr>
  </w:style>
  <w:style w:type="paragraph" w:styleId="5">
    <w:name w:val="heading 4"/>
    <w:basedOn w:val="1"/>
    <w:next w:val="1"/>
    <w:link w:val="45"/>
    <w:qFormat/>
    <w:uiPriority w:val="0"/>
    <w:pPr>
      <w:numPr>
        <w:ilvl w:val="3"/>
        <w:numId w:val="1"/>
      </w:numPr>
      <w:jc w:val="left"/>
      <w:outlineLvl w:val="3"/>
    </w:pPr>
    <w:rPr>
      <w:rFonts w:cs="Times New Roman"/>
      <w:bCs/>
      <w:szCs w:val="28"/>
    </w:rPr>
  </w:style>
  <w:style w:type="paragraph" w:styleId="6">
    <w:name w:val="heading 5"/>
    <w:basedOn w:val="1"/>
    <w:next w:val="1"/>
    <w:link w:val="46"/>
    <w:qFormat/>
    <w:uiPriority w:val="0"/>
    <w:pPr>
      <w:keepNext/>
      <w:keepLines/>
      <w:numPr>
        <w:ilvl w:val="4"/>
        <w:numId w:val="1"/>
      </w:numPr>
      <w:jc w:val="left"/>
      <w:outlineLvl w:val="4"/>
    </w:pPr>
    <w:rPr>
      <w:rFonts w:cs="宋体"/>
      <w:bCs/>
      <w:szCs w:val="28"/>
    </w:rPr>
  </w:style>
  <w:style w:type="paragraph" w:styleId="7">
    <w:name w:val="heading 6"/>
    <w:basedOn w:val="1"/>
    <w:next w:val="1"/>
    <w:link w:val="47"/>
    <w:qFormat/>
    <w:uiPriority w:val="0"/>
    <w:pPr>
      <w:keepNext/>
      <w:keepLines/>
      <w:numPr>
        <w:ilvl w:val="5"/>
        <w:numId w:val="1"/>
      </w:numPr>
      <w:spacing w:before="240" w:after="64" w:line="320" w:lineRule="auto"/>
      <w:outlineLvl w:val="5"/>
    </w:pPr>
    <w:rPr>
      <w:rFonts w:ascii="Cambria" w:hAnsi="Cambria" w:cs="Times New Roman"/>
      <w:b/>
      <w:bCs/>
      <w:szCs w:val="24"/>
    </w:rPr>
  </w:style>
  <w:style w:type="paragraph" w:styleId="8">
    <w:name w:val="heading 7"/>
    <w:basedOn w:val="1"/>
    <w:next w:val="1"/>
    <w:link w:val="48"/>
    <w:unhideWhenUsed/>
    <w:qFormat/>
    <w:uiPriority w:val="0"/>
    <w:pPr>
      <w:keepNext/>
      <w:keepLines/>
      <w:numPr>
        <w:ilvl w:val="6"/>
        <w:numId w:val="1"/>
      </w:numPr>
      <w:spacing w:before="240" w:after="64" w:line="320" w:lineRule="auto"/>
      <w:outlineLvl w:val="6"/>
    </w:pPr>
    <w:rPr>
      <w:rFonts w:cs="宋体"/>
      <w:b/>
      <w:bCs/>
      <w:szCs w:val="24"/>
    </w:rPr>
  </w:style>
  <w:style w:type="paragraph" w:styleId="9">
    <w:name w:val="heading 8"/>
    <w:basedOn w:val="1"/>
    <w:next w:val="1"/>
    <w:link w:val="49"/>
    <w:unhideWhenUsed/>
    <w:qFormat/>
    <w:uiPriority w:val="0"/>
    <w:pPr>
      <w:keepNext/>
      <w:keepLines/>
      <w:numPr>
        <w:ilvl w:val="7"/>
        <w:numId w:val="1"/>
      </w:numPr>
      <w:spacing w:before="240" w:after="64" w:line="320" w:lineRule="auto"/>
      <w:outlineLvl w:val="7"/>
    </w:pPr>
    <w:rPr>
      <w:rFonts w:ascii="Cambria" w:hAnsi="Cambria" w:cs="Times New Roman"/>
      <w:szCs w:val="24"/>
    </w:rPr>
  </w:style>
  <w:style w:type="paragraph" w:styleId="10">
    <w:name w:val="heading 9"/>
    <w:basedOn w:val="1"/>
    <w:next w:val="1"/>
    <w:link w:val="50"/>
    <w:unhideWhenUsed/>
    <w:qFormat/>
    <w:uiPriority w:val="0"/>
    <w:pPr>
      <w:keepNext/>
      <w:keepLines/>
      <w:numPr>
        <w:ilvl w:val="8"/>
        <w:numId w:val="1"/>
      </w:numPr>
      <w:spacing w:before="240" w:after="64" w:line="320" w:lineRule="auto"/>
      <w:outlineLvl w:val="8"/>
    </w:pPr>
    <w:rPr>
      <w:rFonts w:ascii="Cambria" w:hAnsi="Cambria" w:cs="Times New Roman"/>
      <w:szCs w:val="21"/>
    </w:rPr>
  </w:style>
  <w:style w:type="character" w:default="1" w:styleId="37">
    <w:name w:val="Default Paragraph Font"/>
    <w:semiHidden/>
    <w:unhideWhenUsed/>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pPr>
    <w:rPr>
      <w:rFonts w:asciiTheme="minorHAnsi" w:hAnsiTheme="minorHAnsi" w:eastAsiaTheme="minorEastAsia"/>
      <w:sz w:val="21"/>
    </w:rPr>
  </w:style>
  <w:style w:type="paragraph" w:styleId="12">
    <w:name w:val="Normal Indent"/>
    <w:basedOn w:val="1"/>
    <w:qFormat/>
    <w:uiPriority w:val="0"/>
    <w:pPr>
      <w:adjustRightInd w:val="0"/>
      <w:ind w:firstLine="480" w:firstLineChars="200"/>
      <w:jc w:val="left"/>
      <w:textAlignment w:val="baseline"/>
    </w:pPr>
    <w:rPr>
      <w:rFonts w:cs="Times New Roman"/>
      <w:kern w:val="0"/>
      <w:szCs w:val="20"/>
    </w:rPr>
  </w:style>
  <w:style w:type="paragraph" w:styleId="13">
    <w:name w:val="annotation text"/>
    <w:basedOn w:val="1"/>
    <w:link w:val="51"/>
    <w:semiHidden/>
    <w:unhideWhenUsed/>
    <w:qFormat/>
    <w:uiPriority w:val="0"/>
    <w:pPr>
      <w:jc w:val="left"/>
    </w:pPr>
  </w:style>
  <w:style w:type="paragraph" w:styleId="14">
    <w:name w:val="Body Text"/>
    <w:basedOn w:val="1"/>
    <w:link w:val="52"/>
    <w:unhideWhenUsed/>
    <w:qFormat/>
    <w:uiPriority w:val="99"/>
    <w:pPr>
      <w:spacing w:after="120"/>
    </w:pPr>
  </w:style>
  <w:style w:type="paragraph" w:styleId="15">
    <w:name w:val="Body Text Indent"/>
    <w:basedOn w:val="1"/>
    <w:link w:val="53"/>
    <w:semiHidden/>
    <w:unhideWhenUsed/>
    <w:qFormat/>
    <w:uiPriority w:val="99"/>
    <w:pPr>
      <w:spacing w:after="120"/>
      <w:ind w:left="420" w:leftChars="200"/>
    </w:pPr>
  </w:style>
  <w:style w:type="paragraph" w:styleId="16">
    <w:name w:val="toc 5"/>
    <w:basedOn w:val="1"/>
    <w:next w:val="1"/>
    <w:unhideWhenUsed/>
    <w:qFormat/>
    <w:uiPriority w:val="39"/>
    <w:pPr>
      <w:spacing w:line="240" w:lineRule="auto"/>
      <w:ind w:left="1680" w:leftChars="800"/>
    </w:pPr>
    <w:rPr>
      <w:rFonts w:asciiTheme="minorHAnsi" w:hAnsiTheme="minorHAnsi" w:eastAsiaTheme="minorEastAsia"/>
      <w:sz w:val="21"/>
    </w:rPr>
  </w:style>
  <w:style w:type="paragraph" w:styleId="17">
    <w:name w:val="toc 3"/>
    <w:basedOn w:val="1"/>
    <w:next w:val="1"/>
    <w:unhideWhenUsed/>
    <w:qFormat/>
    <w:uiPriority w:val="39"/>
    <w:pPr>
      <w:ind w:left="840" w:leftChars="400"/>
    </w:pPr>
  </w:style>
  <w:style w:type="paragraph" w:styleId="18">
    <w:name w:val="Plain Text"/>
    <w:basedOn w:val="1"/>
    <w:link w:val="85"/>
    <w:qFormat/>
    <w:uiPriority w:val="0"/>
    <w:pPr>
      <w:spacing w:line="240" w:lineRule="auto"/>
    </w:pPr>
    <w:rPr>
      <w:rFonts w:ascii="宋体" w:hAnsi="Courier New" w:cs="Times New Roman"/>
      <w:sz w:val="21"/>
      <w:szCs w:val="20"/>
    </w:rPr>
  </w:style>
  <w:style w:type="paragraph" w:styleId="19">
    <w:name w:val="toc 8"/>
    <w:basedOn w:val="1"/>
    <w:next w:val="1"/>
    <w:unhideWhenUsed/>
    <w:qFormat/>
    <w:uiPriority w:val="39"/>
    <w:pPr>
      <w:spacing w:line="240" w:lineRule="auto"/>
      <w:ind w:left="2940" w:leftChars="1400"/>
    </w:pPr>
    <w:rPr>
      <w:rFonts w:asciiTheme="minorHAnsi" w:hAnsiTheme="minorHAnsi" w:eastAsiaTheme="minorEastAsia"/>
      <w:sz w:val="21"/>
    </w:rPr>
  </w:style>
  <w:style w:type="paragraph" w:styleId="20">
    <w:name w:val="Date"/>
    <w:basedOn w:val="1"/>
    <w:next w:val="1"/>
    <w:link w:val="54"/>
    <w:unhideWhenUsed/>
    <w:qFormat/>
    <w:uiPriority w:val="0"/>
    <w:pPr>
      <w:ind w:left="100" w:leftChars="2500"/>
    </w:pPr>
  </w:style>
  <w:style w:type="paragraph" w:styleId="21">
    <w:name w:val="Balloon Text"/>
    <w:basedOn w:val="1"/>
    <w:link w:val="55"/>
    <w:unhideWhenUsed/>
    <w:qFormat/>
    <w:uiPriority w:val="0"/>
    <w:rPr>
      <w:sz w:val="18"/>
      <w:szCs w:val="18"/>
    </w:rPr>
  </w:style>
  <w:style w:type="paragraph" w:styleId="22">
    <w:name w:val="footer"/>
    <w:basedOn w:val="1"/>
    <w:link w:val="56"/>
    <w:unhideWhenUsed/>
    <w:qFormat/>
    <w:uiPriority w:val="0"/>
    <w:pPr>
      <w:tabs>
        <w:tab w:val="center" w:pos="4153"/>
        <w:tab w:val="right" w:pos="8306"/>
      </w:tabs>
      <w:snapToGrid w:val="0"/>
      <w:jc w:val="left"/>
    </w:pPr>
    <w:rPr>
      <w:sz w:val="18"/>
      <w:szCs w:val="18"/>
    </w:rPr>
  </w:style>
  <w:style w:type="paragraph" w:styleId="23">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spacing w:line="240" w:lineRule="auto"/>
      <w:ind w:left="1260" w:leftChars="600"/>
    </w:pPr>
    <w:rPr>
      <w:rFonts w:asciiTheme="minorHAnsi" w:hAnsiTheme="minorHAnsi" w:eastAsiaTheme="minorEastAsia"/>
      <w:sz w:val="21"/>
    </w:rPr>
  </w:style>
  <w:style w:type="paragraph" w:styleId="26">
    <w:name w:val="index heading"/>
    <w:basedOn w:val="1"/>
    <w:next w:val="27"/>
    <w:qFormat/>
    <w:uiPriority w:val="0"/>
    <w:pPr>
      <w:ind w:firstLine="113"/>
      <w:jc w:val="left"/>
    </w:pPr>
    <w:rPr>
      <w:rFonts w:cs="Times New Roman"/>
      <w:szCs w:val="20"/>
    </w:rPr>
  </w:style>
  <w:style w:type="paragraph" w:styleId="27">
    <w:name w:val="index 1"/>
    <w:basedOn w:val="1"/>
    <w:next w:val="1"/>
    <w:unhideWhenUsed/>
    <w:qFormat/>
    <w:uiPriority w:val="0"/>
  </w:style>
  <w:style w:type="paragraph" w:styleId="28">
    <w:name w:val="toc 6"/>
    <w:basedOn w:val="1"/>
    <w:next w:val="1"/>
    <w:unhideWhenUsed/>
    <w:qFormat/>
    <w:uiPriority w:val="39"/>
    <w:pPr>
      <w:spacing w:line="240" w:lineRule="auto"/>
      <w:ind w:left="2100" w:leftChars="1000"/>
    </w:pPr>
    <w:rPr>
      <w:rFonts w:asciiTheme="minorHAnsi" w:hAnsiTheme="minorHAnsi" w:eastAsiaTheme="minorEastAsia"/>
      <w:sz w:val="21"/>
    </w:r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spacing w:line="240" w:lineRule="auto"/>
      <w:ind w:left="3360" w:leftChars="1600"/>
    </w:pPr>
    <w:rPr>
      <w:rFonts w:asciiTheme="minorHAnsi" w:hAnsiTheme="minorHAnsi" w:eastAsiaTheme="minorEastAsia"/>
      <w:sz w:val="21"/>
    </w:rPr>
  </w:style>
  <w:style w:type="paragraph" w:styleId="31">
    <w:name w:val="Title"/>
    <w:basedOn w:val="1"/>
    <w:next w:val="1"/>
    <w:link w:val="74"/>
    <w:qFormat/>
    <w:uiPriority w:val="0"/>
    <w:pPr>
      <w:spacing w:before="120" w:after="120"/>
      <w:ind w:firstLine="482"/>
      <w:jc w:val="left"/>
      <w:outlineLvl w:val="0"/>
    </w:pPr>
    <w:rPr>
      <w:rFonts w:asciiTheme="majorHAnsi" w:hAnsiTheme="majorHAnsi" w:cstheme="majorBidi"/>
      <w:b/>
      <w:bCs/>
      <w:szCs w:val="32"/>
    </w:rPr>
  </w:style>
  <w:style w:type="paragraph" w:styleId="32">
    <w:name w:val="annotation subject"/>
    <w:basedOn w:val="13"/>
    <w:next w:val="13"/>
    <w:link w:val="58"/>
    <w:semiHidden/>
    <w:unhideWhenUsed/>
    <w:qFormat/>
    <w:uiPriority w:val="0"/>
    <w:rPr>
      <w:b/>
      <w:bCs/>
    </w:rPr>
  </w:style>
  <w:style w:type="paragraph" w:styleId="33">
    <w:name w:val="Body Text First Indent"/>
    <w:basedOn w:val="14"/>
    <w:link w:val="59"/>
    <w:qFormat/>
    <w:uiPriority w:val="0"/>
    <w:pPr>
      <w:ind w:firstLine="420" w:firstLineChars="100"/>
    </w:pPr>
    <w:rPr>
      <w:rFonts w:cs="Times New Roman"/>
      <w:szCs w:val="24"/>
    </w:rPr>
  </w:style>
  <w:style w:type="paragraph" w:styleId="34">
    <w:name w:val="Body Text First Indent 2"/>
    <w:basedOn w:val="15"/>
    <w:link w:val="87"/>
    <w:semiHidden/>
    <w:unhideWhenUsed/>
    <w:qFormat/>
    <w:uiPriority w:val="99"/>
    <w:pPr>
      <w:ind w:firstLine="420" w:firstLineChars="200"/>
    </w:p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8">
    <w:name w:val="page number"/>
    <w:qFormat/>
    <w:uiPriority w:val="0"/>
  </w:style>
  <w:style w:type="character" w:styleId="39">
    <w:name w:val="Hyperlink"/>
    <w:basedOn w:val="37"/>
    <w:unhideWhenUsed/>
    <w:qFormat/>
    <w:uiPriority w:val="99"/>
    <w:rPr>
      <w:color w:val="0000FF" w:themeColor="hyperlink"/>
      <w:u w:val="single"/>
      <w14:textFill>
        <w14:solidFill>
          <w14:schemeClr w14:val="hlink"/>
        </w14:solidFill>
      </w14:textFill>
    </w:rPr>
  </w:style>
  <w:style w:type="character" w:styleId="40">
    <w:name w:val="annotation reference"/>
    <w:basedOn w:val="37"/>
    <w:semiHidden/>
    <w:unhideWhenUsed/>
    <w:qFormat/>
    <w:uiPriority w:val="0"/>
    <w:rPr>
      <w:sz w:val="21"/>
      <w:szCs w:val="21"/>
    </w:rPr>
  </w:style>
  <w:style w:type="character" w:styleId="41">
    <w:name w:val="HTML Sample"/>
    <w:qFormat/>
    <w:uiPriority w:val="0"/>
    <w:rPr>
      <w:rFonts w:ascii="Courier New" w:hAnsi="Courier New" w:cs="Courier New"/>
    </w:rPr>
  </w:style>
  <w:style w:type="character" w:customStyle="1" w:styleId="42">
    <w:name w:val="标题 2 Char"/>
    <w:basedOn w:val="37"/>
    <w:link w:val="3"/>
    <w:qFormat/>
    <w:uiPriority w:val="0"/>
    <w:rPr>
      <w:bCs/>
      <w:kern w:val="2"/>
      <w:sz w:val="24"/>
      <w:szCs w:val="24"/>
    </w:rPr>
  </w:style>
  <w:style w:type="character" w:customStyle="1" w:styleId="43">
    <w:name w:val="标题 1 Char"/>
    <w:basedOn w:val="37"/>
    <w:link w:val="2"/>
    <w:qFormat/>
    <w:uiPriority w:val="0"/>
    <w:rPr>
      <w:rFonts w:eastAsia="黑体"/>
      <w:bCs/>
      <w:kern w:val="44"/>
      <w:sz w:val="28"/>
      <w:szCs w:val="44"/>
    </w:rPr>
  </w:style>
  <w:style w:type="character" w:customStyle="1" w:styleId="44">
    <w:name w:val="标题 3 Char"/>
    <w:basedOn w:val="37"/>
    <w:link w:val="4"/>
    <w:qFormat/>
    <w:uiPriority w:val="0"/>
    <w:rPr>
      <w:bCs/>
      <w:kern w:val="2"/>
      <w:sz w:val="24"/>
      <w:szCs w:val="28"/>
    </w:rPr>
  </w:style>
  <w:style w:type="character" w:customStyle="1" w:styleId="45">
    <w:name w:val="标题 4 Char"/>
    <w:basedOn w:val="37"/>
    <w:link w:val="5"/>
    <w:qFormat/>
    <w:uiPriority w:val="0"/>
    <w:rPr>
      <w:bCs/>
      <w:kern w:val="2"/>
      <w:sz w:val="24"/>
      <w:szCs w:val="28"/>
    </w:rPr>
  </w:style>
  <w:style w:type="character" w:customStyle="1" w:styleId="46">
    <w:name w:val="标题 5 Char"/>
    <w:basedOn w:val="37"/>
    <w:link w:val="6"/>
    <w:qFormat/>
    <w:uiPriority w:val="0"/>
    <w:rPr>
      <w:rFonts w:cs="宋体"/>
      <w:bCs/>
      <w:kern w:val="2"/>
      <w:sz w:val="24"/>
      <w:szCs w:val="28"/>
    </w:rPr>
  </w:style>
  <w:style w:type="character" w:customStyle="1" w:styleId="47">
    <w:name w:val="标题 6 Char"/>
    <w:basedOn w:val="37"/>
    <w:link w:val="7"/>
    <w:qFormat/>
    <w:uiPriority w:val="0"/>
    <w:rPr>
      <w:rFonts w:ascii="Cambria" w:hAnsi="Cambria"/>
      <w:b/>
      <w:bCs/>
      <w:kern w:val="2"/>
      <w:sz w:val="24"/>
      <w:szCs w:val="24"/>
    </w:rPr>
  </w:style>
  <w:style w:type="character" w:customStyle="1" w:styleId="48">
    <w:name w:val="标题 7 Char"/>
    <w:basedOn w:val="37"/>
    <w:link w:val="8"/>
    <w:qFormat/>
    <w:uiPriority w:val="0"/>
    <w:rPr>
      <w:rFonts w:cs="宋体"/>
      <w:b/>
      <w:bCs/>
      <w:kern w:val="2"/>
      <w:sz w:val="24"/>
      <w:szCs w:val="24"/>
    </w:rPr>
  </w:style>
  <w:style w:type="character" w:customStyle="1" w:styleId="49">
    <w:name w:val="标题 8 Char"/>
    <w:basedOn w:val="37"/>
    <w:link w:val="9"/>
    <w:qFormat/>
    <w:uiPriority w:val="0"/>
    <w:rPr>
      <w:rFonts w:ascii="Cambria" w:hAnsi="Cambria"/>
      <w:kern w:val="2"/>
      <w:sz w:val="24"/>
      <w:szCs w:val="24"/>
    </w:rPr>
  </w:style>
  <w:style w:type="character" w:customStyle="1" w:styleId="50">
    <w:name w:val="标题 9 Char"/>
    <w:basedOn w:val="37"/>
    <w:link w:val="10"/>
    <w:qFormat/>
    <w:uiPriority w:val="0"/>
    <w:rPr>
      <w:rFonts w:ascii="Cambria" w:hAnsi="Cambria"/>
      <w:kern w:val="2"/>
      <w:sz w:val="24"/>
      <w:szCs w:val="21"/>
    </w:rPr>
  </w:style>
  <w:style w:type="character" w:customStyle="1" w:styleId="51">
    <w:name w:val="批注文字 Char"/>
    <w:basedOn w:val="37"/>
    <w:link w:val="13"/>
    <w:semiHidden/>
    <w:qFormat/>
    <w:uiPriority w:val="0"/>
    <w:rPr>
      <w:rFonts w:asciiTheme="minorHAnsi" w:hAnsiTheme="minorHAnsi" w:eastAsiaTheme="minorEastAsia" w:cstheme="minorBidi"/>
      <w:kern w:val="2"/>
      <w:sz w:val="21"/>
      <w:szCs w:val="22"/>
    </w:rPr>
  </w:style>
  <w:style w:type="character" w:customStyle="1" w:styleId="52">
    <w:name w:val="正文文本 Char"/>
    <w:basedOn w:val="37"/>
    <w:link w:val="14"/>
    <w:qFormat/>
    <w:uiPriority w:val="99"/>
  </w:style>
  <w:style w:type="character" w:customStyle="1" w:styleId="53">
    <w:name w:val="正文文本缩进 Char"/>
    <w:basedOn w:val="37"/>
    <w:link w:val="15"/>
    <w:semiHidden/>
    <w:qFormat/>
    <w:uiPriority w:val="99"/>
    <w:rPr>
      <w:rFonts w:cstheme="minorBidi"/>
      <w:kern w:val="2"/>
      <w:sz w:val="24"/>
      <w:szCs w:val="22"/>
    </w:rPr>
  </w:style>
  <w:style w:type="character" w:customStyle="1" w:styleId="54">
    <w:name w:val="日期 Char"/>
    <w:link w:val="20"/>
    <w:qFormat/>
    <w:uiPriority w:val="0"/>
    <w:rPr>
      <w:rFonts w:ascii="Times New Roman" w:hAnsi="Times New Roman"/>
      <w:sz w:val="24"/>
    </w:rPr>
  </w:style>
  <w:style w:type="character" w:customStyle="1" w:styleId="55">
    <w:name w:val="批注框文本 Char"/>
    <w:basedOn w:val="37"/>
    <w:link w:val="21"/>
    <w:semiHidden/>
    <w:qFormat/>
    <w:uiPriority w:val="99"/>
    <w:rPr>
      <w:sz w:val="18"/>
      <w:szCs w:val="18"/>
    </w:rPr>
  </w:style>
  <w:style w:type="character" w:customStyle="1" w:styleId="56">
    <w:name w:val="页脚 Char"/>
    <w:basedOn w:val="37"/>
    <w:link w:val="22"/>
    <w:qFormat/>
    <w:uiPriority w:val="99"/>
    <w:rPr>
      <w:sz w:val="18"/>
      <w:szCs w:val="18"/>
    </w:rPr>
  </w:style>
  <w:style w:type="character" w:customStyle="1" w:styleId="57">
    <w:name w:val="页眉 Char"/>
    <w:basedOn w:val="37"/>
    <w:link w:val="23"/>
    <w:qFormat/>
    <w:uiPriority w:val="99"/>
    <w:rPr>
      <w:sz w:val="18"/>
      <w:szCs w:val="18"/>
    </w:rPr>
  </w:style>
  <w:style w:type="character" w:customStyle="1" w:styleId="58">
    <w:name w:val="批注主题 Char"/>
    <w:basedOn w:val="51"/>
    <w:link w:val="32"/>
    <w:semiHidden/>
    <w:qFormat/>
    <w:uiPriority w:val="0"/>
    <w:rPr>
      <w:rFonts w:asciiTheme="minorHAnsi" w:hAnsiTheme="minorHAnsi" w:eastAsiaTheme="minorEastAsia" w:cstheme="minorBidi"/>
      <w:b/>
      <w:bCs/>
      <w:kern w:val="2"/>
      <w:sz w:val="21"/>
      <w:szCs w:val="22"/>
    </w:rPr>
  </w:style>
  <w:style w:type="character" w:customStyle="1" w:styleId="59">
    <w:name w:val="正文首行缩进 Char"/>
    <w:link w:val="33"/>
    <w:qFormat/>
    <w:uiPriority w:val="0"/>
    <w:rPr>
      <w:kern w:val="2"/>
      <w:sz w:val="24"/>
      <w:szCs w:val="24"/>
    </w:rPr>
  </w:style>
  <w:style w:type="paragraph" w:styleId="60">
    <w:name w:val="List Paragraph"/>
    <w:basedOn w:val="1"/>
    <w:qFormat/>
    <w:uiPriority w:val="99"/>
    <w:pPr>
      <w:numPr>
        <w:ilvl w:val="0"/>
        <w:numId w:val="2"/>
      </w:numPr>
      <w:adjustRightInd w:val="0"/>
      <w:snapToGrid w:val="0"/>
    </w:pPr>
    <w:rPr>
      <w:rFonts w:cs="宋体"/>
      <w:szCs w:val="21"/>
    </w:rPr>
  </w:style>
  <w:style w:type="paragraph" w:customStyle="1" w:styleId="61">
    <w:name w:val="我的正文"/>
    <w:basedOn w:val="1"/>
    <w:qFormat/>
    <w:uiPriority w:val="0"/>
    <w:pPr>
      <w:adjustRightInd w:val="0"/>
      <w:snapToGrid w:val="0"/>
      <w:jc w:val="left"/>
    </w:pPr>
    <w:rPr>
      <w:rFonts w:cs="Times New Roman"/>
      <w:snapToGrid w:val="0"/>
      <w:szCs w:val="24"/>
    </w:rPr>
  </w:style>
  <w:style w:type="character" w:customStyle="1" w:styleId="62">
    <w:name w:val="标题 2 Char1"/>
    <w:qFormat/>
    <w:uiPriority w:val="9"/>
    <w:rPr>
      <w:rFonts w:ascii="Times New Roman" w:hAnsi="Times New Roman" w:eastAsia="黑体" w:cs="Times New Roman"/>
      <w:bCs/>
      <w:sz w:val="36"/>
      <w:szCs w:val="32"/>
    </w:rPr>
  </w:style>
  <w:style w:type="paragraph" w:customStyle="1" w:styleId="63">
    <w:name w:val="样式1"/>
    <w:basedOn w:val="14"/>
    <w:qFormat/>
    <w:uiPriority w:val="0"/>
    <w:pPr>
      <w:widowControl/>
      <w:jc w:val="center"/>
    </w:pPr>
    <w:rPr>
      <w:rFonts w:ascii="Arial" w:hAnsi="Arial" w:eastAsia="楷体_GB2312" w:cs="Arial"/>
      <w:b/>
      <w:bCs/>
      <w:kern w:val="0"/>
      <w:sz w:val="32"/>
      <w:szCs w:val="28"/>
    </w:rPr>
  </w:style>
  <w:style w:type="character" w:customStyle="1" w:styleId="64">
    <w:name w:val="日期 Char1"/>
    <w:basedOn w:val="37"/>
    <w:semiHidden/>
    <w:qFormat/>
    <w:uiPriority w:val="99"/>
  </w:style>
  <w:style w:type="paragraph" w:customStyle="1" w:styleId="65">
    <w:name w:val="图表文字"/>
    <w:basedOn w:val="1"/>
    <w:qFormat/>
    <w:uiPriority w:val="0"/>
    <w:pPr>
      <w:adjustRightInd w:val="0"/>
      <w:snapToGrid w:val="0"/>
      <w:spacing w:line="300" w:lineRule="auto"/>
      <w:jc w:val="center"/>
    </w:pPr>
    <w:rPr>
      <w:rFonts w:cs="宋体"/>
      <w:sz w:val="21"/>
      <w:szCs w:val="21"/>
    </w:rPr>
  </w:style>
  <w:style w:type="paragraph" w:customStyle="1" w:styleId="66">
    <w:name w:val="正文报告"/>
    <w:basedOn w:val="1"/>
    <w:qFormat/>
    <w:uiPriority w:val="0"/>
    <w:pPr>
      <w:tabs>
        <w:tab w:val="left" w:pos="510"/>
      </w:tabs>
      <w:adjustRightInd w:val="0"/>
      <w:spacing w:line="460" w:lineRule="exact"/>
      <w:ind w:firstLine="482"/>
      <w:textAlignment w:val="baseline"/>
    </w:pPr>
    <w:rPr>
      <w:rFonts w:cs="Times New Roman"/>
      <w:kern w:val="0"/>
      <w:szCs w:val="20"/>
    </w:rPr>
  </w:style>
  <w:style w:type="paragraph" w:customStyle="1" w:styleId="67">
    <w:name w:val="默认段落字体 Para Char Char Char Char"/>
    <w:basedOn w:val="1"/>
    <w:qFormat/>
    <w:uiPriority w:val="0"/>
    <w:pPr>
      <w:spacing w:line="240" w:lineRule="auto"/>
    </w:pPr>
    <w:rPr>
      <w:rFonts w:cs="Times New Roman"/>
      <w:sz w:val="21"/>
      <w:szCs w:val="24"/>
    </w:rPr>
  </w:style>
  <w:style w:type="character" w:customStyle="1" w:styleId="68">
    <w:name w:val="0正文 Char"/>
    <w:link w:val="69"/>
    <w:qFormat/>
    <w:uiPriority w:val="0"/>
    <w:rPr>
      <w:kern w:val="2"/>
      <w:sz w:val="24"/>
    </w:rPr>
  </w:style>
  <w:style w:type="paragraph" w:customStyle="1" w:styleId="69">
    <w:name w:val="0正文"/>
    <w:basedOn w:val="1"/>
    <w:link w:val="68"/>
    <w:qFormat/>
    <w:uiPriority w:val="0"/>
    <w:pPr>
      <w:ind w:firstLine="480"/>
    </w:pPr>
    <w:rPr>
      <w:rFonts w:cs="Times New Roman"/>
      <w:szCs w:val="20"/>
    </w:rPr>
  </w:style>
  <w:style w:type="character" w:customStyle="1" w:styleId="70">
    <w:name w:val="正文首行缩进 Char1"/>
    <w:basedOn w:val="52"/>
    <w:semiHidden/>
    <w:qFormat/>
    <w:uiPriority w:val="99"/>
    <w:rPr>
      <w:rFonts w:cstheme="minorBidi"/>
      <w:kern w:val="2"/>
      <w:sz w:val="24"/>
      <w:szCs w:val="22"/>
    </w:rPr>
  </w:style>
  <w:style w:type="paragraph" w:customStyle="1" w:styleId="71">
    <w:name w:val="正文1"/>
    <w:basedOn w:val="1"/>
    <w:qFormat/>
    <w:uiPriority w:val="0"/>
    <w:pPr>
      <w:adjustRightInd w:val="0"/>
      <w:spacing w:line="360" w:lineRule="atLeast"/>
      <w:jc w:val="left"/>
      <w:textAlignment w:val="baseline"/>
    </w:pPr>
    <w:rPr>
      <w:rFonts w:ascii="宋体" w:cs="Times New Roman"/>
      <w:kern w:val="0"/>
      <w:szCs w:val="20"/>
    </w:rPr>
  </w:style>
  <w:style w:type="paragraph" w:customStyle="1" w:styleId="72">
    <w:name w:val="列出段落1"/>
    <w:basedOn w:val="1"/>
    <w:qFormat/>
    <w:uiPriority w:val="34"/>
    <w:pPr>
      <w:ind w:firstLine="420"/>
    </w:pPr>
    <w:rPr>
      <w:rFonts w:cs="Times New Roman" w:asciiTheme="minorEastAsia" w:hAnsiTheme="minorEastAsia" w:eastAsiaTheme="minorEastAsia"/>
      <w:szCs w:val="24"/>
    </w:rPr>
  </w:style>
  <w:style w:type="paragraph" w:customStyle="1" w:styleId="7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4">
    <w:name w:val="标题 Char"/>
    <w:basedOn w:val="37"/>
    <w:link w:val="31"/>
    <w:qFormat/>
    <w:uiPriority w:val="0"/>
    <w:rPr>
      <w:rFonts w:asciiTheme="majorHAnsi" w:hAnsiTheme="majorHAnsi" w:cstheme="majorBidi"/>
      <w:b/>
      <w:bCs/>
      <w:kern w:val="2"/>
      <w:sz w:val="24"/>
      <w:szCs w:val="32"/>
    </w:rPr>
  </w:style>
  <w:style w:type="character" w:customStyle="1" w:styleId="75">
    <w:name w:val="font31"/>
    <w:qFormat/>
    <w:uiPriority w:val="0"/>
    <w:rPr>
      <w:rFonts w:hint="eastAsia" w:ascii="宋体" w:hAnsi="宋体" w:eastAsia="宋体" w:cs="宋体"/>
      <w:color w:val="000000"/>
      <w:sz w:val="18"/>
      <w:szCs w:val="18"/>
      <w:u w:val="none"/>
    </w:rPr>
  </w:style>
  <w:style w:type="character" w:customStyle="1" w:styleId="76">
    <w:name w:val="font41"/>
    <w:qFormat/>
    <w:uiPriority w:val="0"/>
    <w:rPr>
      <w:rFonts w:hint="eastAsia" w:ascii="宋体" w:hAnsi="宋体" w:eastAsia="宋体" w:cs="宋体"/>
      <w:color w:val="000000"/>
      <w:sz w:val="18"/>
      <w:szCs w:val="18"/>
      <w:u w:val="none"/>
    </w:rPr>
  </w:style>
  <w:style w:type="character" w:customStyle="1" w:styleId="77">
    <w:name w:val="font61"/>
    <w:qFormat/>
    <w:uiPriority w:val="0"/>
    <w:rPr>
      <w:rFonts w:hint="eastAsia" w:ascii="宋体" w:hAnsi="宋体" w:eastAsia="宋体" w:cs="宋体"/>
      <w:color w:val="000000"/>
      <w:sz w:val="12"/>
      <w:szCs w:val="12"/>
      <w:u w:val="none"/>
    </w:rPr>
  </w:style>
  <w:style w:type="character" w:customStyle="1" w:styleId="78">
    <w:name w:val="font21"/>
    <w:qFormat/>
    <w:uiPriority w:val="0"/>
    <w:rPr>
      <w:rFonts w:hint="eastAsia" w:ascii="宋体" w:hAnsi="宋体" w:eastAsia="宋体" w:cs="宋体"/>
      <w:color w:val="000000"/>
      <w:sz w:val="18"/>
      <w:szCs w:val="18"/>
      <w:u w:val="none"/>
    </w:rPr>
  </w:style>
  <w:style w:type="character" w:customStyle="1" w:styleId="79">
    <w:name w:val="font01"/>
    <w:qFormat/>
    <w:uiPriority w:val="0"/>
    <w:rPr>
      <w:rFonts w:hint="eastAsia" w:ascii="宋体" w:hAnsi="宋体" w:eastAsia="宋体" w:cs="宋体"/>
      <w:b/>
      <w:color w:val="000000"/>
      <w:sz w:val="21"/>
      <w:szCs w:val="21"/>
      <w:u w:val="none"/>
    </w:rPr>
  </w:style>
  <w:style w:type="character" w:customStyle="1" w:styleId="80">
    <w:name w:val="font11"/>
    <w:qFormat/>
    <w:uiPriority w:val="0"/>
    <w:rPr>
      <w:rFonts w:hint="eastAsia" w:ascii="宋体" w:hAnsi="宋体" w:eastAsia="宋体" w:cs="宋体"/>
      <w:color w:val="000000"/>
      <w:sz w:val="18"/>
      <w:szCs w:val="18"/>
      <w:u w:val="none"/>
    </w:rPr>
  </w:style>
  <w:style w:type="paragraph" w:customStyle="1" w:styleId="81">
    <w:name w:val="Char Char"/>
    <w:basedOn w:val="1"/>
    <w:qFormat/>
    <w:uiPriority w:val="0"/>
    <w:pPr>
      <w:spacing w:line="240" w:lineRule="auto"/>
    </w:pPr>
    <w:rPr>
      <w:rFonts w:cs="Times New Roman"/>
      <w:sz w:val="21"/>
      <w:szCs w:val="24"/>
    </w:rPr>
  </w:style>
  <w:style w:type="paragraph" w:customStyle="1" w:styleId="82">
    <w:name w:val="表格文字"/>
    <w:qFormat/>
    <w:uiPriority w:val="0"/>
    <w:pPr>
      <w:widowControl w:val="0"/>
      <w:autoSpaceDE w:val="0"/>
      <w:autoSpaceDN w:val="0"/>
      <w:adjustRightInd w:val="0"/>
    </w:pPr>
    <w:rPr>
      <w:rFonts w:ascii="宋体" w:hAnsi="Times New Roman" w:eastAsia="宋体" w:cs="Times New Roman"/>
      <w:color w:val="000000"/>
      <w:spacing w:val="-20"/>
      <w:sz w:val="24"/>
      <w:lang w:val="en-US" w:eastAsia="zh-CN" w:bidi="ar-SA"/>
    </w:rPr>
  </w:style>
  <w:style w:type="paragraph" w:customStyle="1" w:styleId="83">
    <w:name w:val="BodyText"/>
    <w:basedOn w:val="1"/>
    <w:next w:val="1"/>
    <w:qFormat/>
    <w:uiPriority w:val="0"/>
    <w:pPr>
      <w:spacing w:line="240" w:lineRule="auto"/>
      <w:jc w:val="left"/>
      <w:textAlignment w:val="baseline"/>
    </w:pPr>
    <w:rPr>
      <w:rFonts w:ascii="等线" w:hAnsi="等线" w:cs="Times New Roman"/>
      <w:b/>
      <w:bCs/>
      <w:sz w:val="28"/>
      <w:szCs w:val="24"/>
    </w:rPr>
  </w:style>
  <w:style w:type="paragraph" w:customStyle="1" w:styleId="84">
    <w:name w:val="_Style 2"/>
    <w:basedOn w:val="1"/>
    <w:qFormat/>
    <w:uiPriority w:val="99"/>
    <w:pPr>
      <w:spacing w:line="240" w:lineRule="auto"/>
      <w:ind w:firstLine="420" w:firstLineChars="200"/>
      <w:jc w:val="left"/>
    </w:pPr>
    <w:rPr>
      <w:rFonts w:ascii="等线" w:hAnsi="等线" w:cs="Times New Roman"/>
      <w:sz w:val="28"/>
      <w:szCs w:val="24"/>
    </w:rPr>
  </w:style>
  <w:style w:type="character" w:customStyle="1" w:styleId="85">
    <w:name w:val="纯文本 Char"/>
    <w:basedOn w:val="37"/>
    <w:link w:val="18"/>
    <w:qFormat/>
    <w:uiPriority w:val="0"/>
    <w:rPr>
      <w:rFonts w:ascii="宋体" w:hAnsi="Courier New"/>
      <w:kern w:val="2"/>
      <w:sz w:val="21"/>
    </w:rPr>
  </w:style>
  <w:style w:type="paragraph" w:customStyle="1" w:styleId="86">
    <w:name w:val="表格文字2"/>
    <w:basedOn w:val="1"/>
    <w:qFormat/>
    <w:uiPriority w:val="0"/>
    <w:pPr>
      <w:spacing w:line="240" w:lineRule="auto"/>
      <w:jc w:val="left"/>
    </w:pPr>
    <w:rPr>
      <w:rFonts w:cs="Times New Roman"/>
      <w:bCs/>
      <w:spacing w:val="10"/>
      <w:kern w:val="0"/>
      <w:sz w:val="21"/>
    </w:rPr>
  </w:style>
  <w:style w:type="character" w:customStyle="1" w:styleId="87">
    <w:name w:val="正文首行缩进 2 Char"/>
    <w:basedOn w:val="53"/>
    <w:link w:val="34"/>
    <w:semiHidden/>
    <w:qFormat/>
    <w:uiPriority w:val="99"/>
    <w:rPr>
      <w:rFonts w:cstheme="minorBidi"/>
      <w:kern w:val="2"/>
      <w:sz w:val="24"/>
      <w:szCs w:val="22"/>
    </w:rPr>
  </w:style>
  <w:style w:type="paragraph" w:customStyle="1" w:styleId="88">
    <w:name w:val="正文文本缩进 21"/>
    <w:basedOn w:val="1"/>
    <w:qFormat/>
    <w:uiPriority w:val="0"/>
    <w:pPr>
      <w:autoSpaceDE w:val="0"/>
      <w:autoSpaceDN w:val="0"/>
      <w:adjustRightInd w:val="0"/>
      <w:spacing w:line="240" w:lineRule="auto"/>
      <w:ind w:left="1260"/>
      <w:textAlignment w:val="baseline"/>
    </w:pPr>
    <w:rPr>
      <w:rFonts w:cs="Times New Roman"/>
      <w:sz w:val="21"/>
      <w:szCs w:val="20"/>
    </w:rPr>
  </w:style>
  <w:style w:type="paragraph" w:customStyle="1" w:styleId="89">
    <w:name w:val="列出段落21"/>
    <w:basedOn w:val="1"/>
    <w:qFormat/>
    <w:uiPriority w:val="0"/>
    <w:pPr>
      <w:spacing w:line="240" w:lineRule="auto"/>
      <w:ind w:firstLine="420" w:firstLineChars="200"/>
    </w:pPr>
    <w:rPr>
      <w:rFonts w:ascii="Calibri" w:hAnsi="Calibri"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9.wmf"/><Relationship Id="rId34" Type="http://schemas.openxmlformats.org/officeDocument/2006/relationships/oleObject" Target="embeddings/oleObject10.bin"/><Relationship Id="rId33" Type="http://schemas.openxmlformats.org/officeDocument/2006/relationships/oleObject" Target="embeddings/oleObject9.bin"/><Relationship Id="rId32" Type="http://schemas.openxmlformats.org/officeDocument/2006/relationships/image" Target="media/image8.wmf"/><Relationship Id="rId31" Type="http://schemas.openxmlformats.org/officeDocument/2006/relationships/oleObject" Target="embeddings/oleObject8.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6.wmf"/><Relationship Id="rId27" Type="http://schemas.openxmlformats.org/officeDocument/2006/relationships/oleObject" Target="embeddings/oleObject6.bin"/><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E49BA-061A-43A1-8F65-9EFBAE21329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7303</Words>
  <Characters>41633</Characters>
  <Lines>346</Lines>
  <Paragraphs>97</Paragraphs>
  <TotalTime>162</TotalTime>
  <ScaleCrop>false</ScaleCrop>
  <LinksUpToDate>false</LinksUpToDate>
  <CharactersWithSpaces>48839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2024-03-16T09:05:00Z</dcterms:created>
  <dc:creator>zhoulu</dc:creator>
  <cp:lastModifiedBy>Judy</cp:lastModifiedBy>
  <dcterms:modified xsi:type="dcterms:W3CDTF">2024-04-07T08:57:14Z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4FAC0558C75847D4B8B4A5BDDE0044B5_12</vt:lpwstr>
  </property>
</Properties>
</file>