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1"/>
        <w:gridCol w:w="550"/>
        <w:gridCol w:w="48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ind w:firstLine="0" w:firstLineChars="0"/>
              <w:jc w:val="center"/>
              <w:rPr>
                <w:rFonts w:eastAsiaTheme="minorEastAsia"/>
              </w:rPr>
            </w:pPr>
            <w:r>
              <w:rPr>
                <w:rFonts w:hint="eastAsia"/>
                <w:b/>
                <w:bCs/>
              </w:rPr>
              <w:t>中机国际工程设计研究院有限责任公司</w:t>
            </w:r>
          </w:p>
        </w:tc>
        <w:tc>
          <w:tcPr>
            <w:tcW w:w="2411" w:type="pct"/>
            <w:vAlign w:val="center"/>
          </w:tcPr>
          <w:p>
            <w:pPr>
              <w:keepNext w:val="0"/>
              <w:keepLines w:val="0"/>
              <w:suppressLineNumbers w:val="0"/>
              <w:spacing w:before="0" w:beforeAutospacing="0" w:after="0" w:afterAutospacing="0"/>
              <w:ind w:right="0" w:rightChars="0" w:firstLine="480" w:firstLineChars="200"/>
              <w:jc w:val="both"/>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湖南美特新材料科技有限公司</w:t>
            </w:r>
          </w:p>
        </w:tc>
        <w:tc>
          <w:tcPr>
            <w:tcW w:w="599" w:type="pct"/>
            <w:vAlign w:val="center"/>
          </w:tcPr>
          <w:p>
            <w:pPr>
              <w:ind w:firstLine="0" w:firstLineChars="0"/>
              <w:jc w:val="center"/>
              <w:rPr>
                <w:rFonts w:eastAsiaTheme="minorEastAsia"/>
              </w:rPr>
            </w:pPr>
            <w:r>
              <w:rPr>
                <w:rFonts w:hint="eastAsia"/>
              </w:rPr>
              <w:t>项目号</w:t>
            </w:r>
          </w:p>
        </w:tc>
        <w:tc>
          <w:tcPr>
            <w:tcW w:w="609" w:type="pct"/>
            <w:gridSpan w:val="2"/>
            <w:vAlign w:val="center"/>
          </w:tcPr>
          <w:p>
            <w:pPr>
              <w:ind w:firstLine="0" w:firstLineChars="0"/>
              <w:jc w:val="center"/>
            </w:pPr>
          </w:p>
        </w:tc>
        <w:tc>
          <w:tcPr>
            <w:tcW w:w="610" w:type="pct"/>
            <w:vAlign w:val="center"/>
          </w:tcPr>
          <w:p>
            <w:pPr>
              <w:ind w:firstLine="0" w:firstLineChars="0"/>
              <w:jc w:val="center"/>
            </w:pPr>
            <w:r>
              <w:rPr>
                <w:rFonts w:hint="eastAsia"/>
              </w:rPr>
              <w:t>0</w:t>
            </w:r>
            <w:r>
              <w:rPr>
                <w:rFonts w:hint="eastAsia"/>
                <w:lang w:val="en-US" w:eastAsia="zh-CN"/>
              </w:rPr>
              <w:t>1</w:t>
            </w:r>
            <w:r>
              <w:rPr>
                <w:rFonts w:hint="eastAsia"/>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ind w:firstLine="0" w:firstLineChars="0"/>
              <w:jc w:val="center"/>
            </w:pPr>
            <w:r>
              <w:rPr>
                <w:rFonts w:hint="eastAsia"/>
                <w:lang w:val="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ind w:firstLine="0" w:firstLineChars="0"/>
              <w:jc w:val="center"/>
              <w:rPr>
                <w:rFonts w:eastAsiaTheme="minorEastAsia"/>
              </w:rPr>
            </w:pPr>
            <w:r>
              <w:rPr>
                <w:rFonts w:hint="eastAsia" w:ascii="Times New Roman" w:hAnsi="Times New Roman" w:eastAsia="宋体" w:cs="Times New Roman"/>
                <w:lang w:val="en-US" w:eastAsia="zh-CN"/>
              </w:rPr>
              <w:t>双锥</w:t>
            </w:r>
            <w:r>
              <w:rPr>
                <w:rFonts w:hint="eastAsia"/>
                <w:lang w:val="en-US" w:eastAsia="zh-CN"/>
              </w:rPr>
              <w:t>形混</w:t>
            </w:r>
            <w:r>
              <w:rPr>
                <w:rFonts w:hint="eastAsia"/>
              </w:rPr>
              <w:t>成套设备</w:t>
            </w:r>
          </w:p>
        </w:tc>
        <w:tc>
          <w:tcPr>
            <w:tcW w:w="922" w:type="pct"/>
            <w:gridSpan w:val="2"/>
            <w:vAlign w:val="center"/>
          </w:tcPr>
          <w:p>
            <w:pPr>
              <w:ind w:firstLine="480"/>
            </w:pPr>
            <w:r>
              <w:rPr>
                <w:rFonts w:hint="eastAsia"/>
              </w:rPr>
              <w:t>第1页</w:t>
            </w:r>
          </w:p>
        </w:tc>
        <w:tc>
          <w:tcPr>
            <w:tcW w:w="897" w:type="pct"/>
            <w:gridSpan w:val="2"/>
            <w:vAlign w:val="center"/>
          </w:tcPr>
          <w:p>
            <w:pPr>
              <w:ind w:firstLine="0" w:firstLineChars="0"/>
              <w:jc w:val="center"/>
            </w:pPr>
            <w:r>
              <w:rPr>
                <w:rFonts w:hint="eastAsia"/>
              </w:rPr>
              <w:t>共1</w:t>
            </w:r>
            <w:r>
              <w:rPr>
                <w:rFonts w:hint="eastAsia"/>
                <w:lang w:val="en-US" w:eastAsia="zh-CN"/>
              </w:rPr>
              <w:t>1</w:t>
            </w:r>
            <w:r>
              <w:rPr>
                <w:rFonts w:hint="eastAsia"/>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ind w:firstLine="1124"/>
              <w:jc w:val="center"/>
              <w:rPr>
                <w:b/>
                <w:bCs/>
                <w:sz w:val="56"/>
                <w:szCs w:val="56"/>
              </w:rPr>
            </w:pPr>
          </w:p>
          <w:p>
            <w:pPr>
              <w:pStyle w:val="7"/>
            </w:pPr>
            <w:r>
              <w:rPr>
                <w:rFonts w:hint="eastAsia"/>
                <w:b/>
                <w:bCs/>
                <w:sz w:val="56"/>
                <w:szCs w:val="44"/>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p>
        </w:tc>
        <w:tc>
          <w:tcPr>
            <w:tcW w:w="855" w:type="pct"/>
            <w:vAlign w:val="center"/>
          </w:tcPr>
          <w:p>
            <w:pPr>
              <w:ind w:firstLine="480"/>
              <w:rPr>
                <w:rFonts w:eastAsiaTheme="minorEastAsia"/>
              </w:rPr>
            </w:pP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83820</wp:posOffset>
                  </wp:positionH>
                  <wp:positionV relativeFrom="paragraph">
                    <wp:posOffset>219075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201930</wp:posOffset>
                  </wp:positionH>
                  <wp:positionV relativeFrom="paragraph">
                    <wp:posOffset>223520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rPr>
                <w:rFonts w:hint="eastAsia" w:eastAsia="宋体"/>
                <w:lang w:eastAsia="zh-CN"/>
              </w:rPr>
            </w:pPr>
            <w:r>
              <w:rPr>
                <w:rFonts w:hint="eastAsia"/>
              </w:rPr>
              <w:t>0</w:t>
            </w:r>
            <w:r>
              <w:rPr>
                <w:rFonts w:hint="eastAsia"/>
                <w:lang w:val="en-US" w:eastAsia="zh-CN"/>
              </w:rPr>
              <w:t>1</w:t>
            </w:r>
          </w:p>
        </w:tc>
        <w:tc>
          <w:tcPr>
            <w:tcW w:w="1246" w:type="pct"/>
            <w:vAlign w:val="center"/>
          </w:tcPr>
          <w:p>
            <w:pPr>
              <w:ind w:firstLine="0" w:firstLineChars="0"/>
              <w:jc w:val="center"/>
              <w:rPr>
                <w:rFonts w:eastAsiaTheme="minorEastAsia"/>
              </w:rPr>
            </w:pPr>
          </w:p>
        </w:tc>
        <w:tc>
          <w:tcPr>
            <w:tcW w:w="719" w:type="pct"/>
            <w:vAlign w:val="center"/>
          </w:tcPr>
          <w:p>
            <w:pPr>
              <w:ind w:firstLine="0" w:firstLineChars="0"/>
              <w:jc w:val="center"/>
              <w:rPr>
                <w:rFonts w:eastAsiaTheme="minorEastAsia"/>
              </w:rPr>
            </w:pPr>
          </w:p>
        </w:tc>
        <w:tc>
          <w:tcPr>
            <w:tcW w:w="855" w:type="pct"/>
            <w:vAlign w:val="center"/>
          </w:tcPr>
          <w:p>
            <w:pPr>
              <w:ind w:firstLine="0" w:firstLineChars="0"/>
              <w:jc w:val="center"/>
              <w:rPr>
                <w:rFonts w:eastAsiaTheme="minorEastAsia"/>
              </w:rPr>
            </w:pPr>
          </w:p>
        </w:tc>
        <w:tc>
          <w:tcPr>
            <w:tcW w:w="736" w:type="pct"/>
            <w:vAlign w:val="center"/>
          </w:tcPr>
          <w:p>
            <w:pPr>
              <w:ind w:firstLine="0" w:firstLineChars="0"/>
              <w:jc w:val="center"/>
              <w:rPr>
                <w:rFonts w:eastAsiaTheme="minorEastAsia"/>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24765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ind w:firstLine="480"/>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pPr>
            <w:r>
              <w:rPr>
                <w:rFonts w:hint="eastAsia"/>
              </w:rPr>
              <w:t>版</w:t>
            </w:r>
          </w:p>
        </w:tc>
        <w:tc>
          <w:tcPr>
            <w:tcW w:w="1246" w:type="pct"/>
            <w:vAlign w:val="center"/>
          </w:tcPr>
          <w:p>
            <w:pPr>
              <w:ind w:firstLine="0" w:firstLineChars="0"/>
              <w:jc w:val="center"/>
            </w:pPr>
            <w:r>
              <w:rPr>
                <w:rFonts w:hint="eastAsia"/>
              </w:rPr>
              <w:t>说明</w:t>
            </w:r>
          </w:p>
        </w:tc>
        <w:tc>
          <w:tcPr>
            <w:tcW w:w="719" w:type="pct"/>
            <w:vAlign w:val="center"/>
          </w:tcPr>
          <w:p>
            <w:pPr>
              <w:ind w:firstLine="0" w:firstLineChars="0"/>
              <w:jc w:val="center"/>
              <w:rPr>
                <w:rFonts w:eastAsiaTheme="minorEastAsia"/>
              </w:rPr>
            </w:pPr>
            <w:r>
              <w:rPr>
                <w:rFonts w:hint="eastAsia"/>
              </w:rPr>
              <w:t>编制</w:t>
            </w:r>
          </w:p>
        </w:tc>
        <w:tc>
          <w:tcPr>
            <w:tcW w:w="855" w:type="pct"/>
            <w:vAlign w:val="center"/>
          </w:tcPr>
          <w:p>
            <w:pPr>
              <w:ind w:firstLine="0" w:firstLineChars="0"/>
              <w:jc w:val="center"/>
              <w:rPr>
                <w:rFonts w:eastAsiaTheme="minorEastAsia"/>
              </w:rPr>
            </w:pPr>
            <w:r>
              <w:rPr>
                <w:rFonts w:hint="eastAsia"/>
              </w:rPr>
              <w:t>校审</w:t>
            </w:r>
          </w:p>
        </w:tc>
        <w:tc>
          <w:tcPr>
            <w:tcW w:w="736" w:type="pct"/>
            <w:vAlign w:val="center"/>
          </w:tcPr>
          <w:p>
            <w:pPr>
              <w:ind w:firstLine="0" w:firstLineChars="0"/>
              <w:jc w:val="center"/>
              <w:rPr>
                <w:rFonts w:eastAsiaTheme="minorEastAsia"/>
              </w:rPr>
            </w:pPr>
            <w:r>
              <w:rPr>
                <w:rFonts w:hint="eastAsia"/>
              </w:rPr>
              <w:t>审核</w:t>
            </w:r>
          </w:p>
        </w:tc>
        <w:tc>
          <w:tcPr>
            <w:tcW w:w="726" w:type="pct"/>
            <w:vAlign w:val="center"/>
          </w:tcPr>
          <w:p>
            <w:pPr>
              <w:ind w:firstLine="0" w:firstLineChars="0"/>
              <w:jc w:val="center"/>
            </w:pPr>
            <w:r>
              <w:rPr>
                <w:rFonts w:hint="eastAsia"/>
              </w:rPr>
              <w:t>日期</w:t>
            </w:r>
          </w:p>
        </w:tc>
      </w:tr>
    </w:tbl>
    <w:p>
      <w:pPr>
        <w:ind w:firstLine="480"/>
        <w:sectPr>
          <w:footerReference r:id="rId5" w:type="default"/>
          <w:pgSz w:w="11906" w:h="16838"/>
          <w:pgMar w:top="1440" w:right="1800" w:bottom="1440" w:left="1800" w:header="851" w:footer="992" w:gutter="0"/>
          <w:cols w:space="425" w:num="1"/>
          <w:docGrid w:type="lines" w:linePitch="312" w:charSpace="0"/>
        </w:sectPr>
      </w:pPr>
    </w:p>
    <w:sdt>
      <w:sdtPr>
        <w:rPr>
          <w:rFonts w:ascii="宋体" w:hAnsi="宋体"/>
          <w:sz w:val="28"/>
          <w:szCs w:val="36"/>
        </w:rPr>
        <w:id w:val="147475574"/>
        <w15:color w:val="DBDBDB"/>
        <w:docPartObj>
          <w:docPartGallery w:val="Table of Contents"/>
          <w:docPartUnique/>
        </w:docPartObj>
      </w:sdtPr>
      <w:sdtEndPr>
        <w:rPr>
          <w:rFonts w:ascii="宋体" w:hAnsi="宋体"/>
          <w:b/>
          <w:sz w:val="21"/>
          <w:szCs w:val="24"/>
        </w:rPr>
      </w:sdtEndPr>
      <w:sdtContent>
        <w:p>
          <w:pPr>
            <w:spacing w:line="240" w:lineRule="auto"/>
            <w:ind w:firstLine="0" w:firstLineChars="0"/>
            <w:jc w:val="center"/>
            <w:rPr>
              <w:sz w:val="36"/>
              <w:szCs w:val="36"/>
            </w:rPr>
          </w:pPr>
          <w:r>
            <w:rPr>
              <w:rFonts w:ascii="宋体" w:hAnsi="宋体"/>
              <w:sz w:val="28"/>
              <w:szCs w:val="36"/>
            </w:rPr>
            <w:t>目</w:t>
          </w:r>
          <w:r>
            <w:rPr>
              <w:rFonts w:hint="eastAsia" w:ascii="宋体" w:hAnsi="宋体"/>
              <w:sz w:val="28"/>
              <w:szCs w:val="36"/>
            </w:rPr>
            <w:t xml:space="preserve">  </w:t>
          </w:r>
          <w:r>
            <w:rPr>
              <w:rFonts w:ascii="宋体" w:hAnsi="宋体"/>
              <w:sz w:val="28"/>
              <w:szCs w:val="36"/>
            </w:rPr>
            <w:t>录</w:t>
          </w:r>
        </w:p>
        <w:p>
          <w:pPr>
            <w:pStyle w:val="11"/>
            <w:tabs>
              <w:tab w:val="right" w:leader="dot" w:pos="8306"/>
              <w:tab w:val="clear" w:pos="9628"/>
            </w:tabs>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_Toc13097 </w:instrText>
          </w:r>
          <w:r>
            <w:rPr>
              <w:sz w:val="24"/>
              <w:szCs w:val="24"/>
            </w:rPr>
            <w:fldChar w:fldCharType="separate"/>
          </w:r>
          <w:r>
            <w:rPr>
              <w:rFonts w:hint="default" w:ascii="Times New Roman" w:hAnsi="Times New Roman" w:eastAsia="宋体" w:cs="宋体"/>
              <w:kern w:val="44"/>
              <w:sz w:val="24"/>
              <w:szCs w:val="24"/>
              <w:lang w:val="zh-CN"/>
            </w:rPr>
            <w:t xml:space="preserve">1 </w:t>
          </w:r>
          <w:r>
            <w:rPr>
              <w:rFonts w:hint="eastAsia"/>
              <w:kern w:val="44"/>
              <w:sz w:val="24"/>
              <w:szCs w:val="24"/>
              <w:lang w:val="zh-CN"/>
            </w:rPr>
            <w:t>总</w:t>
          </w:r>
          <w:r>
            <w:rPr>
              <w:rFonts w:hint="eastAsia"/>
              <w:kern w:val="44"/>
              <w:sz w:val="24"/>
              <w:szCs w:val="24"/>
            </w:rPr>
            <w:t>则</w:t>
          </w:r>
          <w:r>
            <w:rPr>
              <w:sz w:val="24"/>
              <w:szCs w:val="24"/>
            </w:rPr>
            <w:tab/>
          </w:r>
          <w:r>
            <w:rPr>
              <w:sz w:val="24"/>
              <w:szCs w:val="24"/>
            </w:rPr>
            <w:fldChar w:fldCharType="begin"/>
          </w:r>
          <w:r>
            <w:rPr>
              <w:sz w:val="24"/>
              <w:szCs w:val="24"/>
            </w:rPr>
            <w:instrText xml:space="preserve"> PAGEREF _Toc13097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_Toc6738 </w:instrText>
          </w:r>
          <w:r>
            <w:rPr>
              <w:sz w:val="24"/>
              <w:szCs w:val="24"/>
            </w:rPr>
            <w:fldChar w:fldCharType="separate"/>
          </w:r>
          <w:r>
            <w:rPr>
              <w:rFonts w:hint="default" w:ascii="Times New Roman" w:hAnsi="Times New Roman" w:eastAsia="宋体" w:cs="宋体"/>
              <w:kern w:val="44"/>
              <w:sz w:val="24"/>
              <w:szCs w:val="24"/>
              <w:lang w:val="zh-CN"/>
            </w:rPr>
            <w:t xml:space="preserve">2 </w:t>
          </w:r>
          <w:r>
            <w:rPr>
              <w:rFonts w:hint="eastAsia"/>
              <w:kern w:val="44"/>
              <w:sz w:val="24"/>
              <w:szCs w:val="24"/>
            </w:rPr>
            <w:t>工程概况</w:t>
          </w:r>
          <w:r>
            <w:rPr>
              <w:sz w:val="24"/>
              <w:szCs w:val="24"/>
            </w:rPr>
            <w:tab/>
          </w:r>
          <w:r>
            <w:rPr>
              <w:sz w:val="24"/>
              <w:szCs w:val="24"/>
            </w:rPr>
            <w:fldChar w:fldCharType="begin"/>
          </w:r>
          <w:r>
            <w:rPr>
              <w:sz w:val="24"/>
              <w:szCs w:val="24"/>
            </w:rPr>
            <w:instrText xml:space="preserve"> PAGEREF _Toc6738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_Toc15015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rPr>
            <w:t>基本条件</w:t>
          </w:r>
          <w:r>
            <w:rPr>
              <w:sz w:val="24"/>
              <w:szCs w:val="24"/>
            </w:rPr>
            <w:tab/>
          </w:r>
          <w:r>
            <w:rPr>
              <w:sz w:val="24"/>
              <w:szCs w:val="24"/>
            </w:rPr>
            <w:fldChar w:fldCharType="begin"/>
          </w:r>
          <w:r>
            <w:rPr>
              <w:sz w:val="24"/>
              <w:szCs w:val="24"/>
            </w:rPr>
            <w:instrText xml:space="preserve"> PAGEREF _Toc15015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_Toc10860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rPr>
            <w:t>气象条件</w:t>
          </w:r>
          <w:r>
            <w:rPr>
              <w:sz w:val="24"/>
              <w:szCs w:val="24"/>
            </w:rPr>
            <w:tab/>
          </w:r>
          <w:r>
            <w:rPr>
              <w:sz w:val="24"/>
              <w:szCs w:val="24"/>
            </w:rPr>
            <w:fldChar w:fldCharType="begin"/>
          </w:r>
          <w:r>
            <w:rPr>
              <w:sz w:val="24"/>
              <w:szCs w:val="24"/>
            </w:rPr>
            <w:instrText xml:space="preserve"> PAGEREF _Toc10860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_Toc12865 </w:instrText>
          </w:r>
          <w:r>
            <w:rPr>
              <w:sz w:val="24"/>
              <w:szCs w:val="24"/>
            </w:rPr>
            <w:fldChar w:fldCharType="separate"/>
          </w:r>
          <w:r>
            <w:rPr>
              <w:rFonts w:hint="default" w:ascii="Times New Roman" w:hAnsi="Times New Roman" w:eastAsia="宋体" w:cs="宋体"/>
              <w:kern w:val="44"/>
              <w:sz w:val="24"/>
              <w:szCs w:val="24"/>
              <w:lang w:val="zh-CN"/>
            </w:rPr>
            <w:t xml:space="preserve">3 </w:t>
          </w:r>
          <w:r>
            <w:rPr>
              <w:rFonts w:hint="eastAsia"/>
              <w:kern w:val="44"/>
              <w:sz w:val="24"/>
              <w:szCs w:val="24"/>
            </w:rPr>
            <w:t>设计和运行条件</w:t>
          </w:r>
          <w:r>
            <w:rPr>
              <w:sz w:val="24"/>
              <w:szCs w:val="24"/>
            </w:rPr>
            <w:tab/>
          </w:r>
          <w:r>
            <w:rPr>
              <w:sz w:val="24"/>
              <w:szCs w:val="24"/>
            </w:rPr>
            <w:fldChar w:fldCharType="begin"/>
          </w:r>
          <w:r>
            <w:rPr>
              <w:sz w:val="24"/>
              <w:szCs w:val="24"/>
            </w:rPr>
            <w:instrText xml:space="preserve"> PAGEREF _Toc12865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_Toc30978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rPr>
            <w:t>设计条件</w:t>
          </w:r>
          <w:r>
            <w:rPr>
              <w:sz w:val="24"/>
              <w:szCs w:val="24"/>
            </w:rPr>
            <w:tab/>
          </w:r>
          <w:r>
            <w:rPr>
              <w:sz w:val="24"/>
              <w:szCs w:val="24"/>
            </w:rPr>
            <w:fldChar w:fldCharType="begin"/>
          </w:r>
          <w:r>
            <w:rPr>
              <w:sz w:val="24"/>
              <w:szCs w:val="24"/>
            </w:rPr>
            <w:instrText xml:space="preserve"> PAGEREF _Toc30978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_Toc7918 </w:instrText>
          </w:r>
          <w:r>
            <w:rPr>
              <w:sz w:val="24"/>
              <w:szCs w:val="24"/>
            </w:rPr>
            <w:fldChar w:fldCharType="separate"/>
          </w:r>
          <w:r>
            <w:rPr>
              <w:rFonts w:hint="default" w:ascii="Times New Roman" w:hAnsi="Times New Roman" w:eastAsia="宋体" w:cs="宋体"/>
              <w:kern w:val="44"/>
              <w:sz w:val="24"/>
              <w:szCs w:val="24"/>
              <w:lang w:val="zh-CN"/>
            </w:rPr>
            <w:t xml:space="preserve">4 </w:t>
          </w:r>
          <w:r>
            <w:rPr>
              <w:rFonts w:hint="eastAsia"/>
              <w:kern w:val="44"/>
              <w:sz w:val="24"/>
              <w:szCs w:val="24"/>
            </w:rPr>
            <w:t>防异物要求</w:t>
          </w:r>
          <w:r>
            <w:rPr>
              <w:sz w:val="24"/>
              <w:szCs w:val="24"/>
            </w:rPr>
            <w:tab/>
          </w:r>
          <w:r>
            <w:rPr>
              <w:sz w:val="24"/>
              <w:szCs w:val="24"/>
            </w:rPr>
            <w:fldChar w:fldCharType="begin"/>
          </w:r>
          <w:r>
            <w:rPr>
              <w:sz w:val="24"/>
              <w:szCs w:val="24"/>
            </w:rPr>
            <w:instrText xml:space="preserve"> PAGEREF _Toc7918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_Toc16334 </w:instrText>
          </w:r>
          <w:r>
            <w:rPr>
              <w:sz w:val="24"/>
              <w:szCs w:val="24"/>
            </w:rPr>
            <w:fldChar w:fldCharType="separate"/>
          </w:r>
          <w:r>
            <w:rPr>
              <w:rFonts w:hint="default" w:ascii="Times New Roman" w:hAnsi="Times New Roman" w:eastAsia="宋体" w:cs="宋体"/>
              <w:kern w:val="44"/>
              <w:sz w:val="24"/>
              <w:szCs w:val="24"/>
              <w:lang w:val="zh-CN"/>
            </w:rPr>
            <w:t xml:space="preserve">5 </w:t>
          </w:r>
          <w:r>
            <w:rPr>
              <w:rFonts w:hint="eastAsia"/>
              <w:kern w:val="44"/>
              <w:sz w:val="24"/>
              <w:szCs w:val="24"/>
            </w:rPr>
            <w:t>技术要求</w:t>
          </w:r>
          <w:r>
            <w:rPr>
              <w:sz w:val="24"/>
              <w:szCs w:val="24"/>
            </w:rPr>
            <w:tab/>
          </w:r>
          <w:r>
            <w:rPr>
              <w:sz w:val="24"/>
              <w:szCs w:val="24"/>
            </w:rPr>
            <w:fldChar w:fldCharType="begin"/>
          </w:r>
          <w:r>
            <w:rPr>
              <w:sz w:val="24"/>
              <w:szCs w:val="24"/>
            </w:rPr>
            <w:instrText xml:space="preserve"> PAGEREF _Toc16334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_Toc25010 </w:instrText>
          </w:r>
          <w:r>
            <w:rPr>
              <w:sz w:val="24"/>
              <w:szCs w:val="24"/>
            </w:rPr>
            <w:fldChar w:fldCharType="separate"/>
          </w:r>
          <w:r>
            <w:rPr>
              <w:rFonts w:hint="default" w:ascii="Times New Roman" w:hAnsi="Times New Roman" w:eastAsia="宋体" w:cs="宋体"/>
              <w:sz w:val="24"/>
              <w:szCs w:val="24"/>
            </w:rPr>
            <w:t xml:space="preserve">5.1 </w:t>
          </w:r>
          <w:r>
            <w:rPr>
              <w:rFonts w:hint="eastAsia"/>
              <w:sz w:val="24"/>
              <w:szCs w:val="24"/>
            </w:rPr>
            <w:t>工艺条件</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_Toc31021 </w:instrText>
          </w:r>
          <w:r>
            <w:rPr>
              <w:sz w:val="24"/>
              <w:szCs w:val="24"/>
            </w:rPr>
            <w:fldChar w:fldCharType="separate"/>
          </w:r>
          <w:r>
            <w:rPr>
              <w:rFonts w:hint="default" w:ascii="Times New Roman" w:hAnsi="Times New Roman" w:eastAsia="宋体" w:cs="宋体"/>
              <w:sz w:val="24"/>
              <w:szCs w:val="24"/>
            </w:rPr>
            <w:t xml:space="preserve">5.2 </w:t>
          </w:r>
          <w:r>
            <w:rPr>
              <w:rFonts w:hint="eastAsia"/>
              <w:sz w:val="24"/>
              <w:szCs w:val="24"/>
            </w:rPr>
            <w:t>法律法规</w:t>
          </w:r>
          <w:r>
            <w:rPr>
              <w:sz w:val="24"/>
              <w:szCs w:val="24"/>
            </w:rPr>
            <w:tab/>
          </w:r>
          <w:r>
            <w:rPr>
              <w:sz w:val="24"/>
              <w:szCs w:val="24"/>
            </w:rPr>
            <w:fldChar w:fldCharType="begin"/>
          </w:r>
          <w:r>
            <w:rPr>
              <w:sz w:val="24"/>
              <w:szCs w:val="24"/>
            </w:rPr>
            <w:instrText xml:space="preserve"> PAGEREF _Toc31021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_Toc23352 </w:instrText>
          </w:r>
          <w:r>
            <w:rPr>
              <w:sz w:val="24"/>
              <w:szCs w:val="24"/>
            </w:rPr>
            <w:fldChar w:fldCharType="separate"/>
          </w:r>
          <w:r>
            <w:rPr>
              <w:rFonts w:hint="default" w:ascii="Times New Roman" w:hAnsi="Times New Roman" w:eastAsia="宋体" w:cs="宋体"/>
              <w:sz w:val="24"/>
              <w:szCs w:val="24"/>
            </w:rPr>
            <w:t xml:space="preserve">5.3 </w:t>
          </w:r>
          <w:r>
            <w:rPr>
              <w:rFonts w:hint="eastAsia"/>
              <w:sz w:val="24"/>
              <w:szCs w:val="24"/>
            </w:rPr>
            <w:t>标准及规范</w:t>
          </w:r>
          <w:r>
            <w:rPr>
              <w:sz w:val="24"/>
              <w:szCs w:val="24"/>
            </w:rPr>
            <w:tab/>
          </w:r>
          <w:r>
            <w:rPr>
              <w:sz w:val="24"/>
              <w:szCs w:val="24"/>
            </w:rPr>
            <w:fldChar w:fldCharType="begin"/>
          </w:r>
          <w:r>
            <w:rPr>
              <w:sz w:val="24"/>
              <w:szCs w:val="24"/>
            </w:rPr>
            <w:instrText xml:space="preserve"> PAGEREF _Toc23352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_Toc7127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lang w:val="en-US" w:eastAsia="zh-CN" w:bidi="ar-SA"/>
            </w:rPr>
            <w:t>监造和性能验收</w:t>
          </w:r>
          <w:r>
            <w:rPr>
              <w:sz w:val="24"/>
              <w:szCs w:val="24"/>
            </w:rPr>
            <w:tab/>
          </w:r>
          <w:r>
            <w:rPr>
              <w:sz w:val="24"/>
              <w:szCs w:val="24"/>
            </w:rPr>
            <w:fldChar w:fldCharType="begin"/>
          </w:r>
          <w:r>
            <w:rPr>
              <w:sz w:val="24"/>
              <w:szCs w:val="24"/>
            </w:rPr>
            <w:instrText xml:space="preserve"> PAGEREF _Toc7127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_Toc17701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cs="Times New Roman"/>
              <w:sz w:val="24"/>
              <w:szCs w:val="24"/>
              <w:lang w:val="en-US" w:eastAsia="zh-CN"/>
            </w:rPr>
            <w:t>性能保证</w:t>
          </w:r>
          <w:r>
            <w:rPr>
              <w:sz w:val="24"/>
              <w:szCs w:val="24"/>
            </w:rPr>
            <w:tab/>
          </w:r>
          <w:r>
            <w:rPr>
              <w:sz w:val="24"/>
              <w:szCs w:val="24"/>
            </w:rPr>
            <w:fldChar w:fldCharType="begin"/>
          </w:r>
          <w:r>
            <w:rPr>
              <w:sz w:val="24"/>
              <w:szCs w:val="24"/>
            </w:rPr>
            <w:instrText xml:space="preserve"> PAGEREF _Toc17701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_Toc26982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cs="Times New Roman"/>
              <w:sz w:val="24"/>
              <w:szCs w:val="24"/>
              <w:lang w:val="en-US" w:eastAsia="zh-CN"/>
            </w:rPr>
            <w:t>质量保证</w:t>
          </w:r>
          <w:r>
            <w:rPr>
              <w:sz w:val="24"/>
              <w:szCs w:val="24"/>
            </w:rPr>
            <w:tab/>
          </w:r>
          <w:r>
            <w:rPr>
              <w:sz w:val="24"/>
              <w:szCs w:val="24"/>
            </w:rPr>
            <w:fldChar w:fldCharType="begin"/>
          </w:r>
          <w:r>
            <w:rPr>
              <w:sz w:val="24"/>
              <w:szCs w:val="24"/>
            </w:rPr>
            <w:instrText xml:space="preserve"> PAGEREF _Toc26982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_Toc14101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lang w:val="en-US" w:eastAsia="zh-CN"/>
            </w:rPr>
            <w:t>检验保证</w:t>
          </w:r>
          <w:r>
            <w:rPr>
              <w:sz w:val="24"/>
              <w:szCs w:val="24"/>
            </w:rPr>
            <w:tab/>
          </w:r>
          <w:r>
            <w:rPr>
              <w:sz w:val="24"/>
              <w:szCs w:val="24"/>
            </w:rPr>
            <w:fldChar w:fldCharType="begin"/>
          </w:r>
          <w:r>
            <w:rPr>
              <w:sz w:val="24"/>
              <w:szCs w:val="24"/>
            </w:rPr>
            <w:instrText xml:space="preserve"> PAGEREF _Toc14101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306"/>
              <w:tab w:val="clear" w:pos="9660"/>
            </w:tabs>
            <w:rPr>
              <w:sz w:val="24"/>
              <w:szCs w:val="24"/>
            </w:rPr>
          </w:pPr>
          <w:r>
            <w:rPr>
              <w:sz w:val="24"/>
              <w:szCs w:val="24"/>
            </w:rPr>
            <w:fldChar w:fldCharType="begin"/>
          </w:r>
          <w:r>
            <w:rPr>
              <w:sz w:val="24"/>
              <w:szCs w:val="24"/>
            </w:rPr>
            <w:instrText xml:space="preserve"> HYPERLINK \l _Toc3554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cs="Times New Roman"/>
              <w:sz w:val="24"/>
              <w:szCs w:val="24"/>
              <w:lang w:val="en-US" w:eastAsia="zh-CN"/>
            </w:rPr>
            <w:t>验收与安装</w:t>
          </w:r>
          <w:r>
            <w:rPr>
              <w:sz w:val="24"/>
              <w:szCs w:val="24"/>
            </w:rPr>
            <w:tab/>
          </w:r>
          <w:r>
            <w:rPr>
              <w:sz w:val="24"/>
              <w:szCs w:val="24"/>
            </w:rPr>
            <w:fldChar w:fldCharType="begin"/>
          </w:r>
          <w:r>
            <w:rPr>
              <w:sz w:val="24"/>
              <w:szCs w:val="24"/>
            </w:rPr>
            <w:instrText xml:space="preserve"> PAGEREF _Toc3554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_Toc15454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lang w:val="en-US" w:eastAsia="zh-CN" w:bidi="ar-SA"/>
            </w:rPr>
            <w:t>油漆与包装运输</w:t>
          </w:r>
          <w:r>
            <w:rPr>
              <w:sz w:val="24"/>
              <w:szCs w:val="24"/>
            </w:rPr>
            <w:tab/>
          </w:r>
          <w:r>
            <w:rPr>
              <w:sz w:val="24"/>
              <w:szCs w:val="24"/>
            </w:rPr>
            <w:fldChar w:fldCharType="begin"/>
          </w:r>
          <w:r>
            <w:rPr>
              <w:sz w:val="24"/>
              <w:szCs w:val="24"/>
            </w:rPr>
            <w:instrText xml:space="preserve"> PAGEREF _Toc15454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1"/>
            <w:tabs>
              <w:tab w:val="right" w:leader="dot" w:pos="8306"/>
              <w:tab w:val="clear" w:pos="9628"/>
            </w:tabs>
            <w:rPr>
              <w:sz w:val="24"/>
              <w:szCs w:val="24"/>
            </w:rPr>
          </w:pPr>
          <w:r>
            <w:rPr>
              <w:sz w:val="24"/>
              <w:szCs w:val="24"/>
            </w:rPr>
            <w:fldChar w:fldCharType="begin"/>
          </w:r>
          <w:r>
            <w:rPr>
              <w:sz w:val="24"/>
              <w:szCs w:val="24"/>
            </w:rPr>
            <w:instrText xml:space="preserve"> HYPERLINK \l _Toc241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lang w:val="en-US" w:eastAsia="zh-CN" w:bidi="ar-SA"/>
            </w:rPr>
            <w:t>买卖双方责任范围</w:t>
          </w:r>
          <w:r>
            <w:rPr>
              <w:sz w:val="24"/>
              <w:szCs w:val="24"/>
            </w:rPr>
            <w:tab/>
          </w:r>
          <w:r>
            <w:rPr>
              <w:sz w:val="24"/>
              <w:szCs w:val="24"/>
            </w:rPr>
            <w:fldChar w:fldCharType="begin"/>
          </w:r>
          <w:r>
            <w:rPr>
              <w:sz w:val="24"/>
              <w:szCs w:val="24"/>
            </w:rPr>
            <w:instrText xml:space="preserve"> PAGEREF _Toc241 \h </w:instrText>
          </w:r>
          <w:r>
            <w:rPr>
              <w:sz w:val="24"/>
              <w:szCs w:val="24"/>
            </w:rPr>
            <w:fldChar w:fldCharType="separate"/>
          </w:r>
          <w:r>
            <w:rPr>
              <w:sz w:val="24"/>
              <w:szCs w:val="24"/>
            </w:rPr>
            <w:t>10</w:t>
          </w:r>
          <w:r>
            <w:rPr>
              <w:sz w:val="24"/>
              <w:szCs w:val="24"/>
            </w:rPr>
            <w:fldChar w:fldCharType="end"/>
          </w:r>
          <w:r>
            <w:rPr>
              <w:sz w:val="24"/>
              <w:szCs w:val="24"/>
            </w:rPr>
            <w:fldChar w:fldCharType="end"/>
          </w:r>
        </w:p>
        <w:p>
          <w:pPr>
            <w:spacing w:line="240" w:lineRule="auto"/>
            <w:ind w:firstLine="480"/>
            <w:rPr>
              <w:b/>
            </w:rPr>
            <w:sectPr>
              <w:headerReference r:id="rId6" w:type="default"/>
              <w:footerReference r:id="rId7" w:type="default"/>
              <w:pgSz w:w="11906" w:h="16838"/>
              <w:pgMar w:top="1440" w:right="1800" w:bottom="1440" w:left="1800" w:header="851" w:footer="992" w:gutter="0"/>
              <w:cols w:space="425" w:num="1"/>
              <w:docGrid w:type="lines" w:linePitch="312" w:charSpace="0"/>
            </w:sectPr>
          </w:pPr>
          <w:r>
            <w:rPr>
              <w:sz w:val="24"/>
              <w:szCs w:val="24"/>
            </w:rPr>
            <w:fldChar w:fldCharType="end"/>
          </w:r>
        </w:p>
      </w:sdtContent>
    </w:sdt>
    <w:p>
      <w:pPr>
        <w:keepNext/>
        <w:numPr>
          <w:ilvl w:val="0"/>
          <w:numId w:val="1"/>
        </w:numPr>
        <w:spacing w:before="156" w:beforeLines="50" w:line="360" w:lineRule="auto"/>
        <w:ind w:left="0" w:firstLine="0" w:firstLineChars="0"/>
        <w:outlineLvl w:val="0"/>
        <w:rPr>
          <w:b/>
          <w:kern w:val="44"/>
          <w:sz w:val="28"/>
          <w:szCs w:val="28"/>
          <w:lang w:val="zh-CN"/>
        </w:rPr>
      </w:pPr>
      <w:bookmarkStart w:id="0" w:name="_Toc13097"/>
      <w:r>
        <w:rPr>
          <w:rFonts w:hint="eastAsia"/>
          <w:b/>
          <w:kern w:val="44"/>
          <w:sz w:val="28"/>
          <w:szCs w:val="28"/>
          <w:lang w:val="zh-CN"/>
        </w:rPr>
        <w:t>总</w:t>
      </w:r>
      <w:r>
        <w:rPr>
          <w:rFonts w:hint="eastAsia"/>
          <w:b/>
          <w:kern w:val="44"/>
          <w:sz w:val="28"/>
          <w:szCs w:val="28"/>
        </w:rPr>
        <w:t>则</w:t>
      </w:r>
      <w:bookmarkEnd w:id="0"/>
    </w:p>
    <w:p>
      <w:pPr>
        <w:autoSpaceDE w:val="0"/>
        <w:autoSpaceDN w:val="0"/>
        <w:adjustRightInd w:val="0"/>
        <w:snapToGrid w:val="0"/>
        <w:spacing w:line="560" w:lineRule="exact"/>
        <w:ind w:left="-120" w:leftChars="-50" w:right="-120" w:rightChars="-50" w:firstLine="480"/>
        <w:rPr>
          <w:lang w:val="zh-CN"/>
        </w:rPr>
      </w:pPr>
      <w:r>
        <w:rPr>
          <w:rFonts w:hint="eastAsia"/>
          <w:lang w:val="zh-CN"/>
        </w:rPr>
        <w:t>本询价文件(包括数据表、技术要求和设计规范等）适用于湖南美特科研成果转化基地暨正极材料中试线建设项目正极材料中试线</w:t>
      </w:r>
      <w:r>
        <w:rPr>
          <w:rFonts w:hint="eastAsia" w:ascii="Times New Roman" w:hAnsi="Times New Roman" w:eastAsia="宋体" w:cs="Times New Roman"/>
          <w:lang w:val="en-US" w:eastAsia="zh-CN"/>
        </w:rPr>
        <w:t>双锥</w:t>
      </w:r>
      <w:r>
        <w:rPr>
          <w:rFonts w:hint="eastAsia"/>
          <w:lang w:val="en-US" w:eastAsia="zh-CN"/>
        </w:rPr>
        <w:t>形混</w:t>
      </w:r>
      <w:r>
        <w:rPr>
          <w:rFonts w:hint="eastAsia"/>
          <w:lang w:val="zh-CN"/>
        </w:rPr>
        <w:t>的设计、制造、指导安装、检验要求和供货范围的标准规范及要求。</w:t>
      </w:r>
    </w:p>
    <w:p>
      <w:pPr>
        <w:autoSpaceDE w:val="0"/>
        <w:autoSpaceDN w:val="0"/>
        <w:adjustRightInd w:val="0"/>
        <w:snapToGrid w:val="0"/>
        <w:spacing w:line="560" w:lineRule="exact"/>
        <w:ind w:left="-120" w:leftChars="-50" w:right="-120" w:rightChars="-50" w:firstLine="480"/>
        <w:rPr>
          <w:lang w:val="zh-CN"/>
        </w:rPr>
      </w:pPr>
      <w:r>
        <w:rPr>
          <w:rFonts w:hint="eastAsia"/>
          <w:lang w:val="zh-CN"/>
        </w:rPr>
        <w:t>卖方应遵循项目规范和本询价文件的要求，并保证其分供货商也遵守上述要求。卖方对所报价的设备或材料负完全责任。</w:t>
      </w:r>
    </w:p>
    <w:p>
      <w:pPr>
        <w:keepNext/>
        <w:numPr>
          <w:ilvl w:val="0"/>
          <w:numId w:val="1"/>
        </w:numPr>
        <w:spacing w:before="156" w:beforeLines="50" w:line="360" w:lineRule="auto"/>
        <w:ind w:left="0" w:firstLine="0" w:firstLineChars="0"/>
        <w:outlineLvl w:val="0"/>
        <w:rPr>
          <w:b/>
          <w:kern w:val="44"/>
          <w:sz w:val="28"/>
          <w:szCs w:val="28"/>
          <w:lang w:val="zh-CN"/>
        </w:rPr>
      </w:pPr>
      <w:bookmarkStart w:id="1" w:name="_Toc6738"/>
      <w:bookmarkStart w:id="2" w:name="_Toc22337"/>
      <w:r>
        <w:rPr>
          <w:rFonts w:hint="eastAsia"/>
          <w:b/>
          <w:kern w:val="44"/>
          <w:sz w:val="28"/>
          <w:szCs w:val="28"/>
        </w:rPr>
        <w:t>工程概况</w:t>
      </w:r>
      <w:bookmarkEnd w:id="1"/>
      <w:bookmarkEnd w:id="2"/>
    </w:p>
    <w:p>
      <w:pPr>
        <w:pStyle w:val="4"/>
      </w:pPr>
      <w:bookmarkStart w:id="3" w:name="_Toc15015"/>
      <w:bookmarkStart w:id="4" w:name="_Toc31287"/>
      <w:bookmarkStart w:id="5" w:name="_Toc155446205"/>
      <w:r>
        <w:rPr>
          <w:rFonts w:hint="eastAsia"/>
        </w:rPr>
        <w:t>基本条件</w:t>
      </w:r>
      <w:bookmarkEnd w:id="3"/>
      <w:bookmarkEnd w:id="4"/>
      <w:bookmarkEnd w:id="5"/>
    </w:p>
    <w:p>
      <w:pPr>
        <w:autoSpaceDE w:val="0"/>
        <w:autoSpaceDN w:val="0"/>
        <w:adjustRightInd w:val="0"/>
        <w:snapToGrid w:val="0"/>
        <w:spacing w:line="560" w:lineRule="exact"/>
        <w:ind w:left="-120" w:leftChars="-50" w:right="-120" w:rightChars="-50" w:firstLine="480"/>
        <w:rPr>
          <w:lang w:val="zh-CN"/>
        </w:rPr>
      </w:pPr>
      <w:r>
        <w:rPr>
          <w:rFonts w:hint="eastAsia"/>
          <w:lang w:val="zh-CN"/>
        </w:rPr>
        <w:t>工作制度：300天/年，</w:t>
      </w:r>
      <w:r>
        <w:rPr>
          <w:rFonts w:hint="eastAsia"/>
        </w:rPr>
        <w:t>3</w:t>
      </w:r>
      <w:r>
        <w:rPr>
          <w:rFonts w:hint="eastAsia"/>
          <w:lang w:val="zh-CN"/>
        </w:rPr>
        <w:t>班/天，</w:t>
      </w:r>
      <w:r>
        <w:rPr>
          <w:rFonts w:hint="eastAsia"/>
        </w:rPr>
        <w:t>8</w:t>
      </w:r>
      <w:r>
        <w:rPr>
          <w:rFonts w:hint="eastAsia"/>
          <w:lang w:val="zh-CN"/>
        </w:rPr>
        <w:t>小时/班。</w:t>
      </w:r>
    </w:p>
    <w:p>
      <w:pPr>
        <w:autoSpaceDE w:val="0"/>
        <w:autoSpaceDN w:val="0"/>
        <w:adjustRightInd w:val="0"/>
        <w:snapToGrid w:val="0"/>
        <w:spacing w:line="560" w:lineRule="exact"/>
        <w:ind w:left="-120" w:leftChars="-50" w:right="-120" w:rightChars="-50" w:firstLine="480"/>
        <w:rPr>
          <w:lang w:val="zh-CN"/>
        </w:rPr>
      </w:pPr>
      <w:r>
        <w:rPr>
          <w:rFonts w:hint="eastAsia"/>
          <w:highlight w:val="yellow"/>
          <w:lang w:val="zh-CN"/>
        </w:rPr>
        <w:t>设备安装位置：</w:t>
      </w:r>
      <w:r>
        <w:rPr>
          <w:rFonts w:hint="eastAsia"/>
          <w:highlight w:val="yellow"/>
        </w:rPr>
        <w:t>湖南</w:t>
      </w:r>
      <w:r>
        <w:rPr>
          <w:rFonts w:hint="eastAsia"/>
          <w:highlight w:val="yellow"/>
          <w:lang w:val="zh-CN"/>
        </w:rPr>
        <w:t>省</w:t>
      </w:r>
      <w:r>
        <w:rPr>
          <w:rFonts w:hint="eastAsia"/>
          <w:highlight w:val="yellow"/>
        </w:rPr>
        <w:t>长沙</w:t>
      </w:r>
      <w:r>
        <w:rPr>
          <w:rFonts w:hint="eastAsia"/>
          <w:highlight w:val="yellow"/>
          <w:lang w:val="zh-CN"/>
        </w:rPr>
        <w:t>市</w:t>
      </w:r>
      <w:r>
        <w:rPr>
          <w:rFonts w:hint="eastAsia"/>
        </w:rPr>
        <w:t>望城</w:t>
      </w:r>
      <w:r>
        <w:rPr>
          <w:rFonts w:hint="eastAsia"/>
          <w:lang w:val="zh-CN"/>
        </w:rPr>
        <w:t>区、室内。</w:t>
      </w:r>
    </w:p>
    <w:p>
      <w:pPr>
        <w:autoSpaceDE w:val="0"/>
        <w:autoSpaceDN w:val="0"/>
        <w:adjustRightInd w:val="0"/>
        <w:snapToGrid w:val="0"/>
        <w:spacing w:line="560" w:lineRule="exact"/>
        <w:ind w:left="-120" w:leftChars="-50" w:right="-120" w:rightChars="-50" w:firstLine="480"/>
        <w:rPr>
          <w:lang w:val="zh-CN"/>
        </w:rPr>
      </w:pPr>
      <w:r>
        <w:rPr>
          <w:rFonts w:hint="eastAsia"/>
          <w:lang w:val="zh-CN"/>
        </w:rPr>
        <w:t>海拔高度：</w:t>
      </w:r>
      <w:r>
        <w:rPr>
          <w:rFonts w:hint="eastAsia"/>
        </w:rPr>
        <w:t>60</w:t>
      </w:r>
      <w:r>
        <w:rPr>
          <w:rFonts w:hint="eastAsia"/>
          <w:lang w:val="zh-CN"/>
        </w:rPr>
        <w:t>~</w:t>
      </w:r>
      <w:r>
        <w:rPr>
          <w:rFonts w:hint="eastAsia"/>
        </w:rPr>
        <w:t>150</w:t>
      </w:r>
      <w:r>
        <w:rPr>
          <w:rFonts w:hint="eastAsia"/>
          <w:lang w:val="zh-CN"/>
        </w:rPr>
        <w:t>m。</w:t>
      </w:r>
    </w:p>
    <w:p>
      <w:pPr>
        <w:autoSpaceDE w:val="0"/>
        <w:autoSpaceDN w:val="0"/>
        <w:adjustRightInd w:val="0"/>
        <w:snapToGrid w:val="0"/>
        <w:spacing w:line="560" w:lineRule="exact"/>
        <w:ind w:left="-120" w:leftChars="-50" w:right="-120" w:rightChars="-50" w:firstLine="480"/>
        <w:rPr>
          <w:lang w:val="zh-CN"/>
        </w:rPr>
      </w:pPr>
      <w:r>
        <w:rPr>
          <w:rFonts w:hint="eastAsia"/>
          <w:lang w:val="zh-CN"/>
        </w:rPr>
        <w:t>大气压力：0.1 MPa。</w:t>
      </w:r>
    </w:p>
    <w:p>
      <w:pPr>
        <w:pStyle w:val="4"/>
      </w:pPr>
      <w:bookmarkStart w:id="6" w:name="_Toc10860"/>
      <w:bookmarkStart w:id="7" w:name="_Toc18842"/>
      <w:r>
        <w:rPr>
          <w:rFonts w:hint="eastAsia"/>
        </w:rPr>
        <w:t>气象条件</w:t>
      </w:r>
      <w:bookmarkEnd w:id="6"/>
      <w:bookmarkEnd w:id="7"/>
    </w:p>
    <w:p>
      <w:pPr>
        <w:autoSpaceDE w:val="0"/>
        <w:autoSpaceDN w:val="0"/>
        <w:adjustRightInd w:val="0"/>
        <w:snapToGrid w:val="0"/>
        <w:spacing w:line="560" w:lineRule="exact"/>
        <w:ind w:left="-120" w:leftChars="-50" w:right="-120" w:rightChars="-50" w:firstLine="480"/>
      </w:pPr>
      <w:r>
        <w:rPr>
          <w:rFonts w:hint="eastAsia"/>
        </w:rPr>
        <w:t>长沙市望城区地处</w:t>
      </w:r>
      <w:r>
        <w:fldChar w:fldCharType="begin"/>
      </w:r>
      <w:r>
        <w:instrText xml:space="preserve">HYPERLINK "https://baike.baidu.com/item/%E6%B4%9E%E5%BA%AD%E6%B9%96/182539?fromModule=lemma_inlink" \t "_blank"</w:instrText>
      </w:r>
      <w:r>
        <w:fldChar w:fldCharType="separate"/>
      </w:r>
      <w:r>
        <w:rPr>
          <w:rFonts w:hint="eastAsia"/>
        </w:rPr>
        <w:t>洞庭湖</w:t>
      </w:r>
      <w:r>
        <w:fldChar w:fldCharType="end"/>
      </w:r>
      <w:r>
        <w:rPr>
          <w:rFonts w:hint="eastAsia"/>
        </w:rPr>
        <w:t>南缘、长浏盆地的西部，长衡丘陵向滨湖平原过渡的地带，地理上位于位于</w:t>
      </w:r>
      <w:r>
        <w:rPr>
          <w:rFonts w:hint="eastAsia"/>
        </w:rPr>
        <w:fldChar w:fldCharType="begin"/>
      </w:r>
      <w:r>
        <w:rPr>
          <w:rFonts w:hint="eastAsia"/>
        </w:rPr>
        <w:instrText xml:space="preserve"> HYPERLINK "https://baike.baidu.com/item/%E6%B9%96%E5%8D%97/228213?fromModule=lemma_inlink" \t "_blank" </w:instrText>
      </w:r>
      <w:r>
        <w:rPr>
          <w:rFonts w:hint="eastAsia"/>
        </w:rPr>
        <w:fldChar w:fldCharType="separate"/>
      </w:r>
      <w:r>
        <w:rPr>
          <w:rFonts w:hint="eastAsia"/>
        </w:rPr>
        <w:t>湖南</w:t>
      </w:r>
      <w:r>
        <w:rPr>
          <w:rFonts w:hint="eastAsia"/>
        </w:rPr>
        <w:fldChar w:fldCharType="end"/>
      </w:r>
      <w:r>
        <w:rPr>
          <w:rFonts w:hint="eastAsia"/>
        </w:rPr>
        <w:t>中部偏北、长沙城区北半部，位于东经112°35′48″—113°02′30″和北纬27°58′28″—28°33′45″之间，属</w:t>
      </w:r>
      <w:r>
        <w:rPr>
          <w:rFonts w:hint="eastAsia"/>
        </w:rPr>
        <w:fldChar w:fldCharType="begin"/>
      </w:r>
      <w:r>
        <w:rPr>
          <w:rFonts w:hint="eastAsia"/>
        </w:rPr>
        <w:instrText xml:space="preserve"> HYPERLINK "https://baike.baidu.com/item/%E4%BA%9A%E7%83%AD%E5%B8%A6%E5%AD%A3%E9%A3%8E%E6%B0%94%E5%80%99/875538?fromModule=lemma_inlink" \t "_blank" </w:instrText>
      </w:r>
      <w:r>
        <w:rPr>
          <w:rFonts w:hint="eastAsia"/>
        </w:rPr>
        <w:fldChar w:fldCharType="separate"/>
      </w:r>
      <w:r>
        <w:rPr>
          <w:rFonts w:hint="eastAsia"/>
        </w:rPr>
        <w:t>亚热带季风气候</w:t>
      </w:r>
      <w:r>
        <w:rPr>
          <w:rFonts w:hint="eastAsia"/>
        </w:rPr>
        <w:fldChar w:fldCharType="end"/>
      </w:r>
      <w:r>
        <w:rPr>
          <w:rFonts w:hint="eastAsia"/>
        </w:rPr>
        <w:t>，气候特征是：气候温和，降水充沛，雨热同期，四季分明</w:t>
      </w:r>
    </w:p>
    <w:p>
      <w:pPr>
        <w:autoSpaceDE w:val="0"/>
        <w:autoSpaceDN w:val="0"/>
        <w:adjustRightInd w:val="0"/>
        <w:snapToGrid w:val="0"/>
        <w:spacing w:line="560" w:lineRule="exact"/>
        <w:ind w:left="-120" w:leftChars="-50" w:right="-120" w:rightChars="-50" w:firstLine="480"/>
      </w:pPr>
      <w:r>
        <w:rPr>
          <w:rFonts w:hint="eastAsia"/>
        </w:rPr>
        <w:t>1）温度</w:t>
      </w:r>
    </w:p>
    <w:p>
      <w:pPr>
        <w:autoSpaceDE w:val="0"/>
        <w:autoSpaceDN w:val="0"/>
        <w:adjustRightInd w:val="0"/>
        <w:snapToGrid w:val="0"/>
        <w:spacing w:line="560" w:lineRule="exact"/>
        <w:ind w:left="-120" w:leftChars="-50" w:right="-120" w:rightChars="-50" w:firstLine="480"/>
      </w:pPr>
      <w:r>
        <w:rPr>
          <w:rFonts w:hint="eastAsia"/>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pPr>
      <w:r>
        <w:rPr>
          <w:rFonts w:hint="eastAsia"/>
        </w:rPr>
        <w:t>2）降水</w:t>
      </w:r>
    </w:p>
    <w:p>
      <w:pPr>
        <w:autoSpaceDE w:val="0"/>
        <w:autoSpaceDN w:val="0"/>
        <w:adjustRightInd w:val="0"/>
        <w:snapToGrid w:val="0"/>
        <w:spacing w:line="560" w:lineRule="exact"/>
        <w:ind w:left="-120" w:leftChars="-50" w:right="-120" w:rightChars="-50" w:firstLine="480"/>
      </w:pPr>
      <w:r>
        <w:rPr>
          <w:rFonts w:hint="eastAsia"/>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pPr>
      <w:r>
        <w:rPr>
          <w:rFonts w:hint="eastAsia"/>
        </w:rPr>
        <w:t>3）风</w:t>
      </w:r>
    </w:p>
    <w:p>
      <w:pPr>
        <w:autoSpaceDE w:val="0"/>
        <w:autoSpaceDN w:val="0"/>
        <w:adjustRightInd w:val="0"/>
        <w:snapToGrid w:val="0"/>
        <w:spacing w:line="560" w:lineRule="exact"/>
        <w:ind w:left="-120" w:leftChars="-50" w:right="-120" w:rightChars="-50" w:firstLine="480"/>
      </w:pPr>
      <w:r>
        <w:rPr>
          <w:rFonts w:hint="eastAsia"/>
        </w:rPr>
        <w:t>基本风压：0.35kN/m</w:t>
      </w:r>
      <w:r>
        <w:rPr>
          <w:rFonts w:hint="eastAsia"/>
          <w:vertAlign w:val="superscript"/>
        </w:rPr>
        <w:t>2</w:t>
      </w:r>
      <w:r>
        <w:rPr>
          <w:rFonts w:hint="eastAsia"/>
        </w:rPr>
        <w:t>（50年一遇）；地面粗糙度类别：B类</w:t>
      </w:r>
    </w:p>
    <w:p>
      <w:pPr>
        <w:autoSpaceDE w:val="0"/>
        <w:autoSpaceDN w:val="0"/>
        <w:adjustRightInd w:val="0"/>
        <w:snapToGrid w:val="0"/>
        <w:spacing w:line="560" w:lineRule="exact"/>
        <w:ind w:left="-120" w:leftChars="-50" w:right="-120" w:rightChars="-50" w:firstLine="480"/>
      </w:pPr>
      <w:r>
        <w:rPr>
          <w:rFonts w:hint="eastAsia"/>
        </w:rPr>
        <w:t>（风荷载体型系数按GB50009-2012第8.3节）</w:t>
      </w:r>
    </w:p>
    <w:p>
      <w:pPr>
        <w:autoSpaceDE w:val="0"/>
        <w:autoSpaceDN w:val="0"/>
        <w:adjustRightInd w:val="0"/>
        <w:snapToGrid w:val="0"/>
        <w:spacing w:line="560" w:lineRule="exact"/>
        <w:ind w:left="-120" w:leftChars="-50" w:right="-120" w:rightChars="-50" w:firstLine="480"/>
      </w:pPr>
      <w:r>
        <w:rPr>
          <w:rFonts w:hint="eastAsia"/>
        </w:rPr>
        <w:t>基本雪压：0.50kN/m</w:t>
      </w:r>
      <w:r>
        <w:rPr>
          <w:rFonts w:hint="eastAsia"/>
          <w:vertAlign w:val="superscript"/>
        </w:rPr>
        <w:t>2</w:t>
      </w:r>
      <w:r>
        <w:rPr>
          <w:rFonts w:hint="eastAsia"/>
        </w:rPr>
        <w:t xml:space="preserve">（100年一遇）        </w:t>
      </w:r>
    </w:p>
    <w:p>
      <w:pPr>
        <w:autoSpaceDE w:val="0"/>
        <w:autoSpaceDN w:val="0"/>
        <w:adjustRightInd w:val="0"/>
        <w:snapToGrid w:val="0"/>
        <w:spacing w:line="560" w:lineRule="exact"/>
        <w:ind w:left="-120" w:leftChars="-50" w:right="-120" w:rightChars="-50" w:firstLine="480"/>
      </w:pPr>
      <w:r>
        <w:rPr>
          <w:rFonts w:hint="eastAsia"/>
        </w:rPr>
        <w:t>（屋面积雪压分布系数按GB 50009-2012第7.2节）</w:t>
      </w:r>
    </w:p>
    <w:p>
      <w:pPr>
        <w:keepNext/>
        <w:numPr>
          <w:ilvl w:val="0"/>
          <w:numId w:val="1"/>
        </w:numPr>
        <w:spacing w:before="156" w:beforeLines="50" w:line="360" w:lineRule="auto"/>
        <w:ind w:left="0" w:firstLine="0" w:firstLineChars="0"/>
        <w:outlineLvl w:val="0"/>
        <w:rPr>
          <w:b/>
          <w:kern w:val="44"/>
          <w:sz w:val="28"/>
          <w:szCs w:val="28"/>
          <w:lang w:val="zh-CN"/>
        </w:rPr>
      </w:pPr>
      <w:bookmarkStart w:id="8" w:name="_Toc14415"/>
      <w:bookmarkStart w:id="9" w:name="_Toc12865"/>
      <w:r>
        <w:rPr>
          <w:rFonts w:hint="eastAsia"/>
          <w:b/>
          <w:kern w:val="44"/>
          <w:sz w:val="28"/>
          <w:szCs w:val="28"/>
        </w:rPr>
        <w:t>设计和运行条件</w:t>
      </w:r>
      <w:bookmarkEnd w:id="8"/>
      <w:bookmarkEnd w:id="9"/>
    </w:p>
    <w:p>
      <w:pPr>
        <w:pStyle w:val="4"/>
        <w:spacing w:before="156" w:beforeLines="50" w:line="360" w:lineRule="auto"/>
      </w:pPr>
      <w:bookmarkStart w:id="10" w:name="_Toc30978"/>
      <w:bookmarkStart w:id="11" w:name="_Toc1155"/>
      <w:r>
        <w:rPr>
          <w:rFonts w:hint="eastAsia"/>
        </w:rPr>
        <w:t>设计条件</w:t>
      </w:r>
      <w:bookmarkEnd w:id="10"/>
    </w:p>
    <w:tbl>
      <w:tblPr>
        <w:tblStyle w:val="14"/>
        <w:tblW w:w="54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7"/>
        <w:gridCol w:w="2701"/>
        <w:gridCol w:w="5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序号 </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目 </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双锥形混需求</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1"/>
                <w:highlight w:val="yellow"/>
                <w:lang w:val="en-US" w:eastAsia="zh-CN" w:bidi="ar-SA"/>
              </w:rPr>
            </w:pPr>
            <w:r>
              <w:rPr>
                <w:rFonts w:hint="eastAsia" w:ascii="Times New Roman" w:hAnsi="Times New Roman" w:cs="Times New Roman"/>
                <w:color w:val="auto"/>
                <w:kern w:val="2"/>
                <w:sz w:val="21"/>
                <w:szCs w:val="21"/>
                <w:highlight w:val="yellow"/>
                <w:lang w:val="en-US" w:eastAsia="zh-CN" w:bidi="ar-SA"/>
              </w:rPr>
              <w:t>钠电-层状氧化物：1台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yellow"/>
                <w:lang w:val="en-US" w:eastAsia="zh-CN" w:bidi="ar-SA"/>
              </w:rPr>
            </w:pPr>
            <w:r>
              <w:rPr>
                <w:rFonts w:hint="eastAsia" w:ascii="Times New Roman" w:hAnsi="Times New Roman" w:cs="Times New Roman"/>
                <w:color w:val="auto"/>
                <w:kern w:val="2"/>
                <w:sz w:val="21"/>
                <w:szCs w:val="21"/>
                <w:highlight w:val="yellow"/>
                <w:lang w:val="en-US" w:eastAsia="zh-CN" w:bidi="ar-SA"/>
              </w:rPr>
              <w:t>纳电-聚阴离子：1台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yellow"/>
                <w:lang w:val="en-US" w:eastAsia="zh-CN" w:bidi="ar-SA"/>
              </w:rPr>
            </w:pPr>
            <w:r>
              <w:rPr>
                <w:rFonts w:hint="eastAsia" w:ascii="Times New Roman" w:hAnsi="Times New Roman" w:cs="Times New Roman"/>
                <w:color w:val="auto"/>
                <w:kern w:val="2"/>
                <w:sz w:val="21"/>
                <w:szCs w:val="21"/>
                <w:highlight w:val="yellow"/>
                <w:lang w:val="en-US" w:eastAsia="zh-CN" w:bidi="ar-SA"/>
              </w:rPr>
              <w:t>钴酸锂：1台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设备容积</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yellow"/>
                <w:lang w:val="en-US" w:eastAsia="zh-CN" w:bidi="ar"/>
              </w:rPr>
              <w:t>1m³（最大工作容积0.6 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477" w:type="pct"/>
            <w:vAlign w:val="center"/>
          </w:tcPr>
          <w:p>
            <w:pPr>
              <w:spacing w:line="0" w:lineRule="atLeas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材质</w:t>
            </w:r>
          </w:p>
        </w:tc>
        <w:tc>
          <w:tcPr>
            <w:tcW w:w="3183" w:type="pct"/>
            <w:vAlign w:val="bottom"/>
          </w:tcPr>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304不锈钢，喷砂或底漆+锂电专用面漆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477" w:type="pct"/>
            <w:vAlign w:val="center"/>
          </w:tcPr>
          <w:p>
            <w:pPr>
              <w:spacing w:line="0" w:lineRule="atLeas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涂层要求</w:t>
            </w:r>
          </w:p>
        </w:tc>
        <w:tc>
          <w:tcPr>
            <w:tcW w:w="3183" w:type="pct"/>
            <w:vAlign w:val="bottom"/>
          </w:tcPr>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筒体内壁：3mm PTFE板，不开裂脱落</w:t>
            </w:r>
          </w:p>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筒盖：0.3mm ETFE</w:t>
            </w:r>
          </w:p>
          <w:p>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分配箱+转臂+弯头：304不锈钢表面喷涂0.3mm ECTFE</w:t>
            </w:r>
          </w:p>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none"/>
                <w:lang w:val="en-US" w:eastAsia="zh-Hans" w:bidi="ar"/>
              </w:rPr>
            </w:pPr>
            <w:r>
              <w:rPr>
                <w:rFonts w:hint="eastAsia" w:ascii="宋体" w:hAnsi="宋体" w:eastAsia="宋体" w:cs="宋体"/>
                <w:color w:val="000000"/>
                <w:kern w:val="0"/>
                <w:sz w:val="21"/>
                <w:szCs w:val="21"/>
                <w:highlight w:val="yellow"/>
                <w:lang w:val="en-US" w:eastAsia="zh-CN" w:bidi="ar"/>
              </w:rPr>
              <w:t>长螺旋+短螺旋：304不锈钢表面喷涂2-3mm纳米陶瓷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进、出口配置</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进料口1个</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检修口1个</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出料口1个</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排气口1个（配卡箍式呼吸器，PTFE覆膜,过滤精度0.3微米）</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开孔位置和尺寸甲供（常规尺寸）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电机</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采用</w:t>
            </w:r>
            <w:r>
              <w:rPr>
                <w:rFonts w:hint="eastAsia" w:ascii="宋体" w:hAnsi="宋体" w:eastAsia="宋体" w:cs="宋体"/>
                <w:color w:val="FF0000"/>
                <w:kern w:val="0"/>
                <w:sz w:val="21"/>
                <w:szCs w:val="21"/>
                <w:highlight w:val="yellow"/>
                <w:lang w:val="en-US" w:eastAsia="zh-CN" w:bidi="ar"/>
              </w:rPr>
              <w:t>卧式</w:t>
            </w:r>
            <w:r>
              <w:rPr>
                <w:rFonts w:hint="eastAsia" w:ascii="宋体" w:hAnsi="宋体" w:eastAsia="宋体" w:cs="宋体"/>
                <w:color w:val="000000"/>
                <w:kern w:val="0"/>
                <w:sz w:val="21"/>
                <w:szCs w:val="21"/>
                <w:highlight w:val="yellow"/>
                <w:lang w:val="en-US" w:eastAsia="zh-CN" w:bidi="ar"/>
              </w:rPr>
              <w:t>电机/减速机形式</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皖南/大中及国产一线品牌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减速机</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SEW/国贸及国产一线品牌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出料蝶阀</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EPDM阀座，阀芯喷碳化钨，国产优质品牌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控制元器件</w:t>
            </w:r>
          </w:p>
        </w:tc>
        <w:tc>
          <w:tcPr>
            <w:tcW w:w="3183"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控制柜（小柜）</w:t>
            </w:r>
          </w:p>
        </w:tc>
        <w:tc>
          <w:tcPr>
            <w:tcW w:w="3183" w:type="pct"/>
            <w:vAlign w:val="center"/>
          </w:tcPr>
          <w:p>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碳钢喷塑，配置此设备的控制箱（带按钮）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11</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电缆</w:t>
            </w:r>
          </w:p>
        </w:tc>
        <w:tc>
          <w:tcPr>
            <w:tcW w:w="3183" w:type="pct"/>
            <w:vAlign w:val="center"/>
          </w:tcPr>
          <w:p>
            <w:pPr>
              <w:keepNext w:val="0"/>
              <w:keepLines w:val="0"/>
              <w:widowControl/>
              <w:suppressLineNumbers w:val="0"/>
              <w:ind w:left="0" w:leftChars="0" w:firstLine="0" w:firstLineChars="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上上/远东/恒飞/新亚光及同等品牌</w:t>
            </w:r>
          </w:p>
          <w:p>
            <w:pPr>
              <w:keepNext w:val="0"/>
              <w:keepLines w:val="0"/>
              <w:widowControl/>
              <w:suppressLineNumbers w:val="0"/>
              <w:ind w:left="0" w:leftChars="0" w:firstLine="0" w:firstLineChars="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控制柜到设备端的电缆由卖方负责，单台长度约20米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38"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12</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其他说明</w:t>
            </w:r>
          </w:p>
        </w:tc>
        <w:tc>
          <w:tcPr>
            <w:tcW w:w="3183" w:type="pct"/>
            <w:vAlign w:val="center"/>
          </w:tcPr>
          <w:p>
            <w:pPr>
              <w:keepNext w:val="0"/>
              <w:keepLines w:val="0"/>
              <w:widowControl/>
              <w:suppressLineNumbers w:val="0"/>
              <w:ind w:left="0" w:leftChars="0" w:firstLine="0" w:firstLineChars="0"/>
              <w:jc w:val="center"/>
              <w:rPr>
                <w:rFonts w:hint="default"/>
                <w:lang w:val="en-US" w:eastAsia="zh-CN"/>
              </w:rPr>
            </w:pPr>
            <w:r>
              <w:rPr>
                <w:rFonts w:hint="eastAsia" w:ascii="宋体" w:hAnsi="宋体" w:eastAsia="宋体" w:cs="宋体"/>
                <w:color w:val="000000"/>
                <w:kern w:val="0"/>
                <w:sz w:val="21"/>
                <w:szCs w:val="21"/>
                <w:highlight w:val="yellow"/>
                <w:lang w:val="en-US" w:eastAsia="zh-CN" w:bidi="ar"/>
              </w:rPr>
              <w:t>配备支耳的安装底板</w:t>
            </w:r>
          </w:p>
        </w:tc>
      </w:tr>
    </w:tbl>
    <w:p/>
    <w:bookmarkEnd w:id="11"/>
    <w:p>
      <w:pPr>
        <w:keepNext/>
        <w:numPr>
          <w:ilvl w:val="0"/>
          <w:numId w:val="1"/>
        </w:numPr>
        <w:spacing w:before="156" w:beforeLines="50" w:line="360" w:lineRule="auto"/>
        <w:ind w:left="0" w:firstLine="0" w:firstLineChars="0"/>
        <w:outlineLvl w:val="0"/>
        <w:rPr>
          <w:b/>
          <w:kern w:val="44"/>
          <w:sz w:val="28"/>
          <w:szCs w:val="28"/>
          <w:lang w:val="zh-CN"/>
        </w:rPr>
      </w:pPr>
      <w:bookmarkStart w:id="12" w:name="_Toc7918"/>
      <w:r>
        <w:rPr>
          <w:rFonts w:hint="eastAsia"/>
          <w:b/>
          <w:kern w:val="44"/>
          <w:sz w:val="28"/>
          <w:szCs w:val="28"/>
        </w:rPr>
        <w:t>防异物要求</w:t>
      </w:r>
      <w:bookmarkEnd w:id="12"/>
    </w:p>
    <w:p>
      <w:pPr>
        <w:numPr>
          <w:ilvl w:val="1"/>
          <w:numId w:val="0"/>
        </w:numPr>
        <w:autoSpaceDE w:val="0"/>
        <w:autoSpaceDN w:val="0"/>
        <w:adjustRightInd w:val="0"/>
        <w:snapToGrid w:val="0"/>
        <w:spacing w:line="560" w:lineRule="exact"/>
        <w:ind w:leftChars="100" w:right="-120" w:rightChars="-50"/>
      </w:pPr>
      <w:bookmarkStart w:id="13" w:name="_Toc24857"/>
      <w:r>
        <w:rPr>
          <w:rFonts w:hint="eastAsia"/>
          <w:lang w:val="en-US" w:eastAsia="zh-CN"/>
        </w:rPr>
        <w:t xml:space="preserve">4.1 </w:t>
      </w:r>
      <w:r>
        <w:rPr>
          <w:rFonts w:hint="eastAsia"/>
        </w:rPr>
        <w:t>设备避免使用含铜、锌材质的设备、配件，如不可避免使用，须列出使用部件清单，并做好防护不能直接裸露在外</w:t>
      </w:r>
      <w:r>
        <w:rPr>
          <w:rFonts w:hint="eastAsia"/>
          <w:lang w:eastAsia="zh-CN"/>
        </w:rPr>
        <w:t>，</w:t>
      </w:r>
      <w:r>
        <w:rPr>
          <w:rFonts w:hint="eastAsia"/>
          <w:lang w:val="en-US" w:eastAsia="zh-CN"/>
        </w:rPr>
        <w:t>符合锂电正极材料行业禁铜锌等金属异物的要求</w:t>
      </w:r>
      <w:r>
        <w:rPr>
          <w:rFonts w:hint="eastAsia"/>
        </w:rPr>
        <w:t xml:space="preserve">。 </w:t>
      </w:r>
    </w:p>
    <w:p>
      <w:pPr>
        <w:numPr>
          <w:ilvl w:val="1"/>
          <w:numId w:val="0"/>
        </w:numPr>
        <w:autoSpaceDE w:val="0"/>
        <w:autoSpaceDN w:val="0"/>
        <w:adjustRightInd w:val="0"/>
        <w:snapToGrid w:val="0"/>
        <w:spacing w:line="560" w:lineRule="exact"/>
        <w:ind w:leftChars="100" w:right="-120" w:rightChars="-50"/>
      </w:pPr>
      <w:r>
        <w:rPr>
          <w:rFonts w:hint="eastAsia"/>
          <w:lang w:val="en-US" w:eastAsia="zh-CN"/>
        </w:rPr>
        <w:t xml:space="preserve">4.2 </w:t>
      </w:r>
      <w:r>
        <w:rPr>
          <w:rFonts w:hint="eastAsia"/>
        </w:rPr>
        <w:t>设备机体、支架等若采用碳钢材质的部分必须做好防腐处理，防腐油漆不能使用含金属的油漆，宜采用不含金属的环氧树脂油漆或喷塑工艺。</w:t>
      </w:r>
      <w:r>
        <w:rPr>
          <w:rFonts w:hint="eastAsia"/>
        </w:rPr>
        <w:cr/>
      </w:r>
      <w:r>
        <w:rPr>
          <w:rFonts w:hint="eastAsia"/>
          <w:lang w:val="en-US" w:eastAsia="zh-CN"/>
        </w:rPr>
        <w:t xml:space="preserve">4.3 </w:t>
      </w:r>
      <w:r>
        <w:rPr>
          <w:rFonts w:hint="eastAsia"/>
        </w:rPr>
        <w:t>内部接触物料部件采用非金属化处理，宜采用陶瓷材料、非金属涂层处理。</w:t>
      </w:r>
      <w:r>
        <w:rPr>
          <w:rFonts w:hint="eastAsia"/>
        </w:rPr>
        <w:cr/>
      </w:r>
      <w:r>
        <w:rPr>
          <w:rFonts w:hint="eastAsia"/>
          <w:lang w:val="en-US" w:eastAsia="zh-CN"/>
        </w:rPr>
        <w:t xml:space="preserve">4.4 </w:t>
      </w:r>
      <w:r>
        <w:rPr>
          <w:rFonts w:hint="eastAsia"/>
        </w:rPr>
        <w:t>内部接触物料的转动部件必须采用耐磨涂层，涂层不含铜、锌材质</w:t>
      </w:r>
      <w:bookmarkStart w:id="56" w:name="_GoBack"/>
      <w:bookmarkEnd w:id="56"/>
      <w:r>
        <w:rPr>
          <w:rFonts w:hint="eastAsia"/>
        </w:rPr>
        <w:t>。</w:t>
      </w:r>
      <w:r>
        <w:rPr>
          <w:rFonts w:hint="eastAsia"/>
        </w:rPr>
        <w:cr/>
      </w:r>
      <w:r>
        <w:rPr>
          <w:rFonts w:hint="eastAsia"/>
          <w:lang w:val="en-US" w:eastAsia="zh-CN"/>
        </w:rPr>
        <w:t xml:space="preserve">4.5 </w:t>
      </w:r>
      <w:r>
        <w:rPr>
          <w:rFonts w:hint="eastAsia"/>
        </w:rPr>
        <w:t>各焊接物件的外观焊缝以及性能焊缝均打磨平整光滑，清除焊渣、焊瘤、飞溅物。</w:t>
      </w:r>
      <w:r>
        <w:rPr>
          <w:rFonts w:hint="eastAsia"/>
        </w:rPr>
        <w:cr/>
      </w:r>
      <w:r>
        <w:rPr>
          <w:rFonts w:hint="eastAsia"/>
          <w:lang w:val="en-US" w:eastAsia="zh-CN"/>
        </w:rPr>
        <w:t xml:space="preserve">4.6 </w:t>
      </w:r>
      <w:r>
        <w:rPr>
          <w:rFonts w:hint="eastAsia"/>
        </w:rPr>
        <w:t>外观覆盖件、透明件无毛刺、铁锈、型砂、焊渣、切屑、油污等物，无碰伤、划伤、拉毛等痕迹。</w:t>
      </w:r>
    </w:p>
    <w:p>
      <w:pPr>
        <w:keepNext/>
        <w:numPr>
          <w:ilvl w:val="0"/>
          <w:numId w:val="1"/>
        </w:numPr>
        <w:spacing w:before="156" w:beforeLines="50" w:line="360" w:lineRule="auto"/>
        <w:ind w:left="0" w:firstLine="0" w:firstLineChars="0"/>
        <w:outlineLvl w:val="0"/>
        <w:rPr>
          <w:b/>
          <w:kern w:val="44"/>
          <w:sz w:val="28"/>
          <w:szCs w:val="28"/>
          <w:lang w:val="zh-CN"/>
        </w:rPr>
      </w:pPr>
      <w:bookmarkStart w:id="14" w:name="_Toc16334"/>
      <w:r>
        <w:rPr>
          <w:rFonts w:hint="eastAsia"/>
          <w:b/>
          <w:kern w:val="44"/>
          <w:sz w:val="28"/>
          <w:szCs w:val="28"/>
        </w:rPr>
        <w:t>技术要求</w:t>
      </w:r>
      <w:bookmarkEnd w:id="13"/>
      <w:bookmarkEnd w:id="14"/>
    </w:p>
    <w:p>
      <w:pPr>
        <w:pStyle w:val="4"/>
      </w:pPr>
      <w:bookmarkStart w:id="15" w:name="_Toc25010"/>
      <w:bookmarkStart w:id="16" w:name="_Toc29045"/>
      <w:r>
        <w:rPr>
          <w:rFonts w:hint="eastAsia"/>
        </w:rPr>
        <w:t>工艺条件</w:t>
      </w:r>
      <w:bookmarkEnd w:id="15"/>
      <w:bookmarkEnd w:id="16"/>
    </w:p>
    <w:p>
      <w:pPr>
        <w:autoSpaceDE w:val="0"/>
        <w:autoSpaceDN w:val="0"/>
        <w:adjustRightInd w:val="0"/>
        <w:snapToGrid w:val="0"/>
        <w:spacing w:line="560" w:lineRule="exact"/>
        <w:ind w:left="-120" w:leftChars="-50" w:right="-120" w:rightChars="-50" w:firstLine="480"/>
      </w:pPr>
      <w:r>
        <w:rPr>
          <w:rFonts w:hint="eastAsia"/>
        </w:rPr>
        <w:t>5.1.1本装置的设计将严格遵照国家的现行法律法规、技术规范和技术标准，包括但不限于本章所列，当各种规范、标准、规定要求不一致时，应采用要求较高的标准规范，或书面通知买方，以便及时确认。对有更新的标准和规范，应采用最新的版本。</w:t>
      </w:r>
    </w:p>
    <w:p>
      <w:pPr>
        <w:autoSpaceDE w:val="0"/>
        <w:autoSpaceDN w:val="0"/>
        <w:adjustRightInd w:val="0"/>
        <w:snapToGrid w:val="0"/>
        <w:spacing w:line="560" w:lineRule="exact"/>
        <w:ind w:left="-120" w:leftChars="-50" w:right="-120" w:rightChars="-50" w:firstLine="480"/>
      </w:pPr>
      <w:r>
        <w:rPr>
          <w:rFonts w:hint="eastAsia"/>
        </w:rPr>
        <w:t>在执行标准规范中出现矛盾或发生争议时，按下列就高不就低且对买方最有利的原则确定：</w:t>
      </w:r>
    </w:p>
    <w:p>
      <w:pPr>
        <w:numPr>
          <w:ilvl w:val="0"/>
          <w:numId w:val="3"/>
        </w:numPr>
        <w:autoSpaceDE w:val="0"/>
        <w:autoSpaceDN w:val="0"/>
        <w:spacing w:line="560" w:lineRule="exact"/>
        <w:ind w:right="240" w:rightChars="100" w:firstLineChars="0"/>
      </w:pPr>
      <w:r>
        <w:rPr>
          <w:rFonts w:hint="eastAsia"/>
        </w:rPr>
        <w:t>本文件规定的设计要求。</w:t>
      </w:r>
    </w:p>
    <w:p>
      <w:pPr>
        <w:autoSpaceDE w:val="0"/>
        <w:autoSpaceDN w:val="0"/>
        <w:spacing w:line="560" w:lineRule="exact"/>
        <w:ind w:left="240" w:leftChars="100" w:right="240" w:rightChars="100" w:firstLine="480"/>
      </w:pPr>
      <w:r>
        <w:rPr>
          <w:rFonts w:hint="eastAsia"/>
        </w:rPr>
        <w:t>2）基础设计特性数据表</w:t>
      </w:r>
    </w:p>
    <w:p>
      <w:pPr>
        <w:autoSpaceDE w:val="0"/>
        <w:autoSpaceDN w:val="0"/>
        <w:spacing w:line="560" w:lineRule="exact"/>
        <w:ind w:right="240" w:rightChars="100" w:firstLine="720" w:firstLineChars="300"/>
      </w:pPr>
      <w:r>
        <w:rPr>
          <w:rFonts w:hint="eastAsia"/>
        </w:rPr>
        <w:t>3）本章提出的标准和规范或卖方确认的代替标准和规范。</w:t>
      </w:r>
    </w:p>
    <w:p>
      <w:pPr>
        <w:autoSpaceDE w:val="0"/>
        <w:autoSpaceDN w:val="0"/>
        <w:spacing w:line="560" w:lineRule="exact"/>
        <w:ind w:right="240" w:rightChars="100" w:firstLine="720" w:firstLineChars="300"/>
      </w:pPr>
      <w:r>
        <w:rPr>
          <w:rFonts w:hint="eastAsia"/>
        </w:rPr>
        <w:t>4）专利商、卖方和制造厂商的标准。</w:t>
      </w:r>
    </w:p>
    <w:p>
      <w:pPr>
        <w:pStyle w:val="4"/>
      </w:pPr>
      <w:bookmarkStart w:id="17" w:name="_Toc31021"/>
      <w:bookmarkStart w:id="18" w:name="_Toc23143"/>
      <w:r>
        <w:rPr>
          <w:rFonts w:hint="eastAsia"/>
        </w:rPr>
        <w:t>法律法规</w:t>
      </w:r>
      <w:bookmarkEnd w:id="17"/>
      <w:bookmarkEnd w:id="18"/>
    </w:p>
    <w:p>
      <w:pPr>
        <w:autoSpaceDE w:val="0"/>
        <w:autoSpaceDN w:val="0"/>
        <w:adjustRightInd w:val="0"/>
        <w:snapToGrid w:val="0"/>
        <w:spacing w:line="560" w:lineRule="exact"/>
        <w:ind w:left="-120" w:leftChars="-50" w:right="-120" w:rightChars="-50" w:firstLine="480"/>
      </w:pPr>
      <w:r>
        <w:rPr>
          <w:rFonts w:hint="eastAsia"/>
        </w:rPr>
        <w:t>中华人民共和国环境保护法</w:t>
      </w:r>
      <w:r>
        <w:rPr>
          <w:rFonts w:hint="eastAsia"/>
        </w:rPr>
        <w:tab/>
      </w:r>
      <w:r>
        <w:rPr>
          <w:rFonts w:hint="eastAsia"/>
        </w:rPr>
        <w:tab/>
      </w:r>
      <w:r>
        <w:rPr>
          <w:rFonts w:hint="eastAsia"/>
        </w:rPr>
        <w:tab/>
      </w:r>
      <w:r>
        <w:rPr>
          <w:rFonts w:hint="eastAsia"/>
        </w:rPr>
        <w:t>2015年1月1日施行</w:t>
      </w:r>
    </w:p>
    <w:p>
      <w:pPr>
        <w:autoSpaceDE w:val="0"/>
        <w:autoSpaceDN w:val="0"/>
        <w:adjustRightInd w:val="0"/>
        <w:snapToGrid w:val="0"/>
        <w:spacing w:line="560" w:lineRule="exact"/>
        <w:ind w:left="-120" w:leftChars="-50" w:right="-120" w:rightChars="-50" w:firstLine="480"/>
      </w:pPr>
      <w:r>
        <w:rPr>
          <w:rFonts w:hint="eastAsia"/>
        </w:rPr>
        <w:t>中华人民共和国清洁生产促进法</w:t>
      </w:r>
      <w:r>
        <w:rPr>
          <w:rFonts w:hint="eastAsia"/>
        </w:rPr>
        <w:tab/>
      </w:r>
      <w:r>
        <w:rPr>
          <w:rFonts w:hint="eastAsia"/>
        </w:rPr>
        <w:tab/>
      </w:r>
      <w:r>
        <w:rPr>
          <w:rFonts w:hint="eastAsia"/>
        </w:rPr>
        <w:t>2003年1月1日施行</w:t>
      </w:r>
    </w:p>
    <w:p>
      <w:pPr>
        <w:autoSpaceDE w:val="0"/>
        <w:autoSpaceDN w:val="0"/>
        <w:adjustRightInd w:val="0"/>
        <w:snapToGrid w:val="0"/>
        <w:spacing w:line="560" w:lineRule="exact"/>
        <w:ind w:left="-120" w:leftChars="-50" w:right="-120" w:rightChars="-50" w:firstLine="480"/>
      </w:pPr>
      <w:r>
        <w:rPr>
          <w:rFonts w:hint="eastAsia"/>
        </w:rPr>
        <w:t>中华人民共和国大气污染防治法</w:t>
      </w:r>
      <w:r>
        <w:rPr>
          <w:rFonts w:hint="eastAsia"/>
        </w:rPr>
        <w:tab/>
      </w:r>
      <w:r>
        <w:rPr>
          <w:rFonts w:hint="eastAsia"/>
        </w:rPr>
        <w:tab/>
      </w:r>
      <w:r>
        <w:rPr>
          <w:rFonts w:hint="eastAsia"/>
        </w:rPr>
        <w:t>2016年1月1日实施</w:t>
      </w:r>
    </w:p>
    <w:p>
      <w:pPr>
        <w:autoSpaceDE w:val="0"/>
        <w:autoSpaceDN w:val="0"/>
        <w:adjustRightInd w:val="0"/>
        <w:snapToGrid w:val="0"/>
        <w:spacing w:line="560" w:lineRule="exact"/>
        <w:ind w:left="-120" w:leftChars="-50" w:right="-120" w:rightChars="-50" w:firstLine="480"/>
      </w:pPr>
      <w:r>
        <w:rPr>
          <w:rFonts w:hint="eastAsia"/>
        </w:rPr>
        <w:t>中华人民共和国水污染防治法</w:t>
      </w:r>
      <w:r>
        <w:rPr>
          <w:rFonts w:hint="eastAsia"/>
        </w:rPr>
        <w:tab/>
      </w:r>
      <w:r>
        <w:rPr>
          <w:rFonts w:hint="eastAsia"/>
        </w:rPr>
        <w:tab/>
      </w:r>
      <w:r>
        <w:rPr>
          <w:rFonts w:hint="eastAsia"/>
        </w:rPr>
        <w:tab/>
      </w:r>
      <w:r>
        <w:rPr>
          <w:rFonts w:hint="eastAsia"/>
        </w:rPr>
        <w:t>2008年6月1日施行</w:t>
      </w:r>
    </w:p>
    <w:p>
      <w:pPr>
        <w:autoSpaceDE w:val="0"/>
        <w:autoSpaceDN w:val="0"/>
        <w:adjustRightInd w:val="0"/>
        <w:snapToGrid w:val="0"/>
        <w:spacing w:line="560" w:lineRule="exact"/>
        <w:ind w:left="-120" w:leftChars="-50" w:right="-120" w:rightChars="-50" w:firstLine="480"/>
      </w:pPr>
      <w:r>
        <w:rPr>
          <w:rFonts w:hint="eastAsia"/>
        </w:rPr>
        <w:t>中华人民共和国噪声污染防治法</w:t>
      </w:r>
      <w:r>
        <w:rPr>
          <w:rFonts w:hint="eastAsia"/>
        </w:rPr>
        <w:tab/>
      </w:r>
      <w:r>
        <w:rPr>
          <w:rFonts w:hint="eastAsia"/>
        </w:rPr>
        <w:tab/>
      </w:r>
      <w:r>
        <w:rPr>
          <w:rFonts w:hint="eastAsia"/>
          <w:lang w:val="en-US" w:eastAsia="zh-CN"/>
        </w:rPr>
        <w:t xml:space="preserve">    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日施行</w:t>
      </w:r>
    </w:p>
    <w:p>
      <w:pPr>
        <w:autoSpaceDE w:val="0"/>
        <w:autoSpaceDN w:val="0"/>
        <w:adjustRightInd w:val="0"/>
        <w:snapToGrid w:val="0"/>
        <w:spacing w:line="560" w:lineRule="exact"/>
        <w:ind w:left="-120" w:leftChars="-50" w:right="-120" w:rightChars="-50" w:firstLine="480"/>
      </w:pPr>
      <w:r>
        <w:rPr>
          <w:rFonts w:hint="eastAsia"/>
        </w:rPr>
        <w:t>中华人民共和国固体废物污染环境防治法</w:t>
      </w:r>
      <w:r>
        <w:rPr>
          <w:rFonts w:hint="eastAsia"/>
        </w:rPr>
        <w:tab/>
      </w:r>
      <w:r>
        <w:rPr>
          <w:rFonts w:hint="eastAsia"/>
        </w:rPr>
        <w:t>2005年4月1日施行</w:t>
      </w:r>
    </w:p>
    <w:p>
      <w:pPr>
        <w:autoSpaceDE w:val="0"/>
        <w:autoSpaceDN w:val="0"/>
        <w:adjustRightInd w:val="0"/>
        <w:snapToGrid w:val="0"/>
        <w:spacing w:line="560" w:lineRule="exact"/>
        <w:ind w:left="-120" w:leftChars="-50" w:right="-120" w:rightChars="-50" w:firstLine="480"/>
      </w:pPr>
      <w:r>
        <w:rPr>
          <w:rFonts w:hint="eastAsia"/>
        </w:rPr>
        <w:t>建设项目环境保护管理条例中华人民共和国国务院令第253号（1998-11-29）</w:t>
      </w:r>
    </w:p>
    <w:p>
      <w:pPr>
        <w:autoSpaceDE w:val="0"/>
        <w:autoSpaceDN w:val="0"/>
        <w:adjustRightInd w:val="0"/>
        <w:snapToGrid w:val="0"/>
        <w:spacing w:line="560" w:lineRule="exact"/>
        <w:ind w:left="-120" w:leftChars="-50" w:right="-120" w:rightChars="-50" w:firstLine="480"/>
      </w:pPr>
      <w:r>
        <w:rPr>
          <w:rFonts w:hint="eastAsia"/>
        </w:rPr>
        <w:t>中华人民共和国劳动合同法主席令第65号，2008年1月1日起施行</w:t>
      </w:r>
    </w:p>
    <w:p>
      <w:pPr>
        <w:autoSpaceDE w:val="0"/>
        <w:autoSpaceDN w:val="0"/>
        <w:adjustRightInd w:val="0"/>
        <w:snapToGrid w:val="0"/>
        <w:spacing w:line="560" w:lineRule="exact"/>
        <w:ind w:left="-120" w:leftChars="-50" w:right="-120" w:rightChars="-50" w:firstLine="480"/>
      </w:pPr>
      <w:r>
        <w:rPr>
          <w:rFonts w:hint="eastAsia"/>
        </w:rPr>
        <w:t>中华人民共和国安全生产法，2014年12月1日施行</w:t>
      </w:r>
    </w:p>
    <w:p>
      <w:pPr>
        <w:autoSpaceDE w:val="0"/>
        <w:autoSpaceDN w:val="0"/>
        <w:adjustRightInd w:val="0"/>
        <w:snapToGrid w:val="0"/>
        <w:spacing w:line="560" w:lineRule="exact"/>
        <w:ind w:left="-120" w:leftChars="-50" w:right="-120" w:rightChars="-50" w:firstLine="480"/>
      </w:pPr>
      <w:r>
        <w:rPr>
          <w:rFonts w:hint="eastAsia"/>
        </w:rPr>
        <w:t>中华人民共和国消防法</w:t>
      </w:r>
      <w:r>
        <w:rPr>
          <w:rFonts w:hint="eastAsia"/>
        </w:rPr>
        <w:tab/>
      </w:r>
      <w:r>
        <w:rPr>
          <w:rFonts w:hint="eastAsia"/>
        </w:rPr>
        <w:t>主席令第6号，2009年5月1日施行</w:t>
      </w:r>
    </w:p>
    <w:p>
      <w:pPr>
        <w:autoSpaceDE w:val="0"/>
        <w:autoSpaceDN w:val="0"/>
        <w:adjustRightInd w:val="0"/>
        <w:snapToGrid w:val="0"/>
        <w:spacing w:line="560" w:lineRule="exact"/>
        <w:ind w:left="-120" w:leftChars="-50" w:right="-120" w:rightChars="-50" w:firstLine="480"/>
      </w:pPr>
      <w:r>
        <w:rPr>
          <w:rFonts w:hint="eastAsia"/>
        </w:rPr>
        <w:t>中华人民共和国职业病防治法</w:t>
      </w:r>
      <w:r>
        <w:rPr>
          <w:rFonts w:hint="eastAsia"/>
        </w:rPr>
        <w:tab/>
      </w:r>
      <w:r>
        <w:rPr>
          <w:rFonts w:hint="eastAsia"/>
        </w:rPr>
        <w:t>主席令第48号，2016年9月1日起施行</w:t>
      </w:r>
    </w:p>
    <w:p>
      <w:pPr>
        <w:autoSpaceDE w:val="0"/>
        <w:autoSpaceDN w:val="0"/>
        <w:adjustRightInd w:val="0"/>
        <w:snapToGrid w:val="0"/>
        <w:spacing w:line="560" w:lineRule="exact"/>
        <w:ind w:left="-120" w:leftChars="-50" w:right="-120" w:rightChars="-50" w:firstLine="480"/>
      </w:pPr>
      <w:r>
        <w:rPr>
          <w:rFonts w:hint="eastAsia"/>
        </w:rPr>
        <w:t>危险化学品安全管理条例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国务院令第591号</w:t>
      </w:r>
    </w:p>
    <w:p>
      <w:pPr>
        <w:autoSpaceDE w:val="0"/>
        <w:autoSpaceDN w:val="0"/>
        <w:adjustRightInd w:val="0"/>
        <w:snapToGrid w:val="0"/>
        <w:spacing w:line="560" w:lineRule="exact"/>
        <w:ind w:left="-120" w:leftChars="-50" w:right="-120" w:rightChars="-50" w:firstLine="480"/>
      </w:pPr>
      <w:r>
        <w:rPr>
          <w:rFonts w:hint="eastAsia"/>
        </w:rPr>
        <w:t>使用有毒物品作业场所劳动保护条例</w:t>
      </w:r>
      <w:r>
        <w:rPr>
          <w:rFonts w:hint="eastAsia"/>
        </w:rPr>
        <w:tab/>
      </w:r>
      <w:r>
        <w:rPr>
          <w:rFonts w:hint="eastAsia"/>
        </w:rPr>
        <w:tab/>
      </w:r>
      <w:r>
        <w:rPr>
          <w:rFonts w:hint="eastAsia"/>
        </w:rPr>
        <w:t>国务院令第352号</w:t>
      </w:r>
    </w:p>
    <w:p>
      <w:pPr>
        <w:autoSpaceDE w:val="0"/>
        <w:autoSpaceDN w:val="0"/>
        <w:adjustRightInd w:val="0"/>
        <w:snapToGrid w:val="0"/>
        <w:spacing w:line="560" w:lineRule="exact"/>
        <w:ind w:left="-120" w:leftChars="-50" w:right="-120" w:rightChars="-50" w:firstLine="480"/>
      </w:pPr>
      <w:r>
        <w:rPr>
          <w:rFonts w:hint="eastAsia"/>
        </w:rPr>
        <w:t>建设工程安全生产管理条例</w:t>
      </w:r>
      <w:r>
        <w:rPr>
          <w:rFonts w:hint="eastAsia"/>
        </w:rPr>
        <w:tab/>
      </w:r>
      <w:r>
        <w:rPr>
          <w:rFonts w:hint="eastAsia"/>
        </w:rPr>
        <w:tab/>
      </w:r>
      <w:r>
        <w:rPr>
          <w:rFonts w:hint="eastAsia"/>
        </w:rPr>
        <w:tab/>
      </w:r>
      <w:r>
        <w:rPr>
          <w:rFonts w:hint="eastAsia"/>
        </w:rPr>
        <w:tab/>
      </w:r>
      <w:r>
        <w:rPr>
          <w:rFonts w:hint="eastAsia"/>
        </w:rPr>
        <w:t>国务院令第393号</w:t>
      </w:r>
    </w:p>
    <w:p>
      <w:pPr>
        <w:autoSpaceDE w:val="0"/>
        <w:autoSpaceDN w:val="0"/>
        <w:adjustRightInd w:val="0"/>
        <w:snapToGrid w:val="0"/>
        <w:spacing w:line="560" w:lineRule="exact"/>
        <w:ind w:left="-120" w:leftChars="-50" w:right="-120" w:rightChars="-50" w:firstLine="480"/>
      </w:pPr>
      <w:r>
        <w:rPr>
          <w:rFonts w:hint="eastAsia"/>
        </w:rPr>
        <w:t>安全生产许可证条例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国务院令第653号</w:t>
      </w:r>
    </w:p>
    <w:p>
      <w:pPr>
        <w:autoSpaceDE w:val="0"/>
        <w:autoSpaceDN w:val="0"/>
        <w:adjustRightInd w:val="0"/>
        <w:snapToGrid w:val="0"/>
        <w:spacing w:line="560" w:lineRule="exact"/>
        <w:ind w:left="-120" w:leftChars="-50" w:right="-120" w:rightChars="-50" w:firstLine="480"/>
      </w:pPr>
      <w:r>
        <w:rPr>
          <w:rFonts w:hint="eastAsia"/>
        </w:rPr>
        <w:t>特种设备安全监察条例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国务院令第549号</w:t>
      </w:r>
    </w:p>
    <w:p>
      <w:pPr>
        <w:autoSpaceDE w:val="0"/>
        <w:autoSpaceDN w:val="0"/>
        <w:adjustRightInd w:val="0"/>
        <w:snapToGrid w:val="0"/>
        <w:spacing w:line="560" w:lineRule="exact"/>
        <w:ind w:left="-120" w:leftChars="-50" w:right="-120" w:rightChars="-50" w:firstLine="480"/>
      </w:pPr>
      <w:r>
        <w:rPr>
          <w:rFonts w:hint="eastAsia"/>
        </w:rPr>
        <w:t>监控化学品管理条例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国务院令第588号</w:t>
      </w:r>
    </w:p>
    <w:p>
      <w:pPr>
        <w:pStyle w:val="4"/>
      </w:pPr>
      <w:bookmarkStart w:id="19" w:name="_Toc23352"/>
      <w:bookmarkStart w:id="20" w:name="_Toc941"/>
      <w:r>
        <w:rPr>
          <w:rFonts w:hint="eastAsia"/>
        </w:rPr>
        <w:t>标准及规范</w:t>
      </w:r>
      <w:bookmarkEnd w:id="19"/>
      <w:bookmarkEnd w:id="20"/>
    </w:p>
    <w:p>
      <w:pPr>
        <w:autoSpaceDE w:val="0"/>
        <w:autoSpaceDN w:val="0"/>
        <w:adjustRightInd w:val="0"/>
        <w:snapToGrid w:val="0"/>
        <w:spacing w:line="560" w:lineRule="exact"/>
        <w:ind w:left="-120" w:leftChars="-50" w:right="-120" w:rightChars="-50" w:firstLine="480"/>
      </w:pPr>
      <w:r>
        <w:rPr>
          <w:rFonts w:hint="eastAsia"/>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pPr>
      <w:r>
        <w:rPr>
          <w:rFonts w:hint="eastAsia"/>
        </w:rPr>
        <w:t>《钢制焊接常压容器》                            NB/T 47003.1-2009</w:t>
      </w:r>
    </w:p>
    <w:p>
      <w:pPr>
        <w:autoSpaceDE w:val="0"/>
        <w:autoSpaceDN w:val="0"/>
        <w:adjustRightInd w:val="0"/>
        <w:snapToGrid w:val="0"/>
        <w:spacing w:line="560" w:lineRule="exact"/>
        <w:ind w:left="-120" w:leftChars="-50" w:right="-120" w:rightChars="-50" w:firstLine="480"/>
      </w:pPr>
      <w:r>
        <w:rPr>
          <w:rFonts w:hint="eastAsia"/>
        </w:rPr>
        <w:t>《钢制化工容器制造技术要求》                    HG/T 20584-2011</w:t>
      </w:r>
    </w:p>
    <w:p>
      <w:pPr>
        <w:autoSpaceDE w:val="0"/>
        <w:autoSpaceDN w:val="0"/>
        <w:adjustRightInd w:val="0"/>
        <w:snapToGrid w:val="0"/>
        <w:spacing w:line="560" w:lineRule="exact"/>
        <w:ind w:left="-120" w:leftChars="-50" w:right="-120" w:rightChars="-50" w:firstLine="480"/>
      </w:pPr>
      <w:r>
        <w:rPr>
          <w:rFonts w:hint="eastAsia"/>
        </w:rPr>
        <w:t>《机械搅拌设备》                                HG/T 20569-2013</w:t>
      </w:r>
    </w:p>
    <w:p>
      <w:pPr>
        <w:autoSpaceDE w:val="0"/>
        <w:autoSpaceDN w:val="0"/>
        <w:adjustRightInd w:val="0"/>
        <w:snapToGrid w:val="0"/>
        <w:spacing w:line="560" w:lineRule="exact"/>
        <w:ind w:left="-120" w:leftChars="-50" w:right="-120" w:rightChars="-50" w:firstLine="480"/>
      </w:pPr>
      <w:r>
        <w:rPr>
          <w:rFonts w:hint="eastAsia"/>
        </w:rPr>
        <w:t>《钢制化工容器结构设计规定》                    HG/T 20583-2011</w:t>
      </w:r>
    </w:p>
    <w:p>
      <w:pPr>
        <w:autoSpaceDE w:val="0"/>
        <w:autoSpaceDN w:val="0"/>
        <w:adjustRightInd w:val="0"/>
        <w:snapToGrid w:val="0"/>
        <w:spacing w:line="560" w:lineRule="exact"/>
        <w:ind w:left="-120" w:leftChars="-50" w:right="-120" w:rightChars="-50" w:firstLine="480"/>
      </w:pPr>
      <w:r>
        <w:rPr>
          <w:rFonts w:hint="eastAsia"/>
        </w:rPr>
        <w:t>《压力容器焊接规程》                            NB/T 47015-2011</w:t>
      </w:r>
    </w:p>
    <w:p>
      <w:pPr>
        <w:autoSpaceDE w:val="0"/>
        <w:autoSpaceDN w:val="0"/>
        <w:adjustRightInd w:val="0"/>
        <w:snapToGrid w:val="0"/>
        <w:spacing w:line="560" w:lineRule="exact"/>
        <w:ind w:left="-120" w:leftChars="-50" w:right="-120" w:rightChars="-50" w:firstLine="480"/>
      </w:pPr>
      <w:r>
        <w:rPr>
          <w:rFonts w:hint="eastAsia"/>
        </w:rPr>
        <w:t>《压力容器涂敷与运输包装》                      NB/T 10558-2021</w:t>
      </w:r>
    </w:p>
    <w:p>
      <w:pPr>
        <w:autoSpaceDE w:val="0"/>
        <w:autoSpaceDN w:val="0"/>
        <w:adjustRightInd w:val="0"/>
        <w:snapToGrid w:val="0"/>
        <w:spacing w:line="560" w:lineRule="exact"/>
        <w:ind w:left="-120" w:leftChars="-50" w:right="-120" w:rightChars="-50" w:firstLine="480"/>
      </w:pPr>
      <w:r>
        <w:rPr>
          <w:rFonts w:hint="eastAsia"/>
        </w:rPr>
        <w:t>《承压设备用不锈钢钢板及钢带》                  GB/T 24511-2017</w:t>
      </w:r>
    </w:p>
    <w:p>
      <w:pPr>
        <w:autoSpaceDE w:val="0"/>
        <w:autoSpaceDN w:val="0"/>
        <w:adjustRightInd w:val="0"/>
        <w:snapToGrid w:val="0"/>
        <w:spacing w:line="560" w:lineRule="exact"/>
        <w:ind w:left="-120" w:leftChars="-50" w:right="-120" w:rightChars="-50" w:firstLine="480"/>
      </w:pPr>
      <w:r>
        <w:rPr>
          <w:rFonts w:hint="eastAsia"/>
        </w:rPr>
        <w:t>《流体输送用不锈钢无缝钢管》                    GB/T 14976-2012</w:t>
      </w:r>
    </w:p>
    <w:p>
      <w:pPr>
        <w:autoSpaceDE w:val="0"/>
        <w:autoSpaceDN w:val="0"/>
        <w:adjustRightInd w:val="0"/>
        <w:snapToGrid w:val="0"/>
        <w:spacing w:line="560" w:lineRule="exact"/>
        <w:ind w:left="-120" w:leftChars="-50" w:right="-120" w:rightChars="-50" w:firstLine="480"/>
      </w:pPr>
      <w:r>
        <w:rPr>
          <w:rFonts w:hint="eastAsia"/>
        </w:rPr>
        <w:t>《承压设备用不锈钢和耐热钢锻件》                NB/T 47010-2017</w:t>
      </w:r>
    </w:p>
    <w:p>
      <w:pPr>
        <w:autoSpaceDE w:val="0"/>
        <w:autoSpaceDN w:val="0"/>
        <w:adjustRightInd w:val="0"/>
        <w:snapToGrid w:val="0"/>
        <w:spacing w:line="560" w:lineRule="exact"/>
        <w:ind w:left="-120" w:leftChars="-50" w:right="-120" w:rightChars="-50" w:firstLine="480"/>
      </w:pPr>
      <w:r>
        <w:rPr>
          <w:rFonts w:hint="eastAsia"/>
        </w:rPr>
        <w:t>《输送流体用无缝钢管》                          GB/T 8163-2018</w:t>
      </w:r>
    </w:p>
    <w:p>
      <w:pPr>
        <w:autoSpaceDE w:val="0"/>
        <w:autoSpaceDN w:val="0"/>
        <w:adjustRightInd w:val="0"/>
        <w:snapToGrid w:val="0"/>
        <w:spacing w:line="560" w:lineRule="exact"/>
        <w:ind w:left="-120" w:leftChars="-50" w:right="-120" w:rightChars="-50" w:firstLine="480"/>
      </w:pPr>
      <w:r>
        <w:rPr>
          <w:rFonts w:hint="eastAsia"/>
        </w:rPr>
        <w:t>《化工配管用无缝及焊接钢管尺寸选用系列》        HG/T 20553-2011</w:t>
      </w:r>
    </w:p>
    <w:p>
      <w:pPr>
        <w:autoSpaceDE w:val="0"/>
        <w:autoSpaceDN w:val="0"/>
        <w:adjustRightInd w:val="0"/>
        <w:snapToGrid w:val="0"/>
        <w:spacing w:line="560" w:lineRule="exact"/>
        <w:ind w:left="-120" w:leftChars="-50" w:right="-120" w:rightChars="-50" w:firstLine="480"/>
      </w:pPr>
      <w:r>
        <w:rPr>
          <w:rFonts w:hint="eastAsia"/>
        </w:rPr>
        <w:t>《钢制管法兰、垫片、紧固件选用配合规定(PN系列)》  HG/T 20592-2009</w:t>
      </w:r>
    </w:p>
    <w:p>
      <w:pPr>
        <w:autoSpaceDE w:val="0"/>
        <w:autoSpaceDN w:val="0"/>
        <w:adjustRightInd w:val="0"/>
        <w:snapToGrid w:val="0"/>
        <w:spacing w:line="560" w:lineRule="exact"/>
        <w:ind w:left="-120" w:leftChars="-50" w:right="-120" w:rightChars="-50" w:firstLine="480"/>
      </w:pPr>
      <w:r>
        <w:rPr>
          <w:rFonts w:hint="eastAsia"/>
        </w:rPr>
        <w:t>《建筑设计防火规范》                              GB50016-2014</w:t>
      </w:r>
    </w:p>
    <w:p>
      <w:pPr>
        <w:autoSpaceDE w:val="0"/>
        <w:autoSpaceDN w:val="0"/>
        <w:adjustRightInd w:val="0"/>
        <w:snapToGrid w:val="0"/>
        <w:spacing w:line="560" w:lineRule="exact"/>
        <w:ind w:left="-120" w:leftChars="-50" w:right="-120" w:rightChars="-50" w:firstLine="480"/>
      </w:pPr>
      <w:r>
        <w:rPr>
          <w:rFonts w:hint="eastAsia"/>
        </w:rPr>
        <w:t>《化工装置设备布置设计规定》                    HG/T 20546-2009</w:t>
      </w:r>
    </w:p>
    <w:p>
      <w:pPr>
        <w:autoSpaceDE w:val="0"/>
        <w:autoSpaceDN w:val="0"/>
        <w:adjustRightInd w:val="0"/>
        <w:snapToGrid w:val="0"/>
        <w:spacing w:line="560" w:lineRule="exact"/>
        <w:ind w:left="-120" w:leftChars="-50" w:right="-120" w:rightChars="-50" w:firstLine="480"/>
      </w:pPr>
      <w:r>
        <w:rPr>
          <w:rFonts w:hint="eastAsia"/>
        </w:rPr>
        <w:t>《化工装置管道布置设计规定》                    HG/T20549-1998</w:t>
      </w:r>
    </w:p>
    <w:p>
      <w:pPr>
        <w:autoSpaceDE w:val="0"/>
        <w:autoSpaceDN w:val="0"/>
        <w:adjustRightInd w:val="0"/>
        <w:snapToGrid w:val="0"/>
        <w:spacing w:line="560" w:lineRule="exact"/>
        <w:ind w:left="-120" w:leftChars="-50" w:right="-120" w:rightChars="-50" w:firstLine="480"/>
      </w:pPr>
      <w:r>
        <w:rPr>
          <w:rFonts w:hint="eastAsia"/>
        </w:rPr>
        <w:t>《工业金属管道工程施工规范》                      GB50235-2010</w:t>
      </w:r>
    </w:p>
    <w:p>
      <w:pPr>
        <w:autoSpaceDE w:val="0"/>
        <w:autoSpaceDN w:val="0"/>
        <w:adjustRightInd w:val="0"/>
        <w:snapToGrid w:val="0"/>
        <w:spacing w:line="560" w:lineRule="exact"/>
        <w:ind w:left="-120" w:leftChars="-50" w:right="-120" w:rightChars="-50" w:firstLine="480"/>
      </w:pPr>
      <w:r>
        <w:rPr>
          <w:rFonts w:hint="eastAsia"/>
        </w:rPr>
        <w:t>《现场设备、工业管道、焊接工程施工及验收规范》    GB50236-2011</w:t>
      </w:r>
    </w:p>
    <w:p>
      <w:pPr>
        <w:autoSpaceDE w:val="0"/>
        <w:autoSpaceDN w:val="0"/>
        <w:adjustRightInd w:val="0"/>
        <w:snapToGrid w:val="0"/>
        <w:spacing w:line="560" w:lineRule="exact"/>
        <w:ind w:left="-120" w:leftChars="-50" w:right="-120" w:rightChars="-50" w:firstLine="480"/>
      </w:pPr>
      <w:r>
        <w:rPr>
          <w:rFonts w:hint="eastAsia"/>
        </w:rPr>
        <w:t>《工业金属管道工程施工质量验收规范》              GB50184-2011</w:t>
      </w:r>
    </w:p>
    <w:p>
      <w:pPr>
        <w:autoSpaceDE w:val="0"/>
        <w:autoSpaceDN w:val="0"/>
        <w:adjustRightInd w:val="0"/>
        <w:snapToGrid w:val="0"/>
        <w:spacing w:line="560" w:lineRule="exact"/>
        <w:ind w:left="-120" w:leftChars="-50" w:right="-120" w:rightChars="-50" w:firstLine="480"/>
      </w:pPr>
      <w:r>
        <w:rPr>
          <w:rFonts w:hint="eastAsia"/>
        </w:rPr>
        <w:t>《现场设备、工业管道、焊接工程施工质量验收规范》    GB50683-2011</w:t>
      </w:r>
    </w:p>
    <w:p>
      <w:pPr>
        <w:autoSpaceDE w:val="0"/>
        <w:autoSpaceDN w:val="0"/>
        <w:adjustRightInd w:val="0"/>
        <w:snapToGrid w:val="0"/>
        <w:spacing w:line="560" w:lineRule="exact"/>
        <w:ind w:left="-120" w:leftChars="-50" w:right="-120" w:rightChars="-50" w:firstLine="480"/>
      </w:pPr>
      <w:r>
        <w:rPr>
          <w:rFonts w:hint="eastAsia"/>
        </w:rPr>
        <w:t>《自动化仪表选型设计规范》                       HG/T 20507-2014</w:t>
      </w:r>
    </w:p>
    <w:p>
      <w:pPr>
        <w:autoSpaceDE w:val="0"/>
        <w:autoSpaceDN w:val="0"/>
        <w:adjustRightInd w:val="0"/>
        <w:snapToGrid w:val="0"/>
        <w:spacing w:line="560" w:lineRule="exact"/>
        <w:ind w:left="-120" w:leftChars="-50" w:right="-120" w:rightChars="-50" w:firstLine="480"/>
      </w:pPr>
      <w:r>
        <w:rPr>
          <w:rFonts w:hint="eastAsia"/>
        </w:rPr>
        <w:t>《仪表供电设计规范》                             HG/T 20509-2014</w:t>
      </w:r>
    </w:p>
    <w:p>
      <w:pPr>
        <w:autoSpaceDE w:val="0"/>
        <w:autoSpaceDN w:val="0"/>
        <w:adjustRightInd w:val="0"/>
        <w:snapToGrid w:val="0"/>
        <w:spacing w:line="560" w:lineRule="exact"/>
        <w:ind w:left="-120" w:leftChars="-50" w:right="-120" w:rightChars="-50" w:firstLine="480"/>
      </w:pPr>
      <w:r>
        <w:rPr>
          <w:rFonts w:hint="eastAsia"/>
        </w:rPr>
        <w:t xml:space="preserve">《仪表供气设计规范》        </w:t>
      </w:r>
      <w:r>
        <w:rPr>
          <w:rFonts w:hint="eastAsia"/>
        </w:rPr>
        <w:tab/>
      </w:r>
      <w:r>
        <w:rPr>
          <w:rFonts w:hint="eastAsia"/>
        </w:rPr>
        <w:t xml:space="preserve">                    HG/T 20510-2014</w:t>
      </w:r>
    </w:p>
    <w:p>
      <w:pPr>
        <w:autoSpaceDE w:val="0"/>
        <w:autoSpaceDN w:val="0"/>
        <w:adjustRightInd w:val="0"/>
        <w:snapToGrid w:val="0"/>
        <w:spacing w:line="560" w:lineRule="exact"/>
        <w:ind w:left="-120" w:leftChars="-50" w:right="-120" w:rightChars="-50" w:firstLine="480"/>
      </w:pPr>
      <w:r>
        <w:rPr>
          <w:rFonts w:hint="eastAsia"/>
        </w:rPr>
        <w:t>《信号报警及联锁系统设计规范》                  HG/T 20511-2014</w:t>
      </w:r>
    </w:p>
    <w:p>
      <w:pPr>
        <w:autoSpaceDE w:val="0"/>
        <w:autoSpaceDN w:val="0"/>
        <w:adjustRightInd w:val="0"/>
        <w:snapToGrid w:val="0"/>
        <w:spacing w:line="560" w:lineRule="exact"/>
        <w:ind w:left="-120" w:leftChars="-50" w:right="-120" w:rightChars="-50" w:firstLine="480"/>
      </w:pPr>
      <w:r>
        <w:rPr>
          <w:rFonts w:hint="eastAsia"/>
        </w:rPr>
        <w:t>《供配电系统设计规范》                             GB50052-2009</w:t>
      </w:r>
    </w:p>
    <w:p>
      <w:pPr>
        <w:autoSpaceDE w:val="0"/>
        <w:autoSpaceDN w:val="0"/>
        <w:adjustRightInd w:val="0"/>
        <w:snapToGrid w:val="0"/>
        <w:spacing w:line="560" w:lineRule="exact"/>
        <w:ind w:left="-120" w:leftChars="-50" w:right="-120" w:rightChars="-50" w:firstLine="480"/>
      </w:pPr>
      <w:r>
        <w:rPr>
          <w:rFonts w:hint="eastAsia"/>
        </w:rPr>
        <w:t xml:space="preserve">《低压配电设计规范》                              GB50054-2011 </w:t>
      </w:r>
    </w:p>
    <w:p>
      <w:pPr>
        <w:autoSpaceDE w:val="0"/>
        <w:autoSpaceDN w:val="0"/>
        <w:adjustRightInd w:val="0"/>
        <w:snapToGrid w:val="0"/>
        <w:spacing w:line="560" w:lineRule="exact"/>
        <w:ind w:left="-120" w:leftChars="-50" w:right="-120" w:rightChars="-50" w:firstLine="480"/>
      </w:pPr>
      <w:r>
        <w:rPr>
          <w:rFonts w:hint="eastAsia"/>
        </w:rPr>
        <w:t>《化工设备工程施工及验收规范》                   HG/T20275-2017</w:t>
      </w:r>
    </w:p>
    <w:p>
      <w:pPr>
        <w:autoSpaceDE w:val="0"/>
        <w:autoSpaceDN w:val="0"/>
        <w:adjustRightInd w:val="0"/>
        <w:snapToGrid w:val="0"/>
        <w:spacing w:line="560" w:lineRule="exact"/>
        <w:ind w:left="-120" w:leftChars="-50" w:right="-120" w:rightChars="-50" w:firstLine="480"/>
      </w:pPr>
      <w:r>
        <w:rPr>
          <w:rFonts w:hint="eastAsia"/>
        </w:rPr>
        <w:t>《输送设备安装工程施工及验收规范》                 GB50270-2010</w:t>
      </w:r>
    </w:p>
    <w:p>
      <w:pPr>
        <w:autoSpaceDE w:val="0"/>
        <w:autoSpaceDN w:val="0"/>
        <w:adjustRightInd w:val="0"/>
        <w:snapToGrid w:val="0"/>
        <w:spacing w:line="560" w:lineRule="exact"/>
        <w:ind w:left="-120" w:leftChars="-50" w:right="-120" w:rightChars="-50" w:firstLine="480"/>
      </w:pPr>
      <w:r>
        <w:rPr>
          <w:rFonts w:hint="eastAsia"/>
        </w:rPr>
        <w:t>动静设备都必须带配对法兰，标准HG/T20592B PN系列，钢管尺寸标准HG/T20553-II。</w:t>
      </w:r>
    </w:p>
    <w:p>
      <w:pPr>
        <w:autoSpaceDE w:val="0"/>
        <w:autoSpaceDN w:val="0"/>
        <w:adjustRightInd w:val="0"/>
        <w:snapToGrid w:val="0"/>
        <w:spacing w:line="560" w:lineRule="exact"/>
        <w:ind w:left="-120" w:leftChars="-50" w:right="-120" w:rightChars="-50" w:firstLine="480"/>
      </w:pPr>
      <w:r>
        <w:rPr>
          <w:rFonts w:hint="eastAsia"/>
        </w:rPr>
        <w:t>以上标准按签订技术协议时最新版执行卖方提供的制造商标准不低于或高于合同签定时的中国国家和行业规范标准的水平，并按最新版本执行。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1" w:name="_Toc10535"/>
      <w:bookmarkStart w:id="22" w:name="_Toc7127"/>
      <w:bookmarkStart w:id="23" w:name="_Toc14878"/>
      <w:bookmarkStart w:id="24" w:name="_Toc10772"/>
      <w:r>
        <w:rPr>
          <w:rFonts w:hint="eastAsia" w:cs="Times New Roman"/>
          <w:b/>
          <w:kern w:val="44"/>
          <w:sz w:val="28"/>
          <w:szCs w:val="28"/>
          <w:lang w:val="en-US" w:eastAsia="zh-CN" w:bidi="ar-SA"/>
        </w:rPr>
        <w:t>监造和性能验收</w:t>
      </w:r>
      <w:bookmarkEnd w:id="21"/>
      <w:bookmarkEnd w:id="22"/>
      <w:bookmarkEnd w:id="23"/>
      <w:bookmarkEnd w:id="24"/>
    </w:p>
    <w:p>
      <w:pPr>
        <w:pStyle w:val="4"/>
        <w:rPr>
          <w:rFonts w:hint="eastAsia" w:cs="Times New Roman"/>
          <w:lang w:val="en-US" w:eastAsia="zh-CN"/>
        </w:rPr>
      </w:pPr>
      <w:bookmarkStart w:id="25" w:name="_Toc4387"/>
      <w:bookmarkStart w:id="26" w:name="_Toc17701"/>
      <w:bookmarkStart w:id="27" w:name="_Toc1000"/>
      <w:bookmarkStart w:id="28" w:name="_Toc29548"/>
      <w:bookmarkStart w:id="29" w:name="_Toc3580"/>
      <w:r>
        <w:rPr>
          <w:rFonts w:hint="eastAsia" w:cs="Times New Roman"/>
          <w:lang w:val="en-US" w:eastAsia="zh-CN"/>
        </w:rPr>
        <w:t>性能保证</w:t>
      </w:r>
      <w:bookmarkEnd w:id="25"/>
      <w:bookmarkEnd w:id="26"/>
      <w:bookmarkEnd w:id="27"/>
      <w:bookmarkEnd w:id="28"/>
      <w:bookmarkEnd w:id="2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1</w:t>
      </w:r>
      <w:r>
        <w:rPr>
          <w:rFonts w:hint="eastAsia" w:ascii="Times New Roman" w:hAnsi="Times New Roman" w:cs="Times New Roman"/>
          <w:lang w:val="zh-CN"/>
        </w:rPr>
        <w:t>设备噪音在自由开放空间</w:t>
      </w:r>
      <w:r>
        <w:rPr>
          <w:rFonts w:hint="eastAsia" w:ascii="Times New Roman" w:hAnsi="Times New Roman" w:cs="Times New Roman"/>
        </w:rPr>
        <w:t>，</w:t>
      </w:r>
      <w:r>
        <w:rPr>
          <w:rFonts w:hint="eastAsia" w:ascii="Times New Roman" w:hAnsi="Times New Roman" w:cs="Times New Roman"/>
          <w:lang w:val="zh-CN"/>
        </w:rPr>
        <w:t>距</w:t>
      </w:r>
      <w:r>
        <w:rPr>
          <w:rFonts w:hint="eastAsia" w:ascii="Times New Roman" w:hAnsi="Times New Roman" w:cs="Times New Roman"/>
        </w:rPr>
        <w:t>设备1</w:t>
      </w:r>
      <w:r>
        <w:rPr>
          <w:rFonts w:hint="eastAsia" w:ascii="Times New Roman" w:hAnsi="Times New Roman" w:cs="Times New Roman"/>
          <w:lang w:val="zh-CN"/>
        </w:rPr>
        <w:t>米的距离上测试</w:t>
      </w:r>
      <w:r>
        <w:rPr>
          <w:rFonts w:hint="eastAsia" w:ascii="Times New Roman" w:hAnsi="Times New Roman" w:cs="Times New Roman"/>
        </w:rPr>
        <w:t>，</w:t>
      </w:r>
      <w:r>
        <w:rPr>
          <w:rFonts w:hint="eastAsia" w:ascii="Times New Roman" w:hAnsi="Times New Roman" w:cs="Times New Roman"/>
          <w:lang w:val="zh-CN"/>
        </w:rPr>
        <w:t>小于</w:t>
      </w:r>
      <w:r>
        <w:rPr>
          <w:rFonts w:hint="eastAsia" w:ascii="Times New Roman" w:hAnsi="Times New Roman" w:cs="Times New Roman"/>
        </w:rPr>
        <w:t>85dB</w:t>
      </w:r>
      <w:r>
        <w:rPr>
          <w:rFonts w:hint="eastAsia" w:ascii="Times New Roman" w:hAnsi="Times New Roman" w:cs="Times New Roman"/>
          <w:lang w:val="zh-CN"/>
        </w:rPr>
        <w:t>。</w:t>
      </w:r>
      <w:r>
        <w:rPr>
          <w:rFonts w:hint="eastAsia" w:ascii="Times New Roman" w:hAnsi="Times New Roman" w:cs="Times New Roman"/>
        </w:rPr>
        <w:t>设备</w:t>
      </w:r>
      <w:r>
        <w:rPr>
          <w:rFonts w:hint="eastAsia" w:ascii="Times New Roman" w:hAnsi="Times New Roman" w:cs="Times New Roman"/>
          <w:lang w:val="zh-CN"/>
        </w:rPr>
        <w:t>以外的管道、设备及附件的噪音不包含在内。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2设备</w:t>
      </w:r>
      <w:r>
        <w:rPr>
          <w:rFonts w:hint="eastAsia" w:ascii="Times New Roman" w:hAnsi="Times New Roman" w:cs="Times New Roman"/>
          <w:lang w:val="zh-CN"/>
        </w:rPr>
        <w:t>所有部件的设计满足在最大出口压力下运行不发生损坏。</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.1.3满足本技术协议中所有的工艺指标要求。</w:t>
      </w:r>
    </w:p>
    <w:p>
      <w:pPr>
        <w:pStyle w:val="4"/>
        <w:rPr>
          <w:rFonts w:hint="eastAsia" w:cs="Times New Roman"/>
          <w:lang w:val="en-US" w:eastAsia="zh-CN"/>
        </w:rPr>
      </w:pPr>
      <w:bookmarkStart w:id="30" w:name="_Toc28789"/>
      <w:bookmarkStart w:id="31" w:name="_Toc26982"/>
      <w:bookmarkStart w:id="32" w:name="_Toc4610"/>
      <w:bookmarkStart w:id="33" w:name="_Toc3600"/>
      <w:bookmarkStart w:id="34" w:name="_Toc20694"/>
      <w:r>
        <w:rPr>
          <w:rFonts w:hint="eastAsia" w:cs="Times New Roman"/>
          <w:lang w:val="en-US" w:eastAsia="zh-CN"/>
        </w:rPr>
        <w:t>质量保证</w:t>
      </w:r>
      <w:bookmarkEnd w:id="30"/>
      <w:bookmarkEnd w:id="31"/>
      <w:bookmarkEnd w:id="32"/>
      <w:bookmarkEnd w:id="33"/>
      <w:bookmarkEnd w:id="34"/>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6.2.1</w:t>
      </w:r>
      <w:r>
        <w:rPr>
          <w:rFonts w:hint="eastAsia" w:ascii="Times New Roman" w:hAnsi="Times New Roman" w:cs="Times New Roman"/>
          <w:lang w:val="zh-CN" w:eastAsia="zh-CN"/>
        </w:rPr>
        <w:t>制造厂家需建有一套完整的质量保证体系</w:t>
      </w:r>
      <w:r>
        <w:rPr>
          <w:rFonts w:hint="eastAsia" w:ascii="Times New Roman" w:hAnsi="Times New Roman" w:cs="Times New Roman"/>
          <w:lang w:val="en-US" w:eastAsia="zh-CN"/>
        </w:rPr>
        <w:t>，</w:t>
      </w:r>
      <w:r>
        <w:rPr>
          <w:rFonts w:hint="eastAsia" w:ascii="Times New Roman" w:hAnsi="Times New Roman" w:cs="Times New Roman"/>
          <w:lang w:val="zh-CN" w:eastAsia="zh-CN"/>
        </w:rPr>
        <w:t>并获</w:t>
      </w:r>
      <w:r>
        <w:rPr>
          <w:rFonts w:hint="eastAsia" w:ascii="Times New Roman" w:hAnsi="Times New Roman" w:cs="Times New Roman"/>
          <w:lang w:val="en-US" w:eastAsia="zh-CN"/>
        </w:rPr>
        <w:t>ISO9001</w:t>
      </w:r>
      <w:r>
        <w:rPr>
          <w:rFonts w:hint="eastAsia" w:ascii="Times New Roman" w:hAnsi="Times New Roman" w:cs="Times New Roman"/>
          <w:lang w:val="zh-CN" w:eastAsia="zh-CN"/>
        </w:rPr>
        <w:t>国际质量体系认证</w:t>
      </w:r>
      <w:r>
        <w:rPr>
          <w:rFonts w:hint="eastAsia" w:ascii="Times New Roman" w:hAnsi="Times New Roman" w:cs="Times New Roman"/>
          <w:lang w:val="en-US" w:eastAsia="zh-CN"/>
        </w:rPr>
        <w:t>，</w:t>
      </w:r>
      <w:r>
        <w:rPr>
          <w:rFonts w:hint="eastAsia" w:ascii="Times New Roman" w:hAnsi="Times New Roman" w:cs="Times New Roman"/>
          <w:lang w:val="zh-CN" w:eastAsia="zh-CN"/>
        </w:rPr>
        <w:t>保证机组是全新的、高质量的和供货完整的。</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.2.2保证货物全新，材料上乘，加工精良，完全符合合同规定的质量和性能。在正确安装，操作及保养的条件下，设备质保期为验收后12个月或发货后18个月，以先期满者为准。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.2.3卖方必须保证产品为本厂生产，若有其他外协单位供货部分，提供卖方品牌清单，加工制造过程中买方保留在买卖双方达成一致的前提下到卖方外协单位进行检查的权利。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6.2.4</w:t>
      </w:r>
      <w:r>
        <w:rPr>
          <w:rFonts w:hint="eastAsia" w:ascii="Times New Roman" w:hAnsi="Times New Roman" w:cs="Times New Roman"/>
          <w:lang w:val="zh-CN" w:eastAsia="zh-CN"/>
        </w:rPr>
        <w:t>所有金属含量要求见技术协议，所有设备入厂需进行金属成分检测，不满足要求更换处理。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6.2.5</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无任何故障（可在5分钟内解决的问题不能作为故障）视为验收合格，否则卖方必须采取现场整改、换货等措施直至达到稳定运行工况</w:t>
      </w:r>
      <w:r>
        <w:rPr>
          <w:rFonts w:hint="eastAsia" w:ascii="Times New Roman" w:hAnsi="Times New Roman" w:cs="Times New Roman"/>
          <w:lang w:val="zh-CN" w:eastAsia="zh-CN"/>
        </w:rPr>
        <w:t>。</w:t>
      </w:r>
    </w:p>
    <w:p>
      <w:pPr>
        <w:pStyle w:val="4"/>
        <w:rPr>
          <w:rFonts w:hint="eastAsia" w:cs="Times New Roman"/>
          <w:lang w:val="en-US" w:eastAsia="zh-CN"/>
        </w:rPr>
      </w:pPr>
      <w:bookmarkStart w:id="35" w:name="_Toc22401"/>
      <w:bookmarkStart w:id="36" w:name="_Toc12855"/>
      <w:bookmarkStart w:id="37" w:name="_Toc14101"/>
      <w:bookmarkStart w:id="38" w:name="_Toc28591"/>
      <w:bookmarkStart w:id="39" w:name="_Toc16855"/>
      <w:r>
        <w:rPr>
          <w:rFonts w:hint="eastAsia" w:cs="Times New Roman"/>
          <w:lang w:val="en-US" w:eastAsia="zh-CN"/>
        </w:rPr>
        <w:t>检验保证</w:t>
      </w:r>
      <w:bookmarkEnd w:id="35"/>
      <w:bookmarkEnd w:id="36"/>
      <w:bookmarkEnd w:id="37"/>
      <w:bookmarkEnd w:id="38"/>
      <w:bookmarkEnd w:id="3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.3.1卖方所需该设备生产主材及关键部位材质均需提供检验合格证明材料，并在交货时一同交付。</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.3.2卖方生产过程须保留该产品生产过程记录，买方在中间检查或验收时可随时提供相关资料。</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bookmarkStart w:id="40" w:name="_Toc8104"/>
      <w:r>
        <w:rPr>
          <w:rFonts w:hint="eastAsia" w:ascii="Times New Roman" w:hAnsi="Times New Roman" w:cs="Times New Roman"/>
          <w:lang w:val="en-US" w:eastAsia="zh-CN"/>
        </w:rPr>
        <w:t>6</w:t>
      </w:r>
      <w:r>
        <w:rPr>
          <w:rFonts w:hint="eastAsia" w:ascii="Times New Roman" w:hAnsi="Times New Roman" w:cs="Times New Roman"/>
          <w:lang w:val="zh-CN" w:eastAsia="zh-CN"/>
        </w:rPr>
        <w:t>.3.3其他相关检验项目按照卖方企标、国家标准规范实施。</w:t>
      </w:r>
      <w:bookmarkEnd w:id="4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.3.4买方保留全过程监造权利。</w:t>
      </w:r>
    </w:p>
    <w:p>
      <w:pPr>
        <w:pStyle w:val="4"/>
        <w:rPr>
          <w:rFonts w:hint="eastAsia" w:cs="Times New Roman"/>
          <w:lang w:val="en-US" w:eastAsia="zh-CN"/>
        </w:rPr>
      </w:pPr>
      <w:bookmarkStart w:id="41" w:name="_Toc10600"/>
      <w:bookmarkStart w:id="42" w:name="_Toc15586"/>
      <w:bookmarkStart w:id="43" w:name="_Toc2888"/>
      <w:bookmarkStart w:id="44" w:name="_Toc3554"/>
      <w:bookmarkStart w:id="45" w:name="_Toc28521"/>
      <w:r>
        <w:rPr>
          <w:rFonts w:hint="eastAsia" w:cs="Times New Roman"/>
          <w:lang w:val="en-US" w:eastAsia="zh-CN"/>
        </w:rPr>
        <w:t>验收</w:t>
      </w:r>
      <w:bookmarkEnd w:id="41"/>
      <w:r>
        <w:rPr>
          <w:rFonts w:hint="eastAsia" w:cs="Times New Roman"/>
          <w:lang w:val="en-US" w:eastAsia="zh-CN"/>
        </w:rPr>
        <w:t>与安装</w:t>
      </w:r>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6.4.1</w:t>
      </w:r>
      <w:r>
        <w:rPr>
          <w:rFonts w:hint="eastAsia" w:ascii="Times New Roman" w:hAnsi="Times New Roman" w:cs="Times New Roman"/>
          <w:lang w:val="en-GB" w:eastAsia="zh-CN"/>
        </w:rPr>
        <w:t>设备到达现场后，</w:t>
      </w:r>
      <w:r>
        <w:rPr>
          <w:rFonts w:hint="eastAsia" w:cs="Times New Roman"/>
          <w:lang w:val="en-US" w:eastAsia="zh-CN"/>
        </w:rPr>
        <w:t>买卖双方</w:t>
      </w:r>
      <w:r>
        <w:rPr>
          <w:rFonts w:hint="eastAsia" w:ascii="Times New Roman" w:hAnsi="Times New Roman" w:cs="Times New Roman"/>
          <w:lang w:val="en-GB" w:eastAsia="zh-CN"/>
        </w:rPr>
        <w:t>现场进行开箱检验。</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6.4.2</w:t>
      </w:r>
      <w:r>
        <w:rPr>
          <w:rFonts w:hint="eastAsia" w:ascii="Times New Roman" w:hAnsi="Times New Roman" w:cs="Times New Roman"/>
          <w:lang w:val="en-GB" w:eastAsia="zh-CN"/>
        </w:rPr>
        <w:t>如果卖方</w:t>
      </w:r>
      <w:r>
        <w:rPr>
          <w:rFonts w:hint="eastAsia" w:cs="Times New Roman"/>
          <w:lang w:val="en-US" w:eastAsia="zh-CN"/>
        </w:rPr>
        <w:t>未随设备</w:t>
      </w:r>
      <w:r>
        <w:rPr>
          <w:rFonts w:hint="eastAsia" w:ascii="Times New Roman" w:hAnsi="Times New Roman" w:cs="Times New Roman"/>
          <w:lang w:val="en-GB" w:eastAsia="zh-CN"/>
        </w:rPr>
        <w:t>到达现场</w:t>
      </w:r>
      <w:r>
        <w:rPr>
          <w:rFonts w:hint="eastAsia" w:cs="Times New Roman"/>
          <w:lang w:val="en-US" w:eastAsia="zh-CN"/>
        </w:rPr>
        <w:t>的</w:t>
      </w:r>
      <w:r>
        <w:rPr>
          <w:rFonts w:hint="eastAsia" w:ascii="Times New Roman" w:hAnsi="Times New Roman" w:cs="Times New Roman"/>
          <w:lang w:val="en-GB" w:eastAsia="zh-CN"/>
        </w:rPr>
        <w:t>，买方可以根据工程需要自行开箱检验，如发现设备、部件与装箱清单不符或设备、部件损坏，卖方应承担全部责任。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6.4.3</w:t>
      </w:r>
      <w:r>
        <w:rPr>
          <w:rFonts w:hint="eastAsia" w:ascii="Times New Roman" w:hAnsi="Times New Roman" w:cs="Times New Roman"/>
          <w:lang w:val="en-GB" w:eastAsia="zh-CN"/>
        </w:rPr>
        <w:t>产品生产过程中的主要阶段的试验与验收卖方必须邀请买方人员参加，买方可视具体情况决定派员参加或不参加，需要不参加的试验卖方应将试验结构送交买方确认</w:t>
      </w:r>
      <w:r>
        <w:rPr>
          <w:rFonts w:hint="eastAsia"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6.4.4</w:t>
      </w:r>
      <w:r>
        <w:rPr>
          <w:rFonts w:hint="eastAsia" w:ascii="Times New Roman" w:hAnsi="Times New Roman" w:cs="Times New Roman"/>
          <w:lang w:val="en-GB" w:eastAsia="zh-CN"/>
        </w:rPr>
        <w:t>制造厂内买方的验收不作为最终产品合格的保证，产品最终应通过现场调试和运行考验来验收。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6.4.5</w:t>
      </w:r>
      <w:r>
        <w:rPr>
          <w:rFonts w:hint="eastAsia" w:ascii="Times New Roman" w:hAnsi="Times New Roman" w:cs="Times New Roman"/>
          <w:lang w:val="en-GB" w:eastAsia="zh-CN"/>
        </w:rPr>
        <w:t>产品最终验收以达到买方产品技术要求为准，并满足各种性能要求。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6.4.6</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w:t>
      </w:r>
      <w:r>
        <w:rPr>
          <w:rFonts w:hint="eastAsia" w:cs="Times New Roman"/>
          <w:lang w:val="en-US" w:eastAsia="zh-CN"/>
        </w:rPr>
        <w:t>且满足工艺指标要求</w:t>
      </w:r>
      <w:r>
        <w:rPr>
          <w:rFonts w:hint="eastAsia" w:ascii="Times New Roman" w:hAnsi="Times New Roman" w:cs="Times New Roman"/>
          <w:lang w:val="en-GB" w:eastAsia="zh-CN"/>
        </w:rPr>
        <w:t>（可在5分钟内解决的问题不能作为故障）视为验收合格，否则卖方必须</w:t>
      </w:r>
      <w:r>
        <w:rPr>
          <w:rFonts w:hint="eastAsia" w:cs="Times New Roman"/>
          <w:lang w:val="en-US" w:eastAsia="zh-CN"/>
        </w:rPr>
        <w:t>在15天内</w:t>
      </w:r>
      <w:r>
        <w:rPr>
          <w:rFonts w:hint="eastAsia" w:ascii="Times New Roman" w:hAnsi="Times New Roman" w:cs="Times New Roman"/>
          <w:lang w:val="en-GB" w:eastAsia="zh-CN"/>
        </w:rPr>
        <w:t>采取现场整改、换货等措施直至达到稳定运行工况。</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US" w:eastAsia="zh-CN"/>
        </w:rPr>
      </w:pPr>
      <w:r>
        <w:rPr>
          <w:rFonts w:hint="eastAsia" w:ascii="Times New Roman" w:hAnsi="Times New Roman" w:cs="Times New Roman"/>
          <w:lang w:val="en-US" w:eastAsia="zh-CN"/>
        </w:rPr>
        <w:t>6.4.</w:t>
      </w:r>
      <w:r>
        <w:rPr>
          <w:rFonts w:hint="eastAsia" w:cs="Times New Roman"/>
          <w:lang w:val="en-US" w:eastAsia="zh-CN"/>
        </w:rPr>
        <w:t>7</w:t>
      </w:r>
      <w:r>
        <w:rPr>
          <w:rFonts w:hint="default" w:ascii="Times New Roman" w:hAnsi="Times New Roman" w:cs="Times New Roman"/>
          <w:lang w:val="en-US" w:eastAsia="zh-CN"/>
        </w:rPr>
        <w:t>接到买方通知三天内，卖方安排专业</w:t>
      </w:r>
      <w:r>
        <w:rPr>
          <w:rFonts w:hint="eastAsia" w:cs="Times New Roman"/>
          <w:lang w:val="en-US" w:eastAsia="zh-CN"/>
        </w:rPr>
        <w:t>工程师</w:t>
      </w:r>
      <w:r>
        <w:rPr>
          <w:rFonts w:hint="default" w:ascii="Times New Roman" w:hAnsi="Times New Roman" w:cs="Times New Roman"/>
          <w:lang w:val="en-US" w:eastAsia="zh-CN"/>
        </w:rPr>
        <w:t>（含机械、电仪等专业人员）指导安装，直至安装调试合格。</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46" w:name="_Toc4951"/>
      <w:bookmarkStart w:id="47" w:name="_Toc15454"/>
      <w:bookmarkStart w:id="48" w:name="_Toc11103"/>
      <w:bookmarkStart w:id="49" w:name="_Toc26945"/>
      <w:bookmarkStart w:id="50" w:name="_Toc25459"/>
      <w:r>
        <w:rPr>
          <w:rFonts w:hint="eastAsia" w:ascii="Times New Roman" w:hAnsi="Times New Roman" w:eastAsia="宋体" w:cs="Times New Roman"/>
          <w:b/>
          <w:kern w:val="44"/>
          <w:sz w:val="28"/>
          <w:szCs w:val="28"/>
          <w:lang w:val="en-US" w:eastAsia="zh-CN" w:bidi="ar-SA"/>
        </w:rPr>
        <w:t>油漆与包装运输</w:t>
      </w:r>
      <w:bookmarkEnd w:id="46"/>
      <w:bookmarkEnd w:id="47"/>
      <w:bookmarkEnd w:id="48"/>
      <w:bookmarkEnd w:id="49"/>
      <w:bookmarkEnd w:id="50"/>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GB" w:eastAsia="zh-CN"/>
        </w:rPr>
      </w:pPr>
      <w:r>
        <w:rPr>
          <w:rFonts w:hint="eastAsia" w:cs="Times New Roman"/>
          <w:lang w:val="en-US" w:eastAsia="zh-CN"/>
        </w:rPr>
        <w:t xml:space="preserve">7.1 </w:t>
      </w:r>
      <w:r>
        <w:rPr>
          <w:rFonts w:hint="eastAsia" w:ascii="Times New Roman" w:hAnsi="Times New Roman" w:cs="Times New Roman"/>
          <w:lang w:val="en-GB" w:eastAsia="zh-CN"/>
        </w:rPr>
        <w:t>设备的油漆、包装、运输必须符合国家现行有关标准和企业规定。油漆颜色</w:t>
      </w:r>
      <w:r>
        <w:rPr>
          <w:rFonts w:hint="eastAsia" w:ascii="Times New Roman" w:hAnsi="Times New Roman" w:cs="Times New Roman"/>
          <w:lang w:val="en-US" w:eastAsia="zh-CN"/>
        </w:rPr>
        <w:t>按</w:t>
      </w:r>
      <w:r>
        <w:rPr>
          <w:rFonts w:hint="eastAsia" w:ascii="Times New Roman" w:hAnsi="Times New Roman" w:cs="Times New Roman"/>
          <w:lang w:val="en-GB" w:eastAsia="zh-CN"/>
        </w:rPr>
        <w:t>买方</w:t>
      </w:r>
      <w:r>
        <w:rPr>
          <w:rFonts w:hint="eastAsia" w:ascii="Times New Roman" w:hAnsi="Times New Roman" w:cs="Times New Roman"/>
          <w:lang w:val="en-US" w:eastAsia="zh-CN"/>
        </w:rPr>
        <w:t>统一规定执行</w:t>
      </w:r>
      <w:r>
        <w:rPr>
          <w:rFonts w:hint="eastAsia" w:ascii="Times New Roman" w:hAnsi="Times New Roman"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7.2 </w:t>
      </w:r>
      <w:r>
        <w:rPr>
          <w:rFonts w:hint="eastAsia" w:ascii="Times New Roman" w:hAnsi="Times New Roman" w:cs="Times New Roman"/>
          <w:lang w:val="en-GB" w:eastAsia="zh-CN"/>
        </w:rPr>
        <w:t>包装箱应符合有关规定要求，保证运输期间不会损坏。每个设备箱至少应包括二份详细的装箱清单和一份质量检验证明书和产品合格证</w:t>
      </w:r>
      <w:r>
        <w:rPr>
          <w:rFonts w:hint="eastAsia" w:cs="Times New Roman"/>
          <w:lang w:val="en-GB" w:eastAsia="zh-CN"/>
        </w:rPr>
        <w:t>（</w:t>
      </w:r>
      <w:r>
        <w:rPr>
          <w:rFonts w:hint="eastAsia" w:cs="Times New Roman"/>
          <w:lang w:val="en-US" w:eastAsia="zh-CN"/>
        </w:rPr>
        <w:t>含元器件合格证</w:t>
      </w:r>
      <w:r>
        <w:rPr>
          <w:rFonts w:hint="eastAsia" w:cs="Times New Roman"/>
          <w:lang w:val="en-GB" w:eastAsia="zh-CN"/>
        </w:rPr>
        <w:t>）</w:t>
      </w:r>
      <w:r>
        <w:rPr>
          <w:rFonts w:hint="eastAsia" w:ascii="Times New Roman" w:hAnsi="Times New Roman" w:cs="Times New Roman"/>
          <w:lang w:val="en-GB" w:eastAsia="zh-CN"/>
        </w:rPr>
        <w:t>，一份交买方，一份在箱内。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7.3 </w:t>
      </w:r>
      <w:r>
        <w:rPr>
          <w:rFonts w:hint="eastAsia" w:ascii="Times New Roman" w:hAnsi="Times New Roman" w:cs="Times New Roman"/>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7.4 </w:t>
      </w:r>
      <w:r>
        <w:rPr>
          <w:rFonts w:hint="eastAsia" w:ascii="Times New Roman" w:hAnsi="Times New Roman" w:cs="Times New Roman"/>
          <w:lang w:val="en-GB" w:eastAsia="zh-CN"/>
        </w:rPr>
        <w:t>由于卖方包装、运输原因所造成的设备丢失、缺损、发霉、锈蚀、受潮和错发等问题，卖方负责修理、补充或更换。</w:t>
      </w:r>
    </w:p>
    <w:p>
      <w:pPr>
        <w:autoSpaceDE w:val="0"/>
        <w:autoSpaceDN w:val="0"/>
        <w:adjustRightInd w:val="0"/>
        <w:snapToGrid w:val="0"/>
        <w:spacing w:line="560" w:lineRule="exact"/>
        <w:ind w:left="-120" w:leftChars="-50" w:right="-120" w:rightChars="-50" w:firstLine="480"/>
        <w:rPr>
          <w:rFonts w:hint="eastAsia" w:cs="Times New Roman"/>
          <w:lang w:val="en-GB" w:eastAsia="zh-CN"/>
        </w:rPr>
      </w:pPr>
      <w:r>
        <w:rPr>
          <w:rFonts w:hint="eastAsia" w:cs="Times New Roman"/>
          <w:lang w:val="en-US" w:eastAsia="zh-CN"/>
        </w:rPr>
        <w:t xml:space="preserve">7.5 </w:t>
      </w:r>
      <w:r>
        <w:rPr>
          <w:rFonts w:hint="eastAsia" w:ascii="Times New Roman" w:hAnsi="Times New Roman" w:cs="Times New Roman"/>
          <w:lang w:val="en-GB" w:eastAsia="zh-CN"/>
        </w:rPr>
        <w:t>运输费用由卖方负责。货物到达甲方现场并接受之前，货物的安全问题由买方负责</w:t>
      </w:r>
      <w:r>
        <w:rPr>
          <w:rFonts w:hint="eastAsia" w:cs="Times New Roman"/>
          <w:lang w:val="en-GB"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51" w:name="_Toc241"/>
      <w:bookmarkStart w:id="52" w:name="_Toc4984"/>
      <w:bookmarkStart w:id="53" w:name="_Toc31100"/>
      <w:bookmarkStart w:id="54" w:name="_Toc22007"/>
      <w:bookmarkStart w:id="55" w:name="_Toc10019"/>
      <w:r>
        <w:rPr>
          <w:rFonts w:hint="eastAsia" w:ascii="Times New Roman" w:hAnsi="Times New Roman" w:cs="Times New Roman"/>
          <w:b/>
          <w:kern w:val="44"/>
          <w:sz w:val="28"/>
          <w:szCs w:val="28"/>
          <w:lang w:val="en-US" w:eastAsia="zh-CN" w:bidi="ar-SA"/>
        </w:rPr>
        <w:t>买卖双方责任范围</w:t>
      </w:r>
      <w:bookmarkEnd w:id="51"/>
      <w:bookmarkEnd w:id="52"/>
      <w:bookmarkEnd w:id="53"/>
      <w:bookmarkEnd w:id="54"/>
      <w:bookmarkEnd w:id="55"/>
    </w:p>
    <w:p>
      <w:pPr>
        <w:numPr>
          <w:ilvl w:val="0"/>
          <w:numId w:val="0"/>
        </w:numPr>
        <w:autoSpaceDE w:val="0"/>
        <w:autoSpaceDN w:val="0"/>
        <w:adjustRightInd w:val="0"/>
        <w:snapToGrid w:val="0"/>
        <w:spacing w:line="560" w:lineRule="exact"/>
        <w:ind w:leftChars="150" w:right="-120" w:rightChars="-50"/>
        <w:outlineLvl w:val="9"/>
        <w:rPr>
          <w:rFonts w:hint="default"/>
          <w:lang w:val="en-US" w:eastAsia="zh-CN"/>
        </w:rPr>
      </w:pPr>
      <w:r>
        <w:rPr>
          <w:rFonts w:hint="default"/>
          <w:lang w:val="en-US" w:eastAsia="zh-CN"/>
        </w:rPr>
        <w:t>○印：责任范围</w:t>
      </w:r>
      <w:r>
        <w:rPr>
          <w:rFonts w:hint="eastAsia"/>
          <w:lang w:val="en-US" w:eastAsia="zh-CN"/>
        </w:rPr>
        <w:t xml:space="preserve">      </w:t>
      </w:r>
      <w:r>
        <w:rPr>
          <w:rFonts w:hint="default"/>
          <w:lang w:val="en-US" w:eastAsia="zh-CN"/>
        </w:rPr>
        <w:t xml:space="preserve"> </w:t>
      </w:r>
      <w:r>
        <w:rPr>
          <w:rFonts w:hint="eastAsia"/>
          <w:lang w:val="en-US" w:eastAsia="zh-CN"/>
        </w:rPr>
        <w:t>-</w:t>
      </w:r>
      <w:r>
        <w:rPr>
          <w:rFonts w:hint="default"/>
          <w:lang w:val="en-US" w:eastAsia="zh-CN"/>
        </w:rPr>
        <w:t>印：责任范围外</w:t>
      </w:r>
    </w:p>
    <w:tbl>
      <w:tblPr>
        <w:tblStyle w:val="14"/>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0"/>
        <w:gridCol w:w="1474"/>
        <w:gridCol w:w="1799"/>
        <w:gridCol w:w="1218"/>
        <w:gridCol w:w="120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2201" w:type="dxa"/>
            <w:gridSpan w:val="2"/>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卖方</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买方</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2"/>
              <w:ind w:left="1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1"/>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6"/>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0"/>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7"/>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买方负责施工；</w:t>
            </w:r>
          </w:p>
          <w:p>
            <w:pPr>
              <w:pStyle w:val="20"/>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卖方提供二</w:t>
            </w:r>
            <w:r>
              <w:rPr>
                <w:rFonts w:hint="eastAsia" w:ascii="Times New Roman" w:hAnsi="Times New Roman" w:cs="Times New Roman"/>
                <w:color w:val="auto"/>
                <w:kern w:val="2"/>
                <w:sz w:val="21"/>
                <w:szCs w:val="24"/>
                <w:highlight w:val="none"/>
                <w:lang w:val="en-US" w:eastAsia="zh-CN" w:bidi="ar-SA"/>
              </w:rPr>
              <w:t>次侧电缆+</w:t>
            </w:r>
            <w:r>
              <w:rPr>
                <w:rFonts w:hint="eastAsia" w:ascii="Times New Roman" w:hAnsi="Times New Roman" w:eastAsia="宋体" w:cs="Times New Roman"/>
                <w:color w:val="auto"/>
                <w:kern w:val="2"/>
                <w:sz w:val="21"/>
                <w:szCs w:val="24"/>
                <w:highlight w:val="none"/>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卖方调试；</w:t>
            </w:r>
            <w:r>
              <w:rPr>
                <w:rFonts w:hint="eastAsia" w:ascii="Times New Roman" w:hAnsi="Times New Roman" w:eastAsia="宋体" w:cs="Times New Roman"/>
                <w:color w:val="auto"/>
                <w:kern w:val="2"/>
                <w:sz w:val="21"/>
                <w:szCs w:val="24"/>
                <w:highlight w:val="none"/>
                <w:lang w:val="en-US" w:eastAsia="zh-CN" w:bidi="ar-SA"/>
              </w:rPr>
              <w:t>按照工艺要求双方进行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w:t>
            </w:r>
            <w:r>
              <w:rPr>
                <w:rFonts w:hint="eastAsia" w:ascii="Times New Roman" w:hAnsi="Times New Roman" w:cs="Times New Roman"/>
                <w:color w:val="auto"/>
                <w:kern w:val="2"/>
                <w:sz w:val="21"/>
                <w:szCs w:val="24"/>
                <w:highlight w:val="none"/>
                <w:lang w:val="en-US" w:eastAsia="zh-CN" w:bidi="ar-SA"/>
              </w:rPr>
              <w:t>原</w:t>
            </w:r>
            <w:r>
              <w:rPr>
                <w:rFonts w:hint="eastAsia" w:ascii="Times New Roman" w:hAnsi="Times New Roman" w:eastAsia="宋体" w:cs="Times New Roman"/>
                <w:color w:val="auto"/>
                <w:kern w:val="2"/>
                <w:sz w:val="21"/>
                <w:szCs w:val="24"/>
                <w:highlight w:val="none"/>
                <w:lang w:val="en-US" w:eastAsia="zh-CN" w:bidi="ar-SA"/>
              </w:rPr>
              <w:t>材料</w:t>
            </w:r>
          </w:p>
        </w:tc>
      </w:tr>
    </w:tbl>
    <w:p>
      <w:pPr>
        <w:pStyle w:val="19"/>
        <w:outlineLvl w:val="9"/>
        <w:rPr>
          <w:rFonts w:hint="default"/>
          <w:lang w:val="en-US" w:eastAsia="zh-CN"/>
        </w:rPr>
      </w:pPr>
    </w:p>
    <w:p>
      <w:pPr>
        <w:pStyle w:val="7"/>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2"/>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50EE0AE2"/>
    <w:multiLevelType w:val="multilevel"/>
    <w:tmpl w:val="50EE0AE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MjBmYjFlZmNiZDlmMGVkNzdkZjVjNmFjZTY0ZDQifQ=="/>
  </w:docVars>
  <w:rsids>
    <w:rsidRoot w:val="420E3092"/>
    <w:rsid w:val="0011023B"/>
    <w:rsid w:val="00133C9C"/>
    <w:rsid w:val="001C4A51"/>
    <w:rsid w:val="001E20F2"/>
    <w:rsid w:val="00395584"/>
    <w:rsid w:val="0045152B"/>
    <w:rsid w:val="006066B9"/>
    <w:rsid w:val="00681C95"/>
    <w:rsid w:val="008A4E6A"/>
    <w:rsid w:val="008E5C6D"/>
    <w:rsid w:val="009319AE"/>
    <w:rsid w:val="00975317"/>
    <w:rsid w:val="00AB2FDA"/>
    <w:rsid w:val="00B204F4"/>
    <w:rsid w:val="00B21B52"/>
    <w:rsid w:val="00BA1050"/>
    <w:rsid w:val="00C419D6"/>
    <w:rsid w:val="00C551C1"/>
    <w:rsid w:val="00C973AF"/>
    <w:rsid w:val="00CE4D69"/>
    <w:rsid w:val="00F81534"/>
    <w:rsid w:val="00F96FFA"/>
    <w:rsid w:val="00FB70A2"/>
    <w:rsid w:val="010E1F23"/>
    <w:rsid w:val="01787946"/>
    <w:rsid w:val="019404F8"/>
    <w:rsid w:val="027C3CDD"/>
    <w:rsid w:val="02954528"/>
    <w:rsid w:val="0350044F"/>
    <w:rsid w:val="03E272F9"/>
    <w:rsid w:val="044C50BA"/>
    <w:rsid w:val="045B70AB"/>
    <w:rsid w:val="04B35B0D"/>
    <w:rsid w:val="05D46230"/>
    <w:rsid w:val="05E03D0C"/>
    <w:rsid w:val="05F76EB5"/>
    <w:rsid w:val="06051B8A"/>
    <w:rsid w:val="06285F4E"/>
    <w:rsid w:val="064A73D7"/>
    <w:rsid w:val="06624721"/>
    <w:rsid w:val="06CB676A"/>
    <w:rsid w:val="06E6680F"/>
    <w:rsid w:val="076F3599"/>
    <w:rsid w:val="07A974BB"/>
    <w:rsid w:val="07E35623"/>
    <w:rsid w:val="08541AE2"/>
    <w:rsid w:val="08565332"/>
    <w:rsid w:val="085E53BC"/>
    <w:rsid w:val="08D86F1C"/>
    <w:rsid w:val="09063A89"/>
    <w:rsid w:val="092D1D3F"/>
    <w:rsid w:val="0A011659"/>
    <w:rsid w:val="0A3245CA"/>
    <w:rsid w:val="0AE53B72"/>
    <w:rsid w:val="0AFD2C6A"/>
    <w:rsid w:val="0B486EB0"/>
    <w:rsid w:val="0B894E19"/>
    <w:rsid w:val="0B8C3FEE"/>
    <w:rsid w:val="0BAE039B"/>
    <w:rsid w:val="0BBD2598"/>
    <w:rsid w:val="0BCB0FBA"/>
    <w:rsid w:val="0BD95485"/>
    <w:rsid w:val="0BFE6C9A"/>
    <w:rsid w:val="0CBC03F1"/>
    <w:rsid w:val="0D036EDE"/>
    <w:rsid w:val="0D091860"/>
    <w:rsid w:val="0D4C1032"/>
    <w:rsid w:val="0DC14423"/>
    <w:rsid w:val="0E040695"/>
    <w:rsid w:val="0E086D3A"/>
    <w:rsid w:val="0E673AD7"/>
    <w:rsid w:val="0ECA5F52"/>
    <w:rsid w:val="0EEB219D"/>
    <w:rsid w:val="0F0C4A59"/>
    <w:rsid w:val="0F62295D"/>
    <w:rsid w:val="0FDC5544"/>
    <w:rsid w:val="0FE97C61"/>
    <w:rsid w:val="100131FC"/>
    <w:rsid w:val="106E1C0C"/>
    <w:rsid w:val="10C06C14"/>
    <w:rsid w:val="10F90765"/>
    <w:rsid w:val="111B02EE"/>
    <w:rsid w:val="11611B50"/>
    <w:rsid w:val="11D5049D"/>
    <w:rsid w:val="11D720D8"/>
    <w:rsid w:val="11D90AD7"/>
    <w:rsid w:val="125F420A"/>
    <w:rsid w:val="12734B7F"/>
    <w:rsid w:val="128864C1"/>
    <w:rsid w:val="12971947"/>
    <w:rsid w:val="12CA1FCB"/>
    <w:rsid w:val="12FF7E1E"/>
    <w:rsid w:val="13023513"/>
    <w:rsid w:val="13BF1DBD"/>
    <w:rsid w:val="13E729A1"/>
    <w:rsid w:val="14003F0D"/>
    <w:rsid w:val="143C5DF0"/>
    <w:rsid w:val="147D7E6A"/>
    <w:rsid w:val="14AD3953"/>
    <w:rsid w:val="153E27FD"/>
    <w:rsid w:val="15475B55"/>
    <w:rsid w:val="157E7396"/>
    <w:rsid w:val="157F52EF"/>
    <w:rsid w:val="15C40F54"/>
    <w:rsid w:val="15CA5E3E"/>
    <w:rsid w:val="16421E79"/>
    <w:rsid w:val="168A5092"/>
    <w:rsid w:val="16A526C7"/>
    <w:rsid w:val="16B234A2"/>
    <w:rsid w:val="16DB6E25"/>
    <w:rsid w:val="16DC407B"/>
    <w:rsid w:val="172901FF"/>
    <w:rsid w:val="186567A2"/>
    <w:rsid w:val="18823AC5"/>
    <w:rsid w:val="189A116C"/>
    <w:rsid w:val="19025819"/>
    <w:rsid w:val="19526877"/>
    <w:rsid w:val="198253AE"/>
    <w:rsid w:val="198F3627"/>
    <w:rsid w:val="199A1FE9"/>
    <w:rsid w:val="19B95D77"/>
    <w:rsid w:val="19DB4C55"/>
    <w:rsid w:val="1A44596A"/>
    <w:rsid w:val="1A5403CD"/>
    <w:rsid w:val="1A917BF7"/>
    <w:rsid w:val="1AB46A98"/>
    <w:rsid w:val="1B0167A6"/>
    <w:rsid w:val="1B0C5264"/>
    <w:rsid w:val="1B2B2550"/>
    <w:rsid w:val="1B9B1759"/>
    <w:rsid w:val="1BC17CE4"/>
    <w:rsid w:val="1C817B9F"/>
    <w:rsid w:val="1C891218"/>
    <w:rsid w:val="1CCB2BC8"/>
    <w:rsid w:val="1CDA105D"/>
    <w:rsid w:val="1CFE11EF"/>
    <w:rsid w:val="1D1064CC"/>
    <w:rsid w:val="1D992CC6"/>
    <w:rsid w:val="1DEE106A"/>
    <w:rsid w:val="1E9A6CF6"/>
    <w:rsid w:val="1EDE4F4A"/>
    <w:rsid w:val="1EF22302"/>
    <w:rsid w:val="1EFD1033"/>
    <w:rsid w:val="1F64045B"/>
    <w:rsid w:val="1F93212F"/>
    <w:rsid w:val="1FCC304D"/>
    <w:rsid w:val="1FF266BE"/>
    <w:rsid w:val="205277B8"/>
    <w:rsid w:val="206A6B9C"/>
    <w:rsid w:val="21380A48"/>
    <w:rsid w:val="213B4B89"/>
    <w:rsid w:val="21661111"/>
    <w:rsid w:val="218617B3"/>
    <w:rsid w:val="218F2F30"/>
    <w:rsid w:val="21C2133B"/>
    <w:rsid w:val="221257F2"/>
    <w:rsid w:val="228C59A5"/>
    <w:rsid w:val="22985DCE"/>
    <w:rsid w:val="22CD6F6E"/>
    <w:rsid w:val="22FF3F45"/>
    <w:rsid w:val="235B60DC"/>
    <w:rsid w:val="237A70F6"/>
    <w:rsid w:val="23983A20"/>
    <w:rsid w:val="23D119EE"/>
    <w:rsid w:val="24701A48"/>
    <w:rsid w:val="24D33715"/>
    <w:rsid w:val="24F133E8"/>
    <w:rsid w:val="25A30961"/>
    <w:rsid w:val="25BE0B79"/>
    <w:rsid w:val="25D0724F"/>
    <w:rsid w:val="26215F4F"/>
    <w:rsid w:val="26220F7D"/>
    <w:rsid w:val="2642684E"/>
    <w:rsid w:val="26485CB3"/>
    <w:rsid w:val="266320C3"/>
    <w:rsid w:val="26643620"/>
    <w:rsid w:val="270839E3"/>
    <w:rsid w:val="270F3FF9"/>
    <w:rsid w:val="27643E35"/>
    <w:rsid w:val="27D90D61"/>
    <w:rsid w:val="281426A1"/>
    <w:rsid w:val="28374226"/>
    <w:rsid w:val="288602EB"/>
    <w:rsid w:val="28A14CAD"/>
    <w:rsid w:val="29130F5F"/>
    <w:rsid w:val="294206B6"/>
    <w:rsid w:val="2A407548"/>
    <w:rsid w:val="2A5A558B"/>
    <w:rsid w:val="2A8A4095"/>
    <w:rsid w:val="2B876854"/>
    <w:rsid w:val="2BE758B3"/>
    <w:rsid w:val="2BEF284B"/>
    <w:rsid w:val="2CB216AE"/>
    <w:rsid w:val="2D607A1D"/>
    <w:rsid w:val="2DC25F5A"/>
    <w:rsid w:val="2DEE1D98"/>
    <w:rsid w:val="2E3A3BC0"/>
    <w:rsid w:val="2E7A444E"/>
    <w:rsid w:val="2EC46B3C"/>
    <w:rsid w:val="2F350375"/>
    <w:rsid w:val="2FAF45CB"/>
    <w:rsid w:val="2FBE65BC"/>
    <w:rsid w:val="2FD438CC"/>
    <w:rsid w:val="30573B8E"/>
    <w:rsid w:val="312F12D8"/>
    <w:rsid w:val="314D2A6F"/>
    <w:rsid w:val="31717D8A"/>
    <w:rsid w:val="317E1FB4"/>
    <w:rsid w:val="31B84AAD"/>
    <w:rsid w:val="32340DB8"/>
    <w:rsid w:val="329D0DFF"/>
    <w:rsid w:val="32A26E1B"/>
    <w:rsid w:val="32B60E5B"/>
    <w:rsid w:val="334E7C57"/>
    <w:rsid w:val="33B977C6"/>
    <w:rsid w:val="33C70548"/>
    <w:rsid w:val="34013A65"/>
    <w:rsid w:val="34272982"/>
    <w:rsid w:val="34666505"/>
    <w:rsid w:val="34A264AC"/>
    <w:rsid w:val="35246EC1"/>
    <w:rsid w:val="354B7A7C"/>
    <w:rsid w:val="354F7EAB"/>
    <w:rsid w:val="358D2CB9"/>
    <w:rsid w:val="359C114E"/>
    <w:rsid w:val="35B16AED"/>
    <w:rsid w:val="35D16601"/>
    <w:rsid w:val="35FB40C6"/>
    <w:rsid w:val="36466A9F"/>
    <w:rsid w:val="365A788E"/>
    <w:rsid w:val="366A3C5E"/>
    <w:rsid w:val="36987B67"/>
    <w:rsid w:val="36A502E6"/>
    <w:rsid w:val="370F51A6"/>
    <w:rsid w:val="371A67CE"/>
    <w:rsid w:val="3720190B"/>
    <w:rsid w:val="37490E61"/>
    <w:rsid w:val="37E00D3A"/>
    <w:rsid w:val="38141FF1"/>
    <w:rsid w:val="38A75F00"/>
    <w:rsid w:val="38C77023"/>
    <w:rsid w:val="39000B48"/>
    <w:rsid w:val="39386D6D"/>
    <w:rsid w:val="397A1ED3"/>
    <w:rsid w:val="397F0B6A"/>
    <w:rsid w:val="39F63E15"/>
    <w:rsid w:val="3A04181D"/>
    <w:rsid w:val="3A122D4C"/>
    <w:rsid w:val="3AD46C94"/>
    <w:rsid w:val="3AE0388B"/>
    <w:rsid w:val="3AEA6D99"/>
    <w:rsid w:val="3BF37E34"/>
    <w:rsid w:val="3CC13DBB"/>
    <w:rsid w:val="3D804EB1"/>
    <w:rsid w:val="3DA05553"/>
    <w:rsid w:val="3E2241BA"/>
    <w:rsid w:val="3E234634"/>
    <w:rsid w:val="3ECD2378"/>
    <w:rsid w:val="3EE17BD1"/>
    <w:rsid w:val="3EF23B8C"/>
    <w:rsid w:val="3F3B5CA6"/>
    <w:rsid w:val="3F576444"/>
    <w:rsid w:val="3F6C393F"/>
    <w:rsid w:val="3F6F51DD"/>
    <w:rsid w:val="3FCE658B"/>
    <w:rsid w:val="3FF57DD8"/>
    <w:rsid w:val="401D630F"/>
    <w:rsid w:val="403160CA"/>
    <w:rsid w:val="40470FDD"/>
    <w:rsid w:val="405B2981"/>
    <w:rsid w:val="40D71B0D"/>
    <w:rsid w:val="412C782A"/>
    <w:rsid w:val="414E3521"/>
    <w:rsid w:val="41614FF9"/>
    <w:rsid w:val="417D0085"/>
    <w:rsid w:val="41EE5659"/>
    <w:rsid w:val="420E3092"/>
    <w:rsid w:val="42357EBF"/>
    <w:rsid w:val="425D3A13"/>
    <w:rsid w:val="42861473"/>
    <w:rsid w:val="42E61C5A"/>
    <w:rsid w:val="42FC5CA1"/>
    <w:rsid w:val="42FF2D1C"/>
    <w:rsid w:val="43016A94"/>
    <w:rsid w:val="433561DD"/>
    <w:rsid w:val="4355293C"/>
    <w:rsid w:val="43763A35"/>
    <w:rsid w:val="44C47D79"/>
    <w:rsid w:val="44F25050"/>
    <w:rsid w:val="45236DFE"/>
    <w:rsid w:val="45A55DFD"/>
    <w:rsid w:val="46A2306B"/>
    <w:rsid w:val="470C060F"/>
    <w:rsid w:val="470E1010"/>
    <w:rsid w:val="47253C1A"/>
    <w:rsid w:val="47943DC7"/>
    <w:rsid w:val="481352A4"/>
    <w:rsid w:val="481F1950"/>
    <w:rsid w:val="487A3570"/>
    <w:rsid w:val="48EE1869"/>
    <w:rsid w:val="495F2D19"/>
    <w:rsid w:val="49644740"/>
    <w:rsid w:val="4974354D"/>
    <w:rsid w:val="49B06B1E"/>
    <w:rsid w:val="49D700DA"/>
    <w:rsid w:val="49E72DEA"/>
    <w:rsid w:val="4A5120AF"/>
    <w:rsid w:val="4A791A90"/>
    <w:rsid w:val="4AA04DE4"/>
    <w:rsid w:val="4AAB05FE"/>
    <w:rsid w:val="4B35166F"/>
    <w:rsid w:val="4B4C5ECB"/>
    <w:rsid w:val="4B5866DE"/>
    <w:rsid w:val="4B5C6F5D"/>
    <w:rsid w:val="4C1B0BC7"/>
    <w:rsid w:val="4C1D3A9A"/>
    <w:rsid w:val="4CC43A0A"/>
    <w:rsid w:val="4CDC7F9F"/>
    <w:rsid w:val="4DB75F1A"/>
    <w:rsid w:val="4DE41E5A"/>
    <w:rsid w:val="4DFF7D33"/>
    <w:rsid w:val="4E2B7618"/>
    <w:rsid w:val="4E3B7159"/>
    <w:rsid w:val="4E601839"/>
    <w:rsid w:val="4E7256BE"/>
    <w:rsid w:val="4E8748FA"/>
    <w:rsid w:val="4EE03A01"/>
    <w:rsid w:val="4F495880"/>
    <w:rsid w:val="4F9A725F"/>
    <w:rsid w:val="4FEC63D6"/>
    <w:rsid w:val="4FFA2DA3"/>
    <w:rsid w:val="502D4C7A"/>
    <w:rsid w:val="507A1108"/>
    <w:rsid w:val="50BD21C0"/>
    <w:rsid w:val="50FE2865"/>
    <w:rsid w:val="511300BE"/>
    <w:rsid w:val="51256043"/>
    <w:rsid w:val="515A3F3F"/>
    <w:rsid w:val="52120376"/>
    <w:rsid w:val="5268443A"/>
    <w:rsid w:val="52821CF7"/>
    <w:rsid w:val="528E50AB"/>
    <w:rsid w:val="52950FA7"/>
    <w:rsid w:val="52C21BD8"/>
    <w:rsid w:val="52C8130F"/>
    <w:rsid w:val="52D7336D"/>
    <w:rsid w:val="52F61A46"/>
    <w:rsid w:val="53091289"/>
    <w:rsid w:val="53591C57"/>
    <w:rsid w:val="53607807"/>
    <w:rsid w:val="53632588"/>
    <w:rsid w:val="536C1D08"/>
    <w:rsid w:val="54A42D89"/>
    <w:rsid w:val="54AD0A81"/>
    <w:rsid w:val="54D71F1A"/>
    <w:rsid w:val="558477DD"/>
    <w:rsid w:val="55AC109B"/>
    <w:rsid w:val="55AD1F14"/>
    <w:rsid w:val="55CC2F32"/>
    <w:rsid w:val="55F12DD6"/>
    <w:rsid w:val="55FB5C27"/>
    <w:rsid w:val="56003FBF"/>
    <w:rsid w:val="560B5CB2"/>
    <w:rsid w:val="56116B96"/>
    <w:rsid w:val="56152E93"/>
    <w:rsid w:val="5635234A"/>
    <w:rsid w:val="563E640C"/>
    <w:rsid w:val="564C7BCE"/>
    <w:rsid w:val="56816CC1"/>
    <w:rsid w:val="56ED315F"/>
    <w:rsid w:val="56FB3ACE"/>
    <w:rsid w:val="57243FF4"/>
    <w:rsid w:val="57320C68"/>
    <w:rsid w:val="574D3BFE"/>
    <w:rsid w:val="577E0EF6"/>
    <w:rsid w:val="581110D0"/>
    <w:rsid w:val="587E57C9"/>
    <w:rsid w:val="58AB72A9"/>
    <w:rsid w:val="58B877B7"/>
    <w:rsid w:val="58F46A27"/>
    <w:rsid w:val="594F1EAF"/>
    <w:rsid w:val="5959745E"/>
    <w:rsid w:val="59DF76D7"/>
    <w:rsid w:val="5A6279C1"/>
    <w:rsid w:val="5B0311A3"/>
    <w:rsid w:val="5B5F204E"/>
    <w:rsid w:val="5B710D6D"/>
    <w:rsid w:val="5BA44F3F"/>
    <w:rsid w:val="5C036F81"/>
    <w:rsid w:val="5C1170D3"/>
    <w:rsid w:val="5C741C2D"/>
    <w:rsid w:val="5D0942D3"/>
    <w:rsid w:val="5D8D11F8"/>
    <w:rsid w:val="5E061A46"/>
    <w:rsid w:val="5E3716FF"/>
    <w:rsid w:val="5EBC30A5"/>
    <w:rsid w:val="5ED748CA"/>
    <w:rsid w:val="5EE74A73"/>
    <w:rsid w:val="5EEF6B1A"/>
    <w:rsid w:val="5F096FA4"/>
    <w:rsid w:val="5F4D4EEE"/>
    <w:rsid w:val="5FC2117B"/>
    <w:rsid w:val="5FF27A39"/>
    <w:rsid w:val="60926DBF"/>
    <w:rsid w:val="609A399F"/>
    <w:rsid w:val="612B2565"/>
    <w:rsid w:val="61AD324A"/>
    <w:rsid w:val="621F1F6A"/>
    <w:rsid w:val="62402D30"/>
    <w:rsid w:val="62630367"/>
    <w:rsid w:val="628630B9"/>
    <w:rsid w:val="6299063F"/>
    <w:rsid w:val="63974B7F"/>
    <w:rsid w:val="639817B0"/>
    <w:rsid w:val="63BA261B"/>
    <w:rsid w:val="64041226"/>
    <w:rsid w:val="645055AC"/>
    <w:rsid w:val="64572CE8"/>
    <w:rsid w:val="64D1412A"/>
    <w:rsid w:val="64D15E6F"/>
    <w:rsid w:val="64E96B53"/>
    <w:rsid w:val="64ED11A3"/>
    <w:rsid w:val="656C3990"/>
    <w:rsid w:val="65EF754F"/>
    <w:rsid w:val="669B6734"/>
    <w:rsid w:val="66B303FD"/>
    <w:rsid w:val="67AA12EC"/>
    <w:rsid w:val="687A05CB"/>
    <w:rsid w:val="68CA5740"/>
    <w:rsid w:val="68CE2C12"/>
    <w:rsid w:val="692C4A1B"/>
    <w:rsid w:val="697A2F79"/>
    <w:rsid w:val="699833FF"/>
    <w:rsid w:val="69CB581E"/>
    <w:rsid w:val="6A020035"/>
    <w:rsid w:val="6AEA1F10"/>
    <w:rsid w:val="6BCF0C2E"/>
    <w:rsid w:val="6C3A4645"/>
    <w:rsid w:val="6C3B7BA1"/>
    <w:rsid w:val="6CB220E3"/>
    <w:rsid w:val="6CD0178A"/>
    <w:rsid w:val="6D2B2B4B"/>
    <w:rsid w:val="6D967C55"/>
    <w:rsid w:val="6E2E7E8E"/>
    <w:rsid w:val="6E3661C1"/>
    <w:rsid w:val="6E777A87"/>
    <w:rsid w:val="6EB51099"/>
    <w:rsid w:val="6ED749C9"/>
    <w:rsid w:val="6F5A4CB2"/>
    <w:rsid w:val="6F6D0E8A"/>
    <w:rsid w:val="701102E0"/>
    <w:rsid w:val="70250EE0"/>
    <w:rsid w:val="703B4AE4"/>
    <w:rsid w:val="70EE1031"/>
    <w:rsid w:val="71306613"/>
    <w:rsid w:val="7164006A"/>
    <w:rsid w:val="71942C30"/>
    <w:rsid w:val="7195703E"/>
    <w:rsid w:val="71CC0ED0"/>
    <w:rsid w:val="72231ECA"/>
    <w:rsid w:val="72730565"/>
    <w:rsid w:val="72C154D1"/>
    <w:rsid w:val="730B69EF"/>
    <w:rsid w:val="73155AC0"/>
    <w:rsid w:val="731F693F"/>
    <w:rsid w:val="73612AB3"/>
    <w:rsid w:val="736675BE"/>
    <w:rsid w:val="737E0B7F"/>
    <w:rsid w:val="739C3FD0"/>
    <w:rsid w:val="73C240F0"/>
    <w:rsid w:val="7460720F"/>
    <w:rsid w:val="74AA3682"/>
    <w:rsid w:val="74CC4773"/>
    <w:rsid w:val="7513602F"/>
    <w:rsid w:val="7533413A"/>
    <w:rsid w:val="75502DDF"/>
    <w:rsid w:val="760106F2"/>
    <w:rsid w:val="76AA4771"/>
    <w:rsid w:val="76B15B00"/>
    <w:rsid w:val="76CA287D"/>
    <w:rsid w:val="76E64FAF"/>
    <w:rsid w:val="78370287"/>
    <w:rsid w:val="784E7AE3"/>
    <w:rsid w:val="78661915"/>
    <w:rsid w:val="788B2A23"/>
    <w:rsid w:val="788D434B"/>
    <w:rsid w:val="78C00DE1"/>
    <w:rsid w:val="79163CB7"/>
    <w:rsid w:val="79195926"/>
    <w:rsid w:val="796E3EA9"/>
    <w:rsid w:val="79EB61A0"/>
    <w:rsid w:val="7A0643B5"/>
    <w:rsid w:val="7A237CFD"/>
    <w:rsid w:val="7A28257D"/>
    <w:rsid w:val="7A9E45ED"/>
    <w:rsid w:val="7AA634A2"/>
    <w:rsid w:val="7AEC4A35"/>
    <w:rsid w:val="7B5E4622"/>
    <w:rsid w:val="7BBE768A"/>
    <w:rsid w:val="7C472258"/>
    <w:rsid w:val="7C7C51E0"/>
    <w:rsid w:val="7CA659DB"/>
    <w:rsid w:val="7CB41BA4"/>
    <w:rsid w:val="7CBE4AD3"/>
    <w:rsid w:val="7D0B2DAF"/>
    <w:rsid w:val="7D851A94"/>
    <w:rsid w:val="7D8C72EC"/>
    <w:rsid w:val="7DE2006D"/>
    <w:rsid w:val="7E4C288C"/>
    <w:rsid w:val="7E642586"/>
    <w:rsid w:val="7EA448CF"/>
    <w:rsid w:val="7EF52CFA"/>
    <w:rsid w:val="7F013954"/>
    <w:rsid w:val="7F0E1DF9"/>
    <w:rsid w:val="7F2A26A9"/>
    <w:rsid w:val="7FB35D6A"/>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2">
    <w:name w:val="heading 3"/>
    <w:basedOn w:val="1"/>
    <w:next w:val="1"/>
    <w:autoRedefine/>
    <w:unhideWhenUsed/>
    <w:qFormat/>
    <w:uiPriority w:val="0"/>
    <w:pPr>
      <w:keepNext/>
      <w:keepLines/>
      <w:numPr>
        <w:ilvl w:val="2"/>
        <w:numId w:val="2"/>
      </w:numPr>
      <w:ind w:firstLine="0" w:firstLineChars="0"/>
      <w:outlineLvl w:val="2"/>
    </w:p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link w:val="26"/>
    <w:autoRedefine/>
    <w:qFormat/>
    <w:uiPriority w:val="0"/>
    <w:pPr>
      <w:jc w:val="left"/>
    </w:pPr>
  </w:style>
  <w:style w:type="paragraph" w:styleId="7">
    <w:name w:val="Body Text"/>
    <w:basedOn w:val="1"/>
    <w:next w:val="8"/>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8">
    <w:name w:val="Body Text First Indent"/>
    <w:basedOn w:val="7"/>
    <w:autoRedefine/>
    <w:qFormat/>
    <w:uiPriority w:val="0"/>
    <w:pPr>
      <w:ind w:firstLine="420" w:firstLineChars="1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styleId="13">
    <w:name w:val="annotation subject"/>
    <w:basedOn w:val="6"/>
    <w:next w:val="6"/>
    <w:link w:val="27"/>
    <w:autoRedefine/>
    <w:qFormat/>
    <w:uiPriority w:val="0"/>
    <w:rPr>
      <w:b/>
      <w:bCs/>
    </w:rPr>
  </w:style>
  <w:style w:type="table" w:styleId="15">
    <w:name w:val="Table Grid"/>
    <w:basedOn w:val="14"/>
    <w:autoRedefine/>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annotation reference"/>
    <w:basedOn w:val="16"/>
    <w:autoRedefine/>
    <w:qFormat/>
    <w:uiPriority w:val="0"/>
    <w:rPr>
      <w:sz w:val="21"/>
      <w:szCs w:val="21"/>
    </w:rPr>
  </w:style>
  <w:style w:type="paragraph" w:customStyle="1" w:styleId="18">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9">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20">
    <w:name w:val="Table Paragraph"/>
    <w:basedOn w:val="1"/>
    <w:autoRedefine/>
    <w:qFormat/>
    <w:uiPriority w:val="1"/>
    <w:pPr>
      <w:spacing w:before="178"/>
      <w:ind w:left="105"/>
    </w:pPr>
    <w:rPr>
      <w:rFonts w:ascii="宋体" w:hAnsi="宋体" w:cs="宋体"/>
    </w:rPr>
  </w:style>
  <w:style w:type="paragraph" w:customStyle="1" w:styleId="21">
    <w:name w:val="表格内文字"/>
    <w:basedOn w:val="1"/>
    <w:next w:val="1"/>
    <w:autoRedefine/>
    <w:qFormat/>
    <w:uiPriority w:val="0"/>
    <w:pPr>
      <w:spacing w:line="240" w:lineRule="auto"/>
      <w:ind w:firstLine="0" w:firstLineChars="0"/>
      <w:jc w:val="center"/>
    </w:pPr>
    <w:rPr>
      <w:sz w:val="21"/>
    </w:rPr>
  </w:style>
  <w:style w:type="paragraph" w:styleId="22">
    <w:name w:val="List Paragraph"/>
    <w:basedOn w:val="1"/>
    <w:autoRedefine/>
    <w:qFormat/>
    <w:uiPriority w:val="1"/>
    <w:pPr>
      <w:ind w:left="830" w:hanging="590"/>
    </w:pPr>
    <w:rPr>
      <w:rFonts w:ascii="宋体" w:hAnsi="宋体" w:cs="宋体"/>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table" w:customStyle="1" w:styleId="25">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6">
    <w:name w:val="批注文字 字符"/>
    <w:basedOn w:val="16"/>
    <w:link w:val="6"/>
    <w:autoRedefine/>
    <w:qFormat/>
    <w:uiPriority w:val="0"/>
    <w:rPr>
      <w:kern w:val="2"/>
      <w:sz w:val="24"/>
      <w:szCs w:val="24"/>
    </w:rPr>
  </w:style>
  <w:style w:type="character" w:customStyle="1" w:styleId="27">
    <w:name w:val="批注主题 字符"/>
    <w:basedOn w:val="26"/>
    <w:link w:val="13"/>
    <w:autoRedefine/>
    <w:qFormat/>
    <w:uiPriority w:val="0"/>
    <w:rPr>
      <w:b/>
      <w:bCs/>
      <w:kern w:val="2"/>
      <w:sz w:val="24"/>
      <w:szCs w:val="24"/>
    </w:rPr>
  </w:style>
  <w:style w:type="paragraph" w:customStyle="1" w:styleId="28">
    <w:name w:val="リスト段落3"/>
    <w:basedOn w:val="1"/>
    <w:autoRedefine/>
    <w:qFormat/>
    <w:uiPriority w:val="34"/>
    <w:pPr>
      <w:ind w:left="840" w:leftChars="4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1793</Words>
  <Characters>10222</Characters>
  <Lines>85</Lines>
  <Paragraphs>23</Paragraphs>
  <TotalTime>1</TotalTime>
  <ScaleCrop>false</ScaleCrop>
  <LinksUpToDate>false</LinksUpToDate>
  <CharactersWithSpaces>11992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2024-04-10T08:17:00Z</dcterms:created>
  <dc:creator>梦☆忆紫筱生</dc:creator>
  <cp:lastModifiedBy>WPS_1645609622</cp:lastModifiedBy>
  <dcterms:modified xsi:type="dcterms:W3CDTF">2024-05-26T13:19:28Z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7790493E6EA14F5A84F58A145FECA5B5_13</vt:lpwstr>
  </property>
</Properties>
</file>