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jc w:val="center"/>
        <w:outlineLvl w:val="0"/>
        <w:rPr>
          <w:rFonts w:hint="eastAsia" w:ascii="宋体" w:hAnsi="宋体" w:eastAsia="宋体" w:cs="宋体"/>
          <w:sz w:val="40"/>
          <w:szCs w:val="40"/>
          <w:u w:val="none"/>
          <w:lang w:val="en-US" w:eastAsia="zh-CN"/>
        </w:rPr>
      </w:pPr>
      <w:bookmarkStart w:id="0" w:name="_Toc22043"/>
      <w:bookmarkStart w:id="1" w:name="_Toc3628"/>
      <w:r>
        <w:rPr>
          <w:rFonts w:hint="eastAsia" w:ascii="宋体" w:hAnsi="宋体" w:eastAsia="宋体" w:cs="宋体"/>
          <w:sz w:val="40"/>
          <w:szCs w:val="40"/>
          <w:u w:val="none"/>
          <w:lang w:val="en-US" w:eastAsia="zh-CN"/>
        </w:rPr>
        <w:t>湖南美宜佳实业有限公司屋顶分布式光伏发电项目</w:t>
      </w:r>
      <w:bookmarkEnd w:id="0"/>
    </w:p>
    <w:p>
      <w:pPr>
        <w:pStyle w:val="5"/>
        <w:bidi w:val="0"/>
        <w:jc w:val="center"/>
        <w:outlineLvl w:val="9"/>
        <w:rPr>
          <w:rFonts w:hint="eastAsia" w:ascii="宋体" w:hAnsi="宋体" w:eastAsia="宋体" w:cs="宋体"/>
          <w:sz w:val="36"/>
          <w:szCs w:val="36"/>
          <w:u w:val="none"/>
          <w:lang w:val="en-US" w:eastAsia="zh-CN"/>
        </w:rPr>
      </w:pPr>
    </w:p>
    <w:p>
      <w:pPr>
        <w:pStyle w:val="5"/>
        <w:bidi w:val="0"/>
        <w:jc w:val="center"/>
        <w:outlineLvl w:val="0"/>
        <w:rPr>
          <w:rFonts w:hint="default" w:ascii="宋体" w:hAnsi="宋体" w:eastAsia="宋体" w:cs="宋体"/>
          <w:sz w:val="36"/>
          <w:szCs w:val="36"/>
          <w:u w:val="none"/>
          <w:lang w:val="en-US" w:eastAsia="zh-CN"/>
        </w:rPr>
      </w:pPr>
      <w:bookmarkStart w:id="2" w:name="_Toc7303"/>
      <w:r>
        <w:rPr>
          <w:rFonts w:hint="eastAsia" w:ascii="宋体" w:hAnsi="宋体" w:eastAsia="宋体" w:cs="宋体"/>
          <w:sz w:val="36"/>
          <w:szCs w:val="36"/>
          <w:u w:val="none"/>
          <w:lang w:val="en-US" w:eastAsia="zh-CN"/>
        </w:rPr>
        <w:t>电</w:t>
      </w:r>
    </w:p>
    <w:p>
      <w:pPr>
        <w:pStyle w:val="5"/>
        <w:bidi w:val="0"/>
        <w:jc w:val="center"/>
        <w:outlineLvl w:val="0"/>
        <w:rPr>
          <w:rFonts w:hint="default" w:ascii="宋体" w:hAnsi="宋体" w:eastAsia="宋体" w:cs="宋体"/>
          <w:sz w:val="36"/>
          <w:szCs w:val="36"/>
          <w:u w:val="none"/>
          <w:lang w:val="en-US" w:eastAsia="zh-CN"/>
        </w:rPr>
      </w:pPr>
      <w:r>
        <w:rPr>
          <w:rFonts w:hint="eastAsia" w:ascii="宋体" w:hAnsi="宋体" w:eastAsia="宋体" w:cs="宋体"/>
          <w:sz w:val="36"/>
          <w:szCs w:val="36"/>
          <w:u w:val="none"/>
          <w:lang w:val="en-US" w:eastAsia="zh-CN"/>
        </w:rPr>
        <w:t>缆</w:t>
      </w:r>
    </w:p>
    <w:p>
      <w:pPr>
        <w:pStyle w:val="5"/>
        <w:bidi w:val="0"/>
        <w:jc w:val="center"/>
        <w:outlineLvl w:val="0"/>
        <w:rPr>
          <w:rFonts w:hint="default" w:ascii="宋体" w:hAnsi="宋体" w:eastAsia="宋体" w:cs="宋体"/>
          <w:sz w:val="36"/>
          <w:szCs w:val="36"/>
          <w:u w:val="none"/>
          <w:lang w:val="en-US" w:eastAsia="zh-CN"/>
        </w:rPr>
      </w:pPr>
      <w:r>
        <w:rPr>
          <w:rFonts w:hint="eastAsia" w:ascii="宋体" w:hAnsi="宋体" w:eastAsia="宋体" w:cs="宋体"/>
          <w:sz w:val="36"/>
          <w:szCs w:val="36"/>
          <w:u w:val="none"/>
          <w:lang w:val="en-US" w:eastAsia="zh-CN"/>
        </w:rPr>
        <w:t>桥</w:t>
      </w:r>
    </w:p>
    <w:p>
      <w:pPr>
        <w:pStyle w:val="5"/>
        <w:bidi w:val="0"/>
        <w:jc w:val="center"/>
        <w:outlineLvl w:val="0"/>
        <w:rPr>
          <w:rFonts w:hint="default" w:ascii="宋体" w:hAnsi="宋体" w:eastAsia="宋体" w:cs="宋体"/>
          <w:sz w:val="36"/>
          <w:szCs w:val="36"/>
          <w:u w:val="none"/>
          <w:lang w:val="en-US" w:eastAsia="zh-CN"/>
        </w:rPr>
      </w:pPr>
      <w:r>
        <w:rPr>
          <w:rFonts w:hint="eastAsia" w:ascii="宋体" w:hAnsi="宋体" w:eastAsia="宋体" w:cs="宋体"/>
          <w:sz w:val="36"/>
          <w:szCs w:val="36"/>
          <w:u w:val="none"/>
          <w:lang w:val="en-US" w:eastAsia="zh-CN"/>
        </w:rPr>
        <w:t>架</w:t>
      </w:r>
    </w:p>
    <w:p>
      <w:pPr>
        <w:pStyle w:val="5"/>
        <w:bidi w:val="0"/>
        <w:jc w:val="center"/>
        <w:outlineLvl w:val="0"/>
        <w:rPr>
          <w:rFonts w:hint="default" w:ascii="宋体" w:hAnsi="宋体" w:eastAsia="宋体" w:cs="宋体"/>
          <w:sz w:val="36"/>
          <w:szCs w:val="36"/>
          <w:u w:val="none"/>
          <w:lang w:val="en-US" w:eastAsia="zh-CN"/>
        </w:rPr>
      </w:pPr>
      <w:r>
        <w:rPr>
          <w:rFonts w:hint="eastAsia" w:ascii="宋体" w:hAnsi="宋体" w:eastAsia="宋体" w:cs="宋体"/>
          <w:sz w:val="36"/>
          <w:szCs w:val="36"/>
          <w:u w:val="none"/>
          <w:lang w:val="en-US" w:eastAsia="zh-CN"/>
        </w:rPr>
        <w:t>技</w:t>
      </w:r>
    </w:p>
    <w:p>
      <w:pPr>
        <w:pStyle w:val="5"/>
        <w:bidi w:val="0"/>
        <w:jc w:val="center"/>
        <w:outlineLvl w:val="0"/>
        <w:rPr>
          <w:rFonts w:hint="default" w:ascii="宋体" w:hAnsi="宋体" w:eastAsia="宋体" w:cs="宋体"/>
          <w:sz w:val="36"/>
          <w:szCs w:val="36"/>
          <w:u w:val="none"/>
          <w:lang w:val="en-US" w:eastAsia="zh-CN"/>
        </w:rPr>
      </w:pPr>
      <w:r>
        <w:rPr>
          <w:rFonts w:hint="eastAsia" w:ascii="宋体" w:hAnsi="宋体" w:eastAsia="宋体" w:cs="宋体"/>
          <w:sz w:val="36"/>
          <w:szCs w:val="36"/>
          <w:u w:val="none"/>
          <w:lang w:val="en-US" w:eastAsia="zh-CN"/>
        </w:rPr>
        <w:t>术</w:t>
      </w:r>
    </w:p>
    <w:p>
      <w:pPr>
        <w:pStyle w:val="5"/>
        <w:bidi w:val="0"/>
        <w:jc w:val="center"/>
        <w:outlineLvl w:val="0"/>
        <w:rPr>
          <w:rFonts w:hint="default" w:ascii="宋体" w:hAnsi="宋体" w:eastAsia="宋体" w:cs="宋体"/>
          <w:sz w:val="36"/>
          <w:szCs w:val="36"/>
          <w:u w:val="none"/>
          <w:lang w:val="en-US" w:eastAsia="zh-CN"/>
        </w:rPr>
      </w:pPr>
      <w:r>
        <w:rPr>
          <w:rFonts w:hint="eastAsia" w:ascii="宋体" w:hAnsi="宋体" w:eastAsia="宋体" w:cs="宋体"/>
          <w:sz w:val="36"/>
          <w:szCs w:val="36"/>
          <w:u w:val="none"/>
          <w:lang w:val="en-US" w:eastAsia="zh-CN"/>
        </w:rPr>
        <w:t>协</w:t>
      </w:r>
    </w:p>
    <w:bookmarkEnd w:id="1"/>
    <w:bookmarkEnd w:id="2"/>
    <w:p>
      <w:pPr>
        <w:pStyle w:val="5"/>
        <w:bidi w:val="0"/>
        <w:jc w:val="center"/>
        <w:outlineLvl w:val="0"/>
        <w:rPr>
          <w:rFonts w:hint="eastAsia" w:ascii="宋体" w:hAnsi="宋体" w:eastAsia="宋体" w:cs="宋体"/>
          <w:sz w:val="36"/>
          <w:szCs w:val="36"/>
          <w:u w:val="none"/>
          <w:lang w:val="en-US" w:eastAsia="zh-CN"/>
        </w:rPr>
      </w:pPr>
      <w:r>
        <w:rPr>
          <w:rFonts w:hint="eastAsia" w:ascii="宋体" w:hAnsi="宋体" w:eastAsia="宋体" w:cs="宋体"/>
          <w:sz w:val="36"/>
          <w:szCs w:val="36"/>
          <w:u w:val="none"/>
          <w:lang w:val="en-US" w:eastAsia="zh-CN"/>
        </w:rPr>
        <w:t>议</w:t>
      </w:r>
    </w:p>
    <w:p>
      <w:pPr>
        <w:rPr>
          <w:rFonts w:hint="eastAsia" w:ascii="宋体" w:hAnsi="宋体" w:eastAsia="宋体" w:cs="宋体"/>
          <w:sz w:val="36"/>
          <w:szCs w:val="36"/>
          <w:u w:val="none"/>
          <w:lang w:val="en-US" w:eastAsia="zh-CN"/>
        </w:rPr>
      </w:pPr>
    </w:p>
    <w:p>
      <w:pPr>
        <w:pStyle w:val="10"/>
        <w:rPr>
          <w:rFonts w:hint="eastAsia"/>
          <w:lang w:val="en-US" w:eastAsia="zh-CN"/>
        </w:rPr>
      </w:pPr>
    </w:p>
    <w:p>
      <w:pPr>
        <w:spacing w:before="0" w:beforeLines="0" w:after="0" w:afterLines="0" w:line="240" w:lineRule="auto"/>
        <w:ind w:left="0" w:leftChars="0" w:right="0" w:rightChars="0" w:firstLine="1440" w:firstLineChars="600"/>
        <w:jc w:val="both"/>
        <w:rPr>
          <w:rFonts w:hint="eastAsia" w:ascii="宋体" w:hAnsi="宋体" w:cs="Times New Roman"/>
          <w:kern w:val="2"/>
          <w:sz w:val="24"/>
          <w:szCs w:val="24"/>
          <w:lang w:val="en-US" w:eastAsia="zh-CN" w:bidi="ar-SA"/>
        </w:rPr>
      </w:pPr>
    </w:p>
    <w:p>
      <w:pPr>
        <w:spacing w:before="0" w:beforeLines="0" w:after="0" w:afterLines="0" w:line="240" w:lineRule="auto"/>
        <w:ind w:left="0" w:leftChars="0" w:right="0" w:rightChars="0" w:firstLine="1440" w:firstLineChars="600"/>
        <w:jc w:val="both"/>
        <w:rPr>
          <w:rFonts w:hint="eastAsia" w:ascii="宋体" w:hAnsi="宋体" w:cs="Times New Roman"/>
          <w:kern w:val="2"/>
          <w:sz w:val="24"/>
          <w:szCs w:val="24"/>
          <w:lang w:val="en-US" w:eastAsia="zh-CN" w:bidi="ar-SA"/>
        </w:rPr>
      </w:pPr>
    </w:p>
    <w:p>
      <w:pPr>
        <w:spacing w:before="0" w:beforeLines="0" w:after="0" w:afterLines="0" w:line="240" w:lineRule="auto"/>
        <w:ind w:right="0" w:rightChars="0" w:firstLine="2249" w:firstLineChars="800"/>
        <w:jc w:val="both"/>
        <w:rPr>
          <w:rFonts w:hint="eastAsia" w:ascii="宋体" w:hAnsi="宋体" w:cs="Times New Roman"/>
          <w:b/>
          <w:bCs/>
          <w:kern w:val="2"/>
          <w:sz w:val="28"/>
          <w:szCs w:val="28"/>
          <w:lang w:val="en-US" w:eastAsia="zh-CN" w:bidi="ar-SA"/>
        </w:rPr>
      </w:pPr>
      <w:r>
        <w:rPr>
          <w:rFonts w:hint="eastAsia" w:ascii="宋体" w:hAnsi="宋体" w:cs="Times New Roman"/>
          <w:b/>
          <w:bCs/>
          <w:kern w:val="2"/>
          <w:sz w:val="28"/>
          <w:szCs w:val="28"/>
          <w:lang w:val="en-US" w:eastAsia="zh-CN" w:bidi="ar-SA"/>
        </w:rPr>
        <w:t>甲方：</w:t>
      </w:r>
      <w:r>
        <w:rPr>
          <w:rFonts w:hint="eastAsia" w:cs="Times New Roman"/>
          <w:b/>
          <w:bCs/>
          <w:kern w:val="2"/>
          <w:sz w:val="28"/>
          <w:szCs w:val="28"/>
          <w:lang w:val="en-US" w:eastAsia="zh-CN" w:bidi="ar-SA"/>
        </w:rPr>
        <w:t>中机国际工程设计研究院有限责任公司</w:t>
      </w:r>
    </w:p>
    <w:p>
      <w:pPr>
        <w:spacing w:before="0" w:beforeLines="0" w:after="0" w:afterLines="0" w:line="240" w:lineRule="auto"/>
        <w:ind w:right="0" w:rightChars="0" w:firstLine="2249" w:firstLineChars="800"/>
        <w:jc w:val="both"/>
        <w:rPr>
          <w:rFonts w:hint="eastAsia" w:cs="Times New Roman"/>
          <w:b/>
          <w:bCs/>
          <w:kern w:val="2"/>
          <w:sz w:val="28"/>
          <w:szCs w:val="28"/>
          <w:lang w:val="en-US" w:eastAsia="zh-CN" w:bidi="ar-SA"/>
        </w:rPr>
      </w:pPr>
      <w:r>
        <w:rPr>
          <w:rFonts w:hint="eastAsia" w:cs="Times New Roman"/>
          <w:b/>
          <w:bCs/>
          <w:kern w:val="2"/>
          <w:sz w:val="28"/>
          <w:szCs w:val="28"/>
          <w:lang w:val="en-US" w:eastAsia="zh-CN" w:bidi="ar-SA"/>
        </w:rPr>
        <w:t>乙方：</w:t>
      </w:r>
    </w:p>
    <w:p>
      <w:pPr>
        <w:rPr>
          <w:rFonts w:hint="eastAsia"/>
          <w:lang w:val="en-US" w:eastAsia="zh-CN"/>
        </w:rPr>
      </w:pPr>
    </w:p>
    <w:p>
      <w:pPr>
        <w:pStyle w:val="10"/>
        <w:rPr>
          <w:rFonts w:hint="eastAsia"/>
          <w:lang w:val="en-US" w:eastAsia="zh-CN"/>
        </w:rPr>
      </w:pPr>
    </w:p>
    <w:p>
      <w:pPr>
        <w:pStyle w:val="10"/>
        <w:rPr>
          <w:rFonts w:hint="eastAsia"/>
          <w:lang w:val="en-US" w:eastAsia="zh-CN"/>
        </w:rPr>
      </w:pPr>
    </w:p>
    <w:p>
      <w:pPr>
        <w:pStyle w:val="2"/>
        <w:bidi w:val="0"/>
      </w:pPr>
      <w:bookmarkStart w:id="3" w:name="_Toc458028518"/>
      <w:r>
        <w:rPr>
          <w:rFonts w:hint="eastAsia"/>
          <w:sz w:val="32"/>
          <w:szCs w:val="32"/>
          <w:lang w:val="en-US" w:eastAsia="zh-CN"/>
        </w:rPr>
        <w:t>一、</w:t>
      </w:r>
      <w:r>
        <w:rPr>
          <w:rFonts w:hint="eastAsia"/>
          <w:sz w:val="32"/>
          <w:szCs w:val="32"/>
        </w:rPr>
        <w:t>本协议编制的主要原则和适用范围</w:t>
      </w:r>
      <w:bookmarkEnd w:id="3"/>
    </w:p>
    <w:p>
      <w:pPr>
        <w:pStyle w:val="13"/>
        <w:pageBreakBefore w:val="0"/>
        <w:kinsoku/>
        <w:wordWrap/>
        <w:overflowPunct/>
        <w:topLinePunct w:val="0"/>
        <w:bidi w:val="0"/>
        <w:spacing w:beforeAutospacing="0" w:line="360" w:lineRule="auto"/>
        <w:ind w:left="0" w:leftChars="0" w:right="0" w:firstLine="480" w:firstLineChars="20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bookmarkStart w:id="4" w:name="_Toc455748823"/>
      <w:bookmarkEnd w:id="4"/>
      <w:bookmarkStart w:id="5" w:name="_Toc455748822"/>
      <w:bookmarkEnd w:id="5"/>
      <w:bookmarkStart w:id="6" w:name="_Toc455748824"/>
      <w:bookmarkEnd w:id="6"/>
      <w:bookmarkStart w:id="7" w:name="_Toc455748825"/>
      <w:bookmarkEnd w:id="7"/>
      <w:bookmarkStart w:id="8" w:name="_Toc455748826"/>
      <w:bookmarkEnd w:id="8"/>
      <w:r>
        <w:rPr>
          <w:rFonts w:hint="eastAsia" w:asciiTheme="minorEastAsia" w:hAnsiTheme="minorEastAsia" w:eastAsiaTheme="minorEastAsia" w:cstheme="minorEastAsia"/>
          <w:b w:val="0"/>
          <w:bCs w:val="0"/>
          <w:color w:val="auto"/>
          <w:kern w:val="2"/>
          <w:sz w:val="24"/>
          <w:szCs w:val="24"/>
          <w:highlight w:val="none"/>
          <w:lang w:val="en-US" w:eastAsia="zh-CN" w:bidi="ar-SA"/>
        </w:rPr>
        <w:t>1.1本设备技术协议仅适用于湖南美宜佳实业有限公司屋顶分布式光伏发电项目安装和试验等方面的技术要求。</w:t>
      </w:r>
    </w:p>
    <w:p>
      <w:pPr>
        <w:pStyle w:val="13"/>
        <w:pageBreakBefore w:val="0"/>
        <w:kinsoku/>
        <w:wordWrap/>
        <w:overflowPunct/>
        <w:topLinePunct w:val="0"/>
        <w:bidi w:val="0"/>
        <w:spacing w:beforeAutospacing="0" w:line="360" w:lineRule="auto"/>
        <w:ind w:left="0" w:leftChars="0" w:right="0" w:firstLine="480" w:firstLineChars="20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1.2本设备技术协议提出的是最低限度的技术要求，并未对一切技术细节作出规定，也未充分引述有关标准和规范的条文，乙方提供符合甲方标准的优质产品。</w:t>
      </w:r>
    </w:p>
    <w:p>
      <w:pPr>
        <w:pStyle w:val="13"/>
        <w:pageBreakBefore w:val="0"/>
        <w:kinsoku/>
        <w:wordWrap/>
        <w:overflowPunct/>
        <w:topLinePunct w:val="0"/>
        <w:bidi w:val="0"/>
        <w:spacing w:beforeAutospacing="0" w:line="360" w:lineRule="auto"/>
        <w:ind w:left="0" w:leftChars="0" w:right="0" w:firstLine="480" w:firstLineChars="20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1.3如果甲方没有以书面形式对本协议的条文提出异议，则意味着乙方提供的设备完全符合本协议的要求。</w:t>
      </w:r>
    </w:p>
    <w:p>
      <w:pPr>
        <w:pStyle w:val="13"/>
        <w:pageBreakBefore w:val="0"/>
        <w:kinsoku/>
        <w:wordWrap/>
        <w:overflowPunct/>
        <w:topLinePunct w:val="0"/>
        <w:bidi w:val="0"/>
        <w:spacing w:beforeAutospacing="0" w:line="360" w:lineRule="auto"/>
        <w:ind w:left="0" w:leftChars="0" w:right="0" w:firstLine="480" w:firstLineChars="200"/>
        <w:jc w:val="left"/>
        <w:textAlignment w:val="auto"/>
      </w:pPr>
      <w:r>
        <w:rPr>
          <w:rFonts w:hint="eastAsia" w:asciiTheme="minorEastAsia" w:hAnsiTheme="minorEastAsia" w:eastAsiaTheme="minorEastAsia" w:cstheme="minorEastAsia"/>
          <w:b w:val="0"/>
          <w:bCs w:val="0"/>
          <w:color w:val="auto"/>
          <w:kern w:val="2"/>
          <w:sz w:val="24"/>
          <w:szCs w:val="24"/>
          <w:highlight w:val="none"/>
          <w:lang w:val="en-US" w:eastAsia="zh-CN" w:bidi="ar-SA"/>
        </w:rPr>
        <w:t>1.4本技术协议所使用的标准均以按照甲方所提供的图纸设计要求进行工作。</w:t>
      </w:r>
    </w:p>
    <w:p>
      <w:pPr>
        <w:pStyle w:val="3"/>
        <w:bidi w:val="0"/>
        <w:rPr>
          <w:sz w:val="30"/>
          <w:szCs w:val="30"/>
        </w:rPr>
      </w:pPr>
      <w:r>
        <w:rPr>
          <w:rFonts w:hint="eastAsia"/>
          <w:sz w:val="30"/>
          <w:szCs w:val="30"/>
          <w:lang w:val="en-US" w:eastAsia="zh-CN"/>
        </w:rPr>
        <w:t>二、</w:t>
      </w:r>
      <w:r>
        <w:rPr>
          <w:rFonts w:hint="eastAsia"/>
          <w:sz w:val="30"/>
          <w:szCs w:val="30"/>
        </w:rPr>
        <w:t>项目概述</w:t>
      </w:r>
    </w:p>
    <w:p>
      <w:pPr>
        <w:pStyle w:val="13"/>
        <w:pageBreakBefore w:val="0"/>
        <w:kinsoku/>
        <w:wordWrap/>
        <w:overflowPunct/>
        <w:topLinePunct w:val="0"/>
        <w:bidi w:val="0"/>
        <w:spacing w:beforeAutospacing="0" w:line="360" w:lineRule="auto"/>
        <w:ind w:left="0" w:leftChars="0" w:right="0" w:firstLine="480" w:firstLineChars="20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bookmarkStart w:id="33" w:name="_GoBack"/>
      <w:r>
        <w:rPr>
          <w:rFonts w:hint="eastAsia" w:asciiTheme="minorEastAsia" w:hAnsiTheme="minorEastAsia" w:eastAsiaTheme="minorEastAsia" w:cstheme="minorEastAsia"/>
          <w:b w:val="0"/>
          <w:bCs w:val="0"/>
          <w:color w:val="auto"/>
          <w:kern w:val="2"/>
          <w:sz w:val="24"/>
          <w:szCs w:val="24"/>
          <w:highlight w:val="none"/>
          <w:lang w:val="en-US" w:eastAsia="zh-CN" w:bidi="ar-SA"/>
        </w:rPr>
        <w:t>本项目利用湖南美宜佳实业有限公司园区1#仓库、2#仓库、3#仓库三个厂房屋面建设分布式光伏电站，项目设计在屋面铺设光伏支架并安装太阳能光伏组件，光伏组件采取平铺方式。其中1#仓库安装1410块660Wp单晶硅组件，总装机容量为0.9306MWp，2#仓库安装2610块660Wp单晶硅组件，总装机容量为1.7226MWp，3#仓库安装2850块660Wp单晶硅组件，总装机容量为1.881MWp，采用10kV并网，接至新建10kV开关站，10kV开关站出线接至原配电房新增的1面10kV并网柜，接入园区10kV主供电源母线实现并网发电，并网模式为“自发自用，余电上网”（具体以电网公司接入意见为准）。</w:t>
      </w:r>
    </w:p>
    <w:bookmarkEnd w:id="33"/>
    <w:p>
      <w:pPr>
        <w:pStyle w:val="13"/>
        <w:pageBreakBefore w:val="0"/>
        <w:kinsoku/>
        <w:wordWrap/>
        <w:overflowPunct/>
        <w:topLinePunct w:val="0"/>
        <w:bidi w:val="0"/>
        <w:spacing w:beforeAutospacing="0" w:line="360" w:lineRule="auto"/>
        <w:ind w:left="0" w:leftChars="0" w:right="0" w:firstLine="480" w:firstLineChars="20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本项目的建设将取得良好的经济、环境和社会效益。</w:t>
      </w:r>
    </w:p>
    <w:p>
      <w:pPr>
        <w:pStyle w:val="13"/>
        <w:pageBreakBefore w:val="0"/>
        <w:kinsoku/>
        <w:wordWrap/>
        <w:overflowPunct/>
        <w:topLinePunct w:val="0"/>
        <w:bidi w:val="0"/>
        <w:spacing w:beforeAutospacing="0" w:line="360" w:lineRule="auto"/>
        <w:ind w:left="0" w:leftChars="0" w:right="0" w:firstLine="480" w:firstLineChars="20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p>
    <w:p>
      <w:pPr>
        <w:rPr>
          <w:rFonts w:hint="eastAsia"/>
          <w:lang w:val="en-US" w:eastAsia="zh-CN"/>
        </w:rPr>
      </w:pPr>
    </w:p>
    <w:p>
      <w:pPr>
        <w:pStyle w:val="10"/>
        <w:rPr>
          <w:rFonts w:hint="eastAsia"/>
          <w:lang w:val="en-US" w:eastAsia="zh-CN"/>
        </w:rPr>
      </w:pPr>
    </w:p>
    <w:p>
      <w:pPr>
        <w:rPr>
          <w:rFonts w:hint="eastAsia"/>
          <w:lang w:val="en-US" w:eastAsia="zh-CN"/>
        </w:rPr>
      </w:pPr>
    </w:p>
    <w:p>
      <w:pPr>
        <w:pStyle w:val="2"/>
        <w:numPr>
          <w:ilvl w:val="0"/>
          <w:numId w:val="1"/>
        </w:numPr>
        <w:bidi w:val="0"/>
        <w:rPr>
          <w:rFonts w:hint="eastAsia" w:cs="Times New Roman"/>
          <w:sz w:val="32"/>
          <w:szCs w:val="32"/>
          <w:lang w:val="en-US" w:eastAsia="zh-CN"/>
        </w:rPr>
      </w:pPr>
      <w:r>
        <w:rPr>
          <w:rFonts w:hint="eastAsia" w:cs="Times New Roman"/>
          <w:sz w:val="32"/>
          <w:szCs w:val="32"/>
          <w:lang w:val="en-US" w:eastAsia="zh-CN"/>
        </w:rPr>
        <w:t>技术标准</w:t>
      </w:r>
    </w:p>
    <w:p>
      <w:pPr>
        <w:pageBreakBefore w:val="0"/>
        <w:kinsoku/>
        <w:wordWrap/>
        <w:overflowPunct/>
        <w:topLinePunct w:val="0"/>
        <w:bidi w:val="0"/>
        <w:adjustRightInd w:val="0"/>
        <w:snapToGrid w:val="0"/>
        <w:spacing w:beforeAutospacing="0" w:line="360" w:lineRule="auto"/>
        <w:ind w:right="0"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FF0000"/>
          <w:sz w:val="24"/>
          <w:szCs w:val="24"/>
          <w:highlight w:val="none"/>
          <w:u w:val="single"/>
        </w:rPr>
        <w:t>所有电缆走廊均属</w:t>
      </w:r>
      <w:r>
        <w:rPr>
          <w:rFonts w:hint="eastAsia" w:asciiTheme="minorEastAsia" w:hAnsiTheme="minorEastAsia" w:eastAsiaTheme="minorEastAsia" w:cstheme="minorEastAsia"/>
          <w:b w:val="0"/>
          <w:bCs w:val="0"/>
          <w:color w:val="FF0000"/>
          <w:sz w:val="24"/>
          <w:szCs w:val="24"/>
          <w:highlight w:val="none"/>
          <w:u w:val="single"/>
          <w:lang w:eastAsia="zh-CN"/>
        </w:rPr>
        <w:t>报价人</w:t>
      </w:r>
      <w:r>
        <w:rPr>
          <w:rFonts w:hint="eastAsia" w:asciiTheme="minorEastAsia" w:hAnsiTheme="minorEastAsia" w:eastAsiaTheme="minorEastAsia" w:cstheme="minorEastAsia"/>
          <w:b w:val="0"/>
          <w:bCs w:val="0"/>
          <w:color w:val="FF0000"/>
          <w:sz w:val="24"/>
          <w:szCs w:val="24"/>
          <w:highlight w:val="none"/>
          <w:u w:val="single"/>
        </w:rPr>
        <w:t>工作范围。本项目所有桥架均为铝合金材质</w:t>
      </w:r>
      <w:r>
        <w:rPr>
          <w:rFonts w:hint="eastAsia" w:ascii="宋体" w:hAnsi="宋体" w:eastAsia="宋体" w:cs="宋体"/>
          <w:color w:val="FF0000"/>
          <w:kern w:val="2"/>
          <w:sz w:val="24"/>
          <w:szCs w:val="24"/>
          <w:highlight w:val="none"/>
          <w:u w:val="single"/>
          <w:lang w:val="en-US" w:eastAsia="zh-CN" w:bidi="ar-SA"/>
        </w:rPr>
        <w:t>漆膜厚度不低于15</w:t>
      </w:r>
      <w:r>
        <w:rPr>
          <w:rFonts w:hint="eastAsia" w:asciiTheme="minorEastAsia" w:hAnsiTheme="minorEastAsia" w:eastAsiaTheme="minorEastAsia" w:cstheme="minorEastAsia"/>
          <w:b/>
          <w:color w:val="FF0000"/>
          <w:sz w:val="24"/>
          <w:szCs w:val="24"/>
          <w:highlight w:val="none"/>
          <w:u w:val="single"/>
        </w:rPr>
        <w:t>μm</w:t>
      </w:r>
      <w:r>
        <w:rPr>
          <w:rFonts w:hint="eastAsia" w:asciiTheme="minorEastAsia" w:hAnsiTheme="minorEastAsia" w:eastAsiaTheme="minorEastAsia" w:cstheme="minorEastAsia"/>
          <w:b w:val="0"/>
          <w:bCs w:val="0"/>
          <w:color w:val="FF0000"/>
          <w:sz w:val="24"/>
          <w:szCs w:val="24"/>
          <w:highlight w:val="none"/>
          <w:u w:val="single"/>
        </w:rPr>
        <w:t>，桥架连接螺栓的材质应为不锈钢</w:t>
      </w:r>
      <w:r>
        <w:rPr>
          <w:rFonts w:hint="eastAsia" w:asciiTheme="minorEastAsia" w:hAnsiTheme="minorEastAsia" w:eastAsiaTheme="minorEastAsia" w:cstheme="minorEastAsia"/>
          <w:b w:val="0"/>
          <w:bCs w:val="0"/>
          <w:color w:val="FF0000"/>
          <w:sz w:val="24"/>
          <w:szCs w:val="24"/>
          <w:highlight w:val="none"/>
          <w:u w:val="single"/>
          <w:lang w:val="en-US" w:eastAsia="zh-CN"/>
        </w:rPr>
        <w:t>304</w:t>
      </w:r>
      <w:r>
        <w:rPr>
          <w:rFonts w:hint="eastAsia" w:asciiTheme="minorEastAsia" w:hAnsiTheme="minorEastAsia" w:eastAsiaTheme="minorEastAsia" w:cstheme="minorEastAsia"/>
          <w:b w:val="0"/>
          <w:bCs w:val="0"/>
          <w:color w:val="FF0000"/>
          <w:sz w:val="24"/>
          <w:szCs w:val="24"/>
          <w:highlight w:val="none"/>
          <w:u w:val="single"/>
        </w:rPr>
        <w:t>，</w:t>
      </w:r>
      <w:r>
        <w:rPr>
          <w:rFonts w:hint="eastAsia" w:asciiTheme="minorEastAsia" w:hAnsiTheme="minorEastAsia" w:eastAsiaTheme="minorEastAsia" w:cstheme="minorEastAsia"/>
          <w:b w:val="0"/>
          <w:bCs w:val="0"/>
          <w:color w:val="auto"/>
          <w:sz w:val="24"/>
          <w:szCs w:val="24"/>
          <w:highlight w:val="none"/>
        </w:rPr>
        <w:t>线槽盖子应采用304活扣不锈钢扎带固定。桥架之间的连接板的两端可不跨接接电线，但连接板两端应有不少于2个有防松螺母或防松垫圈的连接固定螺栓。</w:t>
      </w:r>
    </w:p>
    <w:p>
      <w:pPr>
        <w:pStyle w:val="10"/>
        <w:ind w:left="0" w:leftChars="0" w:firstLine="0" w:firstLineChars="0"/>
        <w:rPr>
          <w:rFonts w:hint="default" w:ascii="Calibri" w:hAnsi="Calibri" w:eastAsia="宋体" w:cs="Times New Roman"/>
          <w:b/>
          <w:bCs/>
          <w:kern w:val="44"/>
          <w:sz w:val="32"/>
          <w:szCs w:val="32"/>
          <w:lang w:val="en-US" w:eastAsia="zh-CN" w:bidi="ar-SA"/>
        </w:rPr>
      </w:pPr>
      <w:r>
        <w:rPr>
          <w:rFonts w:hint="eastAsia" w:ascii="Calibri" w:hAnsi="Calibri" w:eastAsia="宋体" w:cs="Times New Roman"/>
          <w:b/>
          <w:bCs/>
          <w:kern w:val="44"/>
          <w:sz w:val="32"/>
          <w:szCs w:val="32"/>
          <w:lang w:val="en-US" w:eastAsia="zh-CN" w:bidi="ar-SA"/>
        </w:rPr>
        <w:t>四、电缆桥架桥架标准</w:t>
      </w:r>
    </w:p>
    <w:p>
      <w:pPr>
        <w:pageBreakBefore w:val="0"/>
        <w:kinsoku/>
        <w:wordWrap/>
        <w:overflowPunct/>
        <w:topLinePunct w:val="0"/>
        <w:bidi w:val="0"/>
        <w:adjustRightInd w:val="0"/>
        <w:snapToGrid w:val="0"/>
        <w:spacing w:beforeAutospacing="0"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电缆桥架制造、试验和验收除了满足技术规格书的要求外，还符合但不限于如下标准：</w:t>
      </w:r>
    </w:p>
    <w:p>
      <w:pPr>
        <w:pStyle w:val="13"/>
        <w:pageBreakBefore w:val="0"/>
        <w:kinsoku/>
        <w:wordWrap/>
        <w:overflowPunct/>
        <w:topLinePunct w:val="0"/>
        <w:bidi w:val="0"/>
        <w:spacing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（1）《铝合金建筑型材》GB/T5237</w:t>
      </w:r>
    </w:p>
    <w:p>
      <w:pPr>
        <w:pStyle w:val="13"/>
        <w:pageBreakBefore w:val="0"/>
        <w:kinsoku/>
        <w:wordWrap/>
        <w:overflowPunct/>
        <w:topLinePunct w:val="0"/>
        <w:bidi w:val="0"/>
        <w:spacing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（2）《工业用铝合金热挤压型材》GB6892</w:t>
      </w:r>
    </w:p>
    <w:p>
      <w:pPr>
        <w:pStyle w:val="13"/>
        <w:pageBreakBefore w:val="0"/>
        <w:kinsoku/>
        <w:wordWrap/>
        <w:overflowPunct/>
        <w:topLinePunct w:val="0"/>
        <w:bidi w:val="0"/>
        <w:spacing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（3）《优质铝及铝合金冷轧板》GB10569</w:t>
      </w:r>
    </w:p>
    <w:p>
      <w:pPr>
        <w:pStyle w:val="13"/>
        <w:pageBreakBefore w:val="0"/>
        <w:kinsoku/>
        <w:wordWrap/>
        <w:overflowPunct/>
        <w:topLinePunct w:val="0"/>
        <w:bidi w:val="0"/>
        <w:spacing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（4）《电力工程电缆设计规范》GB50217</w:t>
      </w:r>
    </w:p>
    <w:p>
      <w:pPr>
        <w:pStyle w:val="13"/>
        <w:pageBreakBefore w:val="0"/>
        <w:kinsoku/>
        <w:wordWrap/>
        <w:overflowPunct/>
        <w:topLinePunct w:val="0"/>
        <w:bidi w:val="0"/>
        <w:spacing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（5）《铝及铝合金阳极氧化，阳极氧化膜厚度的定义和有关测量厚度的规定》GB8014</w:t>
      </w:r>
    </w:p>
    <w:p>
      <w:pPr>
        <w:pStyle w:val="13"/>
        <w:pageBreakBefore w:val="0"/>
        <w:kinsoku/>
        <w:wordWrap/>
        <w:overflowPunct/>
        <w:topLinePunct w:val="0"/>
        <w:bidi w:val="0"/>
        <w:spacing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（6）《铝及铝合金加工产品的包装、标志、运输、贮存》GB3199</w:t>
      </w:r>
    </w:p>
    <w:p>
      <w:pPr>
        <w:pStyle w:val="13"/>
        <w:pageBreakBefore w:val="0"/>
        <w:kinsoku/>
        <w:wordWrap/>
        <w:overflowPunct/>
        <w:topLinePunct w:val="0"/>
        <w:bidi w:val="0"/>
        <w:spacing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（7）《普通碳素钢低合金钢薄板技术条件》GB912</w:t>
      </w:r>
    </w:p>
    <w:p>
      <w:pPr>
        <w:pStyle w:val="13"/>
        <w:pageBreakBefore w:val="0"/>
        <w:kinsoku/>
        <w:wordWrap/>
        <w:overflowPunct/>
        <w:topLinePunct w:val="0"/>
        <w:bidi w:val="0"/>
        <w:spacing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（8）《未注公差尺寸的极限偏差》GB1804</w:t>
      </w:r>
    </w:p>
    <w:p>
      <w:pPr>
        <w:pStyle w:val="13"/>
        <w:pageBreakBefore w:val="0"/>
        <w:kinsoku/>
        <w:wordWrap/>
        <w:overflowPunct/>
        <w:topLinePunct w:val="0"/>
        <w:bidi w:val="0"/>
        <w:spacing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（9）《碳结构钢和低合金结构钢冷扎薄板及钢带》GB11253</w:t>
      </w:r>
    </w:p>
    <w:p>
      <w:pPr>
        <w:pStyle w:val="13"/>
        <w:pageBreakBefore w:val="0"/>
        <w:kinsoku/>
        <w:wordWrap/>
        <w:overflowPunct/>
        <w:topLinePunct w:val="0"/>
        <w:bidi w:val="0"/>
        <w:spacing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（10）《铝合金电缆桥架技术规程》CECS106-2000</w:t>
      </w:r>
    </w:p>
    <w:p>
      <w:pPr>
        <w:pStyle w:val="13"/>
        <w:pageBreakBefore w:val="0"/>
        <w:kinsoku/>
        <w:wordWrap/>
        <w:overflowPunct/>
        <w:topLinePunct w:val="0"/>
        <w:bidi w:val="0"/>
        <w:spacing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（11）《电控配电用电缆桥架》JB/T10216-2013</w:t>
      </w:r>
    </w:p>
    <w:p>
      <w:pPr>
        <w:pStyle w:val="13"/>
        <w:pageBreakBefore w:val="0"/>
        <w:kinsoku/>
        <w:wordWrap/>
        <w:overflowPunct/>
        <w:topLinePunct w:val="0"/>
        <w:bidi w:val="0"/>
        <w:spacing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企业按ISO9000系列标准组织生产，对产品生产过程进行严格的质量控制。</w:t>
      </w:r>
    </w:p>
    <w:p>
      <w:pPr>
        <w:rPr>
          <w:rFonts w:hint="eastAsia"/>
          <w:lang w:val="en-US" w:eastAsia="zh-CN"/>
        </w:rPr>
      </w:pPr>
      <w:bookmarkStart w:id="9" w:name="_Toc25692"/>
      <w:bookmarkStart w:id="10" w:name="_Toc519768274"/>
      <w:bookmarkStart w:id="11" w:name="_Toc11558"/>
      <w:bookmarkStart w:id="12" w:name="_Toc8759387"/>
    </w:p>
    <w:p>
      <w:pPr>
        <w:pStyle w:val="13"/>
        <w:pageBreakBefore w:val="0"/>
        <w:kinsoku/>
        <w:wordWrap/>
        <w:overflowPunct/>
        <w:topLinePunct w:val="0"/>
        <w:bidi w:val="0"/>
        <w:spacing w:beforeAutospacing="0" w:line="360" w:lineRule="auto"/>
        <w:ind w:left="0" w:leftChars="0" w:right="0" w:firstLine="0" w:firstLineChars="0"/>
        <w:jc w:val="left"/>
        <w:textAlignment w:val="auto"/>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4.1材料要求</w:t>
      </w:r>
      <w:bookmarkEnd w:id="9"/>
      <w:bookmarkEnd w:id="10"/>
      <w:bookmarkEnd w:id="11"/>
      <w:bookmarkEnd w:id="12"/>
    </w:p>
    <w:p>
      <w:pPr>
        <w:pStyle w:val="13"/>
        <w:pageBreakBefore w:val="0"/>
        <w:kinsoku/>
        <w:wordWrap/>
        <w:overflowPunct/>
        <w:topLinePunct w:val="0"/>
        <w:bidi w:val="0"/>
        <w:spacing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铝合金桥架用材料符合下列规定：</w:t>
      </w:r>
    </w:p>
    <w:p>
      <w:pPr>
        <w:pStyle w:val="13"/>
        <w:pageBreakBefore w:val="0"/>
        <w:kinsoku/>
        <w:wordWrap/>
        <w:overflowPunct/>
        <w:topLinePunct w:val="0"/>
        <w:bidi w:val="0"/>
        <w:spacing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铝合金桥架侧边及横档用挤压型材，选用牌号为6063、6005铝合金，其材质性能符合《铝合金建筑型材》GB/T5237标准，供应状态采用T5（RCS），精度等级采用普通级。支吊架用挤压型材，选用牌号为5052（LF2）的铝合金或者热镀锌刚才，其材质性能符合《工业用铝合金热挤压型材》GB6892标准，供应状态采用H112（R）。当工程条件有特殊要求时，材质由供需双方议定。</w:t>
      </w:r>
    </w:p>
    <w:p>
      <w:pPr>
        <w:pStyle w:val="13"/>
        <w:pageBreakBefore w:val="0"/>
        <w:kinsoku/>
        <w:wordWrap/>
        <w:overflowPunct/>
        <w:topLinePunct w:val="0"/>
        <w:bidi w:val="0"/>
        <w:spacing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（2）托盘式铝桥架底板用铝合金板材，选用牌号为5052（LF2）的铝合金，其材质性能符合《优质铝及铝合金冷轧板》GB10569标准、供应状态采用O（M）或HX4（Y2）。</w:t>
      </w:r>
    </w:p>
    <w:p>
      <w:pPr>
        <w:pStyle w:val="13"/>
        <w:pageBreakBefore w:val="0"/>
        <w:kinsoku/>
        <w:wordWrap/>
        <w:overflowPunct/>
        <w:topLinePunct w:val="0"/>
        <w:bidi w:val="0"/>
        <w:spacing w:beforeAutospacing="0" w:line="360" w:lineRule="auto"/>
        <w:ind w:left="0" w:leftChars="0" w:right="0" w:firstLine="480" w:firstLineChars="200"/>
        <w:jc w:val="left"/>
        <w:textAlignment w:val="auto"/>
        <w:rPr>
          <w:rFonts w:hint="default" w:asciiTheme="minorEastAsia" w:hAnsiTheme="minorEastAsia" w:eastAsiaTheme="minorEastAsia" w:cstheme="minorEastAsia"/>
          <w:color w:val="FF0000"/>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b w:val="0"/>
          <w:bCs w:val="0"/>
          <w:color w:val="FF0000"/>
          <w:sz w:val="24"/>
          <w:szCs w:val="24"/>
          <w:highlight w:val="none"/>
          <w:u w:val="single"/>
        </w:rPr>
        <w:t>本项目所有桥架均为铝合金材质</w:t>
      </w:r>
      <w:r>
        <w:rPr>
          <w:rFonts w:hint="eastAsia" w:asciiTheme="minorEastAsia" w:hAnsiTheme="minorEastAsia" w:eastAsiaTheme="minorEastAsia" w:cstheme="minorEastAsia"/>
          <w:b w:val="0"/>
          <w:bCs w:val="0"/>
          <w:color w:val="FF0000"/>
          <w:sz w:val="24"/>
          <w:szCs w:val="24"/>
          <w:highlight w:val="none"/>
          <w:u w:val="single"/>
          <w:lang w:eastAsia="zh-CN"/>
        </w:rPr>
        <w:t>，</w:t>
      </w:r>
      <w:r>
        <w:rPr>
          <w:rFonts w:hint="eastAsia" w:asciiTheme="minorEastAsia" w:hAnsiTheme="minorEastAsia" w:eastAsiaTheme="minorEastAsia" w:cstheme="minorEastAsia"/>
          <w:b w:val="0"/>
          <w:bCs w:val="0"/>
          <w:color w:val="FF0000"/>
          <w:sz w:val="24"/>
          <w:szCs w:val="24"/>
          <w:highlight w:val="none"/>
          <w:u w:val="single"/>
        </w:rPr>
        <w:t>桥架连接螺栓的材质应为不锈钢</w:t>
      </w:r>
      <w:r>
        <w:rPr>
          <w:rFonts w:hint="eastAsia" w:asciiTheme="minorEastAsia" w:hAnsiTheme="minorEastAsia" w:eastAsiaTheme="minorEastAsia" w:cstheme="minorEastAsia"/>
          <w:b w:val="0"/>
          <w:bCs w:val="0"/>
          <w:color w:val="FF0000"/>
          <w:sz w:val="24"/>
          <w:szCs w:val="24"/>
          <w:highlight w:val="none"/>
          <w:u w:val="single"/>
          <w:lang w:val="en-US" w:eastAsia="zh-CN"/>
        </w:rPr>
        <w:t>304</w:t>
      </w:r>
      <w:r>
        <w:rPr>
          <w:rFonts w:hint="eastAsia" w:ascii="宋体" w:hAnsi="宋体" w:eastAsia="宋体" w:cs="宋体"/>
          <w:color w:val="FF0000"/>
          <w:kern w:val="2"/>
          <w:sz w:val="24"/>
          <w:szCs w:val="24"/>
          <w:highlight w:val="none"/>
          <w:u w:val="single"/>
          <w:lang w:val="en-US" w:eastAsia="zh-CN" w:bidi="ar-SA"/>
        </w:rPr>
        <w:t>漆膜厚度不低于15</w:t>
      </w:r>
      <w:r>
        <w:rPr>
          <w:rFonts w:hint="eastAsia" w:asciiTheme="minorEastAsia" w:hAnsiTheme="minorEastAsia" w:eastAsiaTheme="minorEastAsia" w:cstheme="minorEastAsia"/>
          <w:b/>
          <w:color w:val="FF0000"/>
          <w:sz w:val="24"/>
          <w:szCs w:val="24"/>
          <w:highlight w:val="none"/>
          <w:u w:val="single"/>
        </w:rPr>
        <w:t>μm</w:t>
      </w:r>
      <w:r>
        <w:rPr>
          <w:rFonts w:hint="eastAsia" w:asciiTheme="minorEastAsia" w:hAnsiTheme="minorEastAsia" w:eastAsiaTheme="minorEastAsia" w:cstheme="minorEastAsia"/>
          <w:b w:val="0"/>
          <w:bCs w:val="0"/>
          <w:color w:val="FF0000"/>
          <w:sz w:val="24"/>
          <w:szCs w:val="24"/>
          <w:highlight w:val="none"/>
          <w:u w:val="single"/>
        </w:rPr>
        <w:t>，</w:t>
      </w:r>
    </w:p>
    <w:p>
      <w:pPr>
        <w:pStyle w:val="4"/>
        <w:pageBreakBefore w:val="0"/>
        <w:kinsoku/>
        <w:wordWrap/>
        <w:overflowPunct/>
        <w:topLinePunct w:val="0"/>
        <w:bidi w:val="0"/>
        <w:spacing w:beforeAutospacing="0" w:afterLines="0" w:line="360" w:lineRule="auto"/>
        <w:ind w:right="0"/>
        <w:textAlignment w:val="auto"/>
        <w:outlineLvl w:val="1"/>
        <w:rPr>
          <w:rFonts w:hint="eastAsia" w:asciiTheme="minorEastAsia" w:hAnsiTheme="minorEastAsia" w:eastAsiaTheme="minorEastAsia" w:cstheme="minorEastAsia"/>
          <w:b/>
          <w:bCs/>
          <w:color w:val="auto"/>
          <w:kern w:val="2"/>
          <w:sz w:val="32"/>
          <w:szCs w:val="32"/>
          <w:highlight w:val="none"/>
          <w:lang w:val="en-US" w:eastAsia="zh-CN" w:bidi="ar-SA"/>
        </w:rPr>
      </w:pPr>
      <w:bookmarkStart w:id="13" w:name="_Toc28796"/>
      <w:bookmarkStart w:id="14" w:name="_Toc519768275"/>
      <w:bookmarkStart w:id="15" w:name="_Toc28477"/>
      <w:bookmarkStart w:id="16" w:name="_Toc8759388"/>
      <w:r>
        <w:rPr>
          <w:rFonts w:hint="eastAsia" w:asciiTheme="minorEastAsia" w:hAnsiTheme="minorEastAsia" w:eastAsiaTheme="minorEastAsia" w:cstheme="minorEastAsia"/>
          <w:b/>
          <w:bCs/>
          <w:color w:val="auto"/>
          <w:kern w:val="2"/>
          <w:sz w:val="32"/>
          <w:szCs w:val="32"/>
          <w:highlight w:val="none"/>
          <w:lang w:val="en-US" w:eastAsia="zh-CN" w:bidi="ar-SA"/>
        </w:rPr>
        <w:t>4.2技术要求</w:t>
      </w:r>
      <w:bookmarkEnd w:id="13"/>
      <w:bookmarkEnd w:id="14"/>
      <w:bookmarkEnd w:id="15"/>
      <w:bookmarkEnd w:id="16"/>
    </w:p>
    <w:p>
      <w:pPr>
        <w:pStyle w:val="13"/>
        <w:pageBreakBefore w:val="0"/>
        <w:kinsoku/>
        <w:wordWrap/>
        <w:overflowPunct/>
        <w:topLinePunct w:val="0"/>
        <w:bidi w:val="0"/>
        <w:spacing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桥架的结构及其承载能力符合下列要求:</w:t>
      </w:r>
    </w:p>
    <w:p>
      <w:pPr>
        <w:pStyle w:val="13"/>
        <w:pageBreakBefore w:val="0"/>
        <w:kinsoku/>
        <w:wordWrap/>
        <w:overflowPunct/>
        <w:topLinePunct w:val="0"/>
        <w:bidi w:val="0"/>
        <w:spacing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（1）荷载等级:在支承跨距为2m,按简支架计算的条件下,托盘、梯架的额定均布荷载分为五级，符合表1的规定：</w:t>
      </w:r>
    </w:p>
    <w:p>
      <w:pPr>
        <w:pStyle w:val="14"/>
        <w:pageBreakBefore w:val="0"/>
        <w:kinsoku/>
        <w:wordWrap/>
        <w:overflowPunct/>
        <w:topLinePunct w:val="0"/>
        <w:bidi w:val="0"/>
        <w:spacing w:beforeLines="0" w:beforeAutospacing="0" w:afterLines="0" w:line="360" w:lineRule="auto"/>
        <w:ind w:left="0" w:leftChars="0" w:right="0"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表1桥架的荷载等级</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0"/>
        <w:gridCol w:w="1191"/>
        <w:gridCol w:w="1191"/>
        <w:gridCol w:w="1191"/>
        <w:gridCol w:w="1191"/>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70"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荷载等级</w:t>
            </w:r>
          </w:p>
        </w:tc>
        <w:tc>
          <w:tcPr>
            <w:tcW w:w="1191"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A</w:t>
            </w:r>
          </w:p>
        </w:tc>
        <w:tc>
          <w:tcPr>
            <w:tcW w:w="1191"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A1</w:t>
            </w:r>
          </w:p>
        </w:tc>
        <w:tc>
          <w:tcPr>
            <w:tcW w:w="1191"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B</w:t>
            </w:r>
          </w:p>
        </w:tc>
        <w:tc>
          <w:tcPr>
            <w:tcW w:w="1191"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C</w:t>
            </w:r>
          </w:p>
        </w:tc>
        <w:tc>
          <w:tcPr>
            <w:tcW w:w="1188"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70"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额定均布荷载KN/m（kgf/m）</w:t>
            </w:r>
          </w:p>
        </w:tc>
        <w:tc>
          <w:tcPr>
            <w:tcW w:w="1191"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0.5（50）</w:t>
            </w:r>
          </w:p>
        </w:tc>
        <w:tc>
          <w:tcPr>
            <w:tcW w:w="1191"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1.0（100）</w:t>
            </w:r>
          </w:p>
        </w:tc>
        <w:tc>
          <w:tcPr>
            <w:tcW w:w="1191"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1.5（150）</w:t>
            </w:r>
          </w:p>
        </w:tc>
        <w:tc>
          <w:tcPr>
            <w:tcW w:w="1191"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2.0（200）</w:t>
            </w:r>
          </w:p>
        </w:tc>
        <w:tc>
          <w:tcPr>
            <w:tcW w:w="1188"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2.5（250）</w:t>
            </w:r>
          </w:p>
        </w:tc>
      </w:tr>
    </w:tbl>
    <w:p>
      <w:pPr>
        <w:pStyle w:val="16"/>
        <w:pageBreakBefore w:val="0"/>
        <w:kinsoku/>
        <w:wordWrap/>
        <w:overflowPunct/>
        <w:topLinePunct w:val="0"/>
        <w:bidi w:val="0"/>
        <w:spacing w:beforeLines="0"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（2）托盘、梯架、支吊架的结构满足强度、刚度及稳定性的要求。</w:t>
      </w:r>
    </w:p>
    <w:p>
      <w:pPr>
        <w:pStyle w:val="13"/>
        <w:pageBreakBefore w:val="0"/>
        <w:kinsoku/>
        <w:wordWrap/>
        <w:overflowPunct/>
        <w:topLinePunct w:val="0"/>
        <w:bidi w:val="0"/>
        <w:spacing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托盘、梯架承载能力，按荷载试验的规定予以验证。荷载试验中侧边开始出现失稳或最初产生永久变形均布荷载为破坏荷载。破坏荷载除以安全系数1.5的值为许用均布荷载，该值不小于相应荷载等级所规定的额定均布荷载。</w:t>
      </w:r>
    </w:p>
    <w:p>
      <w:pPr>
        <w:pStyle w:val="13"/>
        <w:pageBreakBefore w:val="0"/>
        <w:kinsoku/>
        <w:wordWrap/>
        <w:overflowPunct/>
        <w:topLinePunct w:val="0"/>
        <w:bidi w:val="0"/>
        <w:spacing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（4）生产厂家给出各种型式规格的托盘、梯架的不同支吊跨距与许用均布荷载的关系曲线或数据表。</w:t>
      </w:r>
    </w:p>
    <w:p>
      <w:pPr>
        <w:pStyle w:val="13"/>
        <w:pageBreakBefore w:val="0"/>
        <w:kinsoku/>
        <w:wordWrap/>
        <w:overflowPunct/>
        <w:topLinePunct w:val="0"/>
        <w:bidi w:val="0"/>
        <w:spacing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（5）生产厂家应给出各种型式规格的托盘、梯架的不同支吊跨距时，其许用均布荷载与挠度的关系曲线或数据表。</w:t>
      </w:r>
    </w:p>
    <w:tbl>
      <w:tblPr>
        <w:tblStyle w:val="11"/>
        <w:tblW w:w="9102"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661"/>
        <w:gridCol w:w="1489"/>
        <w:gridCol w:w="1446"/>
        <w:gridCol w:w="1544"/>
        <w:gridCol w:w="18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9" w:type="dxa"/>
            <w:vMerge w:val="restart"/>
            <w:vAlign w:val="center"/>
          </w:tcPr>
          <w:p>
            <w:pPr>
              <w:pageBreakBefore w:val="0"/>
              <w:tabs>
                <w:tab w:val="left" w:pos="720"/>
              </w:tabs>
              <w:kinsoku/>
              <w:wordWrap/>
              <w:overflowPunct/>
              <w:topLinePunct w:val="0"/>
              <w:bidi w:val="0"/>
              <w:spacing w:beforeAutospacing="0" w:line="360" w:lineRule="auto"/>
              <w:ind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材质</w:t>
            </w:r>
          </w:p>
        </w:tc>
        <w:tc>
          <w:tcPr>
            <w:tcW w:w="1661" w:type="dxa"/>
            <w:vMerge w:val="restart"/>
            <w:vAlign w:val="center"/>
          </w:tcPr>
          <w:p>
            <w:pPr>
              <w:pageBreakBefore w:val="0"/>
              <w:tabs>
                <w:tab w:val="left" w:pos="720"/>
              </w:tabs>
              <w:kinsoku/>
              <w:wordWrap/>
              <w:overflowPunct/>
              <w:topLinePunct w:val="0"/>
              <w:bidi w:val="0"/>
              <w:spacing w:beforeAutospacing="0" w:line="360" w:lineRule="auto"/>
              <w:ind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支吊架跨距mm</w:t>
            </w:r>
          </w:p>
        </w:tc>
        <w:tc>
          <w:tcPr>
            <w:tcW w:w="4479" w:type="dxa"/>
            <w:gridSpan w:val="3"/>
            <w:vAlign w:val="center"/>
          </w:tcPr>
          <w:p>
            <w:pPr>
              <w:pageBreakBefore w:val="0"/>
              <w:tabs>
                <w:tab w:val="left" w:pos="720"/>
              </w:tabs>
              <w:kinsoku/>
              <w:wordWrap/>
              <w:overflowPunct/>
              <w:topLinePunct w:val="0"/>
              <w:bidi w:val="0"/>
              <w:spacing w:beforeAutospacing="0" w:line="360" w:lineRule="auto"/>
              <w:ind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额定均布载荷N/m</w:t>
            </w:r>
          </w:p>
        </w:tc>
        <w:tc>
          <w:tcPr>
            <w:tcW w:w="1863" w:type="dxa"/>
            <w:vMerge w:val="restart"/>
            <w:vAlign w:val="center"/>
          </w:tcPr>
          <w:p>
            <w:pPr>
              <w:pageBreakBefore w:val="0"/>
              <w:tabs>
                <w:tab w:val="left" w:pos="720"/>
              </w:tabs>
              <w:kinsoku/>
              <w:wordWrap/>
              <w:overflowPunct/>
              <w:topLinePunct w:val="0"/>
              <w:bidi w:val="0"/>
              <w:spacing w:beforeAutospacing="0" w:line="360" w:lineRule="auto"/>
              <w:ind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挠度值</w:t>
            </w:r>
          </w:p>
          <w:p>
            <w:pPr>
              <w:pageBreakBefore w:val="0"/>
              <w:tabs>
                <w:tab w:val="left" w:pos="720"/>
              </w:tabs>
              <w:kinsoku/>
              <w:wordWrap/>
              <w:overflowPunct/>
              <w:topLinePunct w:val="0"/>
              <w:bidi w:val="0"/>
              <w:spacing w:beforeAutospacing="0" w:line="360" w:lineRule="auto"/>
              <w:ind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(不大于)mm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9" w:type="dxa"/>
            <w:vMerge w:val="continue"/>
            <w:vAlign w:val="center"/>
          </w:tcPr>
          <w:p>
            <w:pPr>
              <w:pageBreakBefore w:val="0"/>
              <w:tabs>
                <w:tab w:val="left" w:pos="720"/>
              </w:tabs>
              <w:kinsoku/>
              <w:wordWrap/>
              <w:overflowPunct/>
              <w:topLinePunct w:val="0"/>
              <w:bidi w:val="0"/>
              <w:spacing w:beforeAutospacing="0" w:line="360" w:lineRule="auto"/>
              <w:ind w:left="0" w:leftChars="0" w:right="0" w:firstLine="480" w:firstLineChars="200"/>
              <w:jc w:val="center"/>
              <w:textAlignment w:val="auto"/>
              <w:rPr>
                <w:rFonts w:hint="eastAsia" w:asciiTheme="minorEastAsia" w:hAnsiTheme="minorEastAsia" w:eastAsiaTheme="minorEastAsia" w:cstheme="minorEastAsia"/>
                <w:color w:val="auto"/>
                <w:sz w:val="24"/>
                <w:szCs w:val="24"/>
                <w:highlight w:val="none"/>
              </w:rPr>
            </w:pPr>
          </w:p>
        </w:tc>
        <w:tc>
          <w:tcPr>
            <w:tcW w:w="1661" w:type="dxa"/>
            <w:vMerge w:val="continue"/>
            <w:vAlign w:val="center"/>
          </w:tcPr>
          <w:p>
            <w:pPr>
              <w:pageBreakBefore w:val="0"/>
              <w:tabs>
                <w:tab w:val="left" w:pos="720"/>
              </w:tabs>
              <w:kinsoku/>
              <w:wordWrap/>
              <w:overflowPunct/>
              <w:topLinePunct w:val="0"/>
              <w:bidi w:val="0"/>
              <w:spacing w:beforeAutospacing="0" w:line="360" w:lineRule="auto"/>
              <w:ind w:left="0" w:leftChars="0" w:right="0" w:firstLine="480" w:firstLineChars="200"/>
              <w:jc w:val="center"/>
              <w:textAlignment w:val="auto"/>
              <w:rPr>
                <w:rFonts w:hint="eastAsia" w:asciiTheme="minorEastAsia" w:hAnsiTheme="minorEastAsia" w:eastAsiaTheme="minorEastAsia" w:cstheme="minorEastAsia"/>
                <w:color w:val="auto"/>
                <w:sz w:val="24"/>
                <w:szCs w:val="24"/>
                <w:highlight w:val="none"/>
              </w:rPr>
            </w:pPr>
          </w:p>
        </w:tc>
        <w:tc>
          <w:tcPr>
            <w:tcW w:w="1489" w:type="dxa"/>
            <w:vAlign w:val="center"/>
          </w:tcPr>
          <w:p>
            <w:pPr>
              <w:pageBreakBefore w:val="0"/>
              <w:tabs>
                <w:tab w:val="left" w:pos="720"/>
              </w:tabs>
              <w:kinsoku/>
              <w:wordWrap/>
              <w:overflowPunct/>
              <w:topLinePunct w:val="0"/>
              <w:bidi w:val="0"/>
              <w:spacing w:beforeAutospacing="0" w:line="360" w:lineRule="auto"/>
              <w:ind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边高100mm</w:t>
            </w:r>
          </w:p>
        </w:tc>
        <w:tc>
          <w:tcPr>
            <w:tcW w:w="1446" w:type="dxa"/>
            <w:vAlign w:val="center"/>
          </w:tcPr>
          <w:p>
            <w:pPr>
              <w:pageBreakBefore w:val="0"/>
              <w:tabs>
                <w:tab w:val="left" w:pos="720"/>
              </w:tabs>
              <w:kinsoku/>
              <w:wordWrap/>
              <w:overflowPunct/>
              <w:topLinePunct w:val="0"/>
              <w:bidi w:val="0"/>
              <w:spacing w:beforeAutospacing="0" w:line="360" w:lineRule="auto"/>
              <w:ind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边高150mm</w:t>
            </w:r>
          </w:p>
        </w:tc>
        <w:tc>
          <w:tcPr>
            <w:tcW w:w="1544" w:type="dxa"/>
            <w:vAlign w:val="center"/>
          </w:tcPr>
          <w:p>
            <w:pPr>
              <w:pageBreakBefore w:val="0"/>
              <w:tabs>
                <w:tab w:val="left" w:pos="720"/>
              </w:tabs>
              <w:kinsoku/>
              <w:wordWrap/>
              <w:overflowPunct/>
              <w:topLinePunct w:val="0"/>
              <w:bidi w:val="0"/>
              <w:spacing w:beforeAutospacing="0" w:line="360" w:lineRule="auto"/>
              <w:ind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边高200mm</w:t>
            </w:r>
          </w:p>
        </w:tc>
        <w:tc>
          <w:tcPr>
            <w:tcW w:w="1863" w:type="dxa"/>
            <w:vMerge w:val="continue"/>
            <w:vAlign w:val="center"/>
          </w:tcPr>
          <w:p>
            <w:pPr>
              <w:pageBreakBefore w:val="0"/>
              <w:tabs>
                <w:tab w:val="left" w:pos="720"/>
              </w:tabs>
              <w:kinsoku/>
              <w:wordWrap/>
              <w:overflowPunct/>
              <w:topLinePunct w:val="0"/>
              <w:bidi w:val="0"/>
              <w:spacing w:beforeAutospacing="0" w:line="360" w:lineRule="auto"/>
              <w:ind w:left="0" w:leftChars="0" w:right="0" w:firstLine="480" w:firstLineChars="200"/>
              <w:jc w:val="center"/>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9" w:type="dxa"/>
            <w:vAlign w:val="center"/>
          </w:tcPr>
          <w:p>
            <w:pPr>
              <w:pageBreakBefore w:val="0"/>
              <w:tabs>
                <w:tab w:val="left" w:pos="720"/>
              </w:tabs>
              <w:kinsoku/>
              <w:wordWrap/>
              <w:overflowPunct/>
              <w:topLinePunct w:val="0"/>
              <w:bidi w:val="0"/>
              <w:spacing w:beforeAutospacing="0" w:line="360" w:lineRule="auto"/>
              <w:ind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铝</w:t>
            </w:r>
          </w:p>
        </w:tc>
        <w:tc>
          <w:tcPr>
            <w:tcW w:w="1661" w:type="dxa"/>
            <w:vAlign w:val="center"/>
          </w:tcPr>
          <w:p>
            <w:pPr>
              <w:pageBreakBefore w:val="0"/>
              <w:tabs>
                <w:tab w:val="left" w:pos="720"/>
              </w:tabs>
              <w:kinsoku/>
              <w:wordWrap/>
              <w:overflowPunct/>
              <w:topLinePunct w:val="0"/>
              <w:bidi w:val="0"/>
              <w:spacing w:beforeAutospacing="0" w:line="360" w:lineRule="auto"/>
              <w:ind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2000</w:t>
            </w:r>
          </w:p>
        </w:tc>
        <w:tc>
          <w:tcPr>
            <w:tcW w:w="1489" w:type="dxa"/>
            <w:vAlign w:val="center"/>
          </w:tcPr>
          <w:p>
            <w:pPr>
              <w:pageBreakBefore w:val="0"/>
              <w:tabs>
                <w:tab w:val="left" w:pos="720"/>
              </w:tabs>
              <w:kinsoku/>
              <w:wordWrap/>
              <w:overflowPunct/>
              <w:topLinePunct w:val="0"/>
              <w:bidi w:val="0"/>
              <w:spacing w:beforeAutospacing="0" w:line="360" w:lineRule="auto"/>
              <w:ind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800</w:t>
            </w:r>
          </w:p>
        </w:tc>
        <w:tc>
          <w:tcPr>
            <w:tcW w:w="1446" w:type="dxa"/>
            <w:vAlign w:val="center"/>
          </w:tcPr>
          <w:p>
            <w:pPr>
              <w:pageBreakBefore w:val="0"/>
              <w:tabs>
                <w:tab w:val="left" w:pos="720"/>
              </w:tabs>
              <w:kinsoku/>
              <w:wordWrap/>
              <w:overflowPunct/>
              <w:topLinePunct w:val="0"/>
              <w:bidi w:val="0"/>
              <w:spacing w:beforeAutospacing="0" w:line="360" w:lineRule="auto"/>
              <w:ind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1450</w:t>
            </w:r>
          </w:p>
        </w:tc>
        <w:tc>
          <w:tcPr>
            <w:tcW w:w="1544" w:type="dxa"/>
            <w:vAlign w:val="center"/>
          </w:tcPr>
          <w:p>
            <w:pPr>
              <w:pageBreakBefore w:val="0"/>
              <w:tabs>
                <w:tab w:val="left" w:pos="720"/>
              </w:tabs>
              <w:kinsoku/>
              <w:wordWrap/>
              <w:overflowPunct/>
              <w:topLinePunct w:val="0"/>
              <w:bidi w:val="0"/>
              <w:spacing w:beforeAutospacing="0" w:line="360" w:lineRule="auto"/>
              <w:ind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2450</w:t>
            </w:r>
          </w:p>
        </w:tc>
        <w:tc>
          <w:tcPr>
            <w:tcW w:w="1863" w:type="dxa"/>
            <w:vAlign w:val="center"/>
          </w:tcPr>
          <w:p>
            <w:pPr>
              <w:pageBreakBefore w:val="0"/>
              <w:tabs>
                <w:tab w:val="left" w:pos="720"/>
              </w:tabs>
              <w:kinsoku/>
              <w:wordWrap/>
              <w:overflowPunct/>
              <w:topLinePunct w:val="0"/>
              <w:bidi w:val="0"/>
              <w:spacing w:beforeAutospacing="0" w:line="360" w:lineRule="auto"/>
              <w:ind w:right="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r>
    </w:tbl>
    <w:p>
      <w:pPr>
        <w:pStyle w:val="13"/>
        <w:pageBreakBefore w:val="0"/>
        <w:kinsoku/>
        <w:wordWrap/>
        <w:overflowPunct/>
        <w:topLinePunct w:val="0"/>
        <w:bidi w:val="0"/>
        <w:spacing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（6）托盘、梯架直通在承受额定均布荷载时的相对挠度不为大于1/150。</w:t>
      </w:r>
    </w:p>
    <w:p>
      <w:pPr>
        <w:pStyle w:val="13"/>
        <w:pageBreakBefore w:val="0"/>
        <w:kinsoku/>
        <w:wordWrap/>
        <w:overflowPunct/>
        <w:topLinePunct w:val="0"/>
        <w:bidi w:val="0"/>
        <w:spacing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（7）各种型式的支、吊架，能承受托盘、梯架相应规格、层数在支承跨距内的总荷载。</w:t>
      </w:r>
    </w:p>
    <w:p>
      <w:pPr>
        <w:pStyle w:val="13"/>
        <w:pageBreakBefore w:val="0"/>
        <w:kinsoku/>
        <w:wordWrap/>
        <w:overflowPunct/>
        <w:topLinePunct w:val="0"/>
        <w:bidi w:val="0"/>
        <w:spacing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（8）悬臂支架的托臂，在承受托盘，梯架额定荷载时的最大挠度值与其长度之比，不大于1/100。</w:t>
      </w:r>
    </w:p>
    <w:p>
      <w:pPr>
        <w:pStyle w:val="13"/>
        <w:pageBreakBefore w:val="0"/>
        <w:kinsoku/>
        <w:wordWrap/>
        <w:overflowPunct/>
        <w:topLinePunct w:val="0"/>
        <w:bidi w:val="0"/>
        <w:spacing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（9）连接板、连接螺栓等受力附件，与托盘、梯架、支吊架等本体结构强度相适应。</w:t>
      </w:r>
    </w:p>
    <w:p>
      <w:pPr>
        <w:pStyle w:val="13"/>
        <w:pageBreakBefore w:val="0"/>
        <w:kinsoku/>
        <w:wordWrap/>
        <w:overflowPunct/>
        <w:topLinePunct w:val="0"/>
        <w:bidi w:val="0"/>
        <w:spacing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（10）安装要求：大型桥架或多层桥架吊装或立装时，采用工字立柱两侧对称敷设；铝板厚度≥1.5mm，每个工字立柱或吊杆都需与桥架可靠跨接。</w:t>
      </w:r>
    </w:p>
    <w:p>
      <w:pPr>
        <w:pStyle w:val="13"/>
        <w:pageBreakBefore w:val="0"/>
        <w:kinsoku/>
        <w:wordWrap/>
        <w:overflowPunct/>
        <w:topLinePunct w:val="0"/>
        <w:bidi w:val="0"/>
        <w:spacing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桥架的表面处理，符合下列规定：</w:t>
      </w:r>
    </w:p>
    <w:p>
      <w:pPr>
        <w:pStyle w:val="13"/>
        <w:pageBreakBefore w:val="0"/>
        <w:kinsoku/>
        <w:wordWrap/>
        <w:overflowPunct/>
        <w:topLinePunct w:val="0"/>
        <w:bidi w:val="0"/>
        <w:spacing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表面阳极氧化处理，氧化膜需经封孔处理，氧化膜厚度级别符合表2的规定：</w:t>
      </w:r>
    </w:p>
    <w:p>
      <w:pPr>
        <w:pStyle w:val="14"/>
        <w:pageBreakBefore w:val="0"/>
        <w:kinsoku/>
        <w:wordWrap/>
        <w:overflowPunct/>
        <w:topLinePunct w:val="0"/>
        <w:bidi w:val="0"/>
        <w:spacing w:beforeLines="0" w:beforeAutospacing="0" w:afterLines="0" w:line="360" w:lineRule="auto"/>
        <w:ind w:left="0" w:leftChars="0" w:right="0" w:firstLine="482" w:firstLineChars="200"/>
        <w:textAlignment w:val="auto"/>
        <w:rPr>
          <w:rFonts w:hint="eastAsia" w:asciiTheme="minorEastAsia" w:hAnsiTheme="minorEastAsia" w:eastAsiaTheme="minorEastAsia" w:cstheme="minorEastAsia"/>
          <w:color w:val="FF0000"/>
          <w:sz w:val="24"/>
          <w:szCs w:val="24"/>
          <w:highlight w:val="none"/>
          <w:u w:val="single"/>
        </w:rPr>
      </w:pPr>
      <w:r>
        <w:rPr>
          <w:rFonts w:hint="eastAsia" w:asciiTheme="minorEastAsia" w:hAnsiTheme="minorEastAsia" w:eastAsiaTheme="minorEastAsia" w:cstheme="minorEastAsia"/>
          <w:color w:val="FF0000"/>
          <w:sz w:val="24"/>
          <w:szCs w:val="24"/>
          <w:highlight w:val="none"/>
          <w:u w:val="single"/>
        </w:rPr>
        <w:t>表2桥架的表面氧化膜厚度级别</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3250"/>
        <w:gridCol w:w="3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21" w:type="dxa"/>
            <w:vAlign w:val="center"/>
          </w:tcPr>
          <w:p>
            <w:pPr>
              <w:pStyle w:val="15"/>
              <w:pageBreakBefore w:val="0"/>
              <w:kinsoku/>
              <w:wordWrap/>
              <w:overflowPunct/>
              <w:topLinePunct w:val="0"/>
              <w:bidi w:val="0"/>
              <w:spacing w:beforeAutospacing="0" w:line="360" w:lineRule="auto"/>
              <w:ind w:left="0" w:leftChars="0" w:right="0" w:firstLine="482" w:firstLineChars="200"/>
              <w:jc w:val="center"/>
              <w:textAlignment w:val="auto"/>
              <w:rPr>
                <w:rFonts w:hint="eastAsia" w:asciiTheme="minorEastAsia" w:hAnsiTheme="minorEastAsia" w:eastAsiaTheme="minorEastAsia" w:cstheme="minorEastAsia"/>
                <w:b/>
                <w:color w:val="FF0000"/>
                <w:sz w:val="24"/>
                <w:szCs w:val="24"/>
                <w:highlight w:val="none"/>
              </w:rPr>
            </w:pPr>
            <w:r>
              <w:rPr>
                <w:rFonts w:hint="eastAsia" w:asciiTheme="minorEastAsia" w:hAnsiTheme="minorEastAsia" w:eastAsiaTheme="minorEastAsia" w:cstheme="minorEastAsia"/>
                <w:b/>
                <w:color w:val="FF0000"/>
                <w:sz w:val="24"/>
                <w:szCs w:val="24"/>
                <w:highlight w:val="none"/>
              </w:rPr>
              <w:t>级别</w:t>
            </w:r>
          </w:p>
        </w:tc>
        <w:tc>
          <w:tcPr>
            <w:tcW w:w="3250" w:type="dxa"/>
            <w:vAlign w:val="center"/>
          </w:tcPr>
          <w:p>
            <w:pPr>
              <w:pStyle w:val="15"/>
              <w:pageBreakBefore w:val="0"/>
              <w:kinsoku/>
              <w:wordWrap/>
              <w:overflowPunct/>
              <w:topLinePunct w:val="0"/>
              <w:bidi w:val="0"/>
              <w:spacing w:beforeAutospacing="0" w:line="360" w:lineRule="auto"/>
              <w:ind w:left="0" w:leftChars="0" w:right="0" w:firstLine="482" w:firstLineChars="200"/>
              <w:jc w:val="center"/>
              <w:textAlignment w:val="auto"/>
              <w:rPr>
                <w:rFonts w:hint="eastAsia" w:asciiTheme="minorEastAsia" w:hAnsiTheme="minorEastAsia" w:eastAsiaTheme="minorEastAsia" w:cstheme="minorEastAsia"/>
                <w:b/>
                <w:color w:val="FF0000"/>
                <w:sz w:val="24"/>
                <w:szCs w:val="24"/>
                <w:highlight w:val="none"/>
              </w:rPr>
            </w:pPr>
            <w:r>
              <w:rPr>
                <w:rFonts w:hint="eastAsia" w:asciiTheme="minorEastAsia" w:hAnsiTheme="minorEastAsia" w:eastAsiaTheme="minorEastAsia" w:cstheme="minorEastAsia"/>
                <w:b/>
                <w:color w:val="FF0000"/>
                <w:sz w:val="24"/>
                <w:szCs w:val="24"/>
                <w:highlight w:val="none"/>
              </w:rPr>
              <w:t>最小平均膜厚（μm）</w:t>
            </w:r>
          </w:p>
        </w:tc>
        <w:tc>
          <w:tcPr>
            <w:tcW w:w="3351" w:type="dxa"/>
            <w:vAlign w:val="center"/>
          </w:tcPr>
          <w:p>
            <w:pPr>
              <w:pStyle w:val="15"/>
              <w:pageBreakBefore w:val="0"/>
              <w:kinsoku/>
              <w:wordWrap/>
              <w:overflowPunct/>
              <w:topLinePunct w:val="0"/>
              <w:bidi w:val="0"/>
              <w:spacing w:beforeAutospacing="0" w:line="360" w:lineRule="auto"/>
              <w:ind w:left="0" w:leftChars="0" w:right="0" w:firstLine="482" w:firstLineChars="200"/>
              <w:jc w:val="center"/>
              <w:textAlignment w:val="auto"/>
              <w:rPr>
                <w:rFonts w:hint="eastAsia" w:asciiTheme="minorEastAsia" w:hAnsiTheme="minorEastAsia" w:eastAsiaTheme="minorEastAsia" w:cstheme="minorEastAsia"/>
                <w:b/>
                <w:color w:val="FF0000"/>
                <w:sz w:val="24"/>
                <w:szCs w:val="24"/>
                <w:highlight w:val="none"/>
              </w:rPr>
            </w:pPr>
            <w:r>
              <w:rPr>
                <w:rFonts w:hint="eastAsia" w:asciiTheme="minorEastAsia" w:hAnsiTheme="minorEastAsia" w:eastAsiaTheme="minorEastAsia" w:cstheme="minorEastAsia"/>
                <w:b/>
                <w:color w:val="FF0000"/>
                <w:sz w:val="24"/>
                <w:szCs w:val="24"/>
                <w:highlight w:val="none"/>
              </w:rPr>
              <w:t>最小局部膜厚（μm）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21" w:type="dxa"/>
            <w:vAlign w:val="center"/>
          </w:tcPr>
          <w:p>
            <w:pPr>
              <w:pStyle w:val="15"/>
              <w:pageBreakBefore w:val="0"/>
              <w:kinsoku/>
              <w:wordWrap/>
              <w:overflowPunct/>
              <w:topLinePunct w:val="0"/>
              <w:bidi w:val="0"/>
              <w:spacing w:beforeAutospacing="0" w:line="360" w:lineRule="auto"/>
              <w:ind w:left="0" w:leftChars="0" w:right="0" w:firstLine="480" w:firstLineChars="200"/>
              <w:jc w:val="center"/>
              <w:textAlignment w:val="auto"/>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color w:val="FF0000"/>
                <w:sz w:val="24"/>
                <w:szCs w:val="24"/>
                <w:highlight w:val="none"/>
              </w:rPr>
              <w:t>AA15</w:t>
            </w:r>
          </w:p>
        </w:tc>
        <w:tc>
          <w:tcPr>
            <w:tcW w:w="3250" w:type="dxa"/>
            <w:vAlign w:val="center"/>
          </w:tcPr>
          <w:p>
            <w:pPr>
              <w:pStyle w:val="15"/>
              <w:pageBreakBefore w:val="0"/>
              <w:kinsoku/>
              <w:wordWrap/>
              <w:overflowPunct/>
              <w:topLinePunct w:val="0"/>
              <w:bidi w:val="0"/>
              <w:spacing w:beforeAutospacing="0" w:line="360" w:lineRule="auto"/>
              <w:ind w:left="0" w:leftChars="0" w:right="0" w:firstLine="480" w:firstLineChars="200"/>
              <w:jc w:val="center"/>
              <w:textAlignment w:val="auto"/>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color w:val="FF0000"/>
                <w:sz w:val="24"/>
                <w:szCs w:val="24"/>
                <w:highlight w:val="none"/>
              </w:rPr>
              <w:t>15</w:t>
            </w:r>
          </w:p>
        </w:tc>
        <w:tc>
          <w:tcPr>
            <w:tcW w:w="3351" w:type="dxa"/>
            <w:vAlign w:val="center"/>
          </w:tcPr>
          <w:p>
            <w:pPr>
              <w:pStyle w:val="15"/>
              <w:pageBreakBefore w:val="0"/>
              <w:kinsoku/>
              <w:wordWrap/>
              <w:overflowPunct/>
              <w:topLinePunct w:val="0"/>
              <w:bidi w:val="0"/>
              <w:spacing w:beforeAutospacing="0" w:line="360" w:lineRule="auto"/>
              <w:ind w:left="0" w:leftChars="0" w:right="0" w:firstLine="480" w:firstLineChars="200"/>
              <w:jc w:val="center"/>
              <w:textAlignment w:val="auto"/>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color w:val="FF0000"/>
                <w:sz w:val="24"/>
                <w:szCs w:val="24"/>
                <w:highlight w:val="none"/>
              </w:rPr>
              <w:t>10</w:t>
            </w:r>
          </w:p>
        </w:tc>
      </w:tr>
    </w:tbl>
    <w:p>
      <w:pPr>
        <w:pStyle w:val="16"/>
        <w:pageBreakBefore w:val="0"/>
        <w:kinsoku/>
        <w:wordWrap/>
        <w:overflowPunct/>
        <w:topLinePunct w:val="0"/>
        <w:bidi w:val="0"/>
        <w:spacing w:beforeLines="0"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按工程要求，支吊架采用钢制。钢制支吊架的材质及表面处理，符合《电控配电用电缆桥架》JB/T10216-2013的有关规定。金属支吊架采用扁钢接地干线进行可靠接地。</w:t>
      </w:r>
    </w:p>
    <w:p>
      <w:pPr>
        <w:pStyle w:val="16"/>
        <w:pageBreakBefore w:val="0"/>
        <w:kinsoku/>
        <w:wordWrap/>
        <w:overflowPunct/>
        <w:topLinePunct w:val="0"/>
        <w:bidi w:val="0"/>
        <w:spacing w:beforeLines="0"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铝合金桥架与钢支架固定时，有相互间绝缘防电化腐蚀措施。</w:t>
      </w:r>
    </w:p>
    <w:p>
      <w:pPr>
        <w:pStyle w:val="16"/>
        <w:pageBreakBefore w:val="0"/>
        <w:kinsoku/>
        <w:wordWrap/>
        <w:overflowPunct/>
        <w:topLinePunct w:val="0"/>
        <w:bidi w:val="0"/>
        <w:spacing w:beforeLines="0"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连接用螺栓、螺母、垫圈、自攻螺丝等紧固件，可采用碳钢或不锈钢材质，其技术质量符合国家现行有关标准。碳钢制紧固件表面经防腐处理，其技术质量符合国家现行有关标准。</w:t>
      </w:r>
    </w:p>
    <w:p>
      <w:pPr>
        <w:pStyle w:val="16"/>
        <w:pageBreakBefore w:val="0"/>
        <w:kinsoku/>
        <w:wordWrap/>
        <w:overflowPunct/>
        <w:topLinePunct w:val="0"/>
        <w:bidi w:val="0"/>
        <w:spacing w:beforeLines="0"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焊接符合下列要求:</w:t>
      </w:r>
    </w:p>
    <w:p>
      <w:pPr>
        <w:pStyle w:val="16"/>
        <w:pageBreakBefore w:val="0"/>
        <w:kinsoku/>
        <w:wordWrap/>
        <w:overflowPunct/>
        <w:topLinePunct w:val="0"/>
        <w:bidi w:val="0"/>
        <w:spacing w:beforeLines="0" w:beforeAutospacing="0" w:line="360" w:lineRule="auto"/>
        <w:ind w:right="0" w:firstLine="960" w:firstLineChars="4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a.</w:t>
      </w:r>
      <w:r>
        <w:rPr>
          <w:rFonts w:hint="eastAsia" w:asciiTheme="minorEastAsia" w:hAnsiTheme="minorEastAsia" w:eastAsiaTheme="minorEastAsia" w:cstheme="minorEastAsia"/>
          <w:color w:val="auto"/>
          <w:sz w:val="24"/>
          <w:szCs w:val="24"/>
          <w:highlight w:val="none"/>
        </w:rPr>
        <w:t>铝制件焊接用气体保护电弧焊,钢制支吊架应采用手工电弧焊。</w:t>
      </w:r>
    </w:p>
    <w:p>
      <w:pPr>
        <w:pStyle w:val="16"/>
        <w:pageBreakBefore w:val="0"/>
        <w:kinsoku/>
        <w:wordWrap/>
        <w:overflowPunct/>
        <w:topLinePunct w:val="0"/>
        <w:bidi w:val="0"/>
        <w:spacing w:beforeLines="0" w:beforeAutospacing="0" w:line="360" w:lineRule="auto"/>
        <w:ind w:right="0" w:firstLine="960" w:firstLineChars="4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b.</w:t>
      </w:r>
      <w:r>
        <w:rPr>
          <w:rFonts w:hint="eastAsia" w:asciiTheme="minorEastAsia" w:hAnsiTheme="minorEastAsia" w:eastAsiaTheme="minorEastAsia" w:cstheme="minorEastAsia"/>
          <w:color w:val="auto"/>
          <w:sz w:val="24"/>
          <w:szCs w:val="24"/>
          <w:highlight w:val="none"/>
        </w:rPr>
        <w:t>焊缝表面平滑均匀，焊缝没有漏焊、裂纹、烧穿、未熔合、表面气孔、焊瘤等缺陷，焊缝咬边深度不大于0.5mm。</w:t>
      </w:r>
    </w:p>
    <w:p>
      <w:pPr>
        <w:pStyle w:val="16"/>
        <w:pageBreakBefore w:val="0"/>
        <w:kinsoku/>
        <w:wordWrap/>
        <w:overflowPunct/>
        <w:topLinePunct w:val="0"/>
        <w:bidi w:val="0"/>
        <w:spacing w:beforeLines="0"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铆接紧密牢固，没有错位、偏斜、裂纹等缺陷。铆钉头没有能损伤电缆的突起毛刺。</w:t>
      </w:r>
    </w:p>
    <w:p>
      <w:pPr>
        <w:pStyle w:val="16"/>
        <w:pageBreakBefore w:val="0"/>
        <w:kinsoku/>
        <w:wordWrap/>
        <w:overflowPunct/>
        <w:topLinePunct w:val="0"/>
        <w:bidi w:val="0"/>
        <w:spacing w:beforeLines="0"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桥架的尺寸允许偏差符合下列规定:</w:t>
      </w:r>
    </w:p>
    <w:p>
      <w:pPr>
        <w:pStyle w:val="16"/>
        <w:pageBreakBefore w:val="0"/>
        <w:kinsoku/>
        <w:wordWrap/>
        <w:overflowPunct/>
        <w:topLinePunct w:val="0"/>
        <w:bidi w:val="0"/>
        <w:spacing w:beforeLines="0"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（1）直通的单件长度偏差：当长度为2～3m时，±3mm；当长度为6m时，±4mm。</w:t>
      </w:r>
    </w:p>
    <w:p>
      <w:pPr>
        <w:pStyle w:val="16"/>
        <w:pageBreakBefore w:val="0"/>
        <w:kinsoku/>
        <w:wordWrap/>
        <w:overflowPunct/>
        <w:topLinePunct w:val="0"/>
        <w:bidi w:val="0"/>
        <w:spacing w:beforeLines="0"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（2）直通、弯通的宽度偏差：宽度不大于400mm时，±2mm；宽度大于400mm时，±3mm。</w:t>
      </w:r>
    </w:p>
    <w:p>
      <w:pPr>
        <w:pStyle w:val="16"/>
        <w:pageBreakBefore w:val="0"/>
        <w:kinsoku/>
        <w:wordWrap/>
        <w:overflowPunct/>
        <w:topLinePunct w:val="0"/>
        <w:bidi w:val="0"/>
        <w:spacing w:beforeLines="0"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（3）其它构件的尺寸偏差:按《一般公差线性尺寸的未注公差》GB/T1804标准C级的规定。</w:t>
      </w:r>
    </w:p>
    <w:p>
      <w:pPr>
        <w:pStyle w:val="16"/>
        <w:pageBreakBefore w:val="0"/>
        <w:kinsoku/>
        <w:wordWrap/>
        <w:overflowPunct/>
        <w:topLinePunct w:val="0"/>
        <w:bidi w:val="0"/>
        <w:spacing w:beforeLines="0"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桥架表面平整、光洁，工作表面没有损伤电缆绝缘层的毛刺、锐边等缺陷。</w:t>
      </w:r>
    </w:p>
    <w:p>
      <w:pPr>
        <w:pStyle w:val="16"/>
        <w:pageBreakBefore w:val="0"/>
        <w:kinsoku/>
        <w:wordWrap/>
        <w:overflowPunct/>
        <w:topLinePunct w:val="0"/>
        <w:bidi w:val="0"/>
        <w:spacing w:beforeLines="0"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利用铝桥架系统作为设备的接地导体时，我方在铭牌中标明托盘、梯架纵向的最小金属横截面积。桥架端部相连接处的电阻值不大于0.00033Ω。</w:t>
      </w:r>
    </w:p>
    <w:p>
      <w:pPr>
        <w:pStyle w:val="16"/>
        <w:pageBreakBefore w:val="0"/>
        <w:kinsoku/>
        <w:wordWrap/>
        <w:overflowPunct/>
        <w:topLinePunct w:val="0"/>
        <w:bidi w:val="0"/>
        <w:spacing w:beforeLines="0"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试验方法</w:t>
      </w:r>
    </w:p>
    <w:p>
      <w:pPr>
        <w:pStyle w:val="16"/>
        <w:pageBreakBefore w:val="0"/>
        <w:kinsoku/>
        <w:wordWrap/>
        <w:overflowPunct/>
        <w:topLinePunct w:val="0"/>
        <w:bidi w:val="0"/>
        <w:spacing w:beforeLines="0"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（1）原材料按供方质量证明书检查,必要时可做抽检试验。</w:t>
      </w:r>
    </w:p>
    <w:p>
      <w:pPr>
        <w:pStyle w:val="16"/>
        <w:pageBreakBefore w:val="0"/>
        <w:kinsoku/>
        <w:wordWrap/>
        <w:overflowPunct/>
        <w:topLinePunct w:val="0"/>
        <w:bidi w:val="0"/>
        <w:spacing w:beforeLines="0"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（2）荷载试验及挠度测试符合规定。</w:t>
      </w:r>
    </w:p>
    <w:p>
      <w:pPr>
        <w:pStyle w:val="16"/>
        <w:pageBreakBefore w:val="0"/>
        <w:kinsoku/>
        <w:wordWrap/>
        <w:overflowPunct/>
        <w:topLinePunct w:val="0"/>
        <w:bidi w:val="0"/>
        <w:spacing w:beforeLines="0"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（3）阳极氧化膜厚测定，符合《铝及铝合金阳极氧化阳极氧化膜厚度的定义和有关测量厚度的规定》GB8014的规定，或用测厚仪测定。</w:t>
      </w:r>
    </w:p>
    <w:p>
      <w:pPr>
        <w:pStyle w:val="16"/>
        <w:pageBreakBefore w:val="0"/>
        <w:kinsoku/>
        <w:wordWrap/>
        <w:overflowPunct/>
        <w:topLinePunct w:val="0"/>
        <w:bidi w:val="0"/>
        <w:spacing w:beforeLines="0"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（4）表面涂层性能试验，符合下列要求：</w:t>
      </w:r>
    </w:p>
    <w:p>
      <w:pPr>
        <w:pStyle w:val="16"/>
        <w:pageBreakBefore w:val="0"/>
        <w:kinsoku/>
        <w:wordWrap/>
        <w:overflowPunct/>
        <w:topLinePunct w:val="0"/>
        <w:bidi w:val="0"/>
        <w:spacing w:beforeLines="0"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a</w:t>
      </w:r>
      <w:r>
        <w:rPr>
          <w:rFonts w:hint="eastAsia" w:asciiTheme="minorEastAsia" w:hAnsiTheme="minorEastAsia" w:eastAsiaTheme="minorEastAsia" w:cstheme="minorEastAsia"/>
          <w:color w:val="auto"/>
          <w:sz w:val="24"/>
          <w:szCs w:val="24"/>
          <w:highlight w:val="none"/>
        </w:rPr>
        <w:t>）涂层厚度：按《漆膜厚度测定法》GB1764标准；</w:t>
      </w:r>
    </w:p>
    <w:p>
      <w:pPr>
        <w:pStyle w:val="16"/>
        <w:pageBreakBefore w:val="0"/>
        <w:kinsoku/>
        <w:wordWrap/>
        <w:overflowPunct/>
        <w:topLinePunct w:val="0"/>
        <w:bidi w:val="0"/>
        <w:spacing w:beforeLines="0"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b</w:t>
      </w:r>
      <w:r>
        <w:rPr>
          <w:rFonts w:hint="eastAsia" w:asciiTheme="minorEastAsia" w:hAnsiTheme="minorEastAsia" w:eastAsiaTheme="minorEastAsia" w:cstheme="minorEastAsia"/>
          <w:color w:val="auto"/>
          <w:sz w:val="24"/>
          <w:szCs w:val="24"/>
          <w:highlight w:val="none"/>
        </w:rPr>
        <w:t>）附着力：按《机械产品表面防护层质量分等分级》JB/T8595标准；</w:t>
      </w:r>
    </w:p>
    <w:p>
      <w:pPr>
        <w:pStyle w:val="16"/>
        <w:pageBreakBefore w:val="0"/>
        <w:kinsoku/>
        <w:wordWrap/>
        <w:overflowPunct/>
        <w:topLinePunct w:val="0"/>
        <w:bidi w:val="0"/>
        <w:spacing w:beforeLines="0"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c</w:t>
      </w:r>
      <w:r>
        <w:rPr>
          <w:rFonts w:hint="eastAsia" w:asciiTheme="minorEastAsia" w:hAnsiTheme="minorEastAsia" w:eastAsiaTheme="minorEastAsia" w:cstheme="minorEastAsia"/>
          <w:color w:val="auto"/>
          <w:sz w:val="24"/>
          <w:szCs w:val="24"/>
          <w:highlight w:val="none"/>
        </w:rPr>
        <w:t>）柔韧性：按《漆膜柔韧性测定法》GB/T1731标准；</w:t>
      </w:r>
    </w:p>
    <w:p>
      <w:pPr>
        <w:pStyle w:val="16"/>
        <w:pageBreakBefore w:val="0"/>
        <w:kinsoku/>
        <w:wordWrap/>
        <w:overflowPunct/>
        <w:topLinePunct w:val="0"/>
        <w:bidi w:val="0"/>
        <w:spacing w:beforeLines="0"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d</w:t>
      </w:r>
      <w:r>
        <w:rPr>
          <w:rFonts w:hint="eastAsia" w:asciiTheme="minorEastAsia" w:hAnsiTheme="minorEastAsia" w:eastAsiaTheme="minorEastAsia" w:cstheme="minorEastAsia"/>
          <w:color w:val="auto"/>
          <w:sz w:val="24"/>
          <w:szCs w:val="24"/>
          <w:highlight w:val="none"/>
        </w:rPr>
        <w:t>）冲击强度：按《漆膜耐冲击测定法》GB/T1732标准；</w:t>
      </w:r>
    </w:p>
    <w:p>
      <w:pPr>
        <w:pStyle w:val="16"/>
        <w:pageBreakBefore w:val="0"/>
        <w:kinsoku/>
        <w:wordWrap/>
        <w:overflowPunct/>
        <w:topLinePunct w:val="0"/>
        <w:bidi w:val="0"/>
        <w:spacing w:beforeLines="0"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e</w:t>
      </w:r>
      <w:r>
        <w:rPr>
          <w:rFonts w:hint="eastAsia" w:asciiTheme="minorEastAsia" w:hAnsiTheme="minorEastAsia" w:eastAsiaTheme="minorEastAsia" w:cstheme="minorEastAsia"/>
          <w:color w:val="auto"/>
          <w:sz w:val="24"/>
          <w:szCs w:val="24"/>
          <w:highlight w:val="none"/>
        </w:rPr>
        <w:t>）边角覆盖率：按《电工绝缘粉末试验方法》GB6554标准。</w:t>
      </w:r>
    </w:p>
    <w:p>
      <w:pPr>
        <w:pStyle w:val="16"/>
        <w:pageBreakBefore w:val="0"/>
        <w:kinsoku/>
        <w:wordWrap/>
        <w:overflowPunct/>
        <w:topLinePunct w:val="0"/>
        <w:bidi w:val="0"/>
        <w:spacing w:beforeLines="0" w:beforeAutospacing="0" w:line="360" w:lineRule="auto"/>
        <w:ind w:right="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钢制件表面镀锌层性能试验，符合《电控配电用电缆桥架》JB/T10216-2013的有关规定。</w:t>
      </w:r>
    </w:p>
    <w:p>
      <w:pPr>
        <w:pStyle w:val="16"/>
        <w:pageBreakBefore w:val="0"/>
        <w:kinsoku/>
        <w:wordWrap/>
        <w:overflowPunct/>
        <w:topLinePunct w:val="0"/>
        <w:bidi w:val="0"/>
        <w:spacing w:beforeLines="0" w:beforeAutospacing="0" w:line="360" w:lineRule="auto"/>
        <w:ind w:right="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）铝桥架表面防护层人工气候试验可按表3的规定进行：</w:t>
      </w:r>
    </w:p>
    <w:tbl>
      <w:tblPr>
        <w:tblStyle w:val="11"/>
        <w:tblpPr w:leftFromText="180" w:rightFromText="180" w:vertAnchor="text" w:horzAnchor="page" w:tblpX="1807" w:tblpY="45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1406"/>
        <w:gridCol w:w="550"/>
        <w:gridCol w:w="957"/>
        <w:gridCol w:w="740"/>
        <w:gridCol w:w="661"/>
        <w:gridCol w:w="740"/>
        <w:gridCol w:w="740"/>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00" w:type="dxa"/>
            <w:vMerge w:val="restart"/>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试验项目名称</w:t>
            </w:r>
          </w:p>
        </w:tc>
        <w:tc>
          <w:tcPr>
            <w:tcW w:w="1406" w:type="dxa"/>
            <w:vMerge w:val="restart"/>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试验方法标准编号</w:t>
            </w:r>
          </w:p>
        </w:tc>
        <w:tc>
          <w:tcPr>
            <w:tcW w:w="5216" w:type="dxa"/>
            <w:gridSpan w:val="7"/>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各防护类型的试验周期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00" w:type="dxa"/>
            <w:vMerge w:val="continue"/>
            <w:vAlign w:val="center"/>
          </w:tcPr>
          <w:p>
            <w:pPr>
              <w:pStyle w:val="15"/>
              <w:pageBreakBefore w:val="0"/>
              <w:kinsoku/>
              <w:wordWrap/>
              <w:overflowPunct/>
              <w:topLinePunct w:val="0"/>
              <w:bidi w:val="0"/>
              <w:spacing w:beforeAutospacing="0" w:line="360" w:lineRule="auto"/>
              <w:ind w:left="0" w:leftChars="0" w:right="0" w:firstLine="482" w:firstLineChars="200"/>
              <w:jc w:val="center"/>
              <w:textAlignment w:val="auto"/>
              <w:rPr>
                <w:rFonts w:hint="eastAsia" w:asciiTheme="minorEastAsia" w:hAnsiTheme="minorEastAsia" w:eastAsiaTheme="minorEastAsia" w:cstheme="minorEastAsia"/>
                <w:b/>
                <w:color w:val="auto"/>
                <w:sz w:val="24"/>
                <w:szCs w:val="24"/>
                <w:highlight w:val="none"/>
              </w:rPr>
            </w:pPr>
          </w:p>
        </w:tc>
        <w:tc>
          <w:tcPr>
            <w:tcW w:w="1406" w:type="dxa"/>
            <w:vMerge w:val="continue"/>
            <w:vAlign w:val="center"/>
          </w:tcPr>
          <w:p>
            <w:pPr>
              <w:pStyle w:val="15"/>
              <w:pageBreakBefore w:val="0"/>
              <w:kinsoku/>
              <w:wordWrap/>
              <w:overflowPunct/>
              <w:topLinePunct w:val="0"/>
              <w:bidi w:val="0"/>
              <w:spacing w:beforeAutospacing="0" w:line="360" w:lineRule="auto"/>
              <w:ind w:left="0" w:leftChars="0" w:right="0" w:firstLine="482" w:firstLineChars="200"/>
              <w:jc w:val="center"/>
              <w:textAlignment w:val="auto"/>
              <w:rPr>
                <w:rFonts w:hint="eastAsia" w:asciiTheme="minorEastAsia" w:hAnsiTheme="minorEastAsia" w:eastAsiaTheme="minorEastAsia" w:cstheme="minorEastAsia"/>
                <w:b/>
                <w:color w:val="auto"/>
                <w:sz w:val="24"/>
                <w:szCs w:val="24"/>
                <w:highlight w:val="none"/>
              </w:rPr>
            </w:pPr>
          </w:p>
        </w:tc>
        <w:tc>
          <w:tcPr>
            <w:tcW w:w="2247" w:type="dxa"/>
            <w:gridSpan w:val="3"/>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户内</w:t>
            </w:r>
          </w:p>
        </w:tc>
        <w:tc>
          <w:tcPr>
            <w:tcW w:w="2969" w:type="dxa"/>
            <w:gridSpan w:val="4"/>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户外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00" w:type="dxa"/>
            <w:vMerge w:val="continue"/>
            <w:vAlign w:val="center"/>
          </w:tcPr>
          <w:p>
            <w:pPr>
              <w:pStyle w:val="15"/>
              <w:pageBreakBefore w:val="0"/>
              <w:kinsoku/>
              <w:wordWrap/>
              <w:overflowPunct/>
              <w:topLinePunct w:val="0"/>
              <w:bidi w:val="0"/>
              <w:spacing w:beforeAutospacing="0" w:line="360" w:lineRule="auto"/>
              <w:ind w:left="0" w:leftChars="0" w:right="0" w:firstLine="482" w:firstLineChars="200"/>
              <w:jc w:val="center"/>
              <w:textAlignment w:val="auto"/>
              <w:rPr>
                <w:rFonts w:hint="eastAsia" w:asciiTheme="minorEastAsia" w:hAnsiTheme="minorEastAsia" w:eastAsiaTheme="minorEastAsia" w:cstheme="minorEastAsia"/>
                <w:b/>
                <w:color w:val="auto"/>
                <w:sz w:val="24"/>
                <w:szCs w:val="24"/>
                <w:highlight w:val="none"/>
              </w:rPr>
            </w:pPr>
          </w:p>
        </w:tc>
        <w:tc>
          <w:tcPr>
            <w:tcW w:w="1406" w:type="dxa"/>
            <w:vMerge w:val="continue"/>
            <w:vAlign w:val="center"/>
          </w:tcPr>
          <w:p>
            <w:pPr>
              <w:pStyle w:val="15"/>
              <w:pageBreakBefore w:val="0"/>
              <w:kinsoku/>
              <w:wordWrap/>
              <w:overflowPunct/>
              <w:topLinePunct w:val="0"/>
              <w:bidi w:val="0"/>
              <w:spacing w:beforeAutospacing="0" w:line="360" w:lineRule="auto"/>
              <w:ind w:left="0" w:leftChars="0" w:right="0" w:firstLine="482" w:firstLineChars="200"/>
              <w:jc w:val="center"/>
              <w:textAlignment w:val="auto"/>
              <w:rPr>
                <w:rFonts w:hint="eastAsia" w:asciiTheme="minorEastAsia" w:hAnsiTheme="minorEastAsia" w:eastAsiaTheme="minorEastAsia" w:cstheme="minorEastAsia"/>
                <w:b/>
                <w:color w:val="auto"/>
                <w:sz w:val="24"/>
                <w:szCs w:val="24"/>
                <w:highlight w:val="none"/>
              </w:rPr>
            </w:pPr>
          </w:p>
        </w:tc>
        <w:tc>
          <w:tcPr>
            <w:tcW w:w="550" w:type="dxa"/>
            <w:vAlign w:val="center"/>
          </w:tcPr>
          <w:p>
            <w:pPr>
              <w:pStyle w:val="15"/>
              <w:pageBreakBefore w:val="0"/>
              <w:kinsoku/>
              <w:wordWrap/>
              <w:overflowPunct/>
              <w:topLinePunct w:val="0"/>
              <w:bidi w:val="0"/>
              <w:spacing w:beforeAutospacing="0" w:line="360" w:lineRule="auto"/>
              <w:ind w:left="0" w:leftChars="0" w:right="0"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J</w:t>
            </w:r>
          </w:p>
        </w:tc>
        <w:tc>
          <w:tcPr>
            <w:tcW w:w="957"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F1</w:t>
            </w:r>
          </w:p>
        </w:tc>
        <w:tc>
          <w:tcPr>
            <w:tcW w:w="740"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F2</w:t>
            </w:r>
          </w:p>
        </w:tc>
        <w:tc>
          <w:tcPr>
            <w:tcW w:w="661"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w:t>
            </w:r>
          </w:p>
        </w:tc>
        <w:tc>
          <w:tcPr>
            <w:tcW w:w="740"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WF1</w:t>
            </w:r>
          </w:p>
        </w:tc>
        <w:tc>
          <w:tcPr>
            <w:tcW w:w="740"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WF2</w:t>
            </w:r>
          </w:p>
        </w:tc>
        <w:tc>
          <w:tcPr>
            <w:tcW w:w="828"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0"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盐雾试验</w:t>
            </w:r>
          </w:p>
        </w:tc>
        <w:tc>
          <w:tcPr>
            <w:tcW w:w="1406"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GB/T2423.17试验ka</w:t>
            </w:r>
          </w:p>
        </w:tc>
        <w:tc>
          <w:tcPr>
            <w:tcW w:w="550"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96h</w:t>
            </w:r>
          </w:p>
        </w:tc>
        <w:tc>
          <w:tcPr>
            <w:tcW w:w="957"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96h</w:t>
            </w:r>
          </w:p>
        </w:tc>
        <w:tc>
          <w:tcPr>
            <w:tcW w:w="740"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240h</w:t>
            </w:r>
          </w:p>
        </w:tc>
        <w:tc>
          <w:tcPr>
            <w:tcW w:w="661"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96h</w:t>
            </w:r>
          </w:p>
        </w:tc>
        <w:tc>
          <w:tcPr>
            <w:tcW w:w="740"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96h</w:t>
            </w:r>
          </w:p>
        </w:tc>
        <w:tc>
          <w:tcPr>
            <w:tcW w:w="740"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240h</w:t>
            </w:r>
          </w:p>
        </w:tc>
        <w:tc>
          <w:tcPr>
            <w:tcW w:w="828"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0"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高浓度二氧化硫腐蚀气体试验1</w:t>
            </w:r>
          </w:p>
        </w:tc>
        <w:tc>
          <w:tcPr>
            <w:tcW w:w="1406"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GB/T2423.33试验kca</w:t>
            </w:r>
          </w:p>
        </w:tc>
        <w:tc>
          <w:tcPr>
            <w:tcW w:w="550"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957"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4周期</w:t>
            </w:r>
          </w:p>
        </w:tc>
        <w:tc>
          <w:tcPr>
            <w:tcW w:w="740"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10周期</w:t>
            </w:r>
          </w:p>
        </w:tc>
        <w:tc>
          <w:tcPr>
            <w:tcW w:w="661"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740"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4周期</w:t>
            </w:r>
          </w:p>
        </w:tc>
        <w:tc>
          <w:tcPr>
            <w:tcW w:w="740"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10周期</w:t>
            </w:r>
          </w:p>
        </w:tc>
        <w:tc>
          <w:tcPr>
            <w:tcW w:w="828"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0"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氨气试验2</w:t>
            </w:r>
          </w:p>
        </w:tc>
        <w:tc>
          <w:tcPr>
            <w:tcW w:w="1406"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JB1045</w:t>
            </w:r>
          </w:p>
        </w:tc>
        <w:tc>
          <w:tcPr>
            <w:tcW w:w="550"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957"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4周期</w:t>
            </w:r>
          </w:p>
        </w:tc>
        <w:tc>
          <w:tcPr>
            <w:tcW w:w="740"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10周期</w:t>
            </w:r>
          </w:p>
        </w:tc>
        <w:tc>
          <w:tcPr>
            <w:tcW w:w="661"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740"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4周期</w:t>
            </w:r>
          </w:p>
        </w:tc>
        <w:tc>
          <w:tcPr>
            <w:tcW w:w="740"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10周期</w:t>
            </w:r>
          </w:p>
        </w:tc>
        <w:tc>
          <w:tcPr>
            <w:tcW w:w="828"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0"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紫外线冷凝试验3</w:t>
            </w:r>
          </w:p>
        </w:tc>
        <w:tc>
          <w:tcPr>
            <w:tcW w:w="1406"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GB/T14522</w:t>
            </w:r>
          </w:p>
        </w:tc>
        <w:tc>
          <w:tcPr>
            <w:tcW w:w="550"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957"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740"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661"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240h</w:t>
            </w:r>
          </w:p>
        </w:tc>
        <w:tc>
          <w:tcPr>
            <w:tcW w:w="740"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240h</w:t>
            </w:r>
          </w:p>
        </w:tc>
        <w:tc>
          <w:tcPr>
            <w:tcW w:w="740"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240h</w:t>
            </w:r>
          </w:p>
        </w:tc>
        <w:tc>
          <w:tcPr>
            <w:tcW w:w="828"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r>
    </w:tbl>
    <w:p>
      <w:pPr>
        <w:pStyle w:val="15"/>
        <w:keepNext w:val="0"/>
        <w:keepLines w:val="0"/>
        <w:pageBreakBefore w:val="0"/>
        <w:widowControl w:val="0"/>
        <w:kinsoku/>
        <w:wordWrap/>
        <w:overflowPunct/>
        <w:topLinePunct w:val="0"/>
        <w:autoSpaceDE/>
        <w:autoSpaceDN/>
        <w:bidi w:val="0"/>
        <w:spacing w:beforeAutospacing="0" w:line="360" w:lineRule="auto"/>
        <w:ind w:left="0" w:leftChars="0"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表3各种防护类型铝桥架人工气候试验项目及周期</w:t>
      </w:r>
    </w:p>
    <w:p>
      <w:pPr>
        <w:pStyle w:val="16"/>
        <w:keepNext w:val="0"/>
        <w:keepLines w:val="0"/>
        <w:pageBreakBefore w:val="0"/>
        <w:widowControl w:val="0"/>
        <w:kinsoku/>
        <w:wordWrap/>
        <w:overflowPunct/>
        <w:topLinePunct w:val="0"/>
        <w:autoSpaceDE/>
        <w:autoSpaceDN/>
        <w:bidi w:val="0"/>
        <w:spacing w:beforeLines="0"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a</w:t>
      </w:r>
      <w:r>
        <w:rPr>
          <w:rFonts w:hint="eastAsia" w:asciiTheme="minorEastAsia" w:hAnsiTheme="minorEastAsia" w:eastAsiaTheme="minorEastAsia" w:cstheme="minorEastAsia"/>
          <w:color w:val="auto"/>
          <w:sz w:val="24"/>
          <w:szCs w:val="24"/>
          <w:highlight w:val="none"/>
        </w:rPr>
        <w:t>）二氧化硫腐蚀气体的浓度为17.5mg/L；</w:t>
      </w:r>
    </w:p>
    <w:p>
      <w:pPr>
        <w:pStyle w:val="15"/>
        <w:pageBreakBefore w:val="0"/>
        <w:kinsoku/>
        <w:wordWrap/>
        <w:overflowPunct/>
        <w:topLinePunct w:val="0"/>
        <w:bidi w:val="0"/>
        <w:spacing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b</w:t>
      </w:r>
      <w:r>
        <w:rPr>
          <w:rFonts w:hint="eastAsia" w:asciiTheme="minorEastAsia" w:hAnsiTheme="minorEastAsia" w:eastAsiaTheme="minorEastAsia" w:cstheme="minorEastAsia"/>
          <w:color w:val="auto"/>
          <w:kern w:val="2"/>
          <w:sz w:val="24"/>
          <w:szCs w:val="24"/>
          <w:highlight w:val="none"/>
        </w:rPr>
        <w:t>）当使用环境为碱性介质时，进行浓度为5mg/L的气氨气试验；</w:t>
      </w:r>
    </w:p>
    <w:p>
      <w:pPr>
        <w:pStyle w:val="15"/>
        <w:pageBreakBefore w:val="0"/>
        <w:kinsoku/>
        <w:wordWrap/>
        <w:overflowPunct/>
        <w:topLinePunct w:val="0"/>
        <w:bidi w:val="0"/>
        <w:spacing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c</w:t>
      </w:r>
      <w:r>
        <w:rPr>
          <w:rFonts w:hint="eastAsia" w:asciiTheme="minorEastAsia" w:hAnsiTheme="minorEastAsia" w:eastAsiaTheme="minorEastAsia" w:cstheme="minorEastAsia"/>
          <w:color w:val="auto"/>
          <w:kern w:val="2"/>
          <w:sz w:val="24"/>
          <w:szCs w:val="24"/>
          <w:highlight w:val="none"/>
        </w:rPr>
        <w:t>）紫外线为60℃、8h，冷凝为50℃、4h条件，只对防护层为粉末涂层、油漆、涂料的电缆桥架进行考核。</w:t>
      </w:r>
    </w:p>
    <w:p>
      <w:pPr>
        <w:pStyle w:val="13"/>
        <w:pageBreakBefore w:val="0"/>
        <w:kinsoku/>
        <w:wordWrap/>
        <w:overflowPunct/>
        <w:topLinePunct w:val="0"/>
        <w:bidi w:val="0"/>
        <w:spacing w:beforeAutospacing="0"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）试验后防护层外观质量分级符合表4的规定：</w:t>
      </w:r>
    </w:p>
    <w:p>
      <w:pPr>
        <w:pStyle w:val="14"/>
        <w:pageBreakBefore w:val="0"/>
        <w:kinsoku/>
        <w:wordWrap/>
        <w:overflowPunct/>
        <w:topLinePunct w:val="0"/>
        <w:bidi w:val="0"/>
        <w:spacing w:beforeLines="0" w:beforeAutospacing="0" w:afterLines="0" w:line="360" w:lineRule="auto"/>
        <w:ind w:left="0" w:leftChars="0" w:right="0"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防护层外观质量分级规定</w:t>
      </w:r>
    </w:p>
    <w:tbl>
      <w:tblPr>
        <w:tblStyle w:val="11"/>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492"/>
        <w:gridCol w:w="5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等级</w:t>
            </w:r>
          </w:p>
        </w:tc>
        <w:tc>
          <w:tcPr>
            <w:tcW w:w="3492"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阳极氧化膜</w:t>
            </w:r>
          </w:p>
        </w:tc>
        <w:tc>
          <w:tcPr>
            <w:tcW w:w="5126"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粉沫涂料或油漆层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p>
        </w:tc>
        <w:tc>
          <w:tcPr>
            <w:tcW w:w="3492" w:type="dxa"/>
            <w:vAlign w:val="center"/>
          </w:tcPr>
          <w:p>
            <w:pPr>
              <w:pStyle w:val="15"/>
              <w:pageBreakBefore w:val="0"/>
              <w:kinsoku/>
              <w:wordWrap/>
              <w:overflowPunct/>
              <w:topLinePunct w:val="0"/>
              <w:bidi w:val="0"/>
              <w:spacing w:beforeAutospacing="0" w:line="360" w:lineRule="auto"/>
              <w:ind w:left="0" w:leftChars="0" w:right="0" w:firstLine="0" w:firstLineChars="0"/>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外观良好，光泽颜色无明显化</w:t>
            </w:r>
          </w:p>
        </w:tc>
        <w:tc>
          <w:tcPr>
            <w:tcW w:w="5126" w:type="dxa"/>
            <w:vAlign w:val="center"/>
          </w:tcPr>
          <w:p>
            <w:pPr>
              <w:pStyle w:val="15"/>
              <w:pageBreakBefore w:val="0"/>
              <w:kinsoku/>
              <w:wordWrap/>
              <w:overflowPunct/>
              <w:topLinePunct w:val="0"/>
              <w:bidi w:val="0"/>
              <w:spacing w:beforeAutospacing="0" w:line="360" w:lineRule="auto"/>
              <w:ind w:left="0" w:leftChars="0" w:right="0" w:firstLine="0" w:firstLineChars="0"/>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表面外观良好，光泽颜色无明显变化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w:t>
            </w:r>
          </w:p>
        </w:tc>
        <w:tc>
          <w:tcPr>
            <w:tcW w:w="3492" w:type="dxa"/>
            <w:vAlign w:val="center"/>
          </w:tcPr>
          <w:p>
            <w:pPr>
              <w:pStyle w:val="15"/>
              <w:pageBreakBefore w:val="0"/>
              <w:kinsoku/>
              <w:wordWrap/>
              <w:overflowPunct/>
              <w:topLinePunct w:val="0"/>
              <w:bidi w:val="0"/>
              <w:spacing w:beforeAutospacing="0" w:line="360" w:lineRule="auto"/>
              <w:ind w:left="0" w:leftChars="0" w:right="0" w:firstLine="0" w:firstLineChars="0"/>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光泽颜色有轻微变化</w:t>
            </w:r>
          </w:p>
        </w:tc>
        <w:tc>
          <w:tcPr>
            <w:tcW w:w="5126" w:type="dxa"/>
            <w:vAlign w:val="center"/>
          </w:tcPr>
          <w:p>
            <w:pPr>
              <w:pStyle w:val="15"/>
              <w:pageBreakBefore w:val="0"/>
              <w:kinsoku/>
              <w:wordWrap/>
              <w:overflowPunct/>
              <w:topLinePunct w:val="0"/>
              <w:bidi w:val="0"/>
              <w:spacing w:beforeAutospacing="0" w:line="360" w:lineRule="auto"/>
              <w:ind w:left="0" w:leftChars="0" w:right="0" w:firstLine="0" w:firstLineChars="0"/>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涂层表面轻微褪色，轻微失光但无气泡等缺陷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w:t>
            </w:r>
          </w:p>
        </w:tc>
        <w:tc>
          <w:tcPr>
            <w:tcW w:w="3492" w:type="dxa"/>
            <w:vAlign w:val="center"/>
          </w:tcPr>
          <w:p>
            <w:pPr>
              <w:pStyle w:val="15"/>
              <w:pageBreakBefore w:val="0"/>
              <w:kinsoku/>
              <w:wordWrap/>
              <w:overflowPunct/>
              <w:topLinePunct w:val="0"/>
              <w:bidi w:val="0"/>
              <w:spacing w:beforeAutospacing="0" w:line="360" w:lineRule="auto"/>
              <w:ind w:left="0" w:leftChars="0" w:right="0" w:firstLine="0" w:firstLineChars="0"/>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光泽颜色有明显变化底金属无腐蚀点</w:t>
            </w:r>
          </w:p>
        </w:tc>
        <w:tc>
          <w:tcPr>
            <w:tcW w:w="5126" w:type="dxa"/>
            <w:vAlign w:val="center"/>
          </w:tcPr>
          <w:p>
            <w:pPr>
              <w:pStyle w:val="15"/>
              <w:pageBreakBefore w:val="0"/>
              <w:kinsoku/>
              <w:wordWrap/>
              <w:overflowPunct/>
              <w:topLinePunct w:val="0"/>
              <w:bidi w:val="0"/>
              <w:spacing w:beforeAutospacing="0" w:line="360" w:lineRule="auto"/>
              <w:ind w:left="0" w:leftChars="0" w:right="0" w:firstLine="0" w:firstLineChars="0"/>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涂层表面色泽有明显变化，但无气泡等缺陷，底金属无锈点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pStyle w:val="15"/>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4</w:t>
            </w:r>
          </w:p>
        </w:tc>
        <w:tc>
          <w:tcPr>
            <w:tcW w:w="3492" w:type="dxa"/>
            <w:vAlign w:val="center"/>
          </w:tcPr>
          <w:p>
            <w:pPr>
              <w:pStyle w:val="15"/>
              <w:pageBreakBefore w:val="0"/>
              <w:kinsoku/>
              <w:wordWrap/>
              <w:overflowPunct/>
              <w:topLinePunct w:val="0"/>
              <w:bidi w:val="0"/>
              <w:spacing w:beforeAutospacing="0" w:line="360" w:lineRule="auto"/>
              <w:ind w:left="0" w:leftChars="0" w:right="0" w:firstLine="0" w:firstLineChars="0"/>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光泽颜色明显变化，底金属有明显腐蚀点</w:t>
            </w:r>
          </w:p>
        </w:tc>
        <w:tc>
          <w:tcPr>
            <w:tcW w:w="5126" w:type="dxa"/>
            <w:vAlign w:val="center"/>
          </w:tcPr>
          <w:p>
            <w:pPr>
              <w:pStyle w:val="15"/>
              <w:pageBreakBefore w:val="0"/>
              <w:kinsoku/>
              <w:wordWrap/>
              <w:overflowPunct/>
              <w:topLinePunct w:val="0"/>
              <w:bidi w:val="0"/>
              <w:spacing w:beforeAutospacing="0" w:line="360" w:lineRule="auto"/>
              <w:ind w:left="0" w:leftChars="0" w:right="0" w:firstLine="0" w:firstLineChars="0"/>
              <w:jc w:val="left"/>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涂层表面色泽明显变化且有气泡或底金属有明显锈点</w:t>
            </w:r>
          </w:p>
        </w:tc>
      </w:tr>
    </w:tbl>
    <w:p>
      <w:pPr>
        <w:pStyle w:val="15"/>
        <w:pageBreakBefore w:val="0"/>
        <w:kinsoku/>
        <w:wordWrap/>
        <w:overflowPunct/>
        <w:topLinePunct w:val="0"/>
        <w:bidi w:val="0"/>
        <w:snapToGrid/>
        <w:spacing w:beforeAutospacing="0" w:line="360" w:lineRule="auto"/>
        <w:ind w:left="0" w:leftChars="0" w:right="0" w:firstLine="420" w:firstLineChars="175"/>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）经人工气候试验后，铝桥架符合下列要求：</w:t>
      </w:r>
    </w:p>
    <w:p>
      <w:pPr>
        <w:pStyle w:val="15"/>
        <w:pageBreakBefore w:val="0"/>
        <w:kinsoku/>
        <w:wordWrap/>
        <w:overflowPunct/>
        <w:topLinePunct w:val="0"/>
        <w:bidi w:val="0"/>
        <w:snapToGrid/>
        <w:spacing w:beforeAutospacing="0" w:line="360" w:lineRule="auto"/>
        <w:ind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经盐雾或化学腐蚀气体试验后，表面防护层均不低于上表规定的3级的要求，底金属包括边缘处均没有明显的锈点产生；</w:t>
      </w:r>
    </w:p>
    <w:p>
      <w:pPr>
        <w:pStyle w:val="15"/>
        <w:pageBreakBefore w:val="0"/>
        <w:kinsoku/>
        <w:wordWrap/>
        <w:overflowPunct/>
        <w:topLinePunct w:val="0"/>
        <w:bidi w:val="0"/>
        <w:snapToGrid/>
        <w:spacing w:beforeAutospacing="0" w:line="360" w:lineRule="auto"/>
        <w:ind w:right="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对户外防腐型铝桥架，当采用耐候粉末涂料、防腐漆、耐候重防腐涂料作防护层时，经紫外线冷凝试验后涂层的光泽保持率不低于原始光泽率的50%，且表面无气泡产生。</w:t>
      </w:r>
    </w:p>
    <w:p>
      <w:pPr>
        <w:pStyle w:val="15"/>
        <w:pageBreakBefore w:val="0"/>
        <w:numPr>
          <w:ilvl w:val="0"/>
          <w:numId w:val="2"/>
        </w:numPr>
        <w:kinsoku/>
        <w:wordWrap/>
        <w:overflowPunct/>
        <w:topLinePunct w:val="0"/>
        <w:bidi w:val="0"/>
        <w:snapToGrid/>
        <w:spacing w:beforeAutospacing="0" w:line="360" w:lineRule="auto"/>
        <w:ind w:left="0" w:leftChars="0" w:righ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电缆桥架（包括支架和线槽）均可靠接地，选用</w:t>
      </w:r>
      <w:r>
        <w:rPr>
          <w:rFonts w:hint="eastAsia" w:cs="宋体"/>
          <w:color w:val="auto"/>
          <w:kern w:val="2"/>
          <w:sz w:val="24"/>
          <w:szCs w:val="24"/>
          <w:highlight w:val="none"/>
          <w:lang w:val="en-US" w:eastAsia="zh-CN" w:bidi="ar-SA"/>
        </w:rPr>
        <w:t>25</w:t>
      </w:r>
      <w:r>
        <w:rPr>
          <w:rFonts w:hint="eastAsia" w:ascii="宋体" w:hAnsi="宋体" w:eastAsia="宋体" w:cs="宋体"/>
          <w:color w:val="auto"/>
          <w:kern w:val="2"/>
          <w:sz w:val="24"/>
          <w:szCs w:val="24"/>
          <w:highlight w:val="none"/>
          <w:lang w:val="en-US" w:eastAsia="zh-CN" w:bidi="ar-SA"/>
        </w:rPr>
        <w:t>×</w:t>
      </w:r>
      <w:r>
        <w:rPr>
          <w:rFonts w:hint="eastAsia"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mm</w:t>
      </w:r>
      <w:r>
        <w:rPr>
          <w:rFonts w:hint="eastAsia" w:cs="宋体"/>
          <w:color w:val="auto"/>
          <w:kern w:val="2"/>
          <w:sz w:val="24"/>
          <w:szCs w:val="24"/>
          <w:highlight w:val="none"/>
          <w:lang w:val="en-US" w:eastAsia="zh-CN" w:bidi="ar-SA"/>
        </w:rPr>
        <w:t>、40×4mm</w:t>
      </w:r>
      <w:r>
        <w:rPr>
          <w:rFonts w:hint="eastAsia" w:ascii="宋体" w:hAnsi="宋体" w:eastAsia="宋体" w:cs="宋体"/>
          <w:color w:val="auto"/>
          <w:kern w:val="2"/>
          <w:sz w:val="24"/>
          <w:szCs w:val="24"/>
          <w:highlight w:val="none"/>
          <w:lang w:val="en-US" w:eastAsia="zh-CN" w:bidi="ar-SA"/>
        </w:rPr>
        <w:t>热镀锌扁钢作接地干线，通长敷设。同时，桥架跨接地线符合国家相关规范的要求（双重接地）。每层桥架的端部用软铜编织带（截面积不小于6平方毫米）联接并和接地干线相连。长距离电缆桥架隔30至50米接地一次，接地点不少于两处。</w:t>
      </w:r>
      <w:bookmarkStart w:id="17" w:name="_Toc245702438"/>
      <w:bookmarkStart w:id="18" w:name="_Toc245702043"/>
      <w:bookmarkStart w:id="19" w:name="_Toc11502664"/>
      <w:bookmarkStart w:id="20" w:name="_Toc59457551"/>
      <w:bookmarkStart w:id="21" w:name="_Toc247095818"/>
    </w:p>
    <w:p>
      <w:pPr>
        <w:spacing w:line="360" w:lineRule="auto"/>
        <w:ind w:firstLine="480" w:firstLineChars="200"/>
        <w:rPr>
          <w:rFonts w:ascii="宋体" w:hAnsi="宋体" w:cs="宋体"/>
          <w:color w:val="FF0000"/>
          <w:sz w:val="24"/>
          <w:szCs w:val="24"/>
        </w:rPr>
      </w:pPr>
      <w:r>
        <w:rPr>
          <w:rFonts w:hint="eastAsia" w:ascii="宋体" w:hAnsi="宋体" w:cs="宋体"/>
          <w:color w:val="FF0000"/>
          <w:sz w:val="24"/>
          <w:szCs w:val="24"/>
          <w:lang w:val="en-US" w:eastAsia="zh-CN"/>
        </w:rPr>
        <w:t>12、</w:t>
      </w:r>
      <w:r>
        <w:rPr>
          <w:rFonts w:hint="eastAsia" w:ascii="宋体" w:hAnsi="宋体" w:cs="宋体"/>
          <w:color w:val="FF0000"/>
          <w:sz w:val="24"/>
          <w:szCs w:val="24"/>
        </w:rPr>
        <w:t xml:space="preserve"> 根据JB/T10216-2013规程规定，铝合金电缆桥架板材厚度应根据桥架的宽度的增加而增加，具体不同宽度桥架的板材厚度要求见下表：</w:t>
      </w:r>
    </w:p>
    <w:tbl>
      <w:tblPr>
        <w:tblStyle w:val="11"/>
        <w:tblW w:w="8336" w:type="dxa"/>
        <w:tblCellSpacing w:w="0" w:type="dxa"/>
        <w:tblInd w:w="0" w:type="dxa"/>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Layout w:type="fixed"/>
        <w:tblCellMar>
          <w:top w:w="0" w:type="dxa"/>
          <w:left w:w="0" w:type="dxa"/>
          <w:bottom w:w="0" w:type="dxa"/>
          <w:right w:w="0" w:type="dxa"/>
        </w:tblCellMar>
      </w:tblPr>
      <w:tblGrid>
        <w:gridCol w:w="1840"/>
        <w:gridCol w:w="2166"/>
        <w:gridCol w:w="2166"/>
        <w:gridCol w:w="2164"/>
      </w:tblGrid>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CellMar>
            <w:top w:w="0" w:type="dxa"/>
            <w:left w:w="0" w:type="dxa"/>
            <w:bottom w:w="0" w:type="dxa"/>
            <w:right w:w="0" w:type="dxa"/>
          </w:tblCellMar>
        </w:tblPrEx>
        <w:trPr>
          <w:tblHeader/>
          <w:tblCellSpacing w:w="0" w:type="dxa"/>
        </w:trPr>
        <w:tc>
          <w:tcPr>
            <w:tcW w:w="1840" w:type="dxa"/>
          </w:tcPr>
          <w:p>
            <w:pPr>
              <w:widowControl/>
              <w:spacing w:line="360" w:lineRule="auto"/>
              <w:jc w:val="center"/>
              <w:rPr>
                <w:rFonts w:ascii="宋体" w:hAnsi="宋体" w:cs="宋体"/>
                <w:szCs w:val="21"/>
              </w:rPr>
            </w:pPr>
            <w:r>
              <w:rPr>
                <w:rFonts w:hint="eastAsia" w:ascii="宋体" w:hAnsi="宋体" w:cs="宋体"/>
                <w:szCs w:val="21"/>
              </w:rPr>
              <w:t>宽度B(mm)</w:t>
            </w:r>
          </w:p>
        </w:tc>
        <w:tc>
          <w:tcPr>
            <w:tcW w:w="2166" w:type="dxa"/>
          </w:tcPr>
          <w:p>
            <w:pPr>
              <w:widowControl/>
              <w:spacing w:line="360" w:lineRule="auto"/>
              <w:jc w:val="center"/>
              <w:rPr>
                <w:rFonts w:ascii="宋体" w:hAnsi="宋体" w:cs="宋体"/>
                <w:szCs w:val="21"/>
              </w:rPr>
            </w:pPr>
            <w:r>
              <w:rPr>
                <w:rFonts w:hint="eastAsia" w:ascii="宋体" w:hAnsi="宋体" w:cs="宋体"/>
                <w:szCs w:val="21"/>
              </w:rPr>
              <w:t>允许最小板厚(mm)</w:t>
            </w:r>
          </w:p>
        </w:tc>
        <w:tc>
          <w:tcPr>
            <w:tcW w:w="2166" w:type="dxa"/>
          </w:tcPr>
          <w:p>
            <w:pPr>
              <w:widowControl/>
              <w:spacing w:line="360" w:lineRule="auto"/>
              <w:jc w:val="center"/>
              <w:rPr>
                <w:rFonts w:ascii="宋体" w:hAnsi="宋体" w:cs="宋体"/>
                <w:szCs w:val="21"/>
              </w:rPr>
            </w:pPr>
            <w:r>
              <w:rPr>
                <w:rFonts w:hint="eastAsia" w:ascii="宋体" w:hAnsi="宋体" w:cs="宋体"/>
                <w:szCs w:val="21"/>
              </w:rPr>
              <w:t>盖板厚(mm)</w:t>
            </w:r>
          </w:p>
        </w:tc>
        <w:tc>
          <w:tcPr>
            <w:tcW w:w="2164" w:type="dxa"/>
          </w:tcPr>
          <w:p>
            <w:pPr>
              <w:widowControl/>
              <w:spacing w:line="360" w:lineRule="auto"/>
              <w:jc w:val="center"/>
              <w:rPr>
                <w:rFonts w:ascii="宋体" w:hAnsi="宋体" w:cs="宋体"/>
                <w:szCs w:val="21"/>
              </w:rPr>
            </w:pPr>
            <w:r>
              <w:rPr>
                <w:rFonts w:hint="eastAsia" w:ascii="宋体" w:hAnsi="宋体" w:cs="宋体"/>
                <w:szCs w:val="21"/>
              </w:rPr>
              <w:t>备注</w:t>
            </w:r>
          </w:p>
        </w:tc>
      </w:tr>
      <w:tr>
        <w:tblPrEx>
          <w:tblBorders>
            <w:top w:val="outset" w:color="CCCCCC" w:sz="6" w:space="0"/>
            <w:left w:val="outset" w:color="CCCCCC" w:sz="6" w:space="0"/>
            <w:bottom w:val="outset" w:color="CCCCCC" w:sz="6" w:space="0"/>
            <w:right w:val="outset" w:color="CCCCCC" w:sz="6" w:space="0"/>
            <w:insideH w:val="outset" w:color="CCCCCC" w:sz="6" w:space="0"/>
            <w:insideV w:val="outset" w:color="CCCCCC" w:sz="6" w:space="0"/>
          </w:tblBorders>
        </w:tblPrEx>
        <w:trPr>
          <w:tblCellSpacing w:w="0" w:type="dxa"/>
        </w:trPr>
        <w:tc>
          <w:tcPr>
            <w:tcW w:w="1840" w:type="dxa"/>
          </w:tcPr>
          <w:p>
            <w:pPr>
              <w:widowControl/>
              <w:spacing w:line="360" w:lineRule="auto"/>
              <w:jc w:val="center"/>
              <w:rPr>
                <w:rFonts w:ascii="宋体" w:hAnsi="宋体" w:cs="宋体"/>
                <w:szCs w:val="21"/>
              </w:rPr>
            </w:pPr>
            <w:r>
              <w:rPr>
                <w:rFonts w:hint="eastAsia" w:ascii="宋体" w:hAnsi="宋体" w:cs="宋体"/>
                <w:szCs w:val="21"/>
              </w:rPr>
              <w:t>B≤150</w:t>
            </w:r>
          </w:p>
          <w:p>
            <w:pPr>
              <w:widowControl/>
              <w:spacing w:line="360" w:lineRule="auto"/>
              <w:jc w:val="center"/>
              <w:rPr>
                <w:rFonts w:ascii="宋体" w:hAnsi="宋体" w:cs="宋体"/>
                <w:szCs w:val="21"/>
              </w:rPr>
            </w:pPr>
            <w:r>
              <w:rPr>
                <w:rFonts w:hint="eastAsia" w:ascii="宋体" w:hAnsi="宋体" w:cs="宋体"/>
                <w:szCs w:val="21"/>
              </w:rPr>
              <w:t>150＜B≤300</w:t>
            </w:r>
          </w:p>
          <w:p>
            <w:pPr>
              <w:widowControl/>
              <w:spacing w:line="360" w:lineRule="auto"/>
              <w:jc w:val="center"/>
              <w:rPr>
                <w:rFonts w:ascii="宋体" w:hAnsi="宋体" w:cs="宋体"/>
                <w:szCs w:val="21"/>
              </w:rPr>
            </w:pPr>
            <w:r>
              <w:rPr>
                <w:rFonts w:hint="eastAsia" w:ascii="宋体" w:hAnsi="宋体" w:cs="宋体"/>
                <w:szCs w:val="21"/>
              </w:rPr>
              <w:t>300＜B≤500</w:t>
            </w:r>
          </w:p>
          <w:p>
            <w:pPr>
              <w:widowControl/>
              <w:spacing w:line="360" w:lineRule="auto"/>
              <w:jc w:val="center"/>
              <w:rPr>
                <w:rFonts w:ascii="宋体" w:hAnsi="宋体" w:cs="宋体"/>
                <w:szCs w:val="21"/>
              </w:rPr>
            </w:pPr>
            <w:r>
              <w:rPr>
                <w:rFonts w:hint="eastAsia" w:ascii="宋体" w:hAnsi="宋体" w:cs="宋体"/>
                <w:szCs w:val="21"/>
              </w:rPr>
              <w:t>500＜B≤800</w:t>
            </w:r>
          </w:p>
          <w:p>
            <w:pPr>
              <w:widowControl/>
              <w:spacing w:line="360" w:lineRule="auto"/>
              <w:jc w:val="center"/>
              <w:rPr>
                <w:rFonts w:ascii="宋体" w:hAnsi="宋体" w:cs="宋体"/>
                <w:szCs w:val="21"/>
              </w:rPr>
            </w:pPr>
            <w:r>
              <w:rPr>
                <w:rFonts w:hint="eastAsia" w:ascii="宋体" w:hAnsi="宋体" w:cs="宋体"/>
                <w:szCs w:val="21"/>
              </w:rPr>
              <w:t>B＞800</w:t>
            </w:r>
          </w:p>
        </w:tc>
        <w:tc>
          <w:tcPr>
            <w:tcW w:w="2166" w:type="dxa"/>
          </w:tcPr>
          <w:p>
            <w:pPr>
              <w:widowControl/>
              <w:spacing w:line="360" w:lineRule="auto"/>
              <w:jc w:val="center"/>
              <w:rPr>
                <w:rFonts w:ascii="宋体" w:hAnsi="宋体" w:cs="宋体"/>
                <w:szCs w:val="21"/>
              </w:rPr>
            </w:pPr>
            <w:r>
              <w:rPr>
                <w:rFonts w:hint="eastAsia" w:ascii="宋体" w:hAnsi="宋体" w:cs="宋体"/>
                <w:szCs w:val="21"/>
              </w:rPr>
              <w:t>1.2</w:t>
            </w:r>
          </w:p>
          <w:p>
            <w:pPr>
              <w:widowControl/>
              <w:spacing w:line="360" w:lineRule="auto"/>
              <w:jc w:val="center"/>
              <w:rPr>
                <w:rFonts w:ascii="宋体" w:hAnsi="宋体" w:cs="宋体"/>
                <w:szCs w:val="21"/>
              </w:rPr>
            </w:pPr>
            <w:r>
              <w:rPr>
                <w:rFonts w:hint="eastAsia" w:ascii="宋体" w:hAnsi="宋体" w:cs="宋体"/>
                <w:szCs w:val="21"/>
              </w:rPr>
              <w:t>1.5</w:t>
            </w:r>
          </w:p>
          <w:p>
            <w:pPr>
              <w:widowControl/>
              <w:spacing w:line="360" w:lineRule="auto"/>
              <w:jc w:val="center"/>
              <w:rPr>
                <w:rFonts w:ascii="宋体" w:hAnsi="宋体" w:cs="宋体"/>
                <w:szCs w:val="21"/>
              </w:rPr>
            </w:pPr>
            <w:r>
              <w:rPr>
                <w:rFonts w:hint="eastAsia" w:ascii="宋体" w:hAnsi="宋体" w:cs="宋体"/>
                <w:szCs w:val="21"/>
              </w:rPr>
              <w:t>2.0</w:t>
            </w:r>
          </w:p>
          <w:p>
            <w:pPr>
              <w:widowControl/>
              <w:spacing w:line="360" w:lineRule="auto"/>
              <w:jc w:val="center"/>
              <w:rPr>
                <w:rFonts w:ascii="宋体" w:hAnsi="宋体" w:cs="宋体"/>
                <w:szCs w:val="21"/>
              </w:rPr>
            </w:pPr>
            <w:r>
              <w:rPr>
                <w:rFonts w:hint="eastAsia" w:ascii="宋体" w:hAnsi="宋体" w:cs="宋体"/>
                <w:szCs w:val="21"/>
              </w:rPr>
              <w:t>2.2</w:t>
            </w:r>
          </w:p>
          <w:p>
            <w:pPr>
              <w:widowControl/>
              <w:spacing w:line="360" w:lineRule="auto"/>
              <w:jc w:val="center"/>
              <w:rPr>
                <w:rFonts w:ascii="宋体" w:hAnsi="宋体" w:cs="宋体"/>
                <w:szCs w:val="21"/>
              </w:rPr>
            </w:pPr>
            <w:r>
              <w:rPr>
                <w:rFonts w:hint="eastAsia" w:ascii="宋体" w:hAnsi="宋体" w:cs="宋体"/>
                <w:szCs w:val="21"/>
              </w:rPr>
              <w:t>2.5</w:t>
            </w:r>
          </w:p>
        </w:tc>
        <w:tc>
          <w:tcPr>
            <w:tcW w:w="2166" w:type="dxa"/>
          </w:tcPr>
          <w:p>
            <w:pPr>
              <w:widowControl/>
              <w:spacing w:line="360" w:lineRule="auto"/>
              <w:jc w:val="center"/>
              <w:rPr>
                <w:rFonts w:ascii="宋体" w:hAnsi="宋体" w:cs="宋体"/>
                <w:szCs w:val="21"/>
              </w:rPr>
            </w:pPr>
            <w:r>
              <w:rPr>
                <w:rFonts w:hint="eastAsia" w:ascii="宋体" w:hAnsi="宋体" w:cs="宋体"/>
                <w:szCs w:val="21"/>
              </w:rPr>
              <w:t>1.2</w:t>
            </w:r>
          </w:p>
          <w:p>
            <w:pPr>
              <w:widowControl/>
              <w:spacing w:line="360" w:lineRule="auto"/>
              <w:jc w:val="center"/>
              <w:rPr>
                <w:rFonts w:ascii="宋体" w:hAnsi="宋体" w:cs="宋体"/>
                <w:szCs w:val="21"/>
              </w:rPr>
            </w:pPr>
            <w:r>
              <w:rPr>
                <w:rFonts w:hint="eastAsia" w:ascii="宋体" w:hAnsi="宋体" w:cs="宋体"/>
                <w:szCs w:val="21"/>
              </w:rPr>
              <w:t>1.5</w:t>
            </w:r>
          </w:p>
          <w:p>
            <w:pPr>
              <w:widowControl/>
              <w:spacing w:line="360" w:lineRule="auto"/>
              <w:jc w:val="center"/>
              <w:rPr>
                <w:rFonts w:ascii="宋体" w:hAnsi="宋体" w:cs="宋体"/>
                <w:szCs w:val="21"/>
              </w:rPr>
            </w:pPr>
            <w:r>
              <w:rPr>
                <w:rFonts w:hint="eastAsia" w:ascii="宋体" w:hAnsi="宋体" w:cs="宋体"/>
                <w:szCs w:val="21"/>
              </w:rPr>
              <w:t>1.5</w:t>
            </w:r>
          </w:p>
          <w:p>
            <w:pPr>
              <w:widowControl/>
              <w:spacing w:line="360" w:lineRule="auto"/>
              <w:jc w:val="center"/>
              <w:rPr>
                <w:rFonts w:ascii="宋体" w:hAnsi="宋体" w:cs="宋体"/>
                <w:szCs w:val="21"/>
              </w:rPr>
            </w:pPr>
            <w:r>
              <w:rPr>
                <w:rFonts w:hint="eastAsia" w:ascii="宋体" w:hAnsi="宋体" w:cs="宋体"/>
                <w:szCs w:val="21"/>
              </w:rPr>
              <w:t>1.8</w:t>
            </w:r>
          </w:p>
          <w:p>
            <w:pPr>
              <w:widowControl/>
              <w:spacing w:line="360" w:lineRule="auto"/>
              <w:jc w:val="center"/>
              <w:rPr>
                <w:rFonts w:ascii="宋体" w:hAnsi="宋体" w:cs="宋体"/>
                <w:szCs w:val="21"/>
              </w:rPr>
            </w:pPr>
            <w:r>
              <w:rPr>
                <w:rFonts w:hint="eastAsia" w:ascii="宋体" w:hAnsi="宋体" w:cs="宋体"/>
                <w:szCs w:val="21"/>
              </w:rPr>
              <w:t>2.0</w:t>
            </w:r>
          </w:p>
        </w:tc>
        <w:tc>
          <w:tcPr>
            <w:tcW w:w="2164" w:type="dxa"/>
          </w:tcPr>
          <w:p>
            <w:pPr>
              <w:widowControl/>
              <w:spacing w:line="360" w:lineRule="auto"/>
              <w:jc w:val="center"/>
              <w:rPr>
                <w:rFonts w:ascii="宋体" w:hAnsi="宋体" w:cs="宋体"/>
                <w:szCs w:val="21"/>
              </w:rPr>
            </w:pPr>
            <w:r>
              <w:rPr>
                <w:rFonts w:hint="eastAsia" w:ascii="宋体" w:hAnsi="宋体" w:cs="宋体"/>
                <w:szCs w:val="21"/>
              </w:rPr>
              <w:t>槽式及托盘桥架</w:t>
            </w:r>
          </w:p>
          <w:p>
            <w:pPr>
              <w:widowControl/>
              <w:spacing w:line="360" w:lineRule="auto"/>
              <w:jc w:val="center"/>
              <w:rPr>
                <w:rFonts w:ascii="宋体" w:hAnsi="宋体" w:cs="宋体"/>
                <w:szCs w:val="21"/>
              </w:rPr>
            </w:pPr>
            <w:r>
              <w:rPr>
                <w:rFonts w:hint="eastAsia" w:ascii="宋体" w:hAnsi="宋体" w:cs="宋体"/>
                <w:szCs w:val="21"/>
              </w:rPr>
              <w:t>宽度≤800时，</w:t>
            </w:r>
          </w:p>
          <w:p>
            <w:pPr>
              <w:widowControl/>
              <w:spacing w:line="360" w:lineRule="auto"/>
              <w:jc w:val="center"/>
              <w:rPr>
                <w:rFonts w:ascii="宋体" w:hAnsi="宋体" w:cs="宋体"/>
                <w:szCs w:val="21"/>
              </w:rPr>
            </w:pPr>
            <w:r>
              <w:rPr>
                <w:rFonts w:hint="eastAsia" w:ascii="宋体" w:hAnsi="宋体" w:cs="宋体"/>
                <w:szCs w:val="21"/>
              </w:rPr>
              <w:t>铝板应一次成型。</w:t>
            </w:r>
          </w:p>
          <w:p>
            <w:pPr>
              <w:widowControl/>
              <w:spacing w:line="360" w:lineRule="auto"/>
              <w:jc w:val="center"/>
              <w:rPr>
                <w:rFonts w:ascii="宋体" w:hAnsi="宋体" w:cs="宋体"/>
                <w:szCs w:val="21"/>
              </w:rPr>
            </w:pPr>
            <w:r>
              <w:rPr>
                <w:rFonts w:hint="eastAsia" w:ascii="宋体" w:hAnsi="宋体" w:cs="宋体"/>
                <w:szCs w:val="21"/>
              </w:rPr>
              <w:t>宽度＞800，可</w:t>
            </w:r>
          </w:p>
          <w:p>
            <w:pPr>
              <w:widowControl/>
              <w:spacing w:line="360" w:lineRule="auto"/>
              <w:jc w:val="center"/>
              <w:rPr>
                <w:rFonts w:ascii="宋体" w:hAnsi="宋体" w:cs="宋体"/>
                <w:szCs w:val="21"/>
              </w:rPr>
            </w:pPr>
            <w:r>
              <w:rPr>
                <w:rFonts w:hint="eastAsia" w:ascii="宋体" w:hAnsi="宋体" w:cs="宋体"/>
                <w:szCs w:val="21"/>
              </w:rPr>
              <w:t>采用组装型。</w:t>
            </w:r>
          </w:p>
        </w:tc>
      </w:tr>
    </w:tbl>
    <w:p>
      <w:pPr>
        <w:pStyle w:val="15"/>
        <w:pageBreakBefore w:val="0"/>
        <w:numPr>
          <w:ilvl w:val="0"/>
          <w:numId w:val="0"/>
        </w:numPr>
        <w:kinsoku/>
        <w:wordWrap/>
        <w:overflowPunct/>
        <w:topLinePunct w:val="0"/>
        <w:bidi w:val="0"/>
        <w:snapToGrid/>
        <w:spacing w:beforeAutospacing="0" w:line="360" w:lineRule="auto"/>
        <w:ind w:right="0" w:rightChars="0"/>
        <w:jc w:val="left"/>
        <w:textAlignment w:val="auto"/>
        <w:rPr>
          <w:rFonts w:hint="eastAsia" w:ascii="宋体" w:hAnsi="宋体" w:eastAsia="宋体" w:cs="宋体"/>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b/>
          <w:bCs/>
          <w:kern w:val="44"/>
          <w:sz w:val="32"/>
          <w:szCs w:val="32"/>
          <w:lang w:val="en-US" w:eastAsia="zh-CN" w:bidi="ar-SA"/>
        </w:rPr>
      </w:pPr>
      <w:r>
        <w:rPr>
          <w:rFonts w:hint="eastAsia" w:cs="Times New Roman"/>
          <w:b/>
          <w:bCs/>
          <w:kern w:val="44"/>
          <w:sz w:val="32"/>
          <w:szCs w:val="32"/>
          <w:lang w:val="en-US" w:eastAsia="zh-CN" w:bidi="ar-SA"/>
        </w:rPr>
        <w:t>四、关于</w:t>
      </w:r>
      <w:r>
        <w:rPr>
          <w:rFonts w:hint="eastAsia" w:ascii="Calibri" w:hAnsi="Calibri" w:eastAsia="宋体" w:cs="Times New Roman"/>
          <w:b/>
          <w:bCs/>
          <w:kern w:val="44"/>
          <w:sz w:val="32"/>
          <w:szCs w:val="32"/>
          <w:lang w:val="en-US" w:eastAsia="zh-CN" w:bidi="ar-SA"/>
        </w:rPr>
        <w:t>包装、运输、装卸</w:t>
      </w:r>
      <w:bookmarkEnd w:id="17"/>
      <w:bookmarkEnd w:id="18"/>
      <w:bookmarkEnd w:id="19"/>
      <w:bookmarkEnd w:id="20"/>
      <w:bookmarkEnd w:id="21"/>
    </w:p>
    <w:p>
      <w:pPr>
        <w:pStyle w:val="3"/>
        <w:bidi w:val="0"/>
        <w:spacing w:before="0" w:beforeLines="0" w:after="0" w:afterLines="0"/>
        <w:ind w:firstLine="321" w:firstLineChars="100"/>
        <w:rPr>
          <w:rFonts w:hint="eastAsia" w:asciiTheme="minorEastAsia" w:hAnsiTheme="minorEastAsia" w:eastAsiaTheme="minorEastAsia" w:cstheme="minorEastAsia"/>
          <w:b/>
          <w:bCs/>
          <w:color w:val="auto"/>
          <w:kern w:val="2"/>
          <w:sz w:val="32"/>
          <w:szCs w:val="32"/>
          <w:highlight w:val="none"/>
          <w:lang w:val="en-US" w:eastAsia="zh-CN" w:bidi="ar-SA"/>
        </w:rPr>
      </w:pPr>
      <w:r>
        <w:rPr>
          <w:rFonts w:hint="eastAsia" w:asciiTheme="minorEastAsia" w:hAnsiTheme="minorEastAsia" w:eastAsiaTheme="minorEastAsia" w:cstheme="minorEastAsia"/>
          <w:b/>
          <w:bCs/>
          <w:color w:val="auto"/>
          <w:kern w:val="2"/>
          <w:sz w:val="32"/>
          <w:szCs w:val="32"/>
          <w:highlight w:val="none"/>
          <w:lang w:val="en-US" w:eastAsia="zh-CN" w:bidi="ar-SA"/>
        </w:rPr>
        <w:t>4.1包装</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.1.1设备的包装、运输应符合“GB191”包装储运指示标志的规定，且含装箱单、合格证。</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.1.2电气设备必须严格包装，以确保在运输保管期间不被损坏，并防止受潮。包装费包括在设备总价内。</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.1.3所有外露部分应有保护装置，防止在运输和储存期间损坏。</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.1.4凡是电子、电器和仪表设备包装应确保在运输过程中和保管期间的安全，不发生损坏，并防止设备受潮.</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.1.5在包装箱外应标明甲方的订货号、发货号。</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.1.6各种包装应能确保各零部件在运输过程中不致遭到损坏、丢失、变形、受潮和腐蚀。</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.1.7包装箱上应有明显的包装储运图示标志(按GB191)。</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.1.8随产品提供的技术资料应完整无缺，提供份数符合GB11032的要求。</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.1.9需要现场连接的螺纹孔或管座的焊接孔应采用螺纹或其它方式予以保护。</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.1.10遮盖物、金属带子或紧扣件不应焊在设备上。</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.1.12包装箱内应考虑设备的支撑与固定，所有松散部件要另用小箱盒装好放入箱内。</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1.13每个包装件必须有与该包装件相符合的装箱单，放置于包装件明显位置上，并应采用防潮的密封袋包装。包装件内装入的零部件，必须有明显的标记与标签，标明部件号、编号、名称、数量等，并应与装箱单一致。</w:t>
      </w:r>
    </w:p>
    <w:p>
      <w:pPr>
        <w:pStyle w:val="3"/>
        <w:bidi w:val="0"/>
        <w:spacing w:before="0" w:beforeLines="0" w:after="0" w:afterLines="0"/>
        <w:ind w:firstLine="321" w:firstLineChars="100"/>
        <w:rPr>
          <w:rFonts w:hint="eastAsia" w:asciiTheme="minorEastAsia" w:hAnsiTheme="minorEastAsia" w:eastAsiaTheme="minorEastAsia" w:cstheme="minorEastAsia"/>
          <w:b/>
          <w:bCs/>
          <w:color w:val="auto"/>
          <w:kern w:val="2"/>
          <w:sz w:val="32"/>
          <w:szCs w:val="32"/>
          <w:highlight w:val="none"/>
          <w:lang w:val="en-US" w:eastAsia="zh-CN" w:bidi="ar-SA"/>
        </w:rPr>
      </w:pPr>
      <w:r>
        <w:rPr>
          <w:rFonts w:hint="eastAsia" w:asciiTheme="minorEastAsia" w:hAnsiTheme="minorEastAsia" w:eastAsiaTheme="minorEastAsia" w:cstheme="minorEastAsia"/>
          <w:b/>
          <w:bCs/>
          <w:color w:val="auto"/>
          <w:kern w:val="2"/>
          <w:sz w:val="32"/>
          <w:szCs w:val="32"/>
          <w:highlight w:val="none"/>
          <w:lang w:val="en-US" w:eastAsia="zh-CN" w:bidi="ar-SA"/>
        </w:rPr>
        <w:t>4.2运输</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.2.1包装件应符合运输作业的规定，以避免在运输和装卸时包装件内的部件产生滑动、撞击和磨损，造成部件的损坏。</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.2.2包装件上应有以下标志：</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运输作业标志（包括防潮、防震、放置位置方向、重心位置、绳索固定部件等）；</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发货标志：出厂编号、箱号、发货站（港）、到货站（港），体积（长×</w:t>
      </w:r>
      <w:r>
        <w:rPr>
          <w:rFonts w:hint="eastAsia" w:ascii="宋体" w:hAnsi="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宽×高），设备名称，毛重（公斤），发货单位，收货单位；设备存放和保管要求等级。</w:t>
      </w:r>
    </w:p>
    <w:p>
      <w:pPr>
        <w:pStyle w:val="10"/>
        <w:rPr>
          <w:rFonts w:hint="eastAsia" w:ascii="宋体" w:hAnsi="宋体" w:eastAsia="宋体" w:cs="宋体"/>
          <w:color w:val="auto"/>
          <w:kern w:val="2"/>
          <w:sz w:val="24"/>
          <w:szCs w:val="24"/>
          <w:highlight w:val="none"/>
          <w:lang w:val="en-US" w:eastAsia="zh-CN" w:bidi="ar-SA"/>
        </w:rPr>
      </w:pPr>
    </w:p>
    <w:p>
      <w:pPr>
        <w:rPr>
          <w:rFonts w:hint="eastAsia" w:ascii="宋体" w:hAnsi="宋体" w:eastAsia="宋体" w:cs="宋体"/>
          <w:color w:val="auto"/>
          <w:kern w:val="2"/>
          <w:sz w:val="24"/>
          <w:szCs w:val="24"/>
          <w:highlight w:val="none"/>
          <w:lang w:val="en-US" w:eastAsia="zh-CN" w:bidi="ar-SA"/>
        </w:rPr>
      </w:pPr>
    </w:p>
    <w:p>
      <w:pPr>
        <w:spacing w:line="360" w:lineRule="auto"/>
        <w:rPr>
          <w:rFonts w:hint="eastAsia" w:ascii="宋体" w:hAnsi="宋体" w:cs="宋体"/>
          <w:sz w:val="24"/>
          <w:szCs w:val="24"/>
          <w:lang w:eastAsia="zh-CN"/>
        </w:rPr>
      </w:pPr>
    </w:p>
    <w:p>
      <w:pPr>
        <w:spacing w:line="360" w:lineRule="auto"/>
        <w:rPr>
          <w:rFonts w:hint="eastAsia" w:ascii="宋体" w:hAnsi="宋体" w:cs="宋体"/>
          <w:sz w:val="24"/>
          <w:szCs w:val="24"/>
          <w:lang w:eastAsia="zh-CN"/>
        </w:rPr>
      </w:pPr>
    </w:p>
    <w:p>
      <w:pPr>
        <w:spacing w:line="360" w:lineRule="auto"/>
        <w:rPr>
          <w:rFonts w:hint="eastAsia" w:ascii="宋体" w:hAnsi="宋体" w:cs="宋体"/>
          <w:sz w:val="24"/>
          <w:szCs w:val="24"/>
          <w:lang w:eastAsia="zh-CN"/>
        </w:rPr>
      </w:pPr>
    </w:p>
    <w:p>
      <w:pPr>
        <w:spacing w:line="360" w:lineRule="auto"/>
        <w:rPr>
          <w:rFonts w:hint="eastAsia" w:ascii="宋体" w:hAnsi="宋体" w:cs="宋体"/>
          <w:sz w:val="24"/>
          <w:szCs w:val="24"/>
          <w:lang w:eastAsia="zh-CN"/>
        </w:rPr>
      </w:pPr>
    </w:p>
    <w:p>
      <w:pPr>
        <w:spacing w:line="360" w:lineRule="auto"/>
        <w:rPr>
          <w:rFonts w:hint="eastAsia" w:ascii="宋体" w:hAnsi="宋体" w:cs="宋体"/>
          <w:sz w:val="24"/>
          <w:szCs w:val="24"/>
          <w:lang w:eastAsia="zh-CN"/>
        </w:rPr>
      </w:pPr>
    </w:p>
    <w:p>
      <w:pPr>
        <w:spacing w:line="360" w:lineRule="auto"/>
        <w:rPr>
          <w:rFonts w:hint="eastAsia" w:ascii="宋体" w:hAnsi="宋体" w:cs="宋体"/>
          <w:sz w:val="24"/>
          <w:szCs w:val="24"/>
          <w:lang w:eastAsia="zh-CN"/>
        </w:rPr>
      </w:pPr>
    </w:p>
    <w:p>
      <w:pPr>
        <w:spacing w:line="360" w:lineRule="auto"/>
        <w:rPr>
          <w:rFonts w:hint="eastAsia" w:ascii="宋体" w:hAnsi="宋体" w:cs="宋体"/>
          <w:sz w:val="24"/>
          <w:szCs w:val="24"/>
          <w:lang w:eastAsia="zh-CN"/>
        </w:rPr>
      </w:pPr>
    </w:p>
    <w:p>
      <w:pPr>
        <w:spacing w:line="360" w:lineRule="auto"/>
        <w:rPr>
          <w:rFonts w:hint="eastAsia" w:ascii="宋体" w:hAnsi="宋体" w:cs="宋体"/>
          <w:sz w:val="24"/>
          <w:szCs w:val="24"/>
          <w:lang w:eastAsia="zh-CN"/>
        </w:rPr>
      </w:pPr>
    </w:p>
    <w:p>
      <w:pPr>
        <w:spacing w:line="360" w:lineRule="auto"/>
        <w:rPr>
          <w:rFonts w:hint="eastAsia" w:ascii="宋体" w:hAnsi="宋体" w:cs="宋体"/>
          <w:sz w:val="24"/>
          <w:szCs w:val="24"/>
          <w:lang w:eastAsia="zh-CN"/>
        </w:rPr>
      </w:pPr>
    </w:p>
    <w:p>
      <w:pPr>
        <w:spacing w:line="360" w:lineRule="auto"/>
        <w:rPr>
          <w:rFonts w:hint="eastAsia" w:ascii="宋体" w:hAnsi="宋体" w:cs="宋体"/>
          <w:sz w:val="24"/>
          <w:szCs w:val="24"/>
          <w:lang w:eastAsia="zh-CN"/>
        </w:rPr>
      </w:pPr>
    </w:p>
    <w:p>
      <w:pPr>
        <w:spacing w:line="360" w:lineRule="auto"/>
        <w:rPr>
          <w:rFonts w:hint="eastAsia" w:ascii="宋体" w:hAnsi="宋体" w:cs="宋体"/>
          <w:sz w:val="24"/>
          <w:szCs w:val="24"/>
          <w:lang w:eastAsia="zh-CN"/>
        </w:rPr>
      </w:pPr>
    </w:p>
    <w:p>
      <w:pPr>
        <w:spacing w:line="360" w:lineRule="auto"/>
        <w:rPr>
          <w:rFonts w:hint="eastAsia" w:ascii="宋体" w:hAnsi="宋体" w:cs="宋体"/>
          <w:sz w:val="24"/>
          <w:szCs w:val="24"/>
          <w:lang w:eastAsia="zh-CN"/>
        </w:rPr>
        <w:sectPr>
          <w:footerReference r:id="rId3" w:type="default"/>
          <w:pgSz w:w="11906" w:h="16838"/>
          <w:pgMar w:top="1440" w:right="1800" w:bottom="1440" w:left="1800" w:header="851" w:footer="992" w:gutter="0"/>
          <w:cols w:space="425" w:num="1"/>
          <w:docGrid w:type="lines" w:linePitch="312" w:charSpace="0"/>
        </w:sectPr>
      </w:pPr>
    </w:p>
    <w:p>
      <w:pPr>
        <w:spacing w:line="360" w:lineRule="auto"/>
        <w:rPr>
          <w:rFonts w:hint="eastAsia" w:ascii="宋体" w:hAnsi="宋体" w:cs="宋体"/>
          <w:sz w:val="24"/>
          <w:szCs w:val="24"/>
          <w:lang w:val="en-US" w:eastAsia="zh-CN"/>
        </w:rPr>
      </w:pPr>
      <w:bookmarkStart w:id="22" w:name="_Toc384732089"/>
      <w:bookmarkStart w:id="23" w:name="_Toc384731782"/>
      <w:bookmarkStart w:id="24" w:name="_Toc384732151"/>
      <w:bookmarkStart w:id="25" w:name="_Toc352435989"/>
      <w:bookmarkStart w:id="26" w:name="_Toc352258391"/>
      <w:bookmarkStart w:id="27" w:name="_Toc10776"/>
      <w:bookmarkStart w:id="28" w:name="_Toc353295798"/>
      <w:bookmarkStart w:id="29" w:name="_Toc352253968"/>
      <w:bookmarkStart w:id="30" w:name="_Toc352252749"/>
      <w:bookmarkStart w:id="31" w:name="_Toc384731743"/>
      <w:bookmarkStart w:id="32" w:name="_Toc381169779"/>
      <w:r>
        <w:rPr>
          <w:rFonts w:hint="eastAsia" w:ascii="宋体" w:hAnsi="宋体" w:cs="宋体"/>
          <w:sz w:val="24"/>
          <w:szCs w:val="24"/>
          <w:lang w:val="en-US" w:eastAsia="zh-CN"/>
        </w:rPr>
        <w:t>签字页及联系方式</w:t>
      </w:r>
      <w:bookmarkEnd w:id="22"/>
      <w:bookmarkEnd w:id="23"/>
      <w:bookmarkEnd w:id="24"/>
      <w:bookmarkEnd w:id="25"/>
      <w:bookmarkEnd w:id="26"/>
      <w:bookmarkEnd w:id="27"/>
      <w:bookmarkEnd w:id="28"/>
      <w:bookmarkEnd w:id="29"/>
      <w:bookmarkEnd w:id="30"/>
      <w:bookmarkEnd w:id="31"/>
      <w:bookmarkEnd w:id="32"/>
    </w:p>
    <w:p>
      <w:pPr>
        <w:spacing w:line="360" w:lineRule="auto"/>
        <w:rPr>
          <w:rFonts w:hint="default" w:ascii="宋体" w:hAnsi="宋体" w:cs="宋体"/>
          <w:sz w:val="24"/>
          <w:szCs w:val="24"/>
          <w:lang w:val="en-US" w:eastAsia="zh-CN"/>
        </w:rPr>
      </w:pPr>
      <w:r>
        <w:rPr>
          <w:rFonts w:hint="eastAsia" w:ascii="宋体" w:hAnsi="宋体" w:cs="宋体"/>
          <w:sz w:val="24"/>
          <w:szCs w:val="24"/>
          <w:lang w:val="en-US" w:eastAsia="zh-CN"/>
        </w:rPr>
        <w:t>甲    方:中机国际工程设计研究院有限公司</w:t>
      </w:r>
    </w:p>
    <w:p>
      <w:pPr>
        <w:spacing w:line="360" w:lineRule="auto"/>
        <w:rPr>
          <w:rFonts w:hint="eastAsia" w:ascii="宋体" w:hAnsi="宋体" w:eastAsia="宋体" w:cs="宋体"/>
          <w:sz w:val="24"/>
          <w:szCs w:val="24"/>
        </w:rPr>
      </w:pP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授权代表:</w:t>
      </w:r>
    </w:p>
    <w:p>
      <w:pPr>
        <w:spacing w:line="360" w:lineRule="auto"/>
        <w:rPr>
          <w:rFonts w:hint="eastAsia" w:ascii="宋体" w:hAnsi="宋体" w:cs="宋体"/>
          <w:sz w:val="24"/>
          <w:szCs w:val="24"/>
          <w:lang w:val="en-US" w:eastAsia="zh-CN"/>
        </w:rPr>
      </w:pP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日    期:</w:t>
      </w:r>
    </w:p>
    <w:p>
      <w:pPr>
        <w:spacing w:line="360" w:lineRule="auto"/>
        <w:rPr>
          <w:rFonts w:hint="eastAsia" w:ascii="宋体" w:hAnsi="宋体" w:cs="宋体"/>
          <w:sz w:val="24"/>
          <w:szCs w:val="24"/>
          <w:lang w:val="en-US" w:eastAsia="zh-CN"/>
        </w:rPr>
      </w:pPr>
    </w:p>
    <w:p>
      <w:pPr>
        <w:spacing w:line="360" w:lineRule="auto"/>
        <w:rPr>
          <w:rFonts w:hint="eastAsia" w:ascii="宋体" w:hAnsi="宋体" w:cs="宋体"/>
          <w:sz w:val="24"/>
          <w:szCs w:val="24"/>
          <w:lang w:val="en-US" w:eastAsia="zh-CN"/>
        </w:rPr>
      </w:pPr>
    </w:p>
    <w:p>
      <w:pPr>
        <w:spacing w:line="360" w:lineRule="auto"/>
        <w:rPr>
          <w:rFonts w:hint="eastAsia" w:ascii="宋体" w:hAnsi="宋体" w:cs="宋体"/>
          <w:sz w:val="24"/>
          <w:szCs w:val="24"/>
          <w:lang w:val="en-US" w:eastAsia="zh-CN"/>
        </w:rPr>
      </w:pP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乙    方:</w:t>
      </w:r>
    </w:p>
    <w:p>
      <w:pPr>
        <w:spacing w:line="360" w:lineRule="auto"/>
        <w:rPr>
          <w:rFonts w:hint="eastAsia" w:ascii="宋体" w:hAnsi="宋体" w:cs="宋体"/>
          <w:sz w:val="24"/>
          <w:szCs w:val="24"/>
          <w:lang w:val="en-US" w:eastAsia="zh-CN"/>
        </w:rPr>
      </w:pP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授权代表:</w:t>
      </w:r>
    </w:p>
    <w:p>
      <w:pPr>
        <w:spacing w:line="360" w:lineRule="auto"/>
        <w:rPr>
          <w:rFonts w:hint="eastAsia" w:ascii="宋体" w:hAnsi="宋体" w:eastAsia="宋体" w:cs="宋体"/>
          <w:sz w:val="24"/>
          <w:szCs w:val="24"/>
        </w:rPr>
      </w:pPr>
    </w:p>
    <w:p>
      <w:pPr>
        <w:spacing w:line="360" w:lineRule="auto"/>
        <w:rPr>
          <w:rFonts w:hint="default"/>
          <w:lang w:val="en-US" w:eastAsia="zh-CN"/>
        </w:rPr>
      </w:pPr>
      <w:r>
        <w:rPr>
          <w:rFonts w:hint="eastAsia" w:ascii="宋体" w:hAnsi="宋体" w:eastAsia="宋体" w:cs="宋体"/>
          <w:sz w:val="24"/>
          <w:szCs w:val="24"/>
        </w:rPr>
        <w:t>日</w:t>
      </w:r>
      <w:r>
        <w:rPr>
          <w:rFonts w:hint="eastAsia" w:ascii="宋体" w:hAnsi="宋体" w:cs="宋体"/>
          <w:sz w:val="24"/>
          <w:szCs w:val="24"/>
          <w:lang w:val="en-US" w:eastAsia="zh-CN"/>
        </w:rPr>
        <w:t xml:space="preserve">    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8DB7A3"/>
    <w:multiLevelType w:val="singleLevel"/>
    <w:tmpl w:val="D78DB7A3"/>
    <w:lvl w:ilvl="0" w:tentative="0">
      <w:start w:val="3"/>
      <w:numFmt w:val="chineseCounting"/>
      <w:suff w:val="nothing"/>
      <w:lvlText w:val="%1、"/>
      <w:lvlJc w:val="left"/>
      <w:rPr>
        <w:rFonts w:hint="eastAsia"/>
      </w:rPr>
    </w:lvl>
  </w:abstractNum>
  <w:abstractNum w:abstractNumId="1">
    <w:nsid w:val="729171F2"/>
    <w:multiLevelType w:val="singleLevel"/>
    <w:tmpl w:val="729171F2"/>
    <w:lvl w:ilvl="0" w:tentative="0">
      <w:start w:val="1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MjgzZGE3ZmZiY2FhMjViMzU3M2ZlMDkzNTlmMGEifQ=="/>
  </w:docVars>
  <w:rsids>
    <w:rsidRoot w:val="00000000"/>
    <w:rsid w:val="03685A8C"/>
    <w:rsid w:val="049B69AA"/>
    <w:rsid w:val="06BF6D0B"/>
    <w:rsid w:val="0AB15C77"/>
    <w:rsid w:val="0C5D60B6"/>
    <w:rsid w:val="0EFD592E"/>
    <w:rsid w:val="11DE236A"/>
    <w:rsid w:val="135960A0"/>
    <w:rsid w:val="15B30AF5"/>
    <w:rsid w:val="19BD63E6"/>
    <w:rsid w:val="1BA77FC6"/>
    <w:rsid w:val="1BC52E62"/>
    <w:rsid w:val="1F0E4FEE"/>
    <w:rsid w:val="20BB1CDF"/>
    <w:rsid w:val="224376A4"/>
    <w:rsid w:val="27201D62"/>
    <w:rsid w:val="283E4B96"/>
    <w:rsid w:val="2D93302C"/>
    <w:rsid w:val="2F792957"/>
    <w:rsid w:val="36A93269"/>
    <w:rsid w:val="396E1053"/>
    <w:rsid w:val="3AE127E0"/>
    <w:rsid w:val="3DBF7BA4"/>
    <w:rsid w:val="3F7A0AF0"/>
    <w:rsid w:val="4038515C"/>
    <w:rsid w:val="40F45D9F"/>
    <w:rsid w:val="43ED6D31"/>
    <w:rsid w:val="47870766"/>
    <w:rsid w:val="48091C94"/>
    <w:rsid w:val="48EF564A"/>
    <w:rsid w:val="4C736C10"/>
    <w:rsid w:val="4E3F576A"/>
    <w:rsid w:val="55654C60"/>
    <w:rsid w:val="5B9E271C"/>
    <w:rsid w:val="65B23EF2"/>
    <w:rsid w:val="66F01DA6"/>
    <w:rsid w:val="68914293"/>
    <w:rsid w:val="6B6A2039"/>
    <w:rsid w:val="6BEE1314"/>
    <w:rsid w:val="72AA3877"/>
    <w:rsid w:val="75F145C2"/>
    <w:rsid w:val="772667F8"/>
    <w:rsid w:val="774723A6"/>
    <w:rsid w:val="7BF85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after="100" w:afterLines="100" w:line="240" w:lineRule="auto"/>
      <w:ind w:firstLine="0" w:firstLineChars="0"/>
      <w:jc w:val="left"/>
      <w:outlineLvl w:val="0"/>
    </w:pPr>
    <w:rPr>
      <w:b/>
      <w:bCs/>
      <w:kern w:val="44"/>
      <w:sz w:val="30"/>
      <w:szCs w:val="44"/>
    </w:rPr>
  </w:style>
  <w:style w:type="paragraph" w:styleId="3">
    <w:name w:val="heading 2"/>
    <w:basedOn w:val="1"/>
    <w:next w:val="1"/>
    <w:unhideWhenUsed/>
    <w:qFormat/>
    <w:uiPriority w:val="0"/>
    <w:pPr>
      <w:keepNext/>
      <w:keepLines/>
      <w:widowControl w:val="0"/>
      <w:topLinePunct/>
      <w:snapToGrid w:val="0"/>
      <w:spacing w:before="100" w:beforeLines="100" w:after="100" w:afterLines="100"/>
      <w:ind w:firstLine="0" w:firstLineChars="0"/>
      <w:outlineLvl w:val="1"/>
    </w:pPr>
    <w:rPr>
      <w:b/>
      <w:sz w:val="28"/>
    </w:rPr>
  </w:style>
  <w:style w:type="paragraph" w:styleId="4">
    <w:name w:val="heading 3"/>
    <w:basedOn w:val="1"/>
    <w:next w:val="1"/>
    <w:qFormat/>
    <w:uiPriority w:val="0"/>
    <w:pPr>
      <w:keepNext/>
      <w:tabs>
        <w:tab w:val="left" w:pos="525"/>
        <w:tab w:val="left" w:pos="1155"/>
      </w:tabs>
      <w:spacing w:afterLines="50" w:line="360" w:lineRule="auto"/>
      <w:outlineLvl w:val="2"/>
    </w:pPr>
    <w:rPr>
      <w:rFonts w:ascii="Times New Roman" w:hAnsi="Times New Roman"/>
      <w:b/>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Body Text"/>
    <w:basedOn w:val="1"/>
    <w:next w:val="1"/>
    <w:unhideWhenUsed/>
    <w:qFormat/>
    <w:uiPriority w:val="99"/>
    <w:pPr>
      <w:spacing w:before="167"/>
      <w:ind w:left="115" w:firstLine="360"/>
    </w:pPr>
    <w:rPr>
      <w:rFonts w:ascii="宋体" w:hAnsi="宋体"/>
      <w:szCs w:val="24"/>
      <w:lang w:eastAsia="en-US" w:bidi="en-US"/>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qFormat/>
    <w:uiPriority w:val="39"/>
    <w:pPr>
      <w:ind w:left="420" w:leftChars="200"/>
    </w:pPr>
  </w:style>
  <w:style w:type="paragraph" w:styleId="10">
    <w:name w:val="Body Text First Indent"/>
    <w:basedOn w:val="6"/>
    <w:next w:val="1"/>
    <w:qFormat/>
    <w:uiPriority w:val="0"/>
    <w:pPr>
      <w:ind w:firstLine="420" w:firstLineChars="100"/>
    </w:pPr>
  </w:style>
  <w:style w:type="paragraph" w:customStyle="1" w:styleId="13">
    <w:name w:val="合正文-小四"/>
    <w:basedOn w:val="1"/>
    <w:qFormat/>
    <w:uiPriority w:val="0"/>
    <w:pPr>
      <w:spacing w:line="360" w:lineRule="auto"/>
      <w:ind w:firstLine="200" w:firstLineChars="200"/>
    </w:pPr>
    <w:rPr>
      <w:rFonts w:ascii="宋体" w:hAnsi="宋体" w:cs="Times New Roman"/>
      <w:sz w:val="24"/>
      <w:szCs w:val="24"/>
    </w:rPr>
  </w:style>
  <w:style w:type="paragraph" w:customStyle="1" w:styleId="14">
    <w:name w:val="合表标题"/>
    <w:basedOn w:val="15"/>
    <w:qFormat/>
    <w:uiPriority w:val="0"/>
    <w:pPr>
      <w:spacing w:beforeLines="50" w:afterLines="100" w:line="240" w:lineRule="auto"/>
      <w:ind w:left="0"/>
      <w:jc w:val="center"/>
    </w:pPr>
    <w:rPr>
      <w:b/>
    </w:rPr>
  </w:style>
  <w:style w:type="paragraph" w:customStyle="1" w:styleId="15">
    <w:name w:val="正文 + 宋体"/>
    <w:basedOn w:val="1"/>
    <w:qFormat/>
    <w:uiPriority w:val="0"/>
    <w:pPr>
      <w:adjustRightInd w:val="0"/>
      <w:snapToGrid w:val="0"/>
      <w:spacing w:line="360" w:lineRule="auto"/>
      <w:ind w:left="567"/>
    </w:pPr>
    <w:rPr>
      <w:rFonts w:ascii="宋体" w:hAnsi="宋体" w:cs="Times New Roman"/>
      <w:kern w:val="0"/>
      <w:sz w:val="24"/>
      <w:szCs w:val="24"/>
    </w:rPr>
  </w:style>
  <w:style w:type="paragraph" w:customStyle="1" w:styleId="16">
    <w:name w:val="合表后"/>
    <w:basedOn w:val="13"/>
    <w:qFormat/>
    <w:uiPriority w:val="0"/>
    <w:pPr>
      <w:spacing w:beforeLine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4551</Words>
  <Characters>5190</Characters>
  <Lines>0</Lines>
  <Paragraphs>0</Paragraphs>
  <TotalTime>4</TotalTime>
  <ScaleCrop>false</ScaleCrop>
  <LinksUpToDate>false</LinksUpToDate>
  <CharactersWithSpaces>5210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2023-07-02T00:52:00Z</dcterms:created>
  <dc:creator>13716</dc:creator>
  <cp:lastModifiedBy>WEN</cp:lastModifiedBy>
  <dcterms:modified xsi:type="dcterms:W3CDTF">2024-03-23T02:35:32Z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3BD67FCFF6E5471BB048963ADCDE4410_13</vt:lpwstr>
  </property>
</Properties>
</file>