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b/>
          <w:kern w:val="0"/>
          <w:sz w:val="44"/>
          <w:szCs w:val="44"/>
        </w:rPr>
      </w:pPr>
      <w:r>
        <w:rPr>
          <w:rFonts w:hint="eastAsia"/>
          <w:b/>
          <w:kern w:val="0"/>
          <w:sz w:val="44"/>
          <w:szCs w:val="44"/>
        </w:rPr>
        <w:t>雨花区石碑片区</w:t>
      </w:r>
      <w:r>
        <w:rPr>
          <w:rFonts w:hint="eastAsia"/>
          <w:b/>
          <w:kern w:val="0"/>
          <w:sz w:val="44"/>
          <w:szCs w:val="44"/>
          <w:lang w:val="en-US" w:eastAsia="zh-CN"/>
        </w:rPr>
        <w:t>时代阳光大道</w:t>
      </w:r>
      <w:r>
        <w:rPr>
          <w:rFonts w:hint="eastAsia"/>
          <w:b/>
          <w:kern w:val="0"/>
          <w:sz w:val="44"/>
          <w:szCs w:val="44"/>
        </w:rPr>
        <w:t>截污干管交通疏解询价文件</w:t>
      </w:r>
    </w:p>
    <w:p>
      <w:pPr>
        <w:autoSpaceDE w:val="0"/>
        <w:autoSpaceDN w:val="0"/>
        <w:adjustRightInd w:val="0"/>
        <w:rPr>
          <w:b/>
          <w:kern w:val="0"/>
          <w:sz w:val="32"/>
          <w:szCs w:val="32"/>
          <w:u w:val="single"/>
        </w:rPr>
      </w:pPr>
    </w:p>
    <w:p>
      <w:pPr>
        <w:autoSpaceDE w:val="0"/>
        <w:autoSpaceDN w:val="0"/>
        <w:adjustRightInd w:val="0"/>
        <w:rPr>
          <w:b/>
          <w:kern w:val="0"/>
          <w:sz w:val="32"/>
          <w:szCs w:val="32"/>
        </w:rPr>
      </w:pPr>
      <w:r>
        <w:rPr>
          <w:rFonts w:hint="eastAsia"/>
          <w:b/>
          <w:kern w:val="0"/>
          <w:sz w:val="32"/>
          <w:szCs w:val="32"/>
          <w:u w:val="single"/>
        </w:rPr>
        <w:t xml:space="preserve"> </w:t>
      </w:r>
      <w:r>
        <w:rPr>
          <w:b/>
          <w:kern w:val="0"/>
          <w:sz w:val="32"/>
          <w:szCs w:val="32"/>
          <w:u w:val="single"/>
        </w:rPr>
        <w:t xml:space="preserve">                   </w:t>
      </w:r>
      <w:r>
        <w:rPr>
          <w:rFonts w:hint="eastAsia"/>
          <w:b/>
          <w:kern w:val="0"/>
          <w:sz w:val="32"/>
          <w:szCs w:val="32"/>
        </w:rPr>
        <w:t>：</w:t>
      </w:r>
    </w:p>
    <w:p>
      <w:pPr>
        <w:ind w:firstLine="480" w:firstLineChars="200"/>
      </w:pPr>
      <w:r>
        <w:rPr>
          <w:rFonts w:hint="eastAsia"/>
        </w:rPr>
        <w:t>请按</w:t>
      </w:r>
      <w:r>
        <w:t>以下要求</w:t>
      </w:r>
      <w:r>
        <w:rPr>
          <w:rFonts w:hint="eastAsia"/>
        </w:rPr>
        <w:t>提供</w:t>
      </w:r>
      <w:r>
        <w:t>报价及说明。</w:t>
      </w:r>
    </w:p>
    <w:p>
      <w:pPr>
        <w:ind w:firstLine="480" w:firstLineChars="200"/>
      </w:pPr>
      <w:r>
        <w:t>1</w:t>
      </w:r>
      <w:r>
        <w:rPr>
          <w:rFonts w:hint="eastAsia"/>
        </w:rPr>
        <w:t>、采购</w:t>
      </w:r>
      <w:r>
        <w:t>范围：</w:t>
      </w:r>
      <w:r>
        <w:rPr>
          <w:rFonts w:hint="eastAsia"/>
          <w:u w:val="single"/>
          <w:lang w:val="en-US" w:eastAsia="zh-CN"/>
        </w:rPr>
        <w:t>时代阳光大道</w:t>
      </w:r>
      <w:r>
        <w:rPr>
          <w:rFonts w:hint="eastAsia"/>
          <w:u w:val="single"/>
        </w:rPr>
        <w:t>截污干管</w:t>
      </w:r>
      <w:r>
        <w:rPr>
          <w:rFonts w:hint="eastAsia" w:ascii="宋体" w:hAnsi="宋体" w:cs="宋体"/>
          <w:u w:val="single"/>
        </w:rPr>
        <w:t>工程施工占道所涉及的交通疏解方案设计、审批、疏解设施的制作、设置、安装、拆除等工作。</w:t>
      </w:r>
    </w:p>
    <w:p>
      <w:pPr>
        <w:ind w:firstLine="480" w:firstLineChars="200"/>
      </w:pPr>
      <w:r>
        <w:rPr>
          <w:rFonts w:hint="eastAsia"/>
        </w:rPr>
        <w:t>2、工期</w:t>
      </w:r>
      <w:r>
        <w:t>：</w:t>
      </w:r>
      <w:r>
        <w:rPr>
          <w:rFonts w:hint="eastAsia"/>
          <w:lang w:val="en-US" w:eastAsia="zh-CN"/>
        </w:rPr>
        <w:t>148</w:t>
      </w:r>
      <w:r>
        <w:rPr>
          <w:rFonts w:hint="eastAsia"/>
        </w:rPr>
        <w:t>个</w:t>
      </w:r>
      <w:r>
        <w:rPr>
          <w:rFonts w:hint="eastAsia"/>
          <w:lang w:val="en-US" w:eastAsia="zh-CN"/>
        </w:rPr>
        <w:t>日历天</w:t>
      </w:r>
      <w:r>
        <w:rPr>
          <w:rFonts w:hint="eastAsia"/>
        </w:rPr>
        <w:t>，甲方有权根据工程进度进行围档施工的工期调整。调整进度以甲方的书面通知为准，乙方应根据进度要求进行疏解设施安装工作计划的调整。（最终工期以交警部门批复为准。）</w:t>
      </w:r>
    </w:p>
    <w:p>
      <w:pPr>
        <w:ind w:firstLine="480" w:firstLineChars="200"/>
      </w:pPr>
      <w:r>
        <w:rPr>
          <w:rFonts w:hint="eastAsia"/>
        </w:rPr>
        <w:t>3、报价要求</w:t>
      </w:r>
      <w:r>
        <w:t>：</w:t>
      </w:r>
    </w:p>
    <w:p>
      <w:pPr>
        <w:ind w:firstLine="480" w:firstLineChars="200"/>
      </w:pPr>
      <w:r>
        <w:rPr>
          <w:rFonts w:hint="eastAsia"/>
        </w:rPr>
        <w:t>（1）本工程采用专业分包形式；</w:t>
      </w:r>
    </w:p>
    <w:p>
      <w:pPr>
        <w:ind w:firstLine="480" w:firstLineChars="200"/>
      </w:pPr>
      <w:r>
        <w:rPr>
          <w:rFonts w:hint="eastAsia"/>
        </w:rPr>
        <w:t>专业分包范围：洞和路截污干管工程施工占道所涉及的交通疏解方案设计、审批、疏解设施的制作、设置、安装、拆除等工作。</w:t>
      </w:r>
      <w:r>
        <w:t xml:space="preserve"> </w:t>
      </w:r>
    </w:p>
    <w:p>
      <w:pPr>
        <w:ind w:firstLine="480" w:firstLineChars="200"/>
      </w:pPr>
      <w:r>
        <w:rPr>
          <w:rFonts w:hint="eastAsia"/>
        </w:rPr>
        <w:t>（2）乙方应根据甲方施工组织安排进行交通疏解方案设计，按照《湖南省建设工程计价办法》及《湖南省建设工程消耗量标准》（湘建价〔2020〕56号）、湘建价〔2016〕72号、湘建价〔2016〕160号、湘建价〔2019〕47号、湘建价〔2020〕46号、湘建价﹝2022﹞146号文件及有关的解释补充文件计量计价，优惠率按施工同期《雨花区重点工程招标控制价及工程建设其他费标准》率执行优惠报价，最终结算金额在政府相关职能部门审定结果的基础上按照本次询价的结果及后期合同约定的下浮率执行。</w:t>
      </w:r>
    </w:p>
    <w:p>
      <w:pPr>
        <w:ind w:firstLine="480" w:firstLineChars="200"/>
      </w:pPr>
      <w:r>
        <w:t>（3）</w:t>
      </w:r>
      <w:r>
        <w:rPr>
          <w:rFonts w:hint="eastAsia"/>
        </w:rPr>
        <w:t xml:space="preserve">乙方应根据甲方提供的资料，经过现场踏勘和分析后，按照国家、地方的相关法律、法规和技术规范以及城市总体规划的要求，编制满足洞和路截污干管工程围档施工占道期间的交通疏解要求的方案，并取得交警部门方案审批。保证疏解工程项目进度按质、按量完成。 </w:t>
      </w:r>
    </w:p>
    <w:p>
      <w:pPr>
        <w:ind w:firstLine="480" w:firstLineChars="200"/>
      </w:pPr>
      <w:r>
        <w:rPr>
          <w:rFonts w:hint="eastAsia"/>
        </w:rPr>
        <w:t>（4）乙方施工期间，应指定有相关资历、经验丰富的项目负责人在现场指导施工安装工作。并负责与甲方联系，直到工程完工，且不得随意更换。</w:t>
      </w:r>
    </w:p>
    <w:p>
      <w:pPr>
        <w:ind w:firstLine="480" w:firstLineChars="200"/>
      </w:pPr>
      <w:r>
        <w:rPr>
          <w:rFonts w:hint="eastAsia"/>
        </w:rPr>
        <w:t>（5）乙方应准确管理项目过程中资料、施工照片，并按甲方要求及时提供完整、准确的数据和资料并定期向甲方汇报工作进展情况及存在的问题。</w:t>
      </w:r>
    </w:p>
    <w:p>
      <w:pPr>
        <w:ind w:firstLine="480" w:firstLineChars="200"/>
      </w:pPr>
      <w:r>
        <w:rPr>
          <w:rFonts w:hint="eastAsia"/>
        </w:rPr>
        <w:t>（6）乙方应遵守安全生产有关操作规程和管理规定，施工期间自身原因造成的安全事故和损失由乙方承担，甲方不承担任何责任。</w:t>
      </w:r>
    </w:p>
    <w:p>
      <w:pPr>
        <w:ind w:firstLine="480" w:firstLineChars="200"/>
      </w:pPr>
      <w:r>
        <w:t>（7）</w:t>
      </w:r>
      <w:r>
        <w:rPr>
          <w:rFonts w:hint="eastAsia"/>
        </w:rPr>
        <w:t>乙方应负责该专业工程价款政府相关职能部门审计的对接；</w:t>
      </w:r>
    </w:p>
    <w:p>
      <w:pPr>
        <w:ind w:firstLine="480" w:firstLineChars="200"/>
      </w:pPr>
    </w:p>
    <w:p>
      <w:pPr>
        <w:ind w:firstLine="2640" w:firstLineChars="1100"/>
      </w:pPr>
    </w:p>
    <w:p>
      <w:pPr>
        <w:ind w:firstLine="2640" w:firstLineChars="1100"/>
      </w:pPr>
      <w:r>
        <w:rPr>
          <w:rFonts w:hint="eastAsia"/>
        </w:rPr>
        <w:t>询价</w:t>
      </w:r>
      <w:r>
        <w:t>人：中机国际工程设计研究院有限责任公司</w:t>
      </w:r>
    </w:p>
    <w:p>
      <w:pPr>
        <w:ind w:firstLine="4440" w:firstLineChars="1850"/>
        <w:rPr>
          <w:rFonts w:hint="eastAsia"/>
        </w:rPr>
      </w:pPr>
      <w:r>
        <w:rPr>
          <w:rFonts w:hint="eastAsia"/>
        </w:rPr>
        <w:t>2023</w:t>
      </w:r>
      <w:r>
        <w:t>年</w:t>
      </w:r>
      <w:r>
        <w:rPr>
          <w:rFonts w:hint="eastAsia"/>
          <w:lang w:val="en-US" w:eastAsia="zh-CN"/>
        </w:rPr>
        <w:t>12</w:t>
      </w:r>
      <w:r>
        <w:t>月1</w:t>
      </w:r>
      <w:r>
        <w:rPr>
          <w:rFonts w:hint="eastAsia"/>
          <w:lang w:val="en-US" w:eastAsia="zh-CN"/>
        </w:rPr>
        <w:t>9</w:t>
      </w:r>
      <w:r>
        <w:rPr>
          <w:rFonts w:hint="eastAsia"/>
        </w:rPr>
        <w:t>日</w:t>
      </w:r>
    </w:p>
    <w:p>
      <w:pPr>
        <w:rPr>
          <w:rFonts w:hint="eastAsia"/>
        </w:rPr>
        <w:sectPr>
          <w:pgSz w:w="11906" w:h="16838"/>
          <w:pgMar w:top="1440" w:right="1800" w:bottom="1440" w:left="1800" w:header="851" w:footer="992" w:gutter="0"/>
          <w:cols w:space="425" w:num="1"/>
          <w:docGrid w:type="lines" w:linePitch="312" w:charSpace="0"/>
        </w:sectPr>
      </w:pPr>
    </w:p>
    <w:p>
      <w:pPr>
        <w:numPr>
          <w:ilvl w:val="0"/>
          <w:numId w:val="1"/>
        </w:numPr>
        <w:rPr>
          <w:rFonts w:hint="eastAsia"/>
          <w:lang w:val="en-US" w:eastAsia="zh-CN"/>
        </w:rPr>
      </w:pPr>
      <w:r>
        <w:rPr>
          <w:rFonts w:hint="eastAsia"/>
          <w:lang w:val="en-US" w:eastAsia="zh-CN"/>
        </w:rPr>
        <w:t>分工工程量清单</w:t>
      </w:r>
    </w:p>
    <w:tbl>
      <w:tblPr>
        <w:tblStyle w:val="4"/>
        <w:tblpPr w:leftFromText="180" w:rightFromText="180" w:vertAnchor="text" w:horzAnchor="margin" w:tblpXSpec="center" w:tblpY="55"/>
        <w:tblW w:w="12865" w:type="dxa"/>
        <w:tblInd w:w="0" w:type="dxa"/>
        <w:tblLayout w:type="fixed"/>
        <w:tblCellMar>
          <w:top w:w="0" w:type="dxa"/>
          <w:left w:w="108" w:type="dxa"/>
          <w:bottom w:w="0" w:type="dxa"/>
          <w:right w:w="108" w:type="dxa"/>
        </w:tblCellMar>
      </w:tblPr>
      <w:tblGrid>
        <w:gridCol w:w="648"/>
        <w:gridCol w:w="1818"/>
        <w:gridCol w:w="4163"/>
        <w:gridCol w:w="709"/>
        <w:gridCol w:w="850"/>
        <w:gridCol w:w="1418"/>
        <w:gridCol w:w="1418"/>
        <w:gridCol w:w="1841"/>
      </w:tblGrid>
      <w:tr>
        <w:tblPrEx>
          <w:tblCellMar>
            <w:top w:w="0" w:type="dxa"/>
            <w:left w:w="108" w:type="dxa"/>
            <w:bottom w:w="0" w:type="dxa"/>
            <w:right w:w="108" w:type="dxa"/>
          </w:tblCellMar>
        </w:tblPrEx>
        <w:trPr>
          <w:trHeight w:val="210" w:hRule="atLeast"/>
        </w:trPr>
        <w:tc>
          <w:tcPr>
            <w:tcW w:w="6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18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项目名称</w:t>
            </w:r>
          </w:p>
        </w:tc>
        <w:tc>
          <w:tcPr>
            <w:tcW w:w="416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项目特征描述</w:t>
            </w:r>
          </w:p>
        </w:tc>
        <w:tc>
          <w:tcPr>
            <w:tcW w:w="70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计量单位</w:t>
            </w:r>
          </w:p>
        </w:tc>
        <w:tc>
          <w:tcPr>
            <w:tcW w:w="850"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工程量</w:t>
            </w:r>
          </w:p>
        </w:tc>
        <w:tc>
          <w:tcPr>
            <w:tcW w:w="141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color w:val="000000"/>
                <w:sz w:val="18"/>
                <w:szCs w:val="18"/>
                <w:lang w:val="en-US" w:eastAsia="zh-CN"/>
              </w:rPr>
            </w:pPr>
            <w:r>
              <w:rPr>
                <w:rFonts w:hint="eastAsia"/>
                <w:color w:val="000000"/>
                <w:sz w:val="18"/>
                <w:szCs w:val="18"/>
              </w:rPr>
              <w:t>暂估</w:t>
            </w:r>
            <w:r>
              <w:rPr>
                <w:rFonts w:hint="eastAsia"/>
                <w:color w:val="000000"/>
                <w:sz w:val="18"/>
                <w:szCs w:val="18"/>
                <w:lang w:val="en-US" w:eastAsia="zh-CN"/>
              </w:rPr>
              <w:t>总价</w:t>
            </w:r>
          </w:p>
          <w:p>
            <w:pPr>
              <w:jc w:val="center"/>
              <w:rPr>
                <w:rFonts w:hint="eastAsia"/>
                <w:color w:val="000000"/>
                <w:sz w:val="18"/>
                <w:szCs w:val="18"/>
              </w:rPr>
            </w:pPr>
            <w:r>
              <w:rPr>
                <w:rFonts w:hint="eastAsia"/>
                <w:color w:val="000000"/>
                <w:sz w:val="18"/>
                <w:szCs w:val="18"/>
              </w:rPr>
              <w:t>（元）</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000000"/>
                <w:sz w:val="18"/>
                <w:szCs w:val="18"/>
              </w:rPr>
            </w:pPr>
            <w:r>
              <w:rPr>
                <w:rFonts w:hint="eastAsia"/>
                <w:color w:val="000000"/>
                <w:sz w:val="18"/>
                <w:szCs w:val="18"/>
              </w:rPr>
              <w:t>下浮率（%）</w:t>
            </w:r>
          </w:p>
        </w:tc>
        <w:tc>
          <w:tcPr>
            <w:tcW w:w="1841" w:type="dxa"/>
            <w:tcBorders>
              <w:top w:val="single" w:color="000000" w:sz="4" w:space="0"/>
              <w:left w:val="single" w:color="auto" w:sz="4" w:space="0"/>
              <w:bottom w:val="single" w:color="000000" w:sz="4" w:space="0"/>
              <w:right w:val="single" w:color="000000" w:sz="4" w:space="0"/>
            </w:tcBorders>
            <w:noWrap w:val="0"/>
            <w:vAlign w:val="center"/>
          </w:tcPr>
          <w:p>
            <w:pPr>
              <w:jc w:val="center"/>
              <w:rPr>
                <w:color w:val="000000"/>
                <w:sz w:val="18"/>
                <w:szCs w:val="18"/>
              </w:rPr>
            </w:pPr>
            <w:r>
              <w:rPr>
                <w:rFonts w:hint="eastAsia"/>
                <w:color w:val="000000"/>
                <w:sz w:val="18"/>
                <w:szCs w:val="18"/>
              </w:rPr>
              <w:t>报价（含税）</w:t>
            </w:r>
          </w:p>
        </w:tc>
      </w:tr>
      <w:tr>
        <w:tblPrEx>
          <w:tblCellMar>
            <w:top w:w="0" w:type="dxa"/>
            <w:left w:w="108" w:type="dxa"/>
            <w:bottom w:w="0" w:type="dxa"/>
            <w:right w:w="108" w:type="dxa"/>
          </w:tblCellMar>
        </w:tblPrEx>
        <w:trPr>
          <w:trHeight w:val="1420"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 w:val="18"/>
                <w:szCs w:val="18"/>
              </w:rPr>
            </w:pPr>
            <w:r>
              <w:rPr>
                <w:rFonts w:hint="eastAsia"/>
                <w:color w:val="000000"/>
                <w:sz w:val="18"/>
                <w:szCs w:val="18"/>
              </w:rPr>
              <w:t>1</w:t>
            </w:r>
          </w:p>
        </w:tc>
        <w:tc>
          <w:tcPr>
            <w:tcW w:w="18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交通疏导</w:t>
            </w:r>
          </w:p>
        </w:tc>
        <w:tc>
          <w:tcPr>
            <w:tcW w:w="4163" w:type="dxa"/>
            <w:tcBorders>
              <w:top w:val="single" w:color="auto" w:sz="4" w:space="0"/>
              <w:left w:val="single" w:color="auto" w:sz="4" w:space="0"/>
              <w:bottom w:val="single" w:color="auto" w:sz="4" w:space="0"/>
              <w:right w:val="single" w:color="auto" w:sz="4" w:space="0"/>
            </w:tcBorders>
            <w:noWrap w:val="0"/>
            <w:vAlign w:val="center"/>
          </w:tcPr>
          <w:p>
            <w:pPr>
              <w:rPr>
                <w:color w:val="000000"/>
                <w:sz w:val="18"/>
                <w:szCs w:val="18"/>
              </w:rPr>
            </w:pPr>
            <w:r>
              <w:rPr>
                <w:rFonts w:hint="eastAsia"/>
                <w:color w:val="000000"/>
                <w:sz w:val="18"/>
                <w:szCs w:val="18"/>
                <w:lang w:val="en-US" w:eastAsia="zh-CN"/>
              </w:rPr>
              <w:t>1、本工程项目平面图中占道范围内的交通疏解专业分包工程</w:t>
            </w:r>
            <w:r>
              <w:rPr>
                <w:rFonts w:hint="eastAsia"/>
                <w:color w:val="000000"/>
                <w:sz w:val="18"/>
                <w:szCs w:val="18"/>
                <w:lang w:eastAsia="zh-CN"/>
              </w:rPr>
              <w:t>，包含但不限于</w:t>
            </w:r>
            <w:r>
              <w:rPr>
                <w:rFonts w:hint="eastAsia"/>
                <w:color w:val="000000"/>
                <w:sz w:val="18"/>
                <w:szCs w:val="18"/>
                <w:lang w:val="en-US" w:eastAsia="zh-CN"/>
              </w:rPr>
              <w:t>以下内容：交通疏解方案设计、取得方案批复、办理各标段各阶段长沙市影响交通安全占用道路施工许可证、交通导改时交通标线的清除、画线，及施工完成后按原状恢复；标识标牌的制作和安装、交通疏解宣传、施工期间交通疏解设备设施的维护、交通疏解员的安排等内容；</w:t>
            </w: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18"/>
                <w:szCs w:val="18"/>
              </w:rPr>
            </w:pPr>
            <w:r>
              <w:rPr>
                <w:rFonts w:hint="eastAsia"/>
                <w:color w:val="000000"/>
                <w:sz w:val="18"/>
                <w:szCs w:val="18"/>
              </w:rPr>
              <w:t>项</w:t>
            </w:r>
          </w:p>
        </w:tc>
        <w:tc>
          <w:tcPr>
            <w:tcW w:w="850" w:type="dxa"/>
            <w:tcBorders>
              <w:top w:val="single" w:color="auto" w:sz="4" w:space="0"/>
              <w:left w:val="single" w:color="auto" w:sz="4" w:space="0"/>
              <w:bottom w:val="single" w:color="auto" w:sz="4" w:space="0"/>
              <w:right w:val="single" w:color="auto" w:sz="4" w:space="0"/>
            </w:tcBorders>
            <w:noWrap/>
            <w:vAlign w:val="center"/>
          </w:tcPr>
          <w:p>
            <w:pPr>
              <w:jc w:val="center"/>
              <w:rPr>
                <w:color w:val="000000"/>
                <w:sz w:val="18"/>
                <w:szCs w:val="18"/>
              </w:rPr>
            </w:pPr>
            <w:r>
              <w:rPr>
                <w:color w:val="000000"/>
                <w:sz w:val="18"/>
                <w:szCs w:val="18"/>
              </w:rPr>
              <w:t>1</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color w:val="000000"/>
                <w:sz w:val="18"/>
                <w:szCs w:val="18"/>
                <w:lang w:val="en-US" w:eastAsia="zh-CN"/>
              </w:rPr>
            </w:pPr>
            <w:r>
              <w:rPr>
                <w:rFonts w:hint="eastAsia"/>
                <w:color w:val="000000"/>
                <w:sz w:val="18"/>
                <w:szCs w:val="18"/>
                <w:lang w:val="en-US" w:eastAsia="zh-CN"/>
              </w:rPr>
              <w:t>1732840.43</w:t>
            </w:r>
          </w:p>
        </w:tc>
        <w:tc>
          <w:tcPr>
            <w:tcW w:w="1418" w:type="dxa"/>
            <w:tcBorders>
              <w:top w:val="single" w:color="auto" w:sz="4" w:space="0"/>
              <w:left w:val="single" w:color="auto" w:sz="4" w:space="0"/>
              <w:bottom w:val="single" w:color="auto" w:sz="4" w:space="0"/>
              <w:right w:val="single" w:color="auto" w:sz="4" w:space="0"/>
            </w:tcBorders>
            <w:noWrap/>
            <w:vAlign w:val="center"/>
          </w:tcPr>
          <w:p>
            <w:pPr>
              <w:jc w:val="center"/>
              <w:rPr>
                <w:color w:val="000000"/>
                <w:sz w:val="18"/>
                <w:szCs w:val="18"/>
              </w:rPr>
            </w:pPr>
            <w:bookmarkStart w:id="0" w:name="_GoBack"/>
            <w:bookmarkEnd w:id="0"/>
          </w:p>
        </w:tc>
        <w:tc>
          <w:tcPr>
            <w:tcW w:w="1841" w:type="dxa"/>
            <w:tcBorders>
              <w:top w:val="single" w:color="auto" w:sz="4" w:space="0"/>
              <w:left w:val="single" w:color="auto" w:sz="4" w:space="0"/>
              <w:bottom w:val="single" w:color="auto" w:sz="4" w:space="0"/>
              <w:right w:val="single" w:color="auto" w:sz="4" w:space="0"/>
            </w:tcBorders>
            <w:noWrap/>
            <w:vAlign w:val="center"/>
          </w:tcPr>
          <w:p>
            <w:pPr>
              <w:jc w:val="center"/>
              <w:rPr>
                <w:color w:val="000000"/>
                <w:sz w:val="18"/>
                <w:szCs w:val="18"/>
              </w:rPr>
            </w:pPr>
          </w:p>
        </w:tc>
      </w:tr>
      <w:tr>
        <w:tblPrEx>
          <w:tblCellMar>
            <w:top w:w="0" w:type="dxa"/>
            <w:left w:w="108" w:type="dxa"/>
            <w:bottom w:w="0" w:type="dxa"/>
            <w:right w:w="108" w:type="dxa"/>
          </w:tblCellMar>
        </w:tblPrEx>
        <w:trPr>
          <w:trHeight w:val="580" w:hRule="atLeast"/>
        </w:trPr>
        <w:tc>
          <w:tcPr>
            <w:tcW w:w="6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sz w:val="18"/>
                <w:szCs w:val="18"/>
              </w:rPr>
            </w:pPr>
            <w:r>
              <w:rPr>
                <w:color w:val="000000"/>
                <w:sz w:val="18"/>
                <w:szCs w:val="18"/>
              </w:rPr>
              <w:t>2</w:t>
            </w:r>
          </w:p>
        </w:tc>
        <w:tc>
          <w:tcPr>
            <w:tcW w:w="1818" w:type="dxa"/>
            <w:tcBorders>
              <w:top w:val="single" w:color="auto" w:sz="4" w:space="0"/>
              <w:left w:val="single" w:color="auto" w:sz="4" w:space="0"/>
              <w:bottom w:val="single" w:color="auto" w:sz="4" w:space="0"/>
              <w:right w:val="single" w:color="auto" w:sz="4" w:space="0"/>
            </w:tcBorders>
            <w:noWrap w:val="0"/>
            <w:vAlign w:val="center"/>
          </w:tcPr>
          <w:p>
            <w:pPr>
              <w:rPr>
                <w:color w:val="000000"/>
                <w:sz w:val="18"/>
                <w:szCs w:val="18"/>
              </w:rPr>
            </w:pPr>
            <w:r>
              <w:rPr>
                <w:rFonts w:hint="eastAsia"/>
                <w:color w:val="000000"/>
                <w:sz w:val="18"/>
                <w:szCs w:val="18"/>
              </w:rPr>
              <w:t>合计</w:t>
            </w:r>
          </w:p>
        </w:tc>
        <w:tc>
          <w:tcPr>
            <w:tcW w:w="4163" w:type="dxa"/>
            <w:tcBorders>
              <w:top w:val="single" w:color="auto" w:sz="4" w:space="0"/>
              <w:left w:val="single" w:color="auto" w:sz="4" w:space="0"/>
              <w:bottom w:val="single" w:color="auto" w:sz="4" w:space="0"/>
              <w:right w:val="single" w:color="auto" w:sz="4" w:space="0"/>
            </w:tcBorders>
            <w:noWrap w:val="0"/>
            <w:vAlign w:val="center"/>
          </w:tcPr>
          <w:p>
            <w:pPr>
              <w:ind w:left="360"/>
              <w:rPr>
                <w:color w:val="000000"/>
                <w:sz w:val="18"/>
                <w:szCs w:val="18"/>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18"/>
                <w:szCs w:val="18"/>
              </w:rPr>
            </w:pPr>
          </w:p>
        </w:tc>
        <w:tc>
          <w:tcPr>
            <w:tcW w:w="850" w:type="dxa"/>
            <w:tcBorders>
              <w:top w:val="single" w:color="auto" w:sz="4" w:space="0"/>
              <w:left w:val="single" w:color="auto" w:sz="4" w:space="0"/>
              <w:bottom w:val="single" w:color="auto" w:sz="4" w:space="0"/>
              <w:right w:val="single" w:color="auto" w:sz="4" w:space="0"/>
            </w:tcBorders>
            <w:noWrap/>
            <w:vAlign w:val="center"/>
          </w:tcPr>
          <w:p>
            <w:pPr>
              <w:jc w:val="right"/>
              <w:rPr>
                <w:color w:val="000000"/>
                <w:sz w:val="18"/>
                <w:szCs w:val="18"/>
              </w:rPr>
            </w:pP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color w:val="000000"/>
                <w:sz w:val="18"/>
                <w:szCs w:val="18"/>
              </w:rPr>
            </w:pPr>
          </w:p>
        </w:tc>
        <w:tc>
          <w:tcPr>
            <w:tcW w:w="1418" w:type="dxa"/>
            <w:tcBorders>
              <w:top w:val="single" w:color="auto" w:sz="4" w:space="0"/>
              <w:left w:val="single" w:color="auto" w:sz="4" w:space="0"/>
              <w:bottom w:val="single" w:color="auto" w:sz="4" w:space="0"/>
              <w:right w:val="single" w:color="auto" w:sz="4" w:space="0"/>
            </w:tcBorders>
            <w:noWrap/>
            <w:vAlign w:val="center"/>
          </w:tcPr>
          <w:p>
            <w:pPr>
              <w:jc w:val="right"/>
              <w:rPr>
                <w:color w:val="000000"/>
                <w:sz w:val="18"/>
                <w:szCs w:val="18"/>
              </w:rPr>
            </w:pPr>
          </w:p>
        </w:tc>
        <w:tc>
          <w:tcPr>
            <w:tcW w:w="1841" w:type="dxa"/>
            <w:tcBorders>
              <w:top w:val="single" w:color="auto" w:sz="4" w:space="0"/>
              <w:left w:val="single" w:color="auto" w:sz="4" w:space="0"/>
              <w:bottom w:val="single" w:color="auto" w:sz="4" w:space="0"/>
              <w:right w:val="single" w:color="auto" w:sz="4" w:space="0"/>
            </w:tcBorders>
            <w:noWrap/>
            <w:vAlign w:val="center"/>
          </w:tcPr>
          <w:p>
            <w:pPr>
              <w:widowControl/>
              <w:jc w:val="center"/>
              <w:rPr>
                <w:color w:val="000000"/>
                <w:sz w:val="18"/>
                <w:szCs w:val="18"/>
              </w:rPr>
            </w:pPr>
          </w:p>
        </w:tc>
      </w:tr>
    </w:tbl>
    <w:p>
      <w:pPr>
        <w:snapToGrid w:val="0"/>
        <w:rPr>
          <w:color w:val="000000"/>
          <w:sz w:val="18"/>
          <w:szCs w:val="18"/>
        </w:rPr>
      </w:pPr>
      <w:r>
        <w:rPr>
          <w:rFonts w:hint="eastAsia"/>
          <w:color w:val="000000"/>
          <w:sz w:val="18"/>
          <w:szCs w:val="18"/>
        </w:rPr>
        <w:t>备注：</w:t>
      </w:r>
    </w:p>
    <w:p>
      <w:pPr>
        <w:snapToGrid w:val="0"/>
        <w:rPr>
          <w:rFonts w:hint="eastAsia"/>
          <w:color w:val="000000"/>
          <w:sz w:val="18"/>
          <w:szCs w:val="18"/>
        </w:rPr>
      </w:pPr>
      <w:r>
        <w:rPr>
          <w:rFonts w:hint="eastAsia"/>
          <w:color w:val="000000"/>
          <w:sz w:val="18"/>
          <w:szCs w:val="18"/>
        </w:rPr>
        <w:t>1、雨花区财评按照《湖南省建设工程计价办法》及《湖南省建设工程消耗量标准》（湘建价〔2020〕56号）、湘建价〔2016〕72号、湘建价〔2016〕160号、湘建价〔2019〕47号、湘建价〔2020〕46号、湘建价﹝2022﹞146号文件及有关的解释补充文件计量计价并扣除水电和甲方中标优惠9.4%（具体比例以雨花财评审定为准）加施工同期《雨花区重点工程招标控制价及工程建设其他费标准》的基础上执行优惠，工程量按实计算；</w:t>
      </w:r>
    </w:p>
    <w:p>
      <w:pPr>
        <w:snapToGrid w:val="0"/>
        <w:rPr>
          <w:color w:val="000000"/>
          <w:sz w:val="18"/>
          <w:szCs w:val="18"/>
        </w:rPr>
      </w:pPr>
      <w:r>
        <w:rPr>
          <w:rFonts w:hint="eastAsia"/>
          <w:color w:val="000000"/>
          <w:sz w:val="18"/>
          <w:szCs w:val="18"/>
        </w:rPr>
        <w:t>2、本次报价中的下浮率是指基于备注1中的条件下雨花区财评最终审定的价格基础上做的下浮率，税费由乙方承担。</w:t>
      </w:r>
    </w:p>
    <w:p>
      <w:pPr>
        <w:snapToGrid w:val="0"/>
        <w:rPr>
          <w:color w:val="000000"/>
          <w:sz w:val="18"/>
          <w:szCs w:val="18"/>
        </w:rPr>
      </w:pPr>
      <w:r>
        <w:rPr>
          <w:color w:val="000000"/>
          <w:sz w:val="18"/>
          <w:szCs w:val="18"/>
        </w:rPr>
        <w:t>3</w:t>
      </w:r>
      <w:r>
        <w:rPr>
          <w:rFonts w:hint="eastAsia"/>
          <w:color w:val="000000"/>
          <w:sz w:val="18"/>
          <w:szCs w:val="18"/>
        </w:rPr>
        <w:t>、二级箱及以下的配电箱及电线电缆由乙方提供，规格、型号、尺寸需满足甲方的要求；</w:t>
      </w:r>
    </w:p>
    <w:p>
      <w:pPr>
        <w:snapToGrid w:val="0"/>
        <w:rPr>
          <w:rFonts w:ascii="宋体" w:hAnsi="宋体" w:cs="宋体"/>
          <w:kern w:val="0"/>
          <w:sz w:val="18"/>
          <w:szCs w:val="18"/>
          <w:lang w:bidi="ar"/>
        </w:rPr>
      </w:pPr>
      <w:r>
        <w:rPr>
          <w:color w:val="000000"/>
          <w:sz w:val="18"/>
          <w:szCs w:val="18"/>
        </w:rPr>
        <w:t>4、</w:t>
      </w:r>
      <w:r>
        <w:rPr>
          <w:rFonts w:hint="eastAsia" w:ascii="宋体" w:hAnsi="宋体" w:cs="宋体"/>
          <w:kern w:val="0"/>
          <w:sz w:val="18"/>
          <w:szCs w:val="18"/>
          <w:lang w:bidi="ar"/>
        </w:rPr>
        <w:t>以上工作内容需按甲方的《工程管理细则》、《现场施工质量管理制度》、《安全文明施工要求》执行；</w:t>
      </w:r>
    </w:p>
    <w:p>
      <w:pPr>
        <w:snapToGrid w:val="0"/>
        <w:rPr>
          <w:rFonts w:hint="default"/>
          <w:lang w:val="en-US" w:eastAsia="zh-CN"/>
        </w:rPr>
      </w:pPr>
      <w:r>
        <w:rPr>
          <w:rFonts w:hint="eastAsia" w:ascii="宋体" w:hAnsi="宋体" w:cs="宋体"/>
          <w:kern w:val="0"/>
          <w:sz w:val="18"/>
          <w:szCs w:val="18"/>
          <w:lang w:bidi="ar"/>
        </w:rPr>
        <w:t>5、清单范围内工程内容，乙方如甩项，已完成的工程结算价在原结算价的基础上乘以0.8的系数，甩项（含清单范围内的内容未全部完成的情况）部分按2倍扣除</w:t>
      </w:r>
      <w:r>
        <w:rPr>
          <w:rFonts w:hint="eastAsia" w:ascii="宋体" w:hAnsi="宋体" w:cs="宋体"/>
          <w:kern w:val="0"/>
          <w:sz w:val="18"/>
          <w:szCs w:val="18"/>
          <w:lang w:eastAsia="zh-CN" w:bidi="ar"/>
        </w:rPr>
        <w:t>。</w:t>
      </w:r>
    </w:p>
    <w:sectPr>
      <w:pgSz w:w="16838" w:h="11906" w:orient="landscape"/>
      <w:pgMar w:top="1803" w:right="1440" w:bottom="1247" w:left="1440" w:header="851" w:footer="992" w:gutter="0"/>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D581A9"/>
    <w:multiLevelType w:val="singleLevel"/>
    <w:tmpl w:val="65D581A9"/>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I5Y2JhMDVlMzVjMTg2NmNmZGI2NDg0ZjkxYWVlMTYifQ=="/>
  </w:docVars>
  <w:rsids>
    <w:rsidRoot w:val="0054202C"/>
    <w:rsid w:val="00067021"/>
    <w:rsid w:val="00117114"/>
    <w:rsid w:val="0054202C"/>
    <w:rsid w:val="00621612"/>
    <w:rsid w:val="00660370"/>
    <w:rsid w:val="006E2F21"/>
    <w:rsid w:val="00993A9F"/>
    <w:rsid w:val="00CD53D6"/>
    <w:rsid w:val="00DC73C3"/>
    <w:rsid w:val="02050C51"/>
    <w:rsid w:val="731D12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imes New Roman"/>
      <w:kern w:val="2"/>
      <w:sz w:val="24"/>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237</Words>
  <Characters>1353</Characters>
  <Lines>11</Lines>
  <Paragraphs>3</Paragraphs>
  <TotalTime>3</TotalTime>
  <ScaleCrop>false</ScaleCrop>
  <LinksUpToDate>false</LinksUpToDate>
  <CharactersWithSpaces>1587</CharactersWithSpaces>
  <Application>WPS Office_12.1.0.15355_F1E327BC-269C-435d-A152-05C5408002CA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2023-01-18T07:21:00Z</dcterms:created>
  <dc:creator>崔青</dc:creator>
  <cp:lastModifiedBy>杨子川</cp:lastModifiedBy>
  <dcterms:modified xsi:type="dcterms:W3CDTF">2023-12-19T06:52:08Z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2052-12.1.0.15355</vt:lpwstr>
  </property>
  <property fmtid="{D5CDD505-2E9C-101B-9397-08002B2CF9AE}" pid="3" name="ICV">
    <vt:lpwstr>3C7E2CCC5A1A4B93812D97F4FB4A337C_12</vt:lpwstr>
  </property>
</Properties>
</file>