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page" w:horzAnchor="page" w:tblpXSpec="center" w:tblpY="1418"/>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108"/>
        <w:gridCol w:w="1021"/>
        <w:gridCol w:w="550"/>
        <w:gridCol w:w="48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restart"/>
            <w:vAlign w:val="center"/>
          </w:tcPr>
          <w:p>
            <w:pPr>
              <w:ind w:firstLine="0" w:firstLineChars="0"/>
              <w:jc w:val="center"/>
              <w:rPr>
                <w:rFonts w:eastAsiaTheme="minorEastAsia"/>
              </w:rPr>
            </w:pPr>
            <w:r>
              <w:rPr>
                <w:rFonts w:hint="eastAsia"/>
                <w:b/>
                <w:bCs/>
              </w:rPr>
              <w:t>中机国际工程设计研究院有限责任公司</w:t>
            </w:r>
          </w:p>
        </w:tc>
        <w:tc>
          <w:tcPr>
            <w:tcW w:w="2411" w:type="pct"/>
            <w:vAlign w:val="center"/>
          </w:tcPr>
          <w:p>
            <w:pPr>
              <w:keepNext w:val="0"/>
              <w:keepLines w:val="0"/>
              <w:suppressLineNumbers w:val="0"/>
              <w:spacing w:before="0" w:beforeAutospacing="0" w:after="0" w:afterAutospacing="0"/>
              <w:ind w:right="0" w:rightChars="0" w:firstLine="480" w:firstLineChars="200"/>
              <w:jc w:val="both"/>
              <w:rPr>
                <w:rFonts w:hint="eastAsia" w:ascii="Times New Roman" w:hAnsi="Times New Roman" w:cs="Times New Roman" w:eastAsiaTheme="minorEastAsia"/>
                <w:kern w:val="2"/>
                <w:sz w:val="24"/>
                <w:szCs w:val="24"/>
                <w:vertAlign w:val="baseline"/>
                <w:lang w:val="en-US" w:eastAsia="zh-CN" w:bidi="ar-SA"/>
              </w:rPr>
            </w:pPr>
            <w:r>
              <w:rPr>
                <w:rFonts w:hint="eastAsia"/>
                <w:color w:val="000000" w:themeColor="text1"/>
                <w:lang w:val="zh-CN"/>
                <w14:textFill>
                  <w14:solidFill>
                    <w14:schemeClr w14:val="tx1"/>
                  </w14:solidFill>
                </w14:textFill>
              </w:rPr>
              <w:t>湖南美特新材料科技有限公司</w:t>
            </w:r>
          </w:p>
        </w:tc>
        <w:tc>
          <w:tcPr>
            <w:tcW w:w="599" w:type="pct"/>
            <w:vAlign w:val="center"/>
          </w:tcPr>
          <w:p>
            <w:pPr>
              <w:ind w:firstLine="0" w:firstLineChars="0"/>
              <w:jc w:val="center"/>
              <w:rPr>
                <w:rFonts w:eastAsiaTheme="minorEastAsia"/>
              </w:rPr>
            </w:pPr>
            <w:r>
              <w:rPr>
                <w:rFonts w:hint="eastAsia"/>
              </w:rPr>
              <w:t>项目号</w:t>
            </w:r>
          </w:p>
        </w:tc>
        <w:tc>
          <w:tcPr>
            <w:tcW w:w="609" w:type="pct"/>
            <w:gridSpan w:val="2"/>
            <w:vAlign w:val="center"/>
          </w:tcPr>
          <w:p>
            <w:pPr>
              <w:ind w:firstLine="0" w:firstLineChars="0"/>
              <w:jc w:val="center"/>
            </w:pPr>
          </w:p>
        </w:tc>
        <w:tc>
          <w:tcPr>
            <w:tcW w:w="610" w:type="pct"/>
            <w:vAlign w:val="center"/>
          </w:tcPr>
          <w:p>
            <w:pPr>
              <w:ind w:firstLine="0" w:firstLineChars="0"/>
              <w:jc w:val="center"/>
            </w:pPr>
            <w:r>
              <w:rPr>
                <w:rFonts w:hint="eastAsia"/>
              </w:rPr>
              <w:t>00版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ind w:firstLine="480"/>
              <w:rPr>
                <w:rFonts w:eastAsiaTheme="minorEastAsia"/>
              </w:rPr>
            </w:pPr>
          </w:p>
        </w:tc>
        <w:tc>
          <w:tcPr>
            <w:tcW w:w="2411" w:type="pct"/>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cs="Times New Roman" w:eastAsiaTheme="minorEastAsia"/>
                <w:kern w:val="2"/>
                <w:sz w:val="24"/>
                <w:szCs w:val="24"/>
                <w:vertAlign w:val="baseline"/>
                <w:lang w:val="en-US" w:eastAsia="zh-CN" w:bidi="ar-SA"/>
              </w:rPr>
            </w:pPr>
            <w:r>
              <w:rPr>
                <w:rFonts w:hint="eastAsia"/>
                <w:color w:val="000000" w:themeColor="text1"/>
                <w:lang w:val="zh-CN"/>
                <w14:textFill>
                  <w14:solidFill>
                    <w14:schemeClr w14:val="tx1"/>
                  </w14:solidFill>
                </w14:textFill>
              </w:rPr>
              <w:t>湖南美特科研成果转化基地暨正极材料中试线建设项目</w:t>
            </w:r>
          </w:p>
        </w:tc>
        <w:tc>
          <w:tcPr>
            <w:tcW w:w="1819" w:type="pct"/>
            <w:gridSpan w:val="4"/>
            <w:vAlign w:val="center"/>
          </w:tcPr>
          <w:p>
            <w:pPr>
              <w:ind w:firstLine="0" w:firstLineChars="0"/>
              <w:jc w:val="center"/>
            </w:pPr>
            <w:r>
              <w:rPr>
                <w:rFonts w:hint="eastAsia"/>
                <w:lang w:val="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ind w:firstLine="480"/>
              <w:rPr>
                <w:rFonts w:eastAsiaTheme="minorEastAsia"/>
              </w:rPr>
            </w:pPr>
          </w:p>
        </w:tc>
        <w:tc>
          <w:tcPr>
            <w:tcW w:w="2411" w:type="pct"/>
            <w:vAlign w:val="center"/>
          </w:tcPr>
          <w:p>
            <w:pPr>
              <w:ind w:firstLine="0" w:firstLineChars="0"/>
              <w:jc w:val="center"/>
              <w:rPr>
                <w:rFonts w:eastAsiaTheme="minorEastAsia"/>
              </w:rPr>
            </w:pPr>
            <w:r>
              <w:rPr>
                <w:rFonts w:hint="eastAsia"/>
              </w:rPr>
              <w:t>高速混合机成套设备</w:t>
            </w:r>
          </w:p>
        </w:tc>
        <w:tc>
          <w:tcPr>
            <w:tcW w:w="922" w:type="pct"/>
            <w:gridSpan w:val="2"/>
            <w:vAlign w:val="center"/>
          </w:tcPr>
          <w:p>
            <w:pPr>
              <w:ind w:firstLine="480"/>
            </w:pPr>
            <w:r>
              <w:rPr>
                <w:rFonts w:hint="eastAsia"/>
              </w:rPr>
              <w:t>第1页</w:t>
            </w:r>
          </w:p>
        </w:tc>
        <w:tc>
          <w:tcPr>
            <w:tcW w:w="897" w:type="pct"/>
            <w:gridSpan w:val="2"/>
            <w:vAlign w:val="center"/>
          </w:tcPr>
          <w:p>
            <w:pPr>
              <w:ind w:firstLine="0" w:firstLineChars="0"/>
              <w:jc w:val="center"/>
            </w:pPr>
            <w:r>
              <w:rPr>
                <w:rFonts w:hint="eastAsia"/>
              </w:rPr>
              <w:t>共1</w:t>
            </w:r>
            <w:r>
              <w:rPr>
                <w:rFonts w:hint="eastAsia"/>
                <w:lang w:val="en-US" w:eastAsia="zh-CN"/>
              </w:rPr>
              <w:t>2</w:t>
            </w:r>
            <w:r>
              <w:rPr>
                <w:rFonts w:hint="eastAsia"/>
              </w:rPr>
              <w:t>页</w:t>
            </w:r>
          </w:p>
        </w:tc>
      </w:tr>
    </w:tbl>
    <w:tbl>
      <w:tblPr>
        <w:tblStyle w:val="15"/>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ind w:firstLine="1124"/>
              <w:jc w:val="center"/>
              <w:rPr>
                <w:b/>
                <w:bCs/>
                <w:sz w:val="56"/>
                <w:szCs w:val="56"/>
              </w:rPr>
            </w:pPr>
          </w:p>
          <w:p>
            <w:pPr>
              <w:pStyle w:val="8"/>
            </w:pPr>
            <w:r>
              <w:rPr>
                <w:rFonts w:hint="eastAsia"/>
                <w:b/>
                <w:bCs/>
                <w:sz w:val="56"/>
                <w:szCs w:val="44"/>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480"/>
              <w:rPr>
                <w:rFonts w:eastAsiaTheme="minorEastAsia"/>
              </w:rPr>
            </w:pPr>
          </w:p>
        </w:tc>
        <w:tc>
          <w:tcPr>
            <w:tcW w:w="1246" w:type="pct"/>
            <w:vAlign w:val="center"/>
          </w:tcPr>
          <w:p>
            <w:pPr>
              <w:ind w:firstLine="480"/>
              <w:rPr>
                <w:rFonts w:eastAsiaTheme="minorEastAsia"/>
              </w:rPr>
            </w:pPr>
          </w:p>
        </w:tc>
        <w:tc>
          <w:tcPr>
            <w:tcW w:w="719" w:type="pct"/>
            <w:vAlign w:val="center"/>
          </w:tcPr>
          <w:p>
            <w:pPr>
              <w:ind w:firstLine="480"/>
              <w:rPr>
                <w:rFonts w:eastAsiaTheme="minorEastAsia"/>
              </w:rPr>
            </w:pPr>
          </w:p>
        </w:tc>
        <w:tc>
          <w:tcPr>
            <w:tcW w:w="855" w:type="pct"/>
            <w:vAlign w:val="center"/>
          </w:tcPr>
          <w:p>
            <w:pPr>
              <w:ind w:firstLine="480"/>
              <w:rPr>
                <w:rFonts w:eastAsiaTheme="minorEastAsia"/>
              </w:rPr>
            </w:pPr>
          </w:p>
        </w:tc>
        <w:tc>
          <w:tcPr>
            <w:tcW w:w="736" w:type="pct"/>
            <w:vAlign w:val="center"/>
          </w:tcPr>
          <w:p>
            <w:pPr>
              <w:ind w:firstLine="480"/>
              <w:rPr>
                <w:rFonts w:eastAsiaTheme="minorEastAsia"/>
              </w:rPr>
            </w:pPr>
          </w:p>
        </w:tc>
        <w:tc>
          <w:tcPr>
            <w:tcW w:w="726" w:type="pct"/>
            <w:vAlign w:val="center"/>
          </w:tcPr>
          <w:p>
            <w:pPr>
              <w:ind w:firstLine="48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480"/>
              <w:rPr>
                <w:rFonts w:eastAsiaTheme="minorEastAsia"/>
              </w:rPr>
            </w:pPr>
          </w:p>
        </w:tc>
        <w:tc>
          <w:tcPr>
            <w:tcW w:w="1246" w:type="pct"/>
            <w:vAlign w:val="center"/>
          </w:tcPr>
          <w:p>
            <w:pPr>
              <w:ind w:firstLine="480"/>
              <w:rPr>
                <w:rFonts w:eastAsiaTheme="minorEastAsia"/>
              </w:rPr>
            </w:pPr>
          </w:p>
        </w:tc>
        <w:tc>
          <w:tcPr>
            <w:tcW w:w="719" w:type="pct"/>
            <w:vAlign w:val="center"/>
          </w:tcPr>
          <w:p>
            <w:pPr>
              <w:ind w:firstLine="480"/>
              <w:rPr>
                <w:rFonts w:eastAsiaTheme="minorEastAsia"/>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83820</wp:posOffset>
                  </wp:positionH>
                  <wp:positionV relativeFrom="paragraph">
                    <wp:posOffset>225425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p>
        </w:tc>
        <w:tc>
          <w:tcPr>
            <w:tcW w:w="855" w:type="pct"/>
            <w:vAlign w:val="center"/>
          </w:tcPr>
          <w:p>
            <w:pPr>
              <w:ind w:firstLine="480"/>
              <w:rPr>
                <w:rFonts w:eastAsiaTheme="minorEastAsia"/>
              </w:rPr>
            </w:pP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201930</wp:posOffset>
                  </wp:positionH>
                  <wp:positionV relativeFrom="paragraph">
                    <wp:posOffset>229870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p>
        </w:tc>
        <w:tc>
          <w:tcPr>
            <w:tcW w:w="736" w:type="pct"/>
            <w:vAlign w:val="center"/>
          </w:tcPr>
          <w:p>
            <w:pPr>
              <w:ind w:firstLine="480"/>
              <w:rPr>
                <w:rFonts w:eastAsiaTheme="minorEastAsia"/>
              </w:rPr>
            </w:pPr>
          </w:p>
        </w:tc>
        <w:tc>
          <w:tcPr>
            <w:tcW w:w="726" w:type="pct"/>
            <w:vAlign w:val="center"/>
          </w:tcPr>
          <w:p>
            <w:pPr>
              <w:ind w:firstLine="48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0" w:firstLineChars="0"/>
              <w:jc w:val="center"/>
              <w:rPr>
                <w:rFonts w:hint="eastAsia" w:eastAsia="宋体"/>
                <w:lang w:eastAsia="zh-CN"/>
              </w:rPr>
            </w:pPr>
            <w:r>
              <w:rPr>
                <w:rFonts w:hint="eastAsia"/>
              </w:rPr>
              <w:t>0</w:t>
            </w:r>
            <w:r>
              <w:rPr>
                <w:rFonts w:hint="eastAsia"/>
                <w:lang w:val="en-US" w:eastAsia="zh-CN"/>
              </w:rPr>
              <w:t>1</w:t>
            </w:r>
          </w:p>
        </w:tc>
        <w:tc>
          <w:tcPr>
            <w:tcW w:w="1246" w:type="pct"/>
            <w:vAlign w:val="center"/>
          </w:tcPr>
          <w:p>
            <w:pPr>
              <w:ind w:firstLine="0" w:firstLineChars="0"/>
              <w:jc w:val="center"/>
              <w:rPr>
                <w:rFonts w:eastAsiaTheme="minorEastAsia"/>
              </w:rPr>
            </w:pPr>
          </w:p>
        </w:tc>
        <w:tc>
          <w:tcPr>
            <w:tcW w:w="719" w:type="pct"/>
            <w:vAlign w:val="center"/>
          </w:tcPr>
          <w:p>
            <w:pPr>
              <w:ind w:firstLine="0" w:firstLineChars="0"/>
              <w:jc w:val="center"/>
              <w:rPr>
                <w:rFonts w:eastAsiaTheme="minorEastAsia"/>
              </w:rPr>
            </w:pPr>
          </w:p>
        </w:tc>
        <w:tc>
          <w:tcPr>
            <w:tcW w:w="855" w:type="pct"/>
            <w:vAlign w:val="center"/>
          </w:tcPr>
          <w:p>
            <w:pPr>
              <w:ind w:firstLine="0" w:firstLineChars="0"/>
              <w:jc w:val="center"/>
              <w:rPr>
                <w:rFonts w:eastAsiaTheme="minorEastAsia"/>
              </w:rPr>
            </w:pPr>
          </w:p>
        </w:tc>
        <w:tc>
          <w:tcPr>
            <w:tcW w:w="736" w:type="pct"/>
            <w:vAlign w:val="center"/>
          </w:tcPr>
          <w:p>
            <w:pPr>
              <w:ind w:firstLine="0" w:firstLineChars="0"/>
              <w:jc w:val="center"/>
              <w:rPr>
                <w:rFonts w:eastAsiaTheme="minorEastAsia"/>
              </w:rPr>
            </w:pP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31115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726" w:type="pct"/>
            <w:vAlign w:val="center"/>
          </w:tcPr>
          <w:p>
            <w:pPr>
              <w:ind w:firstLine="480"/>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0" w:firstLineChars="0"/>
              <w:jc w:val="center"/>
            </w:pPr>
            <w:r>
              <w:rPr>
                <w:rFonts w:hint="eastAsia"/>
              </w:rPr>
              <w:t>版</w:t>
            </w:r>
          </w:p>
        </w:tc>
        <w:tc>
          <w:tcPr>
            <w:tcW w:w="1246" w:type="pct"/>
            <w:vAlign w:val="center"/>
          </w:tcPr>
          <w:p>
            <w:pPr>
              <w:ind w:firstLine="0" w:firstLineChars="0"/>
              <w:jc w:val="center"/>
            </w:pPr>
            <w:r>
              <w:rPr>
                <w:rFonts w:hint="eastAsia"/>
              </w:rPr>
              <w:t>说明</w:t>
            </w:r>
          </w:p>
        </w:tc>
        <w:tc>
          <w:tcPr>
            <w:tcW w:w="719" w:type="pct"/>
            <w:vAlign w:val="center"/>
          </w:tcPr>
          <w:p>
            <w:pPr>
              <w:ind w:firstLine="0" w:firstLineChars="0"/>
              <w:jc w:val="center"/>
              <w:rPr>
                <w:rFonts w:eastAsiaTheme="minorEastAsia"/>
              </w:rPr>
            </w:pPr>
            <w:r>
              <w:rPr>
                <w:rFonts w:hint="eastAsia"/>
              </w:rPr>
              <w:t>编制</w:t>
            </w:r>
          </w:p>
        </w:tc>
        <w:tc>
          <w:tcPr>
            <w:tcW w:w="855" w:type="pct"/>
            <w:vAlign w:val="center"/>
          </w:tcPr>
          <w:p>
            <w:pPr>
              <w:ind w:firstLine="0" w:firstLineChars="0"/>
              <w:jc w:val="center"/>
              <w:rPr>
                <w:rFonts w:eastAsiaTheme="minorEastAsia"/>
              </w:rPr>
            </w:pPr>
            <w:r>
              <w:rPr>
                <w:rFonts w:hint="eastAsia"/>
              </w:rPr>
              <w:t>校审</w:t>
            </w:r>
          </w:p>
        </w:tc>
        <w:tc>
          <w:tcPr>
            <w:tcW w:w="736" w:type="pct"/>
            <w:vAlign w:val="center"/>
          </w:tcPr>
          <w:p>
            <w:pPr>
              <w:ind w:firstLine="0" w:firstLineChars="0"/>
              <w:jc w:val="center"/>
              <w:rPr>
                <w:rFonts w:eastAsiaTheme="minorEastAsia"/>
              </w:rPr>
            </w:pPr>
            <w:r>
              <w:rPr>
                <w:rFonts w:hint="eastAsia"/>
              </w:rPr>
              <w:t>审核</w:t>
            </w:r>
          </w:p>
        </w:tc>
        <w:tc>
          <w:tcPr>
            <w:tcW w:w="726" w:type="pct"/>
            <w:vAlign w:val="center"/>
          </w:tcPr>
          <w:p>
            <w:pPr>
              <w:ind w:firstLine="0" w:firstLineChars="0"/>
              <w:jc w:val="center"/>
            </w:pPr>
            <w:r>
              <w:rPr>
                <w:rFonts w:hint="eastAsia"/>
              </w:rPr>
              <w:t>日期</w:t>
            </w:r>
          </w:p>
        </w:tc>
      </w:tr>
    </w:tbl>
    <w:p>
      <w:pPr>
        <w:ind w:firstLine="480"/>
        <w:sectPr>
          <w:footerReference r:id="rId5" w:type="default"/>
          <w:pgSz w:w="11906" w:h="16838"/>
          <w:pgMar w:top="1440" w:right="1800" w:bottom="1440" w:left="1800" w:header="851" w:footer="992" w:gutter="0"/>
          <w:cols w:space="425" w:num="1"/>
          <w:docGrid w:type="lines" w:linePitch="312" w:charSpace="0"/>
        </w:sectPr>
      </w:pPr>
      <w:bookmarkStart w:id="56" w:name="_GoBack"/>
      <w:bookmarkEnd w:id="56"/>
    </w:p>
    <w:sdt>
      <w:sdtPr>
        <w:rPr>
          <w:rFonts w:ascii="宋体" w:hAnsi="宋体"/>
          <w:sz w:val="28"/>
          <w:szCs w:val="36"/>
        </w:rPr>
        <w:id w:val="147475574"/>
        <w15:color w:val="DBDBDB"/>
        <w:docPartObj>
          <w:docPartGallery w:val="Table of Contents"/>
          <w:docPartUnique/>
        </w:docPartObj>
      </w:sdtPr>
      <w:sdtEndPr>
        <w:rPr>
          <w:rFonts w:ascii="宋体" w:hAnsi="宋体"/>
          <w:b/>
          <w:sz w:val="21"/>
          <w:szCs w:val="24"/>
        </w:rPr>
      </w:sdtEndPr>
      <w:sdtContent>
        <w:p>
          <w:pPr>
            <w:spacing w:line="240" w:lineRule="auto"/>
            <w:ind w:firstLine="0" w:firstLineChars="0"/>
            <w:jc w:val="center"/>
            <w:rPr>
              <w:sz w:val="36"/>
              <w:szCs w:val="36"/>
            </w:rPr>
          </w:pPr>
          <w:r>
            <w:rPr>
              <w:rFonts w:ascii="宋体" w:hAnsi="宋体"/>
              <w:sz w:val="28"/>
              <w:szCs w:val="36"/>
            </w:rPr>
            <w:t>目</w:t>
          </w:r>
          <w:r>
            <w:rPr>
              <w:rFonts w:hint="eastAsia" w:ascii="宋体" w:hAnsi="宋体"/>
              <w:sz w:val="28"/>
              <w:szCs w:val="36"/>
            </w:rPr>
            <w:t xml:space="preserve">  </w:t>
          </w:r>
          <w:r>
            <w:rPr>
              <w:rFonts w:ascii="宋体" w:hAnsi="宋体"/>
              <w:sz w:val="28"/>
              <w:szCs w:val="36"/>
            </w:rPr>
            <w:t>录</w:t>
          </w:r>
        </w:p>
        <w:p>
          <w:pPr>
            <w:pStyle w:val="12"/>
            <w:tabs>
              <w:tab w:val="right" w:leader="dot" w:pos="8306"/>
              <w:tab w:val="clear" w:pos="9628"/>
            </w:tabs>
          </w:pPr>
          <w:r>
            <w:fldChar w:fldCharType="begin"/>
          </w:r>
          <w:r>
            <w:instrText xml:space="preserve">TOC \o "1-2" \h \u </w:instrText>
          </w:r>
          <w:r>
            <w:fldChar w:fldCharType="separate"/>
          </w:r>
          <w:r>
            <w:fldChar w:fldCharType="begin"/>
          </w:r>
          <w:r>
            <w:instrText xml:space="preserve"> HYPERLINK \l _Toc13097 </w:instrText>
          </w:r>
          <w:r>
            <w:fldChar w:fldCharType="separate"/>
          </w:r>
          <w:r>
            <w:rPr>
              <w:rFonts w:hint="default" w:ascii="Times New Roman" w:hAnsi="Times New Roman" w:eastAsia="宋体" w:cs="宋体"/>
              <w:kern w:val="44"/>
              <w:szCs w:val="28"/>
              <w:lang w:val="zh-CN"/>
            </w:rPr>
            <w:t xml:space="preserve">1 </w:t>
          </w:r>
          <w:r>
            <w:rPr>
              <w:rFonts w:hint="eastAsia"/>
              <w:kern w:val="44"/>
              <w:szCs w:val="28"/>
              <w:lang w:val="zh-CN"/>
            </w:rPr>
            <w:t>总</w:t>
          </w:r>
          <w:r>
            <w:rPr>
              <w:rFonts w:hint="eastAsia"/>
              <w:kern w:val="44"/>
              <w:szCs w:val="28"/>
            </w:rPr>
            <w:t>则</w:t>
          </w:r>
          <w:r>
            <w:tab/>
          </w:r>
          <w:r>
            <w:fldChar w:fldCharType="begin"/>
          </w:r>
          <w:r>
            <w:instrText xml:space="preserve"> PAGEREF _Toc13097 \h </w:instrText>
          </w:r>
          <w:r>
            <w:fldChar w:fldCharType="separate"/>
          </w:r>
          <w:r>
            <w:t>3</w:t>
          </w:r>
          <w:r>
            <w:fldChar w:fldCharType="end"/>
          </w:r>
          <w:r>
            <w:fldChar w:fldCharType="end"/>
          </w:r>
        </w:p>
        <w:p>
          <w:pPr>
            <w:pStyle w:val="12"/>
            <w:tabs>
              <w:tab w:val="right" w:leader="dot" w:pos="8306"/>
              <w:tab w:val="clear" w:pos="9628"/>
            </w:tabs>
          </w:pPr>
          <w:r>
            <w:fldChar w:fldCharType="begin"/>
          </w:r>
          <w:r>
            <w:instrText xml:space="preserve"> HYPERLINK \l _Toc6738 </w:instrText>
          </w:r>
          <w:r>
            <w:fldChar w:fldCharType="separate"/>
          </w:r>
          <w:r>
            <w:rPr>
              <w:rFonts w:hint="default" w:ascii="Times New Roman" w:hAnsi="Times New Roman" w:eastAsia="宋体" w:cs="宋体"/>
              <w:kern w:val="44"/>
              <w:szCs w:val="28"/>
              <w:lang w:val="zh-CN"/>
            </w:rPr>
            <w:t xml:space="preserve">2 </w:t>
          </w:r>
          <w:r>
            <w:rPr>
              <w:rFonts w:hint="eastAsia"/>
              <w:kern w:val="44"/>
              <w:szCs w:val="28"/>
            </w:rPr>
            <w:t>工程概况</w:t>
          </w:r>
          <w:r>
            <w:tab/>
          </w:r>
          <w:r>
            <w:fldChar w:fldCharType="begin"/>
          </w:r>
          <w:r>
            <w:instrText xml:space="preserve"> PAGEREF _Toc6738 \h </w:instrText>
          </w:r>
          <w:r>
            <w:fldChar w:fldCharType="separate"/>
          </w:r>
          <w:r>
            <w:t>3</w:t>
          </w:r>
          <w:r>
            <w:fldChar w:fldCharType="end"/>
          </w:r>
          <w:r>
            <w:fldChar w:fldCharType="end"/>
          </w:r>
        </w:p>
        <w:p>
          <w:pPr>
            <w:pStyle w:val="13"/>
            <w:tabs>
              <w:tab w:val="right" w:leader="dot" w:pos="8306"/>
              <w:tab w:val="clear" w:pos="9660"/>
            </w:tabs>
          </w:pPr>
          <w:r>
            <w:fldChar w:fldCharType="begin"/>
          </w:r>
          <w:r>
            <w:instrText xml:space="preserve"> HYPERLINK \l _Toc15015 </w:instrText>
          </w:r>
          <w:r>
            <w:fldChar w:fldCharType="separate"/>
          </w:r>
          <w:r>
            <w:rPr>
              <w:rFonts w:hint="default" w:ascii="Times New Roman" w:hAnsi="Times New Roman" w:eastAsia="宋体" w:cs="宋体"/>
            </w:rPr>
            <w:t xml:space="preserve">2.1 </w:t>
          </w:r>
          <w:r>
            <w:rPr>
              <w:rFonts w:hint="eastAsia"/>
            </w:rPr>
            <w:t>基本条件</w:t>
          </w:r>
          <w:r>
            <w:tab/>
          </w:r>
          <w:r>
            <w:fldChar w:fldCharType="begin"/>
          </w:r>
          <w:r>
            <w:instrText xml:space="preserve"> PAGEREF _Toc15015 \h </w:instrText>
          </w:r>
          <w:r>
            <w:fldChar w:fldCharType="separate"/>
          </w:r>
          <w:r>
            <w:t>3</w:t>
          </w:r>
          <w:r>
            <w:fldChar w:fldCharType="end"/>
          </w:r>
          <w:r>
            <w:fldChar w:fldCharType="end"/>
          </w:r>
        </w:p>
        <w:p>
          <w:pPr>
            <w:pStyle w:val="13"/>
            <w:tabs>
              <w:tab w:val="right" w:leader="dot" w:pos="8306"/>
              <w:tab w:val="clear" w:pos="9660"/>
            </w:tabs>
          </w:pPr>
          <w:r>
            <w:fldChar w:fldCharType="begin"/>
          </w:r>
          <w:r>
            <w:instrText xml:space="preserve"> HYPERLINK \l _Toc10860 </w:instrText>
          </w:r>
          <w:r>
            <w:fldChar w:fldCharType="separate"/>
          </w:r>
          <w:r>
            <w:rPr>
              <w:rFonts w:hint="default" w:ascii="Times New Roman" w:hAnsi="Times New Roman" w:eastAsia="宋体" w:cs="宋体"/>
            </w:rPr>
            <w:t xml:space="preserve">2.2 </w:t>
          </w:r>
          <w:r>
            <w:rPr>
              <w:rFonts w:hint="eastAsia"/>
            </w:rPr>
            <w:t>气象条件</w:t>
          </w:r>
          <w:r>
            <w:tab/>
          </w:r>
          <w:r>
            <w:fldChar w:fldCharType="begin"/>
          </w:r>
          <w:r>
            <w:instrText xml:space="preserve"> PAGEREF _Toc10860 \h </w:instrText>
          </w:r>
          <w:r>
            <w:fldChar w:fldCharType="separate"/>
          </w:r>
          <w:r>
            <w:t>3</w:t>
          </w:r>
          <w:r>
            <w:fldChar w:fldCharType="end"/>
          </w:r>
          <w:r>
            <w:fldChar w:fldCharType="end"/>
          </w:r>
        </w:p>
        <w:p>
          <w:pPr>
            <w:pStyle w:val="12"/>
            <w:tabs>
              <w:tab w:val="right" w:leader="dot" w:pos="8306"/>
              <w:tab w:val="clear" w:pos="9628"/>
            </w:tabs>
          </w:pPr>
          <w:r>
            <w:fldChar w:fldCharType="begin"/>
          </w:r>
          <w:r>
            <w:instrText xml:space="preserve"> HYPERLINK \l _Toc12865 </w:instrText>
          </w:r>
          <w:r>
            <w:fldChar w:fldCharType="separate"/>
          </w:r>
          <w:r>
            <w:rPr>
              <w:rFonts w:hint="default" w:ascii="Times New Roman" w:hAnsi="Times New Roman" w:eastAsia="宋体" w:cs="宋体"/>
              <w:kern w:val="44"/>
              <w:szCs w:val="28"/>
              <w:lang w:val="zh-CN"/>
            </w:rPr>
            <w:t xml:space="preserve">3 </w:t>
          </w:r>
          <w:r>
            <w:rPr>
              <w:rFonts w:hint="eastAsia"/>
              <w:kern w:val="44"/>
              <w:szCs w:val="28"/>
            </w:rPr>
            <w:t>设计和运行条件</w:t>
          </w:r>
          <w:r>
            <w:tab/>
          </w:r>
          <w:r>
            <w:fldChar w:fldCharType="begin"/>
          </w:r>
          <w:r>
            <w:instrText xml:space="preserve"> PAGEREF _Toc12865 \h </w:instrText>
          </w:r>
          <w:r>
            <w:fldChar w:fldCharType="separate"/>
          </w:r>
          <w:r>
            <w:t>4</w:t>
          </w:r>
          <w:r>
            <w:fldChar w:fldCharType="end"/>
          </w:r>
          <w:r>
            <w:fldChar w:fldCharType="end"/>
          </w:r>
        </w:p>
        <w:p>
          <w:pPr>
            <w:pStyle w:val="13"/>
            <w:tabs>
              <w:tab w:val="right" w:leader="dot" w:pos="8306"/>
              <w:tab w:val="clear" w:pos="9660"/>
            </w:tabs>
          </w:pPr>
          <w:r>
            <w:fldChar w:fldCharType="begin"/>
          </w:r>
          <w:r>
            <w:instrText xml:space="preserve"> HYPERLINK \l _Toc30978 </w:instrText>
          </w:r>
          <w:r>
            <w:fldChar w:fldCharType="separate"/>
          </w:r>
          <w:r>
            <w:rPr>
              <w:rFonts w:hint="default" w:ascii="Times New Roman" w:hAnsi="Times New Roman" w:eastAsia="宋体" w:cs="宋体"/>
            </w:rPr>
            <w:t xml:space="preserve">3.1 </w:t>
          </w:r>
          <w:r>
            <w:rPr>
              <w:rFonts w:hint="eastAsia"/>
            </w:rPr>
            <w:t>设计条件</w:t>
          </w:r>
          <w:r>
            <w:tab/>
          </w:r>
          <w:r>
            <w:fldChar w:fldCharType="begin"/>
          </w:r>
          <w:r>
            <w:instrText xml:space="preserve"> PAGEREF _Toc30978 \h </w:instrText>
          </w:r>
          <w:r>
            <w:fldChar w:fldCharType="separate"/>
          </w:r>
          <w:r>
            <w:t>4</w:t>
          </w:r>
          <w:r>
            <w:fldChar w:fldCharType="end"/>
          </w:r>
          <w:r>
            <w:fldChar w:fldCharType="end"/>
          </w:r>
        </w:p>
        <w:p>
          <w:pPr>
            <w:pStyle w:val="12"/>
            <w:tabs>
              <w:tab w:val="right" w:leader="dot" w:pos="8306"/>
              <w:tab w:val="clear" w:pos="9628"/>
            </w:tabs>
          </w:pPr>
          <w:r>
            <w:fldChar w:fldCharType="begin"/>
          </w:r>
          <w:r>
            <w:instrText xml:space="preserve"> HYPERLINK \l _Toc7918 </w:instrText>
          </w:r>
          <w:r>
            <w:fldChar w:fldCharType="separate"/>
          </w:r>
          <w:r>
            <w:rPr>
              <w:rFonts w:hint="default" w:ascii="Times New Roman" w:hAnsi="Times New Roman" w:eastAsia="宋体" w:cs="宋体"/>
              <w:kern w:val="44"/>
              <w:szCs w:val="28"/>
              <w:lang w:val="zh-CN"/>
            </w:rPr>
            <w:t xml:space="preserve">4 </w:t>
          </w:r>
          <w:r>
            <w:rPr>
              <w:rFonts w:hint="eastAsia"/>
              <w:kern w:val="44"/>
              <w:szCs w:val="28"/>
            </w:rPr>
            <w:t>防异物要求</w:t>
          </w:r>
          <w:r>
            <w:tab/>
          </w:r>
          <w:r>
            <w:fldChar w:fldCharType="begin"/>
          </w:r>
          <w:r>
            <w:instrText xml:space="preserve"> PAGEREF _Toc7918 \h </w:instrText>
          </w:r>
          <w:r>
            <w:fldChar w:fldCharType="separate"/>
          </w:r>
          <w:r>
            <w:t>5</w:t>
          </w:r>
          <w:r>
            <w:fldChar w:fldCharType="end"/>
          </w:r>
          <w:r>
            <w:fldChar w:fldCharType="end"/>
          </w:r>
        </w:p>
        <w:p>
          <w:pPr>
            <w:pStyle w:val="12"/>
            <w:tabs>
              <w:tab w:val="right" w:leader="dot" w:pos="8306"/>
              <w:tab w:val="clear" w:pos="9628"/>
            </w:tabs>
          </w:pPr>
          <w:r>
            <w:fldChar w:fldCharType="begin"/>
          </w:r>
          <w:r>
            <w:instrText xml:space="preserve"> HYPERLINK \l _Toc16334 </w:instrText>
          </w:r>
          <w:r>
            <w:fldChar w:fldCharType="separate"/>
          </w:r>
          <w:r>
            <w:rPr>
              <w:rFonts w:hint="default" w:ascii="Times New Roman" w:hAnsi="Times New Roman" w:eastAsia="宋体" w:cs="宋体"/>
              <w:kern w:val="44"/>
              <w:szCs w:val="28"/>
              <w:lang w:val="zh-CN"/>
            </w:rPr>
            <w:t xml:space="preserve">5 </w:t>
          </w:r>
          <w:r>
            <w:rPr>
              <w:rFonts w:hint="eastAsia"/>
              <w:kern w:val="44"/>
              <w:szCs w:val="28"/>
            </w:rPr>
            <w:t>技术要求</w:t>
          </w:r>
          <w:r>
            <w:tab/>
          </w:r>
          <w:r>
            <w:fldChar w:fldCharType="begin"/>
          </w:r>
          <w:r>
            <w:instrText xml:space="preserve"> PAGEREF _Toc16334 \h </w:instrText>
          </w:r>
          <w:r>
            <w:fldChar w:fldCharType="separate"/>
          </w:r>
          <w:r>
            <w:t>6</w:t>
          </w:r>
          <w:r>
            <w:fldChar w:fldCharType="end"/>
          </w:r>
          <w:r>
            <w:fldChar w:fldCharType="end"/>
          </w:r>
        </w:p>
        <w:p>
          <w:pPr>
            <w:pStyle w:val="13"/>
            <w:tabs>
              <w:tab w:val="right" w:leader="dot" w:pos="8306"/>
              <w:tab w:val="clear" w:pos="9660"/>
            </w:tabs>
          </w:pPr>
          <w:r>
            <w:fldChar w:fldCharType="begin"/>
          </w:r>
          <w:r>
            <w:instrText xml:space="preserve"> HYPERLINK \l _Toc25010 </w:instrText>
          </w:r>
          <w:r>
            <w:fldChar w:fldCharType="separate"/>
          </w:r>
          <w:r>
            <w:rPr>
              <w:rFonts w:hint="default" w:ascii="Times New Roman" w:hAnsi="Times New Roman" w:eastAsia="宋体" w:cs="宋体"/>
            </w:rPr>
            <w:t xml:space="preserve">5.1 </w:t>
          </w:r>
          <w:r>
            <w:rPr>
              <w:rFonts w:hint="eastAsia"/>
            </w:rPr>
            <w:t>工艺条件</w:t>
          </w:r>
          <w:r>
            <w:tab/>
          </w:r>
          <w:r>
            <w:fldChar w:fldCharType="begin"/>
          </w:r>
          <w:r>
            <w:instrText xml:space="preserve"> PAGEREF _Toc25010 \h </w:instrText>
          </w:r>
          <w:r>
            <w:fldChar w:fldCharType="separate"/>
          </w:r>
          <w:r>
            <w:t>6</w:t>
          </w:r>
          <w:r>
            <w:fldChar w:fldCharType="end"/>
          </w:r>
          <w:r>
            <w:fldChar w:fldCharType="end"/>
          </w:r>
        </w:p>
        <w:p>
          <w:pPr>
            <w:pStyle w:val="13"/>
            <w:tabs>
              <w:tab w:val="right" w:leader="dot" w:pos="8306"/>
              <w:tab w:val="clear" w:pos="9660"/>
            </w:tabs>
          </w:pPr>
          <w:r>
            <w:fldChar w:fldCharType="begin"/>
          </w:r>
          <w:r>
            <w:instrText xml:space="preserve"> HYPERLINK \l _Toc31021 </w:instrText>
          </w:r>
          <w:r>
            <w:fldChar w:fldCharType="separate"/>
          </w:r>
          <w:r>
            <w:rPr>
              <w:rFonts w:hint="default" w:ascii="Times New Roman" w:hAnsi="Times New Roman" w:eastAsia="宋体" w:cs="宋体"/>
            </w:rPr>
            <w:t xml:space="preserve">5.2 </w:t>
          </w:r>
          <w:r>
            <w:rPr>
              <w:rFonts w:hint="eastAsia"/>
            </w:rPr>
            <w:t>法律法规</w:t>
          </w:r>
          <w:r>
            <w:tab/>
          </w:r>
          <w:r>
            <w:fldChar w:fldCharType="begin"/>
          </w:r>
          <w:r>
            <w:instrText xml:space="preserve"> PAGEREF _Toc31021 \h </w:instrText>
          </w:r>
          <w:r>
            <w:fldChar w:fldCharType="separate"/>
          </w:r>
          <w:r>
            <w:t>6</w:t>
          </w:r>
          <w:r>
            <w:fldChar w:fldCharType="end"/>
          </w:r>
          <w:r>
            <w:fldChar w:fldCharType="end"/>
          </w:r>
        </w:p>
        <w:p>
          <w:pPr>
            <w:pStyle w:val="13"/>
            <w:tabs>
              <w:tab w:val="right" w:leader="dot" w:pos="8306"/>
              <w:tab w:val="clear" w:pos="9660"/>
            </w:tabs>
          </w:pPr>
          <w:r>
            <w:fldChar w:fldCharType="begin"/>
          </w:r>
          <w:r>
            <w:instrText xml:space="preserve"> HYPERLINK \l _Toc23352 </w:instrText>
          </w:r>
          <w:r>
            <w:fldChar w:fldCharType="separate"/>
          </w:r>
          <w:r>
            <w:rPr>
              <w:rFonts w:hint="default" w:ascii="Times New Roman" w:hAnsi="Times New Roman" w:eastAsia="宋体" w:cs="宋体"/>
            </w:rPr>
            <w:t xml:space="preserve">5.3 </w:t>
          </w:r>
          <w:r>
            <w:rPr>
              <w:rFonts w:hint="eastAsia"/>
            </w:rPr>
            <w:t>标准及规范</w:t>
          </w:r>
          <w:r>
            <w:tab/>
          </w:r>
          <w:r>
            <w:fldChar w:fldCharType="begin"/>
          </w:r>
          <w:r>
            <w:instrText xml:space="preserve"> PAGEREF _Toc23352 \h </w:instrText>
          </w:r>
          <w:r>
            <w:fldChar w:fldCharType="separate"/>
          </w:r>
          <w:r>
            <w:t>7</w:t>
          </w:r>
          <w:r>
            <w:fldChar w:fldCharType="end"/>
          </w:r>
          <w:r>
            <w:fldChar w:fldCharType="end"/>
          </w:r>
        </w:p>
        <w:p>
          <w:pPr>
            <w:pStyle w:val="12"/>
            <w:tabs>
              <w:tab w:val="right" w:leader="dot" w:pos="8306"/>
              <w:tab w:val="clear" w:pos="9628"/>
            </w:tabs>
          </w:pPr>
          <w:r>
            <w:fldChar w:fldCharType="begin"/>
          </w:r>
          <w:r>
            <w:instrText xml:space="preserve"> HYPERLINK \l _Toc7127 </w:instrText>
          </w:r>
          <w:r>
            <w:fldChar w:fldCharType="separate"/>
          </w:r>
          <w:r>
            <w:rPr>
              <w:rFonts w:hint="default" w:ascii="Times New Roman" w:hAnsi="Times New Roman" w:eastAsia="宋体" w:cs="宋体"/>
              <w:kern w:val="44"/>
              <w:szCs w:val="28"/>
              <w:lang w:val="zh-CN" w:eastAsia="zh-CN" w:bidi="ar-SA"/>
            </w:rPr>
            <w:t xml:space="preserve">6 </w:t>
          </w:r>
          <w:r>
            <w:rPr>
              <w:rFonts w:hint="eastAsia" w:cs="Times New Roman"/>
              <w:kern w:val="44"/>
              <w:szCs w:val="28"/>
              <w:lang w:val="en-US" w:eastAsia="zh-CN" w:bidi="ar-SA"/>
            </w:rPr>
            <w:t>监造和性能验收</w:t>
          </w:r>
          <w:r>
            <w:tab/>
          </w:r>
          <w:r>
            <w:fldChar w:fldCharType="begin"/>
          </w:r>
          <w:r>
            <w:instrText xml:space="preserve"> PAGEREF _Toc7127 \h </w:instrText>
          </w:r>
          <w:r>
            <w:fldChar w:fldCharType="separate"/>
          </w:r>
          <w:r>
            <w:t>8</w:t>
          </w:r>
          <w:r>
            <w:fldChar w:fldCharType="end"/>
          </w:r>
          <w:r>
            <w:fldChar w:fldCharType="end"/>
          </w:r>
        </w:p>
        <w:p>
          <w:pPr>
            <w:pStyle w:val="13"/>
            <w:tabs>
              <w:tab w:val="right" w:leader="dot" w:pos="8306"/>
              <w:tab w:val="clear" w:pos="9660"/>
            </w:tabs>
          </w:pPr>
          <w:r>
            <w:fldChar w:fldCharType="begin"/>
          </w:r>
          <w:r>
            <w:instrText xml:space="preserve"> HYPERLINK \l _Toc17701 </w:instrText>
          </w:r>
          <w:r>
            <w:fldChar w:fldCharType="separate"/>
          </w:r>
          <w:r>
            <w:rPr>
              <w:rFonts w:hint="default" w:ascii="Times New Roman" w:hAnsi="Times New Roman" w:eastAsia="宋体" w:cs="宋体"/>
              <w:lang w:val="en-US" w:eastAsia="zh-CN"/>
            </w:rPr>
            <w:t xml:space="preserve">6.1 </w:t>
          </w:r>
          <w:r>
            <w:rPr>
              <w:rFonts w:hint="eastAsia" w:cs="Times New Roman"/>
              <w:lang w:val="en-US" w:eastAsia="zh-CN"/>
            </w:rPr>
            <w:t>性能保证</w:t>
          </w:r>
          <w:r>
            <w:tab/>
          </w:r>
          <w:r>
            <w:fldChar w:fldCharType="begin"/>
          </w:r>
          <w:r>
            <w:instrText xml:space="preserve"> PAGEREF _Toc17701 \h </w:instrText>
          </w:r>
          <w:r>
            <w:fldChar w:fldCharType="separate"/>
          </w:r>
          <w:r>
            <w:t>8</w:t>
          </w:r>
          <w:r>
            <w:fldChar w:fldCharType="end"/>
          </w:r>
          <w:r>
            <w:fldChar w:fldCharType="end"/>
          </w:r>
        </w:p>
        <w:p>
          <w:pPr>
            <w:pStyle w:val="13"/>
            <w:tabs>
              <w:tab w:val="right" w:leader="dot" w:pos="8306"/>
              <w:tab w:val="clear" w:pos="9660"/>
            </w:tabs>
          </w:pPr>
          <w:r>
            <w:fldChar w:fldCharType="begin"/>
          </w:r>
          <w:r>
            <w:instrText xml:space="preserve"> HYPERLINK \l _Toc26982 </w:instrText>
          </w:r>
          <w:r>
            <w:fldChar w:fldCharType="separate"/>
          </w:r>
          <w:r>
            <w:rPr>
              <w:rFonts w:hint="default" w:ascii="Times New Roman" w:hAnsi="Times New Roman" w:eastAsia="宋体" w:cs="宋体"/>
              <w:lang w:val="en-US" w:eastAsia="zh-CN"/>
            </w:rPr>
            <w:t xml:space="preserve">6.2 </w:t>
          </w:r>
          <w:r>
            <w:rPr>
              <w:rFonts w:hint="eastAsia" w:cs="Times New Roman"/>
              <w:lang w:val="en-US" w:eastAsia="zh-CN"/>
            </w:rPr>
            <w:t>质量保证</w:t>
          </w:r>
          <w:r>
            <w:tab/>
          </w:r>
          <w:r>
            <w:fldChar w:fldCharType="begin"/>
          </w:r>
          <w:r>
            <w:instrText xml:space="preserve"> PAGEREF _Toc26982 \h </w:instrText>
          </w:r>
          <w:r>
            <w:fldChar w:fldCharType="separate"/>
          </w:r>
          <w:r>
            <w:t>9</w:t>
          </w:r>
          <w:r>
            <w:fldChar w:fldCharType="end"/>
          </w:r>
          <w:r>
            <w:fldChar w:fldCharType="end"/>
          </w:r>
        </w:p>
        <w:p>
          <w:pPr>
            <w:pStyle w:val="13"/>
            <w:tabs>
              <w:tab w:val="right" w:leader="dot" w:pos="8306"/>
              <w:tab w:val="clear" w:pos="9660"/>
            </w:tabs>
          </w:pPr>
          <w:r>
            <w:fldChar w:fldCharType="begin"/>
          </w:r>
          <w:r>
            <w:instrText xml:space="preserve"> HYPERLINK \l _Toc14101 </w:instrText>
          </w:r>
          <w:r>
            <w:fldChar w:fldCharType="separate"/>
          </w:r>
          <w:r>
            <w:rPr>
              <w:rFonts w:hint="default" w:ascii="Times New Roman" w:hAnsi="Times New Roman" w:eastAsia="宋体" w:cs="宋体"/>
              <w:lang w:val="en-US" w:eastAsia="zh-CN"/>
            </w:rPr>
            <w:t xml:space="preserve">6.3 </w:t>
          </w:r>
          <w:r>
            <w:rPr>
              <w:rFonts w:hint="eastAsia" w:cs="Times New Roman"/>
              <w:lang w:val="en-US" w:eastAsia="zh-CN"/>
            </w:rPr>
            <w:t>检验保证</w:t>
          </w:r>
          <w:r>
            <w:tab/>
          </w:r>
          <w:r>
            <w:fldChar w:fldCharType="begin"/>
          </w:r>
          <w:r>
            <w:instrText xml:space="preserve"> PAGEREF _Toc14101 \h </w:instrText>
          </w:r>
          <w:r>
            <w:fldChar w:fldCharType="separate"/>
          </w:r>
          <w:r>
            <w:t>9</w:t>
          </w:r>
          <w:r>
            <w:fldChar w:fldCharType="end"/>
          </w:r>
          <w:r>
            <w:fldChar w:fldCharType="end"/>
          </w:r>
        </w:p>
        <w:p>
          <w:pPr>
            <w:pStyle w:val="13"/>
            <w:tabs>
              <w:tab w:val="right" w:leader="dot" w:pos="8306"/>
              <w:tab w:val="clear" w:pos="9660"/>
            </w:tabs>
          </w:pPr>
          <w:r>
            <w:fldChar w:fldCharType="begin"/>
          </w:r>
          <w:r>
            <w:instrText xml:space="preserve"> HYPERLINK \l _Toc3554 </w:instrText>
          </w:r>
          <w:r>
            <w:fldChar w:fldCharType="separate"/>
          </w:r>
          <w:r>
            <w:rPr>
              <w:rFonts w:hint="default" w:ascii="Times New Roman" w:hAnsi="Times New Roman" w:eastAsia="宋体" w:cs="宋体"/>
              <w:lang w:val="en-US" w:eastAsia="zh-CN"/>
            </w:rPr>
            <w:t xml:space="preserve">6.4 </w:t>
          </w:r>
          <w:r>
            <w:rPr>
              <w:rFonts w:hint="eastAsia" w:cs="Times New Roman"/>
              <w:lang w:val="en-US" w:eastAsia="zh-CN"/>
            </w:rPr>
            <w:t>验收与安装</w:t>
          </w:r>
          <w:r>
            <w:tab/>
          </w:r>
          <w:r>
            <w:fldChar w:fldCharType="begin"/>
          </w:r>
          <w:r>
            <w:instrText xml:space="preserve"> PAGEREF _Toc3554 \h </w:instrText>
          </w:r>
          <w:r>
            <w:fldChar w:fldCharType="separate"/>
          </w:r>
          <w:r>
            <w:t>9</w:t>
          </w:r>
          <w:r>
            <w:fldChar w:fldCharType="end"/>
          </w:r>
          <w:r>
            <w:fldChar w:fldCharType="end"/>
          </w:r>
        </w:p>
        <w:p>
          <w:pPr>
            <w:pStyle w:val="12"/>
            <w:tabs>
              <w:tab w:val="right" w:leader="dot" w:pos="8306"/>
              <w:tab w:val="clear" w:pos="9628"/>
            </w:tabs>
          </w:pPr>
          <w:r>
            <w:fldChar w:fldCharType="begin"/>
          </w:r>
          <w:r>
            <w:instrText xml:space="preserve"> HYPERLINK \l _Toc15454 </w:instrText>
          </w:r>
          <w:r>
            <w:fldChar w:fldCharType="separate"/>
          </w:r>
          <w:r>
            <w:rPr>
              <w:rFonts w:hint="default" w:ascii="Times New Roman" w:hAnsi="Times New Roman" w:eastAsia="宋体" w:cs="宋体"/>
              <w:kern w:val="44"/>
              <w:szCs w:val="28"/>
              <w:lang w:val="zh-CN" w:eastAsia="zh-CN" w:bidi="ar-SA"/>
            </w:rPr>
            <w:t xml:space="preserve">7 </w:t>
          </w:r>
          <w:r>
            <w:rPr>
              <w:rFonts w:hint="eastAsia" w:ascii="Times New Roman" w:hAnsi="Times New Roman" w:eastAsia="宋体" w:cs="Times New Roman"/>
              <w:kern w:val="44"/>
              <w:szCs w:val="28"/>
              <w:lang w:val="en-US" w:eastAsia="zh-CN" w:bidi="ar-SA"/>
            </w:rPr>
            <w:t>油漆与包装运输</w:t>
          </w:r>
          <w:r>
            <w:tab/>
          </w:r>
          <w:r>
            <w:fldChar w:fldCharType="begin"/>
          </w:r>
          <w:r>
            <w:instrText xml:space="preserve"> PAGEREF _Toc15454 \h </w:instrText>
          </w:r>
          <w:r>
            <w:fldChar w:fldCharType="separate"/>
          </w:r>
          <w:r>
            <w:t>10</w:t>
          </w:r>
          <w:r>
            <w:fldChar w:fldCharType="end"/>
          </w:r>
          <w:r>
            <w:fldChar w:fldCharType="end"/>
          </w:r>
        </w:p>
        <w:p>
          <w:pPr>
            <w:pStyle w:val="12"/>
            <w:tabs>
              <w:tab w:val="right" w:leader="dot" w:pos="8306"/>
              <w:tab w:val="clear" w:pos="9628"/>
            </w:tabs>
          </w:pPr>
          <w:r>
            <w:fldChar w:fldCharType="begin"/>
          </w:r>
          <w:r>
            <w:instrText xml:space="preserve"> HYPERLINK \l _Toc241 </w:instrText>
          </w:r>
          <w:r>
            <w:fldChar w:fldCharType="separate"/>
          </w:r>
          <w:r>
            <w:rPr>
              <w:rFonts w:hint="default" w:ascii="Times New Roman" w:hAnsi="Times New Roman" w:eastAsia="宋体" w:cs="宋体"/>
              <w:kern w:val="44"/>
              <w:szCs w:val="28"/>
              <w:lang w:val="zh-CN" w:eastAsia="zh-CN" w:bidi="ar-SA"/>
            </w:rPr>
            <w:t xml:space="preserve">8 </w:t>
          </w:r>
          <w:r>
            <w:rPr>
              <w:rFonts w:hint="eastAsia" w:ascii="Times New Roman" w:hAnsi="Times New Roman" w:cs="Times New Roman"/>
              <w:kern w:val="44"/>
              <w:szCs w:val="28"/>
              <w:lang w:val="en-US" w:eastAsia="zh-CN" w:bidi="ar-SA"/>
            </w:rPr>
            <w:t>买卖双方责任范围</w:t>
          </w:r>
          <w:r>
            <w:tab/>
          </w:r>
          <w:r>
            <w:fldChar w:fldCharType="begin"/>
          </w:r>
          <w:r>
            <w:instrText xml:space="preserve"> PAGEREF _Toc241 \h </w:instrText>
          </w:r>
          <w:r>
            <w:fldChar w:fldCharType="separate"/>
          </w:r>
          <w:r>
            <w:t>11</w:t>
          </w:r>
          <w:r>
            <w:fldChar w:fldCharType="end"/>
          </w:r>
          <w:r>
            <w:fldChar w:fldCharType="end"/>
          </w:r>
        </w:p>
        <w:p>
          <w:pPr>
            <w:spacing w:line="240" w:lineRule="auto"/>
            <w:ind w:firstLine="480"/>
            <w:rPr>
              <w:b/>
            </w:rPr>
            <w:sectPr>
              <w:headerReference r:id="rId6" w:type="default"/>
              <w:footerReference r:id="rId7" w:type="default"/>
              <w:pgSz w:w="11906" w:h="16838"/>
              <w:pgMar w:top="1440" w:right="1800" w:bottom="1440" w:left="1800" w:header="851" w:footer="992" w:gutter="0"/>
              <w:cols w:space="425" w:num="1"/>
              <w:docGrid w:type="lines" w:linePitch="312" w:charSpace="0"/>
            </w:sectPr>
          </w:pPr>
          <w:r>
            <w:fldChar w:fldCharType="end"/>
          </w:r>
        </w:p>
      </w:sdtContent>
    </w:sdt>
    <w:p>
      <w:pPr>
        <w:keepNext/>
        <w:numPr>
          <w:ilvl w:val="0"/>
          <w:numId w:val="1"/>
        </w:numPr>
        <w:spacing w:before="156" w:beforeLines="50" w:line="360" w:lineRule="auto"/>
        <w:ind w:left="0" w:firstLine="0" w:firstLineChars="0"/>
        <w:outlineLvl w:val="0"/>
        <w:rPr>
          <w:b/>
          <w:kern w:val="44"/>
          <w:sz w:val="28"/>
          <w:szCs w:val="28"/>
          <w:lang w:val="zh-CN"/>
        </w:rPr>
      </w:pPr>
      <w:bookmarkStart w:id="0" w:name="_Toc13097"/>
      <w:r>
        <w:rPr>
          <w:rFonts w:hint="eastAsia"/>
          <w:b/>
          <w:kern w:val="44"/>
          <w:sz w:val="28"/>
          <w:szCs w:val="28"/>
          <w:lang w:val="zh-CN"/>
        </w:rPr>
        <w:t>总</w:t>
      </w:r>
      <w:r>
        <w:rPr>
          <w:rFonts w:hint="eastAsia"/>
          <w:b/>
          <w:kern w:val="44"/>
          <w:sz w:val="28"/>
          <w:szCs w:val="28"/>
        </w:rPr>
        <w:t>则</w:t>
      </w:r>
      <w:bookmarkEnd w:id="0"/>
    </w:p>
    <w:p>
      <w:pPr>
        <w:autoSpaceDE w:val="0"/>
        <w:autoSpaceDN w:val="0"/>
        <w:adjustRightInd w:val="0"/>
        <w:snapToGrid w:val="0"/>
        <w:spacing w:line="560" w:lineRule="exact"/>
        <w:ind w:left="-120" w:leftChars="-50" w:right="-120" w:rightChars="-50" w:firstLine="480"/>
        <w:rPr>
          <w:lang w:val="zh-CN"/>
        </w:rPr>
      </w:pPr>
      <w:r>
        <w:rPr>
          <w:rFonts w:hint="eastAsia"/>
          <w:lang w:val="zh-CN"/>
        </w:rPr>
        <w:t>本询价文件(包括数据表、技术要求和设计规范等）适用于湖南美特科研成果转化基地暨正极材料中试线建设项目正极材料中试线</w:t>
      </w:r>
      <w:r>
        <w:rPr>
          <w:rFonts w:hint="eastAsia"/>
        </w:rPr>
        <w:t>高速混合机</w:t>
      </w:r>
      <w:r>
        <w:rPr>
          <w:rFonts w:hint="eastAsia"/>
          <w:lang w:val="zh-CN"/>
        </w:rPr>
        <w:t>的设计、制造、指导安装、检验要求和供货范围的标准规范及要求。</w:t>
      </w:r>
    </w:p>
    <w:p>
      <w:pPr>
        <w:autoSpaceDE w:val="0"/>
        <w:autoSpaceDN w:val="0"/>
        <w:adjustRightInd w:val="0"/>
        <w:snapToGrid w:val="0"/>
        <w:spacing w:line="560" w:lineRule="exact"/>
        <w:ind w:left="-120" w:leftChars="-50" w:right="-120" w:rightChars="-50" w:firstLine="480"/>
        <w:rPr>
          <w:lang w:val="zh-CN"/>
        </w:rPr>
      </w:pPr>
      <w:r>
        <w:rPr>
          <w:rFonts w:hint="eastAsia"/>
          <w:lang w:val="zh-CN"/>
        </w:rPr>
        <w:t>卖方应遵循项目规范和本询价文件的要求，并保证其分供货商也遵守上述要求。卖方对所报价的设备或材料负完全责任。</w:t>
      </w:r>
    </w:p>
    <w:p>
      <w:pPr>
        <w:keepNext/>
        <w:numPr>
          <w:ilvl w:val="0"/>
          <w:numId w:val="1"/>
        </w:numPr>
        <w:spacing w:before="156" w:beforeLines="50" w:line="360" w:lineRule="auto"/>
        <w:ind w:left="0" w:firstLine="0" w:firstLineChars="0"/>
        <w:outlineLvl w:val="0"/>
        <w:rPr>
          <w:b/>
          <w:kern w:val="44"/>
          <w:sz w:val="28"/>
          <w:szCs w:val="28"/>
          <w:lang w:val="zh-CN"/>
        </w:rPr>
      </w:pPr>
      <w:bookmarkStart w:id="1" w:name="_Toc22337"/>
      <w:bookmarkStart w:id="2" w:name="_Toc6738"/>
      <w:r>
        <w:rPr>
          <w:rFonts w:hint="eastAsia"/>
          <w:b/>
          <w:kern w:val="44"/>
          <w:sz w:val="28"/>
          <w:szCs w:val="28"/>
        </w:rPr>
        <w:t>工程概况</w:t>
      </w:r>
      <w:bookmarkEnd w:id="1"/>
      <w:bookmarkEnd w:id="2"/>
    </w:p>
    <w:p>
      <w:pPr>
        <w:pStyle w:val="3"/>
      </w:pPr>
      <w:bookmarkStart w:id="3" w:name="_Toc15015"/>
      <w:bookmarkStart w:id="4" w:name="_Toc155446205"/>
      <w:bookmarkStart w:id="5" w:name="_Toc31287"/>
      <w:r>
        <w:rPr>
          <w:rFonts w:hint="eastAsia"/>
        </w:rPr>
        <w:t>基本条件</w:t>
      </w:r>
      <w:bookmarkEnd w:id="3"/>
      <w:bookmarkEnd w:id="4"/>
      <w:bookmarkEnd w:id="5"/>
    </w:p>
    <w:p>
      <w:pPr>
        <w:autoSpaceDE w:val="0"/>
        <w:autoSpaceDN w:val="0"/>
        <w:adjustRightInd w:val="0"/>
        <w:snapToGrid w:val="0"/>
        <w:spacing w:line="560" w:lineRule="exact"/>
        <w:ind w:left="-120" w:leftChars="-50" w:right="-120" w:rightChars="-50" w:firstLine="480"/>
        <w:rPr>
          <w:lang w:val="zh-CN"/>
        </w:rPr>
      </w:pPr>
      <w:r>
        <w:rPr>
          <w:rFonts w:hint="eastAsia"/>
          <w:lang w:val="zh-CN"/>
        </w:rPr>
        <w:t>工作制度：300天/年，</w:t>
      </w:r>
      <w:r>
        <w:rPr>
          <w:rFonts w:hint="eastAsia"/>
        </w:rPr>
        <w:t>3</w:t>
      </w:r>
      <w:r>
        <w:rPr>
          <w:rFonts w:hint="eastAsia"/>
          <w:lang w:val="zh-CN"/>
        </w:rPr>
        <w:t>班/天，</w:t>
      </w:r>
      <w:r>
        <w:rPr>
          <w:rFonts w:hint="eastAsia"/>
        </w:rPr>
        <w:t>8</w:t>
      </w:r>
      <w:r>
        <w:rPr>
          <w:rFonts w:hint="eastAsia"/>
          <w:lang w:val="zh-CN"/>
        </w:rPr>
        <w:t>小时/班。</w:t>
      </w:r>
    </w:p>
    <w:p>
      <w:pPr>
        <w:autoSpaceDE w:val="0"/>
        <w:autoSpaceDN w:val="0"/>
        <w:adjustRightInd w:val="0"/>
        <w:snapToGrid w:val="0"/>
        <w:spacing w:line="560" w:lineRule="exact"/>
        <w:ind w:left="-120" w:leftChars="-50" w:right="-120" w:rightChars="-50" w:firstLine="480"/>
        <w:rPr>
          <w:lang w:val="zh-CN"/>
        </w:rPr>
      </w:pPr>
      <w:r>
        <w:rPr>
          <w:rFonts w:hint="eastAsia"/>
          <w:highlight w:val="yellow"/>
          <w:lang w:val="zh-CN"/>
        </w:rPr>
        <w:t>设备安装位置：</w:t>
      </w:r>
      <w:r>
        <w:rPr>
          <w:rFonts w:hint="eastAsia"/>
          <w:highlight w:val="yellow"/>
        </w:rPr>
        <w:t>湖南</w:t>
      </w:r>
      <w:r>
        <w:rPr>
          <w:rFonts w:hint="eastAsia"/>
          <w:highlight w:val="yellow"/>
          <w:lang w:val="zh-CN"/>
        </w:rPr>
        <w:t>省</w:t>
      </w:r>
      <w:r>
        <w:rPr>
          <w:rFonts w:hint="eastAsia"/>
          <w:highlight w:val="yellow"/>
        </w:rPr>
        <w:t>长沙</w:t>
      </w:r>
      <w:r>
        <w:rPr>
          <w:rFonts w:hint="eastAsia"/>
          <w:highlight w:val="yellow"/>
          <w:lang w:val="zh-CN"/>
        </w:rPr>
        <w:t>市</w:t>
      </w:r>
      <w:r>
        <w:rPr>
          <w:rFonts w:hint="eastAsia"/>
        </w:rPr>
        <w:t>望城</w:t>
      </w:r>
      <w:r>
        <w:rPr>
          <w:rFonts w:hint="eastAsia"/>
          <w:lang w:val="zh-CN"/>
        </w:rPr>
        <w:t>区、室内。</w:t>
      </w:r>
    </w:p>
    <w:p>
      <w:pPr>
        <w:autoSpaceDE w:val="0"/>
        <w:autoSpaceDN w:val="0"/>
        <w:adjustRightInd w:val="0"/>
        <w:snapToGrid w:val="0"/>
        <w:spacing w:line="560" w:lineRule="exact"/>
        <w:ind w:left="-120" w:leftChars="-50" w:right="-120" w:rightChars="-50" w:firstLine="480"/>
        <w:rPr>
          <w:lang w:val="zh-CN"/>
        </w:rPr>
      </w:pPr>
      <w:r>
        <w:rPr>
          <w:rFonts w:hint="eastAsia"/>
          <w:lang w:val="zh-CN"/>
        </w:rPr>
        <w:t>海拔高度：</w:t>
      </w:r>
      <w:r>
        <w:rPr>
          <w:rFonts w:hint="eastAsia"/>
        </w:rPr>
        <w:t>60</w:t>
      </w:r>
      <w:r>
        <w:rPr>
          <w:rFonts w:hint="eastAsia"/>
          <w:lang w:val="zh-CN"/>
        </w:rPr>
        <w:t>~</w:t>
      </w:r>
      <w:r>
        <w:rPr>
          <w:rFonts w:hint="eastAsia"/>
        </w:rPr>
        <w:t>150</w:t>
      </w:r>
      <w:r>
        <w:rPr>
          <w:rFonts w:hint="eastAsia"/>
          <w:lang w:val="zh-CN"/>
        </w:rPr>
        <w:t>m。</w:t>
      </w:r>
    </w:p>
    <w:p>
      <w:pPr>
        <w:autoSpaceDE w:val="0"/>
        <w:autoSpaceDN w:val="0"/>
        <w:adjustRightInd w:val="0"/>
        <w:snapToGrid w:val="0"/>
        <w:spacing w:line="560" w:lineRule="exact"/>
        <w:ind w:left="-120" w:leftChars="-50" w:right="-120" w:rightChars="-50" w:firstLine="480"/>
        <w:rPr>
          <w:lang w:val="zh-CN"/>
        </w:rPr>
      </w:pPr>
      <w:r>
        <w:rPr>
          <w:rFonts w:hint="eastAsia"/>
          <w:lang w:val="zh-CN"/>
        </w:rPr>
        <w:t>大气压力：0.1 MPa。</w:t>
      </w:r>
    </w:p>
    <w:p>
      <w:pPr>
        <w:pStyle w:val="3"/>
      </w:pPr>
      <w:bookmarkStart w:id="6" w:name="_Toc18842"/>
      <w:bookmarkStart w:id="7" w:name="_Toc10860"/>
      <w:r>
        <w:rPr>
          <w:rFonts w:hint="eastAsia"/>
        </w:rPr>
        <w:t>气象条件</w:t>
      </w:r>
      <w:bookmarkEnd w:id="6"/>
      <w:bookmarkEnd w:id="7"/>
    </w:p>
    <w:p>
      <w:pPr>
        <w:autoSpaceDE w:val="0"/>
        <w:autoSpaceDN w:val="0"/>
        <w:adjustRightInd w:val="0"/>
        <w:snapToGrid w:val="0"/>
        <w:spacing w:line="560" w:lineRule="exact"/>
        <w:ind w:left="-120" w:leftChars="-50" w:right="-120" w:rightChars="-50" w:firstLine="480"/>
      </w:pPr>
      <w:r>
        <w:rPr>
          <w:rFonts w:hint="eastAsia"/>
        </w:rPr>
        <w:t>长沙市望城区地处</w:t>
      </w:r>
      <w:r>
        <w:fldChar w:fldCharType="begin"/>
      </w:r>
      <w:r>
        <w:instrText xml:space="preserve">HYPERLINK "https://baike.baidu.com/item/%E6%B4%9E%E5%BA%AD%E6%B9%96/182539?fromModule=lemma_inlink" \t "_blank"</w:instrText>
      </w:r>
      <w:r>
        <w:fldChar w:fldCharType="separate"/>
      </w:r>
      <w:r>
        <w:rPr>
          <w:rFonts w:hint="eastAsia"/>
        </w:rPr>
        <w:t>洞庭湖</w:t>
      </w:r>
      <w:r>
        <w:fldChar w:fldCharType="end"/>
      </w:r>
      <w:r>
        <w:rPr>
          <w:rFonts w:hint="eastAsia"/>
        </w:rPr>
        <w:t>南缘、长浏盆地的西部，长衡丘陵向滨湖平原过渡的地带，地理上位于位于</w:t>
      </w:r>
      <w:r>
        <w:rPr>
          <w:rFonts w:hint="eastAsia"/>
        </w:rPr>
        <w:fldChar w:fldCharType="begin"/>
      </w:r>
      <w:r>
        <w:rPr>
          <w:rFonts w:hint="eastAsia"/>
        </w:rPr>
        <w:instrText xml:space="preserve"> HYPERLINK "https://baike.baidu.com/item/%E6%B9%96%E5%8D%97/228213?fromModule=lemma_inlink" \t "_blank" </w:instrText>
      </w:r>
      <w:r>
        <w:rPr>
          <w:rFonts w:hint="eastAsia"/>
        </w:rPr>
        <w:fldChar w:fldCharType="separate"/>
      </w:r>
      <w:r>
        <w:rPr>
          <w:rFonts w:hint="eastAsia"/>
        </w:rPr>
        <w:t>湖南</w:t>
      </w:r>
      <w:r>
        <w:rPr>
          <w:rFonts w:hint="eastAsia"/>
        </w:rPr>
        <w:fldChar w:fldCharType="end"/>
      </w:r>
      <w:r>
        <w:rPr>
          <w:rFonts w:hint="eastAsia"/>
        </w:rPr>
        <w:t>中部偏北、长沙城区北半部，位于东经112°35′48″—113°02′30″和北纬27°58′28″—28°33′45″之间，属</w:t>
      </w:r>
      <w:r>
        <w:rPr>
          <w:rFonts w:hint="eastAsia"/>
        </w:rPr>
        <w:fldChar w:fldCharType="begin"/>
      </w:r>
      <w:r>
        <w:rPr>
          <w:rFonts w:hint="eastAsia"/>
        </w:rPr>
        <w:instrText xml:space="preserve"> HYPERLINK "https://baike.baidu.com/item/%E4%BA%9A%E7%83%AD%E5%B8%A6%E5%AD%A3%E9%A3%8E%E6%B0%94%E5%80%99/875538?fromModule=lemma_inlink" \t "_blank" </w:instrText>
      </w:r>
      <w:r>
        <w:rPr>
          <w:rFonts w:hint="eastAsia"/>
        </w:rPr>
        <w:fldChar w:fldCharType="separate"/>
      </w:r>
      <w:r>
        <w:rPr>
          <w:rFonts w:hint="eastAsia"/>
        </w:rPr>
        <w:t>亚热带季风气候</w:t>
      </w:r>
      <w:r>
        <w:rPr>
          <w:rFonts w:hint="eastAsia"/>
        </w:rPr>
        <w:fldChar w:fldCharType="end"/>
      </w:r>
      <w:r>
        <w:rPr>
          <w:rFonts w:hint="eastAsia"/>
        </w:rPr>
        <w:t>，气候特征是：气候温和，降水充沛，雨热同期，四季分明</w:t>
      </w:r>
    </w:p>
    <w:p>
      <w:pPr>
        <w:autoSpaceDE w:val="0"/>
        <w:autoSpaceDN w:val="0"/>
        <w:adjustRightInd w:val="0"/>
        <w:snapToGrid w:val="0"/>
        <w:spacing w:line="560" w:lineRule="exact"/>
        <w:ind w:left="-120" w:leftChars="-50" w:right="-120" w:rightChars="-50" w:firstLine="480"/>
      </w:pPr>
      <w:r>
        <w:rPr>
          <w:rFonts w:hint="eastAsia"/>
        </w:rPr>
        <w:t>1）温度</w:t>
      </w:r>
    </w:p>
    <w:p>
      <w:pPr>
        <w:autoSpaceDE w:val="0"/>
        <w:autoSpaceDN w:val="0"/>
        <w:adjustRightInd w:val="0"/>
        <w:snapToGrid w:val="0"/>
        <w:spacing w:line="560" w:lineRule="exact"/>
        <w:ind w:left="-120" w:leftChars="-50" w:right="-120" w:rightChars="-50" w:firstLine="480"/>
      </w:pPr>
      <w:r>
        <w:rPr>
          <w:rFonts w:hint="eastAsia"/>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560" w:lineRule="exact"/>
        <w:ind w:left="-120" w:leftChars="-50" w:right="-120" w:rightChars="-50" w:firstLine="480"/>
      </w:pPr>
      <w:r>
        <w:rPr>
          <w:rFonts w:hint="eastAsia"/>
        </w:rPr>
        <w:t>2）降水</w:t>
      </w:r>
    </w:p>
    <w:p>
      <w:pPr>
        <w:autoSpaceDE w:val="0"/>
        <w:autoSpaceDN w:val="0"/>
        <w:adjustRightInd w:val="0"/>
        <w:snapToGrid w:val="0"/>
        <w:spacing w:line="560" w:lineRule="exact"/>
        <w:ind w:left="-120" w:leftChars="-50" w:right="-120" w:rightChars="-50" w:firstLine="480"/>
      </w:pPr>
      <w:r>
        <w:rPr>
          <w:rFonts w:hint="eastAsia"/>
        </w:rPr>
        <w:t>长沙市望城区年降水约为1370毫米，年平均降水日达146天，五、六月份降水每月达200毫米以上，七、八月份每月100毫米以上。</w:t>
      </w:r>
    </w:p>
    <w:p>
      <w:pPr>
        <w:autoSpaceDE w:val="0"/>
        <w:autoSpaceDN w:val="0"/>
        <w:adjustRightInd w:val="0"/>
        <w:snapToGrid w:val="0"/>
        <w:spacing w:line="560" w:lineRule="exact"/>
        <w:ind w:left="-120" w:leftChars="-50" w:right="-120" w:rightChars="-50" w:firstLine="480"/>
      </w:pPr>
      <w:r>
        <w:rPr>
          <w:rFonts w:hint="eastAsia"/>
        </w:rPr>
        <w:t>3）风</w:t>
      </w:r>
    </w:p>
    <w:p>
      <w:pPr>
        <w:autoSpaceDE w:val="0"/>
        <w:autoSpaceDN w:val="0"/>
        <w:adjustRightInd w:val="0"/>
        <w:snapToGrid w:val="0"/>
        <w:spacing w:line="560" w:lineRule="exact"/>
        <w:ind w:left="-120" w:leftChars="-50" w:right="-120" w:rightChars="-50" w:firstLine="480"/>
      </w:pPr>
      <w:r>
        <w:rPr>
          <w:rFonts w:hint="eastAsia"/>
        </w:rPr>
        <w:t>基本风压：0.35kN/m</w:t>
      </w:r>
      <w:r>
        <w:rPr>
          <w:rFonts w:hint="eastAsia"/>
          <w:vertAlign w:val="superscript"/>
        </w:rPr>
        <w:t>2</w:t>
      </w:r>
      <w:r>
        <w:rPr>
          <w:rFonts w:hint="eastAsia"/>
        </w:rPr>
        <w:t>（50年一遇）；地面粗糙度类别：B类</w:t>
      </w:r>
    </w:p>
    <w:p>
      <w:pPr>
        <w:autoSpaceDE w:val="0"/>
        <w:autoSpaceDN w:val="0"/>
        <w:adjustRightInd w:val="0"/>
        <w:snapToGrid w:val="0"/>
        <w:spacing w:line="560" w:lineRule="exact"/>
        <w:ind w:left="-120" w:leftChars="-50" w:right="-120" w:rightChars="-50" w:firstLine="480"/>
      </w:pPr>
      <w:r>
        <w:rPr>
          <w:rFonts w:hint="eastAsia"/>
        </w:rPr>
        <w:t>（风荷载体型系数按GB50009-2012第8.3节）</w:t>
      </w:r>
    </w:p>
    <w:p>
      <w:pPr>
        <w:autoSpaceDE w:val="0"/>
        <w:autoSpaceDN w:val="0"/>
        <w:adjustRightInd w:val="0"/>
        <w:snapToGrid w:val="0"/>
        <w:spacing w:line="560" w:lineRule="exact"/>
        <w:ind w:left="-120" w:leftChars="-50" w:right="-120" w:rightChars="-50" w:firstLine="480"/>
      </w:pPr>
      <w:r>
        <w:rPr>
          <w:rFonts w:hint="eastAsia"/>
        </w:rPr>
        <w:t>基本雪压：0.50kN/m</w:t>
      </w:r>
      <w:r>
        <w:rPr>
          <w:rFonts w:hint="eastAsia"/>
          <w:vertAlign w:val="superscript"/>
        </w:rPr>
        <w:t>2</w:t>
      </w:r>
      <w:r>
        <w:rPr>
          <w:rFonts w:hint="eastAsia"/>
        </w:rPr>
        <w:t xml:space="preserve">（100年一遇）        </w:t>
      </w:r>
    </w:p>
    <w:p>
      <w:pPr>
        <w:autoSpaceDE w:val="0"/>
        <w:autoSpaceDN w:val="0"/>
        <w:adjustRightInd w:val="0"/>
        <w:snapToGrid w:val="0"/>
        <w:spacing w:line="560" w:lineRule="exact"/>
        <w:ind w:left="-120" w:leftChars="-50" w:right="-120" w:rightChars="-50" w:firstLine="480"/>
      </w:pPr>
      <w:r>
        <w:rPr>
          <w:rFonts w:hint="eastAsia"/>
        </w:rPr>
        <w:t>（屋面积雪压分布系数按GB 50009-2012第7.2节）</w:t>
      </w:r>
    </w:p>
    <w:p>
      <w:pPr>
        <w:keepNext/>
        <w:numPr>
          <w:ilvl w:val="0"/>
          <w:numId w:val="1"/>
        </w:numPr>
        <w:spacing w:before="156" w:beforeLines="50" w:line="360" w:lineRule="auto"/>
        <w:ind w:left="0" w:firstLine="0" w:firstLineChars="0"/>
        <w:outlineLvl w:val="0"/>
        <w:rPr>
          <w:b/>
          <w:kern w:val="44"/>
          <w:sz w:val="28"/>
          <w:szCs w:val="28"/>
          <w:lang w:val="zh-CN"/>
        </w:rPr>
      </w:pPr>
      <w:bookmarkStart w:id="8" w:name="_Toc12865"/>
      <w:bookmarkStart w:id="9" w:name="_Toc14415"/>
      <w:r>
        <w:rPr>
          <w:rFonts w:hint="eastAsia"/>
          <w:b/>
          <w:kern w:val="44"/>
          <w:sz w:val="28"/>
          <w:szCs w:val="28"/>
        </w:rPr>
        <w:t>设计和运行条件</w:t>
      </w:r>
      <w:bookmarkEnd w:id="8"/>
      <w:bookmarkEnd w:id="9"/>
    </w:p>
    <w:p>
      <w:pPr>
        <w:pStyle w:val="3"/>
        <w:spacing w:before="156" w:beforeLines="50" w:line="360" w:lineRule="auto"/>
      </w:pPr>
      <w:bookmarkStart w:id="10" w:name="_Toc30978"/>
      <w:bookmarkStart w:id="11" w:name="_Toc1155"/>
      <w:r>
        <w:rPr>
          <w:rFonts w:hint="eastAsia"/>
        </w:rPr>
        <w:t>设计条件</w:t>
      </w:r>
      <w:bookmarkEnd w:id="10"/>
    </w:p>
    <w:tbl>
      <w:tblPr>
        <w:tblStyle w:val="15"/>
        <w:tblW w:w="51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6"/>
        <w:gridCol w:w="1826"/>
        <w:gridCol w:w="5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blHeader/>
          <w:jc w:val="center"/>
        </w:trPr>
        <w:tc>
          <w:tcPr>
            <w:tcW w:w="484" w:type="pct"/>
            <w:vAlign w:val="center"/>
          </w:tcPr>
          <w:p>
            <w:pPr>
              <w:pStyle w:val="19"/>
              <w:spacing w:before="0" w:line="360" w:lineRule="auto"/>
              <w:ind w:left="0" w:right="155" w:firstLine="0" w:firstLineChars="0"/>
              <w:jc w:val="center"/>
              <w:rPr>
                <w:rFonts w:ascii="Times New Roman" w:hAnsi="Times New Roman" w:cs="Times New Roman"/>
                <w:b/>
                <w:bCs/>
                <w:sz w:val="21"/>
                <w:lang w:eastAsia="en-US"/>
              </w:rPr>
            </w:pPr>
            <w:r>
              <w:rPr>
                <w:rFonts w:hint="eastAsia" w:ascii="Times New Roman" w:hAnsi="Times New Roman" w:cs="Times New Roman"/>
                <w:b/>
                <w:bCs/>
                <w:sz w:val="21"/>
                <w:lang w:eastAsia="en-US"/>
              </w:rPr>
              <w:t xml:space="preserve">序号 </w:t>
            </w:r>
          </w:p>
        </w:tc>
        <w:tc>
          <w:tcPr>
            <w:tcW w:w="1070" w:type="pct"/>
            <w:vAlign w:val="center"/>
          </w:tcPr>
          <w:p>
            <w:pPr>
              <w:pStyle w:val="19"/>
              <w:spacing w:before="0" w:line="360" w:lineRule="auto"/>
              <w:ind w:left="0" w:right="155" w:firstLine="0" w:firstLineChars="0"/>
              <w:jc w:val="center"/>
              <w:rPr>
                <w:rFonts w:ascii="Times New Roman" w:hAnsi="Times New Roman" w:cs="Times New Roman"/>
                <w:b/>
                <w:bCs/>
                <w:sz w:val="21"/>
                <w:lang w:eastAsia="en-US"/>
              </w:rPr>
            </w:pPr>
            <w:r>
              <w:rPr>
                <w:rFonts w:hint="eastAsia" w:ascii="Times New Roman" w:hAnsi="Times New Roman" w:cs="Times New Roman"/>
                <w:b/>
                <w:bCs/>
                <w:sz w:val="21"/>
                <w:lang w:eastAsia="en-US"/>
              </w:rPr>
              <w:t xml:space="preserve">项    目 </w:t>
            </w:r>
          </w:p>
        </w:tc>
        <w:tc>
          <w:tcPr>
            <w:tcW w:w="3445" w:type="pct"/>
            <w:vAlign w:val="center"/>
          </w:tcPr>
          <w:p>
            <w:pPr>
              <w:pStyle w:val="19"/>
              <w:spacing w:before="0" w:line="360" w:lineRule="auto"/>
              <w:ind w:left="0" w:right="155" w:firstLine="0" w:firstLineChars="0"/>
              <w:jc w:val="center"/>
              <w:rPr>
                <w:rFonts w:ascii="Times New Roman" w:hAnsi="Times New Roman" w:cs="Times New Roman"/>
                <w:b/>
                <w:bCs/>
                <w:sz w:val="21"/>
                <w:lang w:eastAsia="en-US"/>
              </w:rPr>
            </w:pPr>
            <w:r>
              <w:rPr>
                <w:rFonts w:hint="eastAsia" w:ascii="Times New Roman" w:hAnsi="Times New Roman" w:cs="Times New Roman"/>
                <w:b/>
                <w:bCs/>
                <w:sz w:val="21"/>
                <w:lang w:eastAsia="en-US"/>
              </w:rPr>
              <w:t xml:space="preserve">参           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right="155" w:firstLine="0" w:firstLineChars="0"/>
              <w:jc w:val="center"/>
              <w:rPr>
                <w:rFonts w:ascii="Times New Roman" w:hAnsi="Times New Roman" w:cs="Times New Roman"/>
                <w:sz w:val="21"/>
                <w:lang w:eastAsia="en-US"/>
              </w:rPr>
            </w:pPr>
            <w:r>
              <w:rPr>
                <w:rFonts w:hint="eastAsia" w:ascii="Times New Roman" w:hAnsi="Times New Roman" w:cs="Times New Roman"/>
                <w:sz w:val="21"/>
                <w:lang w:eastAsia="en-US"/>
              </w:rPr>
              <w:t>1</w:t>
            </w:r>
          </w:p>
        </w:tc>
        <w:tc>
          <w:tcPr>
            <w:tcW w:w="1070" w:type="pct"/>
            <w:vAlign w:val="center"/>
          </w:tcPr>
          <w:p>
            <w:pPr>
              <w:pStyle w:val="19"/>
              <w:spacing w:before="0" w:line="360" w:lineRule="auto"/>
              <w:ind w:left="0" w:right="155" w:firstLine="0" w:firstLineChars="0"/>
              <w:jc w:val="center"/>
              <w:rPr>
                <w:rFonts w:hint="eastAsia" w:ascii="Times New Roman" w:hAnsi="Times New Roman" w:eastAsia="宋体" w:cs="Times New Roman"/>
                <w:sz w:val="21"/>
                <w:highlight w:val="none"/>
                <w:lang w:val="en-US" w:eastAsia="zh-CN"/>
              </w:rPr>
            </w:pPr>
            <w:r>
              <w:rPr>
                <w:rFonts w:hint="eastAsia" w:ascii="Times New Roman" w:hAnsi="Times New Roman" w:cs="Times New Roman"/>
                <w:sz w:val="21"/>
                <w:highlight w:val="none"/>
              </w:rPr>
              <w:t>高混机</w:t>
            </w:r>
            <w:r>
              <w:rPr>
                <w:rFonts w:hint="eastAsia" w:ascii="Times New Roman" w:hAnsi="Times New Roman" w:cs="Times New Roman"/>
                <w:sz w:val="21"/>
                <w:highlight w:val="none"/>
                <w:lang w:val="en-US" w:eastAsia="zh-CN"/>
              </w:rPr>
              <w:t>需求</w:t>
            </w:r>
          </w:p>
        </w:tc>
        <w:tc>
          <w:tcPr>
            <w:tcW w:w="3445" w:type="pct"/>
            <w:vAlign w:val="center"/>
          </w:tcPr>
          <w:p>
            <w:pPr>
              <w:pStyle w:val="19"/>
              <w:spacing w:before="0" w:line="360" w:lineRule="auto"/>
              <w:ind w:left="0" w:right="155" w:firstLine="0" w:firstLineChars="0"/>
              <w:jc w:val="left"/>
              <w:rPr>
                <w:rFonts w:hint="default" w:ascii="Times New Roman" w:hAnsi="Times New Roman" w:eastAsia="宋体" w:cs="Times New Roman"/>
                <w:sz w:val="21"/>
                <w:highlight w:val="none"/>
                <w:lang w:val="en-US" w:eastAsia="zh-CN"/>
              </w:rPr>
            </w:pPr>
            <w:r>
              <w:rPr>
                <w:rFonts w:hint="eastAsia" w:ascii="Times New Roman" w:hAnsi="Times New Roman" w:cs="Times New Roman"/>
                <w:sz w:val="21"/>
                <w:highlight w:val="yellow"/>
                <w:lang w:val="en-US" w:eastAsia="zh-CN"/>
              </w:rPr>
              <w:t>纳电层状氧化物</w:t>
            </w:r>
            <w:r>
              <w:rPr>
                <w:rFonts w:hint="eastAsia" w:ascii="Times New Roman" w:hAnsi="Times New Roman" w:cs="Times New Roman"/>
                <w:sz w:val="21"/>
                <w:highlight w:val="magenta"/>
                <w:lang w:val="en-US" w:eastAsia="zh-CN"/>
              </w:rPr>
              <w:t>1台</w:t>
            </w:r>
            <w:r>
              <w:rPr>
                <w:rFonts w:hint="eastAsia" w:ascii="Times New Roman" w:hAnsi="Times New Roman" w:cs="Times New Roman"/>
                <w:sz w:val="21"/>
                <w:highlight w:val="none"/>
                <w:lang w:val="en-US" w:eastAsia="zh-CN"/>
              </w:rPr>
              <w:t>+</w:t>
            </w:r>
            <w:r>
              <w:rPr>
                <w:rFonts w:hint="eastAsia" w:ascii="Times New Roman" w:hAnsi="Times New Roman" w:cs="Times New Roman"/>
                <w:sz w:val="21"/>
                <w:highlight w:val="yellow"/>
                <w:lang w:val="en-US" w:eastAsia="zh-CN"/>
              </w:rPr>
              <w:t>钴酸锂</w:t>
            </w:r>
            <w:r>
              <w:rPr>
                <w:rFonts w:hint="eastAsia" w:ascii="Times New Roman" w:hAnsi="Times New Roman" w:cs="Times New Roman"/>
                <w:sz w:val="21"/>
                <w:highlight w:val="magenta"/>
                <w:lang w:val="en-US" w:eastAsia="zh-CN"/>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leftChars="0" w:right="155" w:rightChars="0" w:firstLine="0" w:firstLineChars="0"/>
              <w:jc w:val="center"/>
              <w:rPr>
                <w:rFonts w:hint="eastAsia" w:ascii="Times New Roman" w:hAnsi="Times New Roman" w:eastAsia="宋体" w:cs="Times New Roman"/>
                <w:kern w:val="2"/>
                <w:sz w:val="21"/>
                <w:szCs w:val="24"/>
                <w:lang w:val="en-US" w:eastAsia="en-US" w:bidi="ar-SA"/>
              </w:rPr>
            </w:pPr>
            <w:r>
              <w:rPr>
                <w:rFonts w:hint="eastAsia" w:ascii="Times New Roman" w:hAnsi="Times New Roman" w:cs="Times New Roman"/>
                <w:sz w:val="21"/>
              </w:rPr>
              <w:t>3</w:t>
            </w:r>
          </w:p>
        </w:tc>
        <w:tc>
          <w:tcPr>
            <w:tcW w:w="1070" w:type="pct"/>
            <w:vAlign w:val="center"/>
          </w:tcPr>
          <w:p>
            <w:pPr>
              <w:pStyle w:val="19"/>
              <w:spacing w:before="0" w:line="360" w:lineRule="auto"/>
              <w:ind w:left="0" w:leftChars="0" w:right="155" w:rightChars="0" w:firstLine="0" w:firstLineChars="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cs="Times New Roman"/>
                <w:sz w:val="21"/>
                <w:highlight w:val="none"/>
              </w:rPr>
              <w:t>高混机容积</w:t>
            </w:r>
          </w:p>
        </w:tc>
        <w:tc>
          <w:tcPr>
            <w:tcW w:w="3445" w:type="pct"/>
            <w:vAlign w:val="center"/>
          </w:tcPr>
          <w:p>
            <w:pPr>
              <w:pStyle w:val="19"/>
              <w:spacing w:before="0" w:line="360" w:lineRule="auto"/>
              <w:ind w:left="0" w:right="155" w:firstLine="0" w:firstLineChars="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cs="Times New Roman"/>
                <w:sz w:val="21"/>
                <w:highlight w:val="yellow"/>
              </w:rPr>
              <w:t>300</w:t>
            </w:r>
            <w:r>
              <w:rPr>
                <w:rFonts w:hint="eastAsia" w:ascii="Times New Roman" w:hAnsi="Times New Roman" w:cs="Times New Roman"/>
                <w:sz w:val="21"/>
                <w:highlight w:val="yellow"/>
                <w:lang w:val="en-US" w:eastAsia="zh-CN"/>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484" w:type="pct"/>
            <w:vAlign w:val="center"/>
          </w:tcPr>
          <w:p>
            <w:pPr>
              <w:pStyle w:val="19"/>
              <w:spacing w:before="0" w:line="360" w:lineRule="auto"/>
              <w:ind w:left="0" w:leftChars="0" w:right="155" w:rightChars="0" w:firstLine="0" w:firstLineChars="0"/>
              <w:jc w:val="center"/>
              <w:rPr>
                <w:rFonts w:ascii="Times New Roman" w:hAnsi="Times New Roman" w:eastAsia="宋体" w:cs="Times New Roman"/>
                <w:kern w:val="2"/>
                <w:sz w:val="21"/>
                <w:szCs w:val="24"/>
                <w:lang w:val="en-US" w:eastAsia="en-US" w:bidi="ar-SA"/>
              </w:rPr>
            </w:pPr>
            <w:r>
              <w:rPr>
                <w:rFonts w:hint="eastAsia" w:ascii="Times New Roman" w:hAnsi="Times New Roman" w:cs="Times New Roman"/>
                <w:sz w:val="21"/>
                <w:lang w:eastAsia="en-US"/>
              </w:rPr>
              <w:t>4</w:t>
            </w:r>
          </w:p>
        </w:tc>
        <w:tc>
          <w:tcPr>
            <w:tcW w:w="1070" w:type="pct"/>
            <w:vAlign w:val="center"/>
          </w:tcPr>
          <w:p>
            <w:pPr>
              <w:pStyle w:val="19"/>
              <w:spacing w:before="0" w:line="360" w:lineRule="auto"/>
              <w:ind w:left="0" w:right="155" w:firstLine="0" w:firstLineChars="0"/>
              <w:jc w:val="center"/>
              <w:rPr>
                <w:rFonts w:ascii="Times New Roman" w:hAnsi="Times New Roman" w:cs="Times New Roman"/>
                <w:color w:val="auto"/>
                <w:sz w:val="21"/>
                <w:highlight w:val="none"/>
              </w:rPr>
            </w:pPr>
            <w:r>
              <w:rPr>
                <w:rFonts w:hint="eastAsia" w:ascii="Times New Roman" w:hAnsi="Times New Roman" w:cs="Times New Roman"/>
                <w:color w:val="auto"/>
                <w:sz w:val="21"/>
                <w:highlight w:val="none"/>
              </w:rPr>
              <w:t>物料特性</w:t>
            </w:r>
          </w:p>
        </w:tc>
        <w:tc>
          <w:tcPr>
            <w:tcW w:w="3445" w:type="pct"/>
            <w:vAlign w:val="center"/>
          </w:tcPr>
          <w:p>
            <w:pPr>
              <w:pStyle w:val="19"/>
              <w:spacing w:before="0" w:line="360" w:lineRule="auto"/>
              <w:ind w:left="0" w:right="155" w:firstLine="0" w:firstLineChars="0"/>
              <w:rPr>
                <w:rFonts w:hint="eastAsia" w:ascii="Times New Roman" w:hAnsi="Times New Roman" w:eastAsia="宋体" w:cs="Times New Roman"/>
                <w:color w:val="auto"/>
                <w:sz w:val="21"/>
                <w:highlight w:val="none"/>
                <w:lang w:eastAsia="zh-CN"/>
              </w:rPr>
            </w:pPr>
            <w:r>
              <w:rPr>
                <w:rFonts w:hint="eastAsia" w:ascii="Times New Roman" w:hAnsi="Times New Roman" w:cs="Times New Roman"/>
                <w:color w:val="auto"/>
                <w:sz w:val="21"/>
                <w:highlight w:val="none"/>
              </w:rPr>
              <w:t>主料比重：0.</w:t>
            </w:r>
            <w:r>
              <w:rPr>
                <w:rFonts w:hint="eastAsia" w:ascii="Times New Roman" w:hAnsi="Times New Roman" w:cs="Times New Roman"/>
                <w:color w:val="auto"/>
                <w:sz w:val="21"/>
                <w:highlight w:val="none"/>
                <w:lang w:val="en-US" w:eastAsia="zh-CN"/>
              </w:rPr>
              <w:t>6</w:t>
            </w:r>
            <w:r>
              <w:rPr>
                <w:rFonts w:hint="eastAsia"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rPr>
              <w:t>.5 kg/L，添加剂比重：0.</w:t>
            </w:r>
            <w:r>
              <w:rPr>
                <w:rFonts w:hint="eastAsia" w:ascii="Times New Roman" w:hAnsi="Times New Roman" w:cs="Times New Roman"/>
                <w:color w:val="auto"/>
                <w:sz w:val="21"/>
                <w:highlight w:val="none"/>
                <w:lang w:val="en-US" w:eastAsia="zh-CN"/>
              </w:rPr>
              <w:t>5</w:t>
            </w:r>
            <w:r>
              <w:rPr>
                <w:rFonts w:hint="eastAsia"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2</w:t>
            </w:r>
            <w:r>
              <w:rPr>
                <w:rFonts w:hint="eastAsia" w:ascii="Times New Roman" w:hAnsi="Times New Roman" w:cs="Times New Roman"/>
                <w:color w:val="auto"/>
                <w:sz w:val="21"/>
                <w:highlight w:val="none"/>
              </w:rPr>
              <w:t>.5kg/L。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484" w:type="pct"/>
            <w:vAlign w:val="center"/>
          </w:tcPr>
          <w:p>
            <w:pPr>
              <w:pStyle w:val="19"/>
              <w:spacing w:before="0" w:line="360" w:lineRule="auto"/>
              <w:ind w:left="0" w:leftChars="0" w:right="155" w:rightChars="0" w:firstLine="0" w:firstLineChars="0"/>
              <w:jc w:val="center"/>
              <w:rPr>
                <w:rFonts w:ascii="Times New Roman" w:hAnsi="Times New Roman" w:eastAsia="宋体" w:cs="Times New Roman"/>
                <w:kern w:val="2"/>
                <w:sz w:val="21"/>
                <w:szCs w:val="24"/>
                <w:lang w:val="en-US" w:eastAsia="en-US" w:bidi="ar-SA"/>
              </w:rPr>
            </w:pPr>
            <w:r>
              <w:rPr>
                <w:rFonts w:hint="eastAsia" w:ascii="Times New Roman" w:hAnsi="Times New Roman" w:cs="Times New Roman"/>
                <w:sz w:val="21"/>
                <w:lang w:eastAsia="en-US"/>
              </w:rPr>
              <w:t>5</w:t>
            </w:r>
          </w:p>
        </w:tc>
        <w:tc>
          <w:tcPr>
            <w:tcW w:w="1070" w:type="pct"/>
            <w:vAlign w:val="center"/>
          </w:tcPr>
          <w:p>
            <w:pPr>
              <w:pStyle w:val="19"/>
              <w:spacing w:before="0" w:line="360" w:lineRule="auto"/>
              <w:ind w:left="0" w:right="155" w:firstLine="0" w:firstLineChars="0"/>
              <w:jc w:val="center"/>
              <w:rPr>
                <w:rFonts w:ascii="Times New Roman" w:hAnsi="Times New Roman" w:cs="Times New Roman"/>
                <w:sz w:val="21"/>
                <w:highlight w:val="none"/>
              </w:rPr>
            </w:pPr>
            <w:r>
              <w:rPr>
                <w:rFonts w:hint="eastAsia" w:ascii="Times New Roman" w:hAnsi="Times New Roman" w:cs="Times New Roman"/>
                <w:sz w:val="21"/>
                <w:highlight w:val="none"/>
              </w:rPr>
              <w:t>混合能力</w:t>
            </w:r>
          </w:p>
        </w:tc>
        <w:tc>
          <w:tcPr>
            <w:tcW w:w="3445" w:type="pct"/>
            <w:vAlign w:val="center"/>
          </w:tcPr>
          <w:p>
            <w:pPr>
              <w:suppressLineNumbers/>
              <w:adjustRightInd w:val="0"/>
              <w:snapToGrid w:val="0"/>
              <w:spacing w:line="276" w:lineRule="auto"/>
              <w:ind w:firstLine="0" w:firstLineChars="0"/>
              <w:rPr>
                <w:rFonts w:hint="eastAsia" w:ascii="宋体" w:hAnsi="宋体" w:eastAsia="宋体" w:cs="楷体"/>
                <w:sz w:val="21"/>
                <w:szCs w:val="21"/>
                <w:highlight w:val="yellow"/>
                <w:lang w:eastAsia="zh-CN"/>
              </w:rPr>
            </w:pPr>
            <w:r>
              <w:rPr>
                <w:rFonts w:hint="eastAsia" w:ascii="宋体" w:hAnsi="宋体" w:eastAsia="宋体" w:cs="楷体"/>
                <w:sz w:val="21"/>
                <w:szCs w:val="21"/>
                <w:highlight w:val="yellow"/>
                <w:lang w:val="en-US" w:eastAsia="zh-CN"/>
              </w:rPr>
              <w:t>180</w:t>
            </w:r>
            <w:r>
              <w:rPr>
                <w:rFonts w:hint="eastAsia" w:ascii="宋体" w:hAnsi="宋体" w:eastAsia="宋体" w:cs="楷体"/>
                <w:sz w:val="21"/>
                <w:szCs w:val="21"/>
                <w:highlight w:val="yellow"/>
              </w:rPr>
              <w:t>L/批或</w:t>
            </w:r>
            <w:r>
              <w:rPr>
                <w:rFonts w:hint="eastAsia" w:ascii="宋体" w:hAnsi="宋体" w:eastAsia="宋体" w:cs="楷体"/>
                <w:sz w:val="21"/>
                <w:szCs w:val="21"/>
                <w:highlight w:val="yellow"/>
                <w:lang w:val="en-US" w:eastAsia="zh-CN"/>
              </w:rPr>
              <w:t>180</w:t>
            </w:r>
            <w:r>
              <w:rPr>
                <w:rFonts w:hint="eastAsia" w:ascii="宋体" w:hAnsi="宋体" w:eastAsia="宋体" w:cs="楷体"/>
                <w:sz w:val="21"/>
                <w:szCs w:val="21"/>
                <w:highlight w:val="yellow"/>
              </w:rPr>
              <w:t>kg/批</w:t>
            </w:r>
            <w:r>
              <w:rPr>
                <w:rFonts w:hint="eastAsia" w:ascii="宋体" w:hAnsi="宋体" w:eastAsia="宋体" w:cs="楷体"/>
                <w:sz w:val="21"/>
                <w:szCs w:val="21"/>
                <w:highlight w:val="yellow"/>
                <w:lang w:eastAsia="zh-CN"/>
              </w:rPr>
              <w:t>；</w:t>
            </w:r>
          </w:p>
          <w:p>
            <w:pPr>
              <w:suppressLineNumbers/>
              <w:adjustRightInd w:val="0"/>
              <w:snapToGrid w:val="0"/>
              <w:spacing w:line="276" w:lineRule="auto"/>
              <w:ind w:firstLine="0" w:firstLineChars="0"/>
              <w:rPr>
                <w:rFonts w:hint="eastAsia" w:eastAsia="宋体"/>
                <w:sz w:val="21"/>
                <w:highlight w:val="none"/>
                <w:lang w:eastAsia="zh-CN"/>
              </w:rPr>
            </w:pPr>
            <w:r>
              <w:rPr>
                <w:rFonts w:hint="eastAsia" w:ascii="宋体" w:hAnsi="宋体" w:eastAsia="宋体" w:cs="楷体"/>
                <w:sz w:val="21"/>
                <w:szCs w:val="21"/>
              </w:rPr>
              <w:t>混合时间小于20min满足混合效果</w:t>
            </w:r>
            <w:r>
              <w:rPr>
                <w:rFonts w:hint="eastAsia" w:ascii="宋体" w:hAnsi="宋体" w:cs="楷体"/>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leftChars="0" w:right="155" w:rightChars="0" w:firstLine="0" w:firstLineChars="0"/>
              <w:jc w:val="center"/>
              <w:rPr>
                <w:rFonts w:ascii="Times New Roman" w:hAnsi="Times New Roman" w:eastAsia="宋体" w:cs="Times New Roman"/>
                <w:kern w:val="2"/>
                <w:sz w:val="21"/>
                <w:szCs w:val="24"/>
                <w:lang w:val="en-US" w:eastAsia="en-US" w:bidi="ar-SA"/>
              </w:rPr>
            </w:pPr>
            <w:r>
              <w:rPr>
                <w:rFonts w:hint="eastAsia" w:ascii="Times New Roman" w:hAnsi="Times New Roman" w:cs="Times New Roman"/>
                <w:sz w:val="21"/>
                <w:lang w:eastAsia="en-US"/>
              </w:rPr>
              <w:t>6</w:t>
            </w:r>
          </w:p>
        </w:tc>
        <w:tc>
          <w:tcPr>
            <w:tcW w:w="1070" w:type="pct"/>
            <w:vAlign w:val="center"/>
          </w:tcPr>
          <w:p>
            <w:pPr>
              <w:pStyle w:val="19"/>
              <w:spacing w:before="0" w:line="360" w:lineRule="auto"/>
              <w:ind w:left="0" w:right="155" w:firstLine="0" w:firstLineChars="0"/>
              <w:jc w:val="center"/>
              <w:rPr>
                <w:rFonts w:ascii="Times New Roman" w:hAnsi="Times New Roman" w:cs="Times New Roman"/>
                <w:sz w:val="21"/>
                <w:highlight w:val="none"/>
              </w:rPr>
            </w:pPr>
            <w:r>
              <w:rPr>
                <w:rFonts w:hint="eastAsia" w:ascii="Times New Roman" w:hAnsi="Times New Roman" w:cs="Times New Roman"/>
                <w:sz w:val="21"/>
                <w:highlight w:val="none"/>
              </w:rPr>
              <w:t>筒体</w:t>
            </w:r>
          </w:p>
        </w:tc>
        <w:tc>
          <w:tcPr>
            <w:tcW w:w="3445" w:type="pct"/>
            <w:vAlign w:val="center"/>
          </w:tcPr>
          <w:p>
            <w:pPr>
              <w:numPr>
                <w:ilvl w:val="0"/>
                <w:numId w:val="0"/>
              </w:numPr>
              <w:suppressLineNumbers/>
              <w:adjustRightInd w:val="0"/>
              <w:snapToGrid w:val="0"/>
              <w:spacing w:line="276" w:lineRule="auto"/>
              <w:ind w:leftChars="0"/>
              <w:rPr>
                <w:sz w:val="21"/>
                <w:highlight w:val="none"/>
              </w:rPr>
            </w:pPr>
            <w:r>
              <w:rPr>
                <w:rFonts w:hint="eastAsia"/>
                <w:sz w:val="21"/>
                <w:highlight w:val="none"/>
                <w:lang w:val="en-US" w:eastAsia="zh-CN"/>
              </w:rPr>
              <w:t xml:space="preserve">a. </w:t>
            </w:r>
            <w:r>
              <w:rPr>
                <w:rFonts w:hint="eastAsia"/>
                <w:sz w:val="21"/>
                <w:highlight w:val="yellow"/>
              </w:rPr>
              <w:t>筒体内壁</w:t>
            </w:r>
            <w:r>
              <w:rPr>
                <w:rFonts w:hint="eastAsia"/>
                <w:sz w:val="21"/>
                <w:highlight w:val="yellow"/>
                <w:lang w:eastAsia="zh-CN"/>
              </w:rPr>
              <w:t>：</w:t>
            </w:r>
            <w:r>
              <w:rPr>
                <w:rFonts w:hint="eastAsia"/>
                <w:sz w:val="21"/>
                <w:highlight w:val="yellow"/>
              </w:rPr>
              <w:t>内衬陶瓷贴片</w:t>
            </w:r>
            <w:r>
              <w:rPr>
                <w:rFonts w:hint="eastAsia"/>
                <w:sz w:val="21"/>
                <w:highlight w:val="yellow"/>
                <w:lang w:val="en-US" w:eastAsia="zh-CN"/>
              </w:rPr>
              <w:t>或</w:t>
            </w:r>
            <w:r>
              <w:rPr>
                <w:rFonts w:hint="eastAsia" w:ascii="MS Mincho" w:hAnsi="MS Mincho"/>
                <w:color w:val="000000" w:themeColor="text1"/>
                <w:sz w:val="21"/>
                <w:szCs w:val="21"/>
                <w:highlight w:val="yellow"/>
                <w14:textFill>
                  <w14:solidFill>
                    <w14:schemeClr w14:val="tx1"/>
                  </w14:solidFill>
                </w14:textFill>
              </w:rPr>
              <w:t>氧化铝陶瓷溶射</w:t>
            </w:r>
            <w:r>
              <w:rPr>
                <w:rFonts w:hint="eastAsia"/>
                <w:sz w:val="21"/>
                <w:highlight w:val="yellow"/>
                <w:lang w:val="en-US" w:eastAsia="zh-CN"/>
              </w:rPr>
              <w:t>，</w:t>
            </w:r>
            <w:r>
              <w:rPr>
                <w:rFonts w:hint="eastAsia"/>
                <w:sz w:val="21"/>
                <w:highlight w:val="yellow"/>
              </w:rPr>
              <w:t>厚度0.3</w:t>
            </w:r>
            <w:r>
              <w:rPr>
                <w:rFonts w:hint="eastAsia"/>
                <w:sz w:val="21"/>
                <w:highlight w:val="yellow"/>
                <w:lang w:val="en-US" w:eastAsia="zh-CN"/>
              </w:rPr>
              <w:t>-0.4mm</w:t>
            </w:r>
            <w:r>
              <w:rPr>
                <w:rFonts w:hint="eastAsia"/>
                <w:sz w:val="21"/>
                <w:highlight w:val="none"/>
              </w:rPr>
              <w:t>，内面光洁</w:t>
            </w:r>
            <w:r>
              <w:rPr>
                <w:rFonts w:hint="eastAsia"/>
                <w:sz w:val="21"/>
                <w:highlight w:val="none"/>
                <w:lang w:val="en-US" w:eastAsia="zh-CN"/>
              </w:rPr>
              <w:t>符合行业标准</w:t>
            </w:r>
            <w:r>
              <w:rPr>
                <w:rFonts w:hint="eastAsia"/>
                <w:sz w:val="21"/>
                <w:highlight w:val="none"/>
                <w:lang w:eastAsia="zh-CN"/>
              </w:rPr>
              <w:t>；</w:t>
            </w:r>
          </w:p>
          <w:p>
            <w:pPr>
              <w:numPr>
                <w:ilvl w:val="0"/>
                <w:numId w:val="0"/>
              </w:numPr>
              <w:suppressLineNumbers/>
              <w:adjustRightInd w:val="0"/>
              <w:snapToGrid w:val="0"/>
              <w:spacing w:line="276" w:lineRule="auto"/>
              <w:ind w:leftChars="0"/>
              <w:rPr>
                <w:sz w:val="21"/>
                <w:highlight w:val="none"/>
              </w:rPr>
            </w:pPr>
            <w:r>
              <w:rPr>
                <w:rFonts w:hint="eastAsia"/>
                <w:sz w:val="21"/>
                <w:highlight w:val="none"/>
                <w:lang w:val="en-US" w:eastAsia="zh-CN"/>
              </w:rPr>
              <w:t>b.</w:t>
            </w:r>
            <w:r>
              <w:rPr>
                <w:rFonts w:hint="eastAsia"/>
                <w:sz w:val="21"/>
                <w:highlight w:val="yellow"/>
              </w:rPr>
              <w:t>上盖</w:t>
            </w:r>
            <w:r>
              <w:rPr>
                <w:rFonts w:hint="eastAsia"/>
                <w:sz w:val="21"/>
                <w:highlight w:val="none"/>
                <w:lang w:eastAsia="zh-CN"/>
              </w:rPr>
              <w:t>：</w:t>
            </w:r>
            <w:r>
              <w:rPr>
                <w:rFonts w:hint="eastAsia"/>
                <w:sz w:val="21"/>
                <w:highlight w:val="yellow"/>
              </w:rPr>
              <w:t>SUS304+ECTFE厚度0.3mm</w:t>
            </w:r>
            <w:r>
              <w:rPr>
                <w:rFonts w:hint="eastAsia"/>
                <w:sz w:val="21"/>
                <w:highlight w:val="none"/>
              </w:rPr>
              <w:t>；必须具有良好的密封性，防止粉尘泄露；</w:t>
            </w:r>
          </w:p>
          <w:p>
            <w:pPr>
              <w:numPr>
                <w:ilvl w:val="0"/>
                <w:numId w:val="0"/>
              </w:numPr>
              <w:suppressLineNumbers/>
              <w:adjustRightInd w:val="0"/>
              <w:snapToGrid w:val="0"/>
              <w:spacing w:line="276" w:lineRule="auto"/>
              <w:ind w:leftChars="0"/>
              <w:rPr>
                <w:sz w:val="21"/>
                <w:highlight w:val="none"/>
              </w:rPr>
            </w:pPr>
            <w:r>
              <w:rPr>
                <w:rFonts w:hint="eastAsia"/>
                <w:sz w:val="21"/>
                <w:highlight w:val="none"/>
                <w:lang w:val="en-US" w:eastAsia="zh-CN"/>
              </w:rPr>
              <w:t>c.</w:t>
            </w:r>
            <w:r>
              <w:rPr>
                <w:rFonts w:hint="eastAsia"/>
                <w:sz w:val="21"/>
                <w:highlight w:val="none"/>
              </w:rPr>
              <w:t>设置筒体夹套，</w:t>
            </w:r>
            <w:r>
              <w:rPr>
                <w:rFonts w:hint="eastAsia"/>
                <w:sz w:val="21"/>
                <w:highlight w:val="yellow"/>
              </w:rPr>
              <w:t>通过</w:t>
            </w:r>
            <w:r>
              <w:rPr>
                <w:rFonts w:hint="eastAsia"/>
                <w:sz w:val="21"/>
                <w:highlight w:val="yellow"/>
                <w:lang w:val="en-US" w:eastAsia="zh-CN"/>
              </w:rPr>
              <w:t>7-12℃</w:t>
            </w:r>
            <w:r>
              <w:rPr>
                <w:rFonts w:hint="eastAsia"/>
                <w:sz w:val="21"/>
                <w:highlight w:val="yellow"/>
              </w:rPr>
              <w:t>冷</w:t>
            </w:r>
            <w:r>
              <w:rPr>
                <w:rFonts w:hint="eastAsia"/>
                <w:sz w:val="21"/>
                <w:highlight w:val="yellow"/>
                <w:lang w:val="en-US" w:eastAsia="zh-CN"/>
              </w:rPr>
              <w:t>冻</w:t>
            </w:r>
            <w:r>
              <w:rPr>
                <w:rFonts w:hint="eastAsia"/>
                <w:sz w:val="21"/>
                <w:highlight w:val="yellow"/>
              </w:rPr>
              <w:t>水降温</w:t>
            </w:r>
            <w:r>
              <w:rPr>
                <w:rFonts w:hint="eastAsia"/>
                <w:sz w:val="21"/>
                <w:highlight w:val="none"/>
              </w:rPr>
              <w:t>，外层保温。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484" w:type="pct"/>
            <w:vAlign w:val="center"/>
          </w:tcPr>
          <w:p>
            <w:pPr>
              <w:pStyle w:val="19"/>
              <w:spacing w:before="0" w:line="360" w:lineRule="auto"/>
              <w:ind w:left="0" w:leftChars="0" w:right="155" w:rightChars="0" w:firstLine="0" w:firstLineChars="0"/>
              <w:jc w:val="center"/>
              <w:rPr>
                <w:rFonts w:ascii="Times New Roman" w:hAnsi="Times New Roman" w:eastAsia="宋体" w:cs="Times New Roman"/>
                <w:kern w:val="2"/>
                <w:sz w:val="21"/>
                <w:szCs w:val="24"/>
                <w:lang w:val="en-US" w:eastAsia="en-US" w:bidi="ar-SA"/>
              </w:rPr>
            </w:pPr>
            <w:r>
              <w:rPr>
                <w:rFonts w:hint="eastAsia" w:ascii="Times New Roman" w:hAnsi="Times New Roman" w:cs="Times New Roman"/>
                <w:sz w:val="21"/>
                <w:lang w:eastAsia="en-US"/>
              </w:rPr>
              <w:t>7</w:t>
            </w:r>
          </w:p>
        </w:tc>
        <w:tc>
          <w:tcPr>
            <w:tcW w:w="1070" w:type="pct"/>
            <w:vAlign w:val="center"/>
          </w:tcPr>
          <w:p>
            <w:pPr>
              <w:pStyle w:val="19"/>
              <w:spacing w:before="0" w:line="360" w:lineRule="auto"/>
              <w:ind w:left="0" w:right="155" w:firstLine="0" w:firstLineChars="0"/>
              <w:jc w:val="center"/>
              <w:rPr>
                <w:rFonts w:ascii="Times New Roman" w:hAnsi="Times New Roman" w:cs="Times New Roman"/>
                <w:sz w:val="21"/>
                <w:highlight w:val="none"/>
                <w:lang w:eastAsia="en-US"/>
              </w:rPr>
            </w:pPr>
            <w:r>
              <w:rPr>
                <w:rFonts w:hint="eastAsia" w:ascii="Times New Roman" w:hAnsi="Times New Roman" w:cs="Times New Roman"/>
                <w:sz w:val="21"/>
                <w:highlight w:val="none"/>
              </w:rPr>
              <w:t>搅拌装置</w:t>
            </w:r>
          </w:p>
        </w:tc>
        <w:tc>
          <w:tcPr>
            <w:tcW w:w="3445" w:type="pct"/>
            <w:vAlign w:val="center"/>
          </w:tcPr>
          <w:p>
            <w:pPr>
              <w:suppressLineNumbers/>
              <w:adjustRightInd w:val="0"/>
              <w:snapToGrid w:val="0"/>
              <w:spacing w:line="276" w:lineRule="auto"/>
              <w:ind w:firstLine="0" w:firstLineChars="0"/>
              <w:rPr>
                <w:sz w:val="21"/>
                <w:highlight w:val="yellow"/>
              </w:rPr>
            </w:pPr>
            <w:r>
              <w:rPr>
                <w:rFonts w:hint="eastAsia"/>
                <w:sz w:val="21"/>
                <w:highlight w:val="none"/>
              </w:rPr>
              <w:t>a.</w:t>
            </w:r>
            <w:r>
              <w:rPr>
                <w:rFonts w:hint="eastAsia"/>
                <w:sz w:val="21"/>
                <w:highlight w:val="yellow"/>
                <w:lang w:val="en-GB"/>
              </w:rPr>
              <w:t>搅拌</w:t>
            </w:r>
            <w:r>
              <w:rPr>
                <w:rFonts w:hint="eastAsia"/>
                <w:sz w:val="21"/>
                <w:highlight w:val="yellow"/>
              </w:rPr>
              <w:t>桨叶:</w:t>
            </w:r>
            <w:r>
              <w:rPr>
                <w:rFonts w:hint="eastAsia"/>
                <w:sz w:val="21"/>
                <w:highlight w:val="yellow"/>
                <w:lang w:val="en-US" w:eastAsia="zh-CN"/>
              </w:rPr>
              <w:t xml:space="preserve"> </w:t>
            </w:r>
            <w:r>
              <w:rPr>
                <w:rFonts w:hint="eastAsia"/>
                <w:sz w:val="21"/>
                <w:highlight w:val="yellow"/>
              </w:rPr>
              <w:t>SUS304</w:t>
            </w:r>
            <w:r>
              <w:rPr>
                <w:rFonts w:hint="eastAsia"/>
                <w:sz w:val="21"/>
                <w:highlight w:val="yellow"/>
                <w:lang w:val="en-US" w:eastAsia="zh-CN"/>
              </w:rPr>
              <w:t>+</w:t>
            </w:r>
            <w:r>
              <w:rPr>
                <w:rFonts w:hint="eastAsia" w:ascii="MS Mincho" w:hAnsi="MS Mincho"/>
                <w:color w:val="000000" w:themeColor="text1"/>
                <w:sz w:val="21"/>
                <w:szCs w:val="21"/>
                <w:highlight w:val="yellow"/>
                <w14:textFill>
                  <w14:solidFill>
                    <w14:schemeClr w14:val="tx1"/>
                  </w14:solidFill>
                </w14:textFill>
              </w:rPr>
              <w:t>氧化铝陶瓷溶射</w:t>
            </w:r>
            <w:r>
              <w:rPr>
                <w:rFonts w:hint="eastAsia" w:ascii="MS Mincho" w:hAnsi="MS Mincho"/>
                <w:color w:val="000000" w:themeColor="text1"/>
                <w:sz w:val="21"/>
                <w:szCs w:val="21"/>
                <w:highlight w:val="yellow"/>
                <w:lang w:eastAsia="zh-CN"/>
                <w14:textFill>
                  <w14:solidFill>
                    <w14:schemeClr w14:val="tx1"/>
                  </w14:solidFill>
                </w14:textFill>
              </w:rPr>
              <w:t>（</w:t>
            </w:r>
            <w:r>
              <w:rPr>
                <w:rFonts w:hint="eastAsia"/>
                <w:sz w:val="21"/>
                <w:highlight w:val="yellow"/>
              </w:rPr>
              <w:t>厚度0.3</w:t>
            </w:r>
            <w:r>
              <w:rPr>
                <w:rFonts w:hint="eastAsia"/>
                <w:sz w:val="21"/>
                <w:highlight w:val="yellow"/>
                <w:lang w:val="en-US" w:eastAsia="zh-CN"/>
              </w:rPr>
              <w:t>-0.4</w:t>
            </w:r>
            <w:r>
              <w:rPr>
                <w:rFonts w:hint="eastAsia"/>
                <w:sz w:val="21"/>
                <w:highlight w:val="yellow"/>
              </w:rPr>
              <w:t>mm</w:t>
            </w:r>
            <w:r>
              <w:rPr>
                <w:rFonts w:hint="eastAsia"/>
                <w:sz w:val="21"/>
                <w:highlight w:val="yellow"/>
                <w:lang w:eastAsia="zh-CN"/>
              </w:rPr>
              <w:t>）</w:t>
            </w:r>
            <w:r>
              <w:rPr>
                <w:rFonts w:hint="eastAsia"/>
                <w:sz w:val="21"/>
                <w:highlight w:val="yellow"/>
              </w:rPr>
              <w:t>；</w:t>
            </w:r>
          </w:p>
          <w:p>
            <w:pPr>
              <w:suppressLineNumbers/>
              <w:adjustRightInd w:val="0"/>
              <w:snapToGrid w:val="0"/>
              <w:spacing w:line="276" w:lineRule="auto"/>
              <w:ind w:firstLine="0" w:firstLineChars="0"/>
              <w:rPr>
                <w:rFonts w:hint="eastAsia" w:eastAsia="宋体"/>
                <w:sz w:val="21"/>
                <w:highlight w:val="yellow"/>
                <w:lang w:eastAsia="zh-CN"/>
              </w:rPr>
            </w:pPr>
            <w:r>
              <w:rPr>
                <w:rFonts w:hint="eastAsia"/>
                <w:sz w:val="21"/>
                <w:highlight w:val="yellow"/>
              </w:rPr>
              <w:t>b.导料板:</w:t>
            </w:r>
            <w:r>
              <w:rPr>
                <w:rFonts w:hint="eastAsia"/>
                <w:sz w:val="21"/>
                <w:highlight w:val="yellow"/>
                <w:lang w:val="en-US" w:eastAsia="zh-CN"/>
              </w:rPr>
              <w:t xml:space="preserve"> </w:t>
            </w:r>
            <w:r>
              <w:rPr>
                <w:rFonts w:hint="eastAsia"/>
                <w:sz w:val="21"/>
                <w:highlight w:val="yellow"/>
              </w:rPr>
              <w:t>SUS304</w:t>
            </w:r>
            <w:r>
              <w:rPr>
                <w:rFonts w:hint="eastAsia"/>
                <w:sz w:val="21"/>
                <w:highlight w:val="yellow"/>
                <w:lang w:val="en-US" w:eastAsia="zh-CN"/>
              </w:rPr>
              <w:t>+</w:t>
            </w:r>
            <w:r>
              <w:rPr>
                <w:rFonts w:hint="eastAsia" w:ascii="MS Mincho" w:hAnsi="MS Mincho"/>
                <w:color w:val="000000" w:themeColor="text1"/>
                <w:sz w:val="21"/>
                <w:szCs w:val="21"/>
                <w:highlight w:val="yellow"/>
                <w14:textFill>
                  <w14:solidFill>
                    <w14:schemeClr w14:val="tx1"/>
                  </w14:solidFill>
                </w14:textFill>
              </w:rPr>
              <w:t>氧化铝陶瓷溶射</w:t>
            </w:r>
            <w:r>
              <w:rPr>
                <w:rFonts w:hint="eastAsia" w:ascii="MS Mincho" w:hAnsi="MS Mincho"/>
                <w:color w:val="000000" w:themeColor="text1"/>
                <w:sz w:val="21"/>
                <w:szCs w:val="21"/>
                <w:highlight w:val="yellow"/>
                <w:lang w:eastAsia="zh-CN"/>
                <w14:textFill>
                  <w14:solidFill>
                    <w14:schemeClr w14:val="tx1"/>
                  </w14:solidFill>
                </w14:textFill>
              </w:rPr>
              <w:t>（</w:t>
            </w:r>
            <w:r>
              <w:rPr>
                <w:rFonts w:hint="eastAsia"/>
                <w:sz w:val="21"/>
                <w:highlight w:val="yellow"/>
              </w:rPr>
              <w:t>厚度0.</w:t>
            </w:r>
            <w:r>
              <w:rPr>
                <w:rFonts w:hint="eastAsia"/>
                <w:sz w:val="21"/>
                <w:highlight w:val="yellow"/>
                <w:lang w:val="en-US" w:eastAsia="zh-CN"/>
              </w:rPr>
              <w:t>3-0.4</w:t>
            </w:r>
            <w:r>
              <w:rPr>
                <w:rFonts w:hint="eastAsia"/>
                <w:sz w:val="21"/>
                <w:highlight w:val="yellow"/>
              </w:rPr>
              <w:t>mm</w:t>
            </w:r>
            <w:r>
              <w:rPr>
                <w:rFonts w:hint="eastAsia"/>
                <w:sz w:val="21"/>
                <w:highlight w:val="yellow"/>
                <w:lang w:eastAsia="zh-CN"/>
              </w:rPr>
              <w:t>）；</w:t>
            </w:r>
          </w:p>
          <w:p>
            <w:pPr>
              <w:suppressLineNumbers/>
              <w:adjustRightInd w:val="0"/>
              <w:snapToGrid w:val="0"/>
              <w:spacing w:line="276" w:lineRule="auto"/>
              <w:ind w:firstLine="0" w:firstLineChars="0"/>
              <w:rPr>
                <w:sz w:val="21"/>
                <w:highlight w:val="none"/>
              </w:rPr>
            </w:pPr>
            <w:r>
              <w:rPr>
                <w:rFonts w:hint="eastAsia"/>
                <w:sz w:val="21"/>
                <w:highlight w:val="yellow"/>
              </w:rPr>
              <w:t>c.桨叶锁紧</w:t>
            </w:r>
            <w:r>
              <w:rPr>
                <w:rFonts w:hint="eastAsia"/>
                <w:sz w:val="21"/>
                <w:highlight w:val="yellow"/>
                <w:lang w:val="en-US" w:eastAsia="zh-CN"/>
              </w:rPr>
              <w:t>螺帽：</w:t>
            </w:r>
            <w:r>
              <w:rPr>
                <w:rFonts w:hint="eastAsia"/>
                <w:sz w:val="21"/>
                <w:highlight w:val="yellow"/>
              </w:rPr>
              <w:t>SUS304</w:t>
            </w:r>
            <w:r>
              <w:rPr>
                <w:rFonts w:hint="eastAsia"/>
                <w:sz w:val="21"/>
                <w:highlight w:val="yellow"/>
                <w:lang w:val="en-US" w:eastAsia="zh-CN"/>
              </w:rPr>
              <w:t>+WC涂层</w:t>
            </w:r>
            <w:r>
              <w:rPr>
                <w:rFonts w:hint="eastAsia"/>
                <w:sz w:val="21"/>
                <w:highlight w:val="none"/>
                <w:lang w:val="en-US" w:eastAsia="zh-CN"/>
              </w:rPr>
              <w:t>（</w:t>
            </w:r>
            <w:r>
              <w:rPr>
                <w:rFonts w:hint="eastAsia"/>
                <w:sz w:val="21"/>
                <w:highlight w:val="none"/>
              </w:rPr>
              <w:t>厚度</w:t>
            </w:r>
            <w:r>
              <w:rPr>
                <w:rFonts w:hint="eastAsia"/>
                <w:sz w:val="21"/>
                <w:highlight w:val="none"/>
                <w:lang w:val="en-US" w:eastAsia="zh-CN"/>
              </w:rPr>
              <w:t>约</w:t>
            </w:r>
            <w:r>
              <w:rPr>
                <w:rFonts w:hint="eastAsia"/>
                <w:sz w:val="21"/>
                <w:highlight w:val="none"/>
              </w:rPr>
              <w:t>0.</w:t>
            </w:r>
            <w:r>
              <w:rPr>
                <w:rFonts w:hint="eastAsia"/>
                <w:sz w:val="21"/>
                <w:highlight w:val="none"/>
                <w:lang w:val="en-US" w:eastAsia="zh-CN"/>
              </w:rPr>
              <w:t>3</w:t>
            </w:r>
            <w:r>
              <w:rPr>
                <w:rFonts w:hint="eastAsia"/>
                <w:sz w:val="21"/>
                <w:highlight w:val="none"/>
              </w:rPr>
              <w:t>mm</w:t>
            </w:r>
            <w:r>
              <w:rPr>
                <w:rFonts w:hint="eastAsia"/>
                <w:sz w:val="21"/>
                <w:highlight w:val="none"/>
                <w:lang w:eastAsia="zh-CN"/>
              </w:rPr>
              <w:t>）</w:t>
            </w:r>
            <w:r>
              <w:rPr>
                <w:rFonts w:hint="eastAsia"/>
                <w:sz w:val="21"/>
                <w:highlight w:val="none"/>
                <w:lang w:val="en-US" w:eastAsia="zh-CN"/>
              </w:rPr>
              <w:t>或其他可靠形式涂层（</w:t>
            </w:r>
            <w:r>
              <w:rPr>
                <w:rFonts w:hint="eastAsia"/>
                <w:sz w:val="21"/>
                <w:highlight w:val="yellow"/>
                <w:lang w:val="en-US" w:eastAsia="zh-CN"/>
              </w:rPr>
              <w:t>满足频繁拆卸的要求</w:t>
            </w:r>
            <w:r>
              <w:rPr>
                <w:rFonts w:hint="eastAsia"/>
                <w:sz w:val="21"/>
                <w:highlight w:val="none"/>
                <w:lang w:val="en-US" w:eastAsia="zh-CN"/>
              </w:rPr>
              <w:t>）</w:t>
            </w:r>
            <w:r>
              <w:rPr>
                <w:rFonts w:hint="eastAsia"/>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84" w:type="pct"/>
            <w:vAlign w:val="center"/>
          </w:tcPr>
          <w:p>
            <w:pPr>
              <w:pStyle w:val="19"/>
              <w:spacing w:before="0" w:line="360" w:lineRule="auto"/>
              <w:ind w:left="0" w:leftChars="0" w:right="155" w:rightChars="0" w:firstLine="0" w:firstLineChars="0"/>
              <w:jc w:val="center"/>
              <w:rPr>
                <w:rFonts w:ascii="Times New Roman" w:hAnsi="Times New Roman" w:eastAsia="宋体" w:cs="Times New Roman"/>
                <w:kern w:val="2"/>
                <w:sz w:val="21"/>
                <w:szCs w:val="24"/>
                <w:lang w:val="en-US" w:eastAsia="en-US" w:bidi="ar-SA"/>
              </w:rPr>
            </w:pPr>
            <w:r>
              <w:rPr>
                <w:rFonts w:hint="eastAsia" w:ascii="Times New Roman" w:hAnsi="Times New Roman" w:cs="Times New Roman"/>
                <w:sz w:val="21"/>
                <w:lang w:eastAsia="en-US"/>
              </w:rPr>
              <w:t>8</w:t>
            </w:r>
          </w:p>
        </w:tc>
        <w:tc>
          <w:tcPr>
            <w:tcW w:w="1070" w:type="pct"/>
            <w:vAlign w:val="center"/>
          </w:tcPr>
          <w:p>
            <w:pPr>
              <w:suppressLineNumbers/>
              <w:adjustRightInd w:val="0"/>
              <w:snapToGrid w:val="0"/>
              <w:spacing w:line="276" w:lineRule="auto"/>
              <w:ind w:firstLine="0" w:firstLineChars="0"/>
              <w:jc w:val="center"/>
              <w:rPr>
                <w:sz w:val="21"/>
                <w:highlight w:val="none"/>
              </w:rPr>
            </w:pPr>
            <w:r>
              <w:rPr>
                <w:rFonts w:hint="eastAsia"/>
                <w:sz w:val="21"/>
                <w:highlight w:val="none"/>
              </w:rPr>
              <w:t>法兰接口</w:t>
            </w:r>
          </w:p>
        </w:tc>
        <w:tc>
          <w:tcPr>
            <w:tcW w:w="3445" w:type="pct"/>
            <w:vAlign w:val="center"/>
          </w:tcPr>
          <w:p>
            <w:pPr>
              <w:suppressLineNumbers/>
              <w:adjustRightInd w:val="0"/>
              <w:snapToGrid w:val="0"/>
              <w:spacing w:line="276" w:lineRule="auto"/>
              <w:ind w:firstLine="0" w:firstLineChars="0"/>
              <w:rPr>
                <w:rFonts w:hint="eastAsia"/>
                <w:sz w:val="21"/>
                <w:highlight w:val="yellow"/>
                <w:lang w:val="en-US" w:eastAsia="zh-CN"/>
              </w:rPr>
            </w:pPr>
            <w:r>
              <w:rPr>
                <w:rFonts w:hint="eastAsia"/>
                <w:sz w:val="21"/>
                <w:highlight w:val="yellow"/>
                <w:lang w:val="en-US" w:eastAsia="zh-CN"/>
              </w:rPr>
              <w:t>下料管</w:t>
            </w:r>
            <w:r>
              <w:rPr>
                <w:rFonts w:hint="eastAsia"/>
                <w:sz w:val="21"/>
                <w:highlight w:val="yellow"/>
                <w:lang w:val="en-GB"/>
              </w:rPr>
              <w:t>进料口：</w:t>
            </w:r>
            <w:r>
              <w:rPr>
                <w:rFonts w:hint="eastAsia"/>
                <w:sz w:val="21"/>
                <w:highlight w:val="yellow"/>
                <w:lang w:val="en-US" w:eastAsia="zh-CN"/>
              </w:rPr>
              <w:t>2个</w:t>
            </w:r>
          </w:p>
          <w:p>
            <w:pPr>
              <w:suppressLineNumbers/>
              <w:adjustRightInd w:val="0"/>
              <w:snapToGrid w:val="0"/>
              <w:spacing w:line="276" w:lineRule="auto"/>
              <w:ind w:firstLine="0" w:firstLineChars="0"/>
              <w:rPr>
                <w:rFonts w:hint="eastAsia"/>
                <w:sz w:val="21"/>
                <w:highlight w:val="yellow"/>
                <w:lang w:val="en-US" w:eastAsia="zh-CN"/>
              </w:rPr>
            </w:pPr>
            <w:r>
              <w:rPr>
                <w:rFonts w:hint="eastAsia"/>
                <w:sz w:val="21"/>
                <w:highlight w:val="yellow"/>
                <w:lang w:val="en-US" w:eastAsia="zh-CN"/>
              </w:rPr>
              <w:t>手动投料口：1个</w:t>
            </w:r>
            <w:r>
              <w:rPr>
                <w:rFonts w:hint="eastAsia"/>
                <w:color w:val="auto"/>
                <w:sz w:val="21"/>
                <w:szCs w:val="21"/>
                <w:highlight w:val="none"/>
                <w:lang w:val="en-US" w:eastAsia="zh-CN"/>
              </w:rPr>
              <w:t>带</w:t>
            </w:r>
            <w:r>
              <w:rPr>
                <w:rFonts w:hint="eastAsia" w:ascii="MS Mincho" w:hAnsi="MS Mincho"/>
                <w:color w:val="auto"/>
                <w:sz w:val="21"/>
                <w:szCs w:val="21"/>
                <w:highlight w:val="none"/>
              </w:rPr>
              <w:t>添</w:t>
            </w:r>
            <w:r>
              <w:rPr>
                <w:rFonts w:hint="eastAsia" w:ascii="MS Mincho" w:hAnsi="MS Mincho"/>
                <w:color w:val="000000" w:themeColor="text1"/>
                <w:sz w:val="21"/>
                <w:szCs w:val="21"/>
                <w14:textFill>
                  <w14:solidFill>
                    <w14:schemeClr w14:val="tx1"/>
                  </w14:solidFill>
                </w14:textFill>
              </w:rPr>
              <w:t>加剂小料斗</w:t>
            </w:r>
          </w:p>
          <w:p>
            <w:pPr>
              <w:suppressLineNumbers/>
              <w:adjustRightInd w:val="0"/>
              <w:snapToGrid w:val="0"/>
              <w:spacing w:line="276" w:lineRule="auto"/>
              <w:ind w:firstLine="0" w:firstLineChars="0"/>
              <w:rPr>
                <w:rFonts w:hint="eastAsia"/>
                <w:sz w:val="21"/>
                <w:highlight w:val="none"/>
                <w:lang w:val="en-US" w:eastAsia="zh-CN"/>
              </w:rPr>
            </w:pPr>
            <w:r>
              <w:rPr>
                <w:rFonts w:hint="eastAsia"/>
                <w:sz w:val="21"/>
                <w:highlight w:val="none"/>
                <w:lang w:val="en-US" w:eastAsia="zh-CN"/>
              </w:rPr>
              <w:t>排气口：1个（用于连接脉冲过滤器）</w:t>
            </w:r>
          </w:p>
          <w:p>
            <w:pPr>
              <w:suppressLineNumbers/>
              <w:adjustRightInd w:val="0"/>
              <w:snapToGrid w:val="0"/>
              <w:spacing w:line="276" w:lineRule="auto"/>
              <w:ind w:firstLine="0" w:firstLineChars="0"/>
              <w:rPr>
                <w:rFonts w:hint="eastAsia"/>
                <w:sz w:val="21"/>
                <w:highlight w:val="none"/>
                <w:lang w:val="en-GB"/>
              </w:rPr>
            </w:pPr>
            <w:r>
              <w:rPr>
                <w:rFonts w:hint="eastAsia"/>
                <w:sz w:val="21"/>
                <w:highlight w:val="none"/>
                <w:lang w:val="en-GB"/>
              </w:rPr>
              <w:t>保护气通入口</w:t>
            </w:r>
            <w:r>
              <w:rPr>
                <w:rFonts w:hint="eastAsia"/>
                <w:sz w:val="21"/>
                <w:highlight w:val="none"/>
                <w:lang w:val="en-GB" w:eastAsia="zh-CN"/>
              </w:rPr>
              <w:t>：</w:t>
            </w:r>
            <w:r>
              <w:rPr>
                <w:rFonts w:hint="eastAsia"/>
                <w:sz w:val="21"/>
                <w:highlight w:val="none"/>
              </w:rPr>
              <w:t>1个</w:t>
            </w:r>
          </w:p>
          <w:p>
            <w:pPr>
              <w:suppressLineNumbers/>
              <w:adjustRightInd w:val="0"/>
              <w:snapToGrid w:val="0"/>
              <w:spacing w:line="276" w:lineRule="auto"/>
              <w:ind w:firstLine="0" w:firstLineChars="0"/>
              <w:rPr>
                <w:rFonts w:hint="eastAsia"/>
                <w:sz w:val="21"/>
                <w:highlight w:val="none"/>
              </w:rPr>
            </w:pPr>
            <w:r>
              <w:rPr>
                <w:rFonts w:hint="eastAsia"/>
                <w:sz w:val="21"/>
                <w:highlight w:val="none"/>
              </w:rPr>
              <w:t>排料口</w:t>
            </w:r>
            <w:r>
              <w:rPr>
                <w:rFonts w:hint="eastAsia"/>
                <w:sz w:val="21"/>
                <w:highlight w:val="none"/>
                <w:lang w:eastAsia="zh-CN"/>
              </w:rPr>
              <w:t>：</w:t>
            </w:r>
            <w:r>
              <w:rPr>
                <w:rFonts w:hint="eastAsia"/>
                <w:sz w:val="21"/>
                <w:highlight w:val="none"/>
              </w:rPr>
              <w:t>1个</w:t>
            </w:r>
          </w:p>
          <w:p>
            <w:pPr>
              <w:suppressLineNumbers/>
              <w:adjustRightInd w:val="0"/>
              <w:snapToGrid w:val="0"/>
              <w:spacing w:line="276" w:lineRule="auto"/>
              <w:ind w:firstLine="0" w:firstLineChars="0"/>
              <w:rPr>
                <w:rFonts w:hint="default" w:eastAsia="宋体"/>
                <w:sz w:val="21"/>
                <w:highlight w:val="none"/>
                <w:lang w:val="en-US" w:eastAsia="zh-CN"/>
              </w:rPr>
            </w:pPr>
            <w:r>
              <w:rPr>
                <w:rFonts w:hint="eastAsia"/>
                <w:sz w:val="21"/>
                <w:highlight w:val="none"/>
                <w:lang w:val="en-US" w:eastAsia="zh-CN"/>
              </w:rPr>
              <w:t>开孔位置和尺寸买方定。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84" w:type="pct"/>
            <w:vAlign w:val="center"/>
          </w:tcPr>
          <w:p>
            <w:pPr>
              <w:pStyle w:val="19"/>
              <w:spacing w:before="0" w:line="360" w:lineRule="auto"/>
              <w:ind w:left="0" w:leftChars="0" w:right="155" w:rightChars="0" w:firstLine="0" w:firstLineChars="0"/>
              <w:jc w:val="center"/>
              <w:rPr>
                <w:rFonts w:ascii="Times New Roman" w:hAnsi="Times New Roman" w:eastAsia="宋体" w:cs="Times New Roman"/>
                <w:kern w:val="2"/>
                <w:sz w:val="21"/>
                <w:szCs w:val="24"/>
                <w:lang w:val="en-US" w:eastAsia="en-US" w:bidi="ar-SA"/>
              </w:rPr>
            </w:pPr>
            <w:r>
              <w:rPr>
                <w:rFonts w:hint="eastAsia" w:ascii="Times New Roman" w:hAnsi="Times New Roman" w:cs="Times New Roman"/>
                <w:sz w:val="21"/>
                <w:lang w:eastAsia="en-US"/>
              </w:rPr>
              <w:t>9</w:t>
            </w:r>
          </w:p>
        </w:tc>
        <w:tc>
          <w:tcPr>
            <w:tcW w:w="1070" w:type="pct"/>
            <w:vAlign w:val="center"/>
          </w:tcPr>
          <w:p>
            <w:pPr>
              <w:pStyle w:val="19"/>
              <w:spacing w:before="0" w:line="360" w:lineRule="auto"/>
              <w:ind w:left="0" w:right="155" w:firstLine="0" w:firstLineChars="0"/>
              <w:jc w:val="center"/>
              <w:rPr>
                <w:rFonts w:ascii="Times New Roman" w:hAnsi="Times New Roman" w:cs="Times New Roman"/>
                <w:sz w:val="21"/>
                <w:highlight w:val="yellow"/>
              </w:rPr>
            </w:pPr>
            <w:r>
              <w:rPr>
                <w:rFonts w:hint="eastAsia" w:ascii="Times New Roman" w:hAnsi="Times New Roman" w:cs="Times New Roman"/>
                <w:sz w:val="21"/>
                <w:highlight w:val="none"/>
              </w:rPr>
              <w:t>检修口/气缸</w:t>
            </w:r>
          </w:p>
        </w:tc>
        <w:tc>
          <w:tcPr>
            <w:tcW w:w="3445" w:type="pct"/>
            <w:vAlign w:val="center"/>
          </w:tcPr>
          <w:p>
            <w:pPr>
              <w:suppressLineNumbers/>
              <w:adjustRightInd w:val="0"/>
              <w:snapToGrid w:val="0"/>
              <w:spacing w:line="276" w:lineRule="auto"/>
              <w:ind w:firstLine="0" w:firstLineChars="0"/>
              <w:rPr>
                <w:sz w:val="21"/>
                <w:lang w:val="en-GB"/>
              </w:rPr>
            </w:pPr>
            <w:r>
              <w:rPr>
                <w:rFonts w:hint="eastAsia"/>
                <w:sz w:val="21"/>
              </w:rPr>
              <w:t>a.</w:t>
            </w:r>
            <w:r>
              <w:rPr>
                <w:rFonts w:hint="eastAsia"/>
                <w:sz w:val="21"/>
                <w:lang w:val="en-GB"/>
              </w:rPr>
              <w:t>设备上所有检查口或检修口必须设置</w:t>
            </w:r>
            <w:r>
              <w:rPr>
                <w:rFonts w:hint="eastAsia"/>
                <w:sz w:val="21"/>
                <w:highlight w:val="yellow"/>
                <w:lang w:val="en-GB"/>
              </w:rPr>
              <w:t>安全装置</w:t>
            </w:r>
            <w:r>
              <w:rPr>
                <w:rFonts w:hint="eastAsia"/>
                <w:sz w:val="21"/>
                <w:lang w:val="en-GB"/>
              </w:rPr>
              <w:t>，做到开盖停机保护；</w:t>
            </w:r>
          </w:p>
          <w:p>
            <w:pPr>
              <w:suppressLineNumbers/>
              <w:adjustRightInd w:val="0"/>
              <w:snapToGrid w:val="0"/>
              <w:spacing w:line="276" w:lineRule="auto"/>
              <w:ind w:firstLine="0" w:firstLineChars="0"/>
              <w:rPr>
                <w:sz w:val="21"/>
                <w:lang w:val="en-GB"/>
              </w:rPr>
            </w:pPr>
            <w:r>
              <w:rPr>
                <w:rFonts w:hint="eastAsia"/>
                <w:sz w:val="21"/>
              </w:rPr>
              <w:t>b.</w:t>
            </w:r>
            <w:r>
              <w:rPr>
                <w:rFonts w:hint="eastAsia"/>
                <w:sz w:val="21"/>
                <w:lang w:val="en-GB"/>
              </w:rPr>
              <w:t>检查口或检修口密封必须稳定可靠，不会出</w:t>
            </w:r>
            <w:r>
              <w:rPr>
                <w:rFonts w:hint="eastAsia"/>
                <w:sz w:val="21"/>
              </w:rPr>
              <w:t>现</w:t>
            </w:r>
            <w:r>
              <w:rPr>
                <w:rFonts w:hint="eastAsia"/>
                <w:sz w:val="21"/>
                <w:lang w:val="en-GB"/>
              </w:rPr>
              <w:t>漏粉漏气现象；</w:t>
            </w:r>
          </w:p>
          <w:p>
            <w:pPr>
              <w:suppressLineNumbers/>
              <w:adjustRightInd w:val="0"/>
              <w:snapToGrid w:val="0"/>
              <w:spacing w:line="276" w:lineRule="auto"/>
              <w:ind w:firstLine="0" w:firstLineChars="0"/>
              <w:rPr>
                <w:sz w:val="21"/>
              </w:rPr>
            </w:pPr>
            <w:r>
              <w:rPr>
                <w:rFonts w:hint="eastAsia"/>
                <w:sz w:val="21"/>
              </w:rPr>
              <w:t>c.</w:t>
            </w:r>
            <w:r>
              <w:rPr>
                <w:rFonts w:hint="eastAsia"/>
                <w:sz w:val="21"/>
                <w:highlight w:val="yellow"/>
                <w:lang w:val="en-GB"/>
              </w:rPr>
              <w:t>气缸运动部分必须做好防护</w:t>
            </w:r>
            <w:r>
              <w:rPr>
                <w:rFonts w:hint="eastAsia"/>
                <w:sz w:val="21"/>
                <w:lang w:val="en-GB"/>
              </w:rPr>
              <w:t>，有效保护气缸使用寿命及动作时防异物泄露。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right="155" w:firstLine="0" w:firstLineChars="0"/>
              <w:jc w:val="center"/>
              <w:rPr>
                <w:rFonts w:ascii="Times New Roman" w:hAnsi="Times New Roman" w:cs="Times New Roman"/>
                <w:sz w:val="21"/>
                <w:lang w:eastAsia="en-US"/>
              </w:rPr>
            </w:pPr>
            <w:r>
              <w:rPr>
                <w:rFonts w:hint="eastAsia" w:ascii="Times New Roman" w:hAnsi="Times New Roman" w:cs="Times New Roman"/>
                <w:sz w:val="21"/>
                <w:lang w:eastAsia="en-US"/>
              </w:rPr>
              <w:t>10</w:t>
            </w:r>
          </w:p>
        </w:tc>
        <w:tc>
          <w:tcPr>
            <w:tcW w:w="1070" w:type="pct"/>
            <w:vAlign w:val="center"/>
          </w:tcPr>
          <w:p>
            <w:pPr>
              <w:pStyle w:val="19"/>
              <w:spacing w:before="0" w:line="360" w:lineRule="auto"/>
              <w:ind w:left="0" w:right="155" w:firstLine="0" w:firstLineChars="0"/>
              <w:jc w:val="center"/>
              <w:rPr>
                <w:rFonts w:ascii="Times New Roman" w:hAnsi="Times New Roman" w:cs="Times New Roman"/>
                <w:sz w:val="21"/>
                <w:highlight w:val="none"/>
              </w:rPr>
            </w:pPr>
            <w:r>
              <w:rPr>
                <w:rFonts w:hint="eastAsia" w:ascii="Times New Roman" w:hAnsi="Times New Roman" w:cs="Times New Roman"/>
                <w:sz w:val="21"/>
                <w:highlight w:val="none"/>
              </w:rPr>
              <w:t>排料单元</w:t>
            </w:r>
          </w:p>
        </w:tc>
        <w:tc>
          <w:tcPr>
            <w:tcW w:w="3445" w:type="pct"/>
            <w:vAlign w:val="center"/>
          </w:tcPr>
          <w:p>
            <w:pPr>
              <w:suppressLineNumbers/>
              <w:adjustRightInd w:val="0"/>
              <w:snapToGrid w:val="0"/>
              <w:spacing w:line="276" w:lineRule="auto"/>
              <w:ind w:firstLine="0" w:firstLineChars="0"/>
              <w:rPr>
                <w:rFonts w:hint="eastAsia" w:eastAsia="宋体"/>
                <w:sz w:val="21"/>
                <w:highlight w:val="none"/>
                <w:lang w:eastAsia="zh-CN"/>
              </w:rPr>
            </w:pPr>
            <w:r>
              <w:rPr>
                <w:rFonts w:hint="eastAsia"/>
                <w:sz w:val="21"/>
                <w:highlight w:val="none"/>
              </w:rPr>
              <w:t>a.</w:t>
            </w:r>
            <w:r>
              <w:rPr>
                <w:rFonts w:hint="eastAsia"/>
                <w:sz w:val="21"/>
                <w:highlight w:val="none"/>
                <w:lang w:val="en-GB"/>
              </w:rPr>
              <w:t>材质SUS304 ，内面</w:t>
            </w:r>
            <w:r>
              <w:rPr>
                <w:rFonts w:hint="eastAsia"/>
                <w:sz w:val="21"/>
                <w:highlight w:val="none"/>
              </w:rPr>
              <w:t>E</w:t>
            </w:r>
            <w:r>
              <w:rPr>
                <w:rFonts w:hint="eastAsia"/>
                <w:sz w:val="21"/>
                <w:highlight w:val="none"/>
                <w:lang w:val="en-GB"/>
              </w:rPr>
              <w:t>TFE</w:t>
            </w:r>
            <w:r>
              <w:rPr>
                <w:rFonts w:hint="eastAsia"/>
                <w:sz w:val="21"/>
                <w:highlight w:val="none"/>
              </w:rPr>
              <w:t>或ECTFE</w:t>
            </w:r>
            <w:r>
              <w:rPr>
                <w:rFonts w:hint="eastAsia"/>
                <w:sz w:val="21"/>
                <w:highlight w:val="none"/>
                <w:lang w:val="en-GB"/>
              </w:rPr>
              <w:t>涂层</w:t>
            </w:r>
            <w:r>
              <w:rPr>
                <w:rFonts w:hint="eastAsia"/>
                <w:sz w:val="21"/>
                <w:highlight w:val="none"/>
                <w:lang w:val="en-US" w:eastAsia="zh-CN"/>
              </w:rPr>
              <w:t>0.3mm</w:t>
            </w:r>
            <w:r>
              <w:rPr>
                <w:rFonts w:hint="eastAsia"/>
                <w:sz w:val="21"/>
                <w:highlight w:val="none"/>
                <w:lang w:val="en-GB"/>
              </w:rPr>
              <w:t xml:space="preserve"> </w:t>
            </w:r>
            <w:r>
              <w:rPr>
                <w:rFonts w:hint="eastAsia"/>
                <w:sz w:val="21"/>
                <w:highlight w:val="none"/>
                <w:lang w:val="en-GB" w:eastAsia="zh-CN"/>
              </w:rPr>
              <w:t>；</w:t>
            </w:r>
          </w:p>
          <w:p>
            <w:pPr>
              <w:suppressLineNumbers/>
              <w:adjustRightInd w:val="0"/>
              <w:snapToGrid w:val="0"/>
              <w:spacing w:line="276" w:lineRule="auto"/>
              <w:ind w:firstLine="0" w:firstLineChars="0"/>
              <w:rPr>
                <w:sz w:val="21"/>
                <w:highlight w:val="none"/>
              </w:rPr>
            </w:pPr>
            <w:r>
              <w:rPr>
                <w:rFonts w:hint="eastAsia"/>
                <w:sz w:val="21"/>
                <w:highlight w:val="none"/>
              </w:rPr>
              <w:t>b.配置</w:t>
            </w:r>
            <w:r>
              <w:rPr>
                <w:rFonts w:hint="eastAsia"/>
                <w:sz w:val="21"/>
                <w:highlight w:val="none"/>
                <w:lang w:val="en-GB"/>
              </w:rPr>
              <w:t>限位开关（手动门把手打开即停机）。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right="155" w:firstLine="0" w:firstLineChars="0"/>
              <w:jc w:val="center"/>
              <w:rPr>
                <w:rFonts w:ascii="Times New Roman" w:hAnsi="Times New Roman" w:cs="Times New Roman"/>
                <w:sz w:val="21"/>
              </w:rPr>
            </w:pPr>
            <w:r>
              <w:rPr>
                <w:rFonts w:hint="eastAsia" w:ascii="Times New Roman" w:hAnsi="Times New Roman" w:cs="Times New Roman"/>
                <w:sz w:val="21"/>
              </w:rPr>
              <w:t>11</w:t>
            </w:r>
          </w:p>
        </w:tc>
        <w:tc>
          <w:tcPr>
            <w:tcW w:w="1070" w:type="pct"/>
            <w:vAlign w:val="center"/>
          </w:tcPr>
          <w:p>
            <w:pPr>
              <w:pStyle w:val="19"/>
              <w:spacing w:before="0" w:line="360" w:lineRule="auto"/>
              <w:ind w:left="0" w:right="155" w:firstLine="0" w:firstLineChars="0"/>
              <w:jc w:val="center"/>
              <w:rPr>
                <w:rFonts w:ascii="Times New Roman" w:hAnsi="Times New Roman" w:cs="Times New Roman"/>
                <w:color w:val="auto"/>
                <w:sz w:val="21"/>
                <w:highlight w:val="none"/>
                <w:lang w:eastAsia="en-US"/>
              </w:rPr>
            </w:pPr>
            <w:r>
              <w:rPr>
                <w:rFonts w:hint="eastAsia" w:ascii="Times New Roman" w:hAnsi="Times New Roman" w:cs="Times New Roman"/>
                <w:color w:val="auto"/>
                <w:sz w:val="21"/>
                <w:highlight w:val="yellow"/>
              </w:rPr>
              <w:t>轴密封</w:t>
            </w:r>
          </w:p>
        </w:tc>
        <w:tc>
          <w:tcPr>
            <w:tcW w:w="3445" w:type="pct"/>
            <w:vAlign w:val="center"/>
          </w:tcPr>
          <w:p>
            <w:pPr>
              <w:numPr>
                <w:ilvl w:val="0"/>
                <w:numId w:val="3"/>
              </w:numPr>
              <w:suppressLineNumbers/>
              <w:adjustRightInd w:val="0"/>
              <w:snapToGrid w:val="0"/>
              <w:spacing w:line="276" w:lineRule="auto"/>
              <w:ind w:firstLine="0" w:firstLineChars="0"/>
              <w:rPr>
                <w:color w:val="auto"/>
                <w:sz w:val="21"/>
                <w:highlight w:val="none"/>
              </w:rPr>
            </w:pPr>
            <w:r>
              <w:rPr>
                <w:rFonts w:hint="eastAsia"/>
                <w:color w:val="auto"/>
                <w:sz w:val="21"/>
                <w:highlight w:val="none"/>
                <w:lang w:val="en-GB"/>
              </w:rPr>
              <w:t>要求密封方式可靠，运行时没有粉尘泄露，</w:t>
            </w:r>
            <w:r>
              <w:rPr>
                <w:rFonts w:hint="eastAsia"/>
                <w:color w:val="auto"/>
                <w:sz w:val="21"/>
                <w:highlight w:val="none"/>
              </w:rPr>
              <w:t>卖</w:t>
            </w:r>
            <w:r>
              <w:rPr>
                <w:rFonts w:hint="eastAsia"/>
                <w:color w:val="auto"/>
                <w:sz w:val="21"/>
                <w:highlight w:val="none"/>
                <w:lang w:val="en-GB"/>
              </w:rPr>
              <w:t>方</w:t>
            </w:r>
            <w:r>
              <w:rPr>
                <w:rFonts w:hint="eastAsia"/>
                <w:color w:val="auto"/>
                <w:sz w:val="21"/>
                <w:highlight w:val="none"/>
              </w:rPr>
              <w:t>说明气</w:t>
            </w:r>
            <w:r>
              <w:rPr>
                <w:rFonts w:hint="eastAsia"/>
                <w:color w:val="auto"/>
                <w:sz w:val="21"/>
                <w:highlight w:val="none"/>
                <w:lang w:val="en-GB"/>
              </w:rPr>
              <w:t>密封原理</w:t>
            </w:r>
            <w:r>
              <w:rPr>
                <w:rFonts w:hint="eastAsia"/>
                <w:color w:val="auto"/>
                <w:sz w:val="21"/>
                <w:highlight w:val="none"/>
              </w:rPr>
              <w:t>；</w:t>
            </w:r>
            <w:r>
              <w:rPr>
                <w:rFonts w:hint="eastAsia"/>
                <w:color w:val="auto"/>
                <w:sz w:val="21"/>
                <w:highlight w:val="none"/>
                <w:lang w:val="en-GB"/>
              </w:rPr>
              <w:t>供气压力及供气量范围；</w:t>
            </w:r>
            <w:r>
              <w:rPr>
                <w:rFonts w:hint="eastAsia"/>
                <w:color w:val="auto"/>
                <w:sz w:val="21"/>
                <w:highlight w:val="yellow"/>
              </w:rPr>
              <w:t>气密封配置数显流量计</w:t>
            </w:r>
            <w:r>
              <w:rPr>
                <w:rFonts w:hint="eastAsia"/>
                <w:color w:val="auto"/>
                <w:sz w:val="21"/>
                <w:highlight w:val="none"/>
              </w:rPr>
              <w:t>能够实现</w:t>
            </w:r>
            <w:r>
              <w:rPr>
                <w:rFonts w:hint="eastAsia"/>
                <w:color w:val="auto"/>
                <w:sz w:val="21"/>
                <w:highlight w:val="none"/>
                <w:lang w:val="en-US" w:eastAsia="zh-CN"/>
              </w:rPr>
              <w:t>连锁、</w:t>
            </w:r>
            <w:r>
              <w:rPr>
                <w:rFonts w:hint="eastAsia"/>
                <w:color w:val="auto"/>
                <w:sz w:val="21"/>
                <w:highlight w:val="none"/>
              </w:rPr>
              <w:t>报警；</w:t>
            </w:r>
          </w:p>
          <w:p>
            <w:pPr>
              <w:numPr>
                <w:ilvl w:val="0"/>
                <w:numId w:val="3"/>
              </w:numPr>
              <w:suppressLineNumbers/>
              <w:adjustRightInd w:val="0"/>
              <w:snapToGrid w:val="0"/>
              <w:spacing w:line="276" w:lineRule="auto"/>
              <w:ind w:left="0" w:leftChars="0" w:firstLine="0" w:firstLineChars="0"/>
              <w:rPr>
                <w:color w:val="auto"/>
                <w:sz w:val="21"/>
                <w:highlight w:val="none"/>
              </w:rPr>
            </w:pPr>
            <w:r>
              <w:rPr>
                <w:rFonts w:hint="eastAsia"/>
                <w:color w:val="auto"/>
                <w:sz w:val="21"/>
                <w:highlight w:val="none"/>
              </w:rPr>
              <w:t>主轴必须有防粉尘落入轴承的装置，并给与具体说明。</w:t>
            </w:r>
          </w:p>
          <w:p>
            <w:pPr>
              <w:numPr>
                <w:ilvl w:val="0"/>
                <w:numId w:val="3"/>
              </w:numPr>
              <w:suppressLineNumbers/>
              <w:adjustRightInd w:val="0"/>
              <w:snapToGrid w:val="0"/>
              <w:spacing w:line="276" w:lineRule="auto"/>
              <w:ind w:left="0" w:leftChars="0" w:firstLine="0" w:firstLineChars="0"/>
              <w:rPr>
                <w:color w:val="auto"/>
                <w:sz w:val="21"/>
                <w:highlight w:val="none"/>
              </w:rPr>
            </w:pPr>
            <w:r>
              <w:rPr>
                <w:rFonts w:hint="eastAsia"/>
                <w:color w:val="auto"/>
                <w:sz w:val="21"/>
                <w:highlight w:val="none"/>
                <w:lang w:val="en-US" w:eastAsia="zh-CN"/>
              </w:rPr>
              <w:t>主轴及轴密封拆卸时不会破坏筒体底部陶瓷。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right="155" w:firstLine="0" w:firstLineChars="0"/>
              <w:jc w:val="center"/>
              <w:rPr>
                <w:rFonts w:ascii="Times New Roman" w:hAnsi="Times New Roman" w:cs="Times New Roman"/>
                <w:sz w:val="21"/>
              </w:rPr>
            </w:pPr>
            <w:r>
              <w:rPr>
                <w:rFonts w:hint="eastAsia" w:ascii="Times New Roman" w:hAnsi="Times New Roman" w:cs="Times New Roman"/>
                <w:sz w:val="21"/>
              </w:rPr>
              <w:t>12</w:t>
            </w:r>
          </w:p>
        </w:tc>
        <w:tc>
          <w:tcPr>
            <w:tcW w:w="1070" w:type="pct"/>
            <w:vAlign w:val="center"/>
          </w:tcPr>
          <w:p>
            <w:pPr>
              <w:pStyle w:val="19"/>
              <w:spacing w:before="0" w:line="360" w:lineRule="auto"/>
              <w:ind w:left="0" w:right="155" w:firstLine="0" w:firstLineChars="0"/>
              <w:jc w:val="center"/>
              <w:rPr>
                <w:rFonts w:ascii="Times New Roman" w:hAnsi="Times New Roman" w:cs="Times New Roman"/>
                <w:color w:val="auto"/>
                <w:sz w:val="21"/>
                <w:highlight w:val="none"/>
                <w:lang w:eastAsia="en-US"/>
              </w:rPr>
            </w:pPr>
            <w:r>
              <w:rPr>
                <w:rFonts w:hint="eastAsia" w:ascii="Times New Roman" w:hAnsi="Times New Roman" w:cs="Times New Roman"/>
                <w:color w:val="auto"/>
                <w:sz w:val="21"/>
                <w:highlight w:val="none"/>
              </w:rPr>
              <w:t>电机/减速机</w:t>
            </w:r>
          </w:p>
        </w:tc>
        <w:tc>
          <w:tcPr>
            <w:tcW w:w="3445" w:type="pct"/>
            <w:vAlign w:val="center"/>
          </w:tcPr>
          <w:p>
            <w:pPr>
              <w:numPr>
                <w:ilvl w:val="0"/>
                <w:numId w:val="4"/>
              </w:numPr>
              <w:suppressLineNumbers/>
              <w:adjustRightInd w:val="0"/>
              <w:snapToGrid w:val="0"/>
              <w:spacing w:line="276" w:lineRule="auto"/>
              <w:ind w:firstLine="0" w:firstLineChars="0"/>
              <w:rPr>
                <w:rFonts w:hint="eastAsia"/>
                <w:color w:val="auto"/>
                <w:sz w:val="21"/>
                <w:highlight w:val="none"/>
              </w:rPr>
            </w:pPr>
            <w:r>
              <w:rPr>
                <w:rFonts w:hint="eastAsia"/>
                <w:color w:val="auto"/>
                <w:sz w:val="21"/>
                <w:highlight w:val="yellow"/>
              </w:rPr>
              <w:t>变频电机</w:t>
            </w:r>
            <w:r>
              <w:rPr>
                <w:rFonts w:hint="eastAsia"/>
                <w:color w:val="auto"/>
                <w:sz w:val="21"/>
                <w:highlight w:val="yellow"/>
                <w:lang w:eastAsia="zh-CN"/>
              </w:rPr>
              <w:t>（</w:t>
            </w:r>
            <w:r>
              <w:rPr>
                <w:rFonts w:hint="eastAsia"/>
                <w:color w:val="auto"/>
                <w:sz w:val="21"/>
                <w:highlight w:val="yellow"/>
                <w:lang w:val="en-US" w:eastAsia="zh-CN"/>
              </w:rPr>
              <w:t>风冷</w:t>
            </w:r>
            <w:r>
              <w:rPr>
                <w:rFonts w:hint="eastAsia"/>
                <w:color w:val="auto"/>
                <w:sz w:val="21"/>
                <w:highlight w:val="yellow"/>
                <w:lang w:eastAsia="zh-CN"/>
              </w:rPr>
              <w:t>）</w:t>
            </w:r>
            <w:r>
              <w:rPr>
                <w:rFonts w:hint="eastAsia"/>
                <w:color w:val="auto"/>
                <w:sz w:val="21"/>
                <w:highlight w:val="yellow"/>
                <w:lang w:val="en-US" w:eastAsia="zh-CN"/>
              </w:rPr>
              <w:t>品牌：西门子及同级别品牌，</w:t>
            </w:r>
            <w:r>
              <w:rPr>
                <w:rFonts w:hint="eastAsia"/>
                <w:sz w:val="21"/>
                <w:highlight w:val="yellow"/>
              </w:rPr>
              <w:t>电机能效等级不低于2级能效要求</w:t>
            </w:r>
            <w:r>
              <w:rPr>
                <w:rFonts w:hint="eastAsia"/>
                <w:sz w:val="21"/>
                <w:highlight w:val="none"/>
                <w:lang w:eastAsia="zh-CN"/>
              </w:rPr>
              <w:t>（</w:t>
            </w:r>
            <w:r>
              <w:rPr>
                <w:rFonts w:hint="eastAsia"/>
                <w:sz w:val="21"/>
                <w:highlight w:val="none"/>
                <w:lang w:val="en-US" w:eastAsia="zh-CN"/>
              </w:rPr>
              <w:t>接受</w:t>
            </w:r>
            <w:r>
              <w:rPr>
                <w:rFonts w:hint="eastAsia"/>
                <w:sz w:val="21"/>
                <w:highlight w:val="none"/>
              </w:rPr>
              <w:t>西门子贝得YVF2</w:t>
            </w:r>
            <w:r>
              <w:rPr>
                <w:rFonts w:hint="eastAsia"/>
                <w:sz w:val="21"/>
                <w:highlight w:val="none"/>
                <w:lang w:val="en-US" w:eastAsia="zh-CN"/>
              </w:rPr>
              <w:t>系列无能效标识</w:t>
            </w:r>
            <w:r>
              <w:rPr>
                <w:rFonts w:hint="eastAsia"/>
                <w:sz w:val="21"/>
                <w:highlight w:val="none"/>
                <w:lang w:eastAsia="zh-CN"/>
              </w:rPr>
              <w:t>）。</w:t>
            </w:r>
          </w:p>
          <w:p>
            <w:pPr>
              <w:numPr>
                <w:ilvl w:val="0"/>
                <w:numId w:val="4"/>
              </w:numPr>
              <w:suppressLineNumbers/>
              <w:adjustRightInd w:val="0"/>
              <w:snapToGrid w:val="0"/>
              <w:spacing w:line="276" w:lineRule="auto"/>
              <w:ind w:firstLine="0" w:firstLineChars="0"/>
              <w:rPr>
                <w:rFonts w:hint="eastAsia" w:eastAsia="宋体"/>
                <w:color w:val="auto"/>
                <w:sz w:val="21"/>
                <w:highlight w:val="none"/>
                <w:lang w:val="en-US" w:eastAsia="zh-CN"/>
              </w:rPr>
            </w:pPr>
            <w:r>
              <w:rPr>
                <w:rFonts w:hint="eastAsia"/>
                <w:color w:val="auto"/>
                <w:sz w:val="21"/>
                <w:highlight w:val="yellow"/>
                <w:lang w:val="en-US" w:eastAsia="zh-CN"/>
              </w:rPr>
              <w:t>变频器：</w:t>
            </w:r>
            <w:r>
              <w:rPr>
                <w:rFonts w:hint="eastAsia"/>
                <w:color w:val="auto"/>
                <w:sz w:val="21"/>
                <w:highlight w:val="yellow"/>
              </w:rPr>
              <w:t>ABB</w:t>
            </w:r>
            <w:r>
              <w:rPr>
                <w:rFonts w:hint="eastAsia"/>
                <w:color w:val="auto"/>
                <w:sz w:val="21"/>
                <w:highlight w:val="yellow"/>
                <w:lang w:eastAsia="zh-CN"/>
              </w:rPr>
              <w:t>、</w:t>
            </w:r>
            <w:r>
              <w:rPr>
                <w:rFonts w:hint="eastAsia"/>
                <w:color w:val="auto"/>
                <w:sz w:val="21"/>
                <w:highlight w:val="yellow"/>
                <w:lang w:val="en-US" w:eastAsia="zh-CN"/>
              </w:rPr>
              <w:t>汇川</w:t>
            </w:r>
            <w:r>
              <w:rPr>
                <w:rFonts w:hint="eastAsia"/>
                <w:color w:val="auto"/>
                <w:sz w:val="21"/>
                <w:highlight w:val="yellow"/>
              </w:rPr>
              <w:t>或同级别</w:t>
            </w:r>
            <w:r>
              <w:rPr>
                <w:rFonts w:hint="eastAsia"/>
                <w:color w:val="auto"/>
                <w:sz w:val="21"/>
                <w:highlight w:val="yellow"/>
                <w:lang w:val="en-US" w:eastAsia="zh-CN"/>
              </w:rPr>
              <w:t>品牌</w:t>
            </w:r>
            <w:r>
              <w:rPr>
                <w:rFonts w:hint="eastAsia"/>
                <w:color w:val="auto"/>
                <w:sz w:val="21"/>
                <w:highlight w:val="yellow"/>
              </w:rPr>
              <w:t>；防护等级不低于IP54</w:t>
            </w:r>
            <w:r>
              <w:rPr>
                <w:rFonts w:hint="eastAsia"/>
                <w:color w:val="auto"/>
                <w:sz w:val="21"/>
                <w:highlight w:val="yellow"/>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right="155" w:firstLine="0" w:firstLineChars="0"/>
              <w:jc w:val="center"/>
              <w:rPr>
                <w:rFonts w:ascii="Times New Roman" w:hAnsi="Times New Roman" w:cs="Times New Roman"/>
                <w:sz w:val="21"/>
              </w:rPr>
            </w:pPr>
            <w:r>
              <w:rPr>
                <w:rFonts w:hint="eastAsia" w:ascii="Times New Roman" w:hAnsi="Times New Roman" w:cs="Times New Roman"/>
                <w:sz w:val="21"/>
              </w:rPr>
              <w:t>13</w:t>
            </w:r>
          </w:p>
        </w:tc>
        <w:tc>
          <w:tcPr>
            <w:tcW w:w="1070" w:type="pct"/>
            <w:vAlign w:val="center"/>
          </w:tcPr>
          <w:p>
            <w:pPr>
              <w:pStyle w:val="19"/>
              <w:spacing w:before="0" w:line="360" w:lineRule="auto"/>
              <w:ind w:left="0" w:right="155" w:firstLine="0" w:firstLineChars="0"/>
              <w:jc w:val="center"/>
              <w:rPr>
                <w:rFonts w:ascii="Times New Roman" w:hAnsi="Times New Roman" w:cs="Times New Roman"/>
                <w:sz w:val="21"/>
                <w:highlight w:val="none"/>
              </w:rPr>
            </w:pPr>
            <w:r>
              <w:rPr>
                <w:rFonts w:hint="eastAsia" w:ascii="Times New Roman" w:hAnsi="Times New Roman" w:cs="Times New Roman"/>
                <w:sz w:val="21"/>
                <w:highlight w:val="none"/>
              </w:rPr>
              <w:t>电控部分</w:t>
            </w:r>
          </w:p>
        </w:tc>
        <w:tc>
          <w:tcPr>
            <w:tcW w:w="3445" w:type="pct"/>
            <w:vAlign w:val="center"/>
          </w:tcPr>
          <w:p>
            <w:pPr>
              <w:numPr>
                <w:ilvl w:val="0"/>
                <w:numId w:val="5"/>
              </w:numPr>
              <w:suppressLineNumbers/>
              <w:adjustRightInd w:val="0"/>
              <w:snapToGrid w:val="0"/>
              <w:spacing w:line="276" w:lineRule="auto"/>
              <w:ind w:firstLine="0" w:firstLineChars="0"/>
              <w:rPr>
                <w:rFonts w:hint="eastAsia" w:eastAsia="宋体"/>
                <w:sz w:val="21"/>
                <w:szCs w:val="21"/>
                <w:lang w:val="en-US" w:eastAsia="zh-CN"/>
              </w:rPr>
            </w:pPr>
            <w:r>
              <w:rPr>
                <w:rFonts w:hint="eastAsia"/>
                <w:sz w:val="21"/>
                <w:szCs w:val="21"/>
                <w:highlight w:val="yellow"/>
                <w:lang w:val="en-US" w:eastAsia="zh-CN"/>
              </w:rPr>
              <w:t>PLC</w:t>
            </w:r>
            <w:r>
              <w:rPr>
                <w:rFonts w:hint="eastAsia"/>
                <w:sz w:val="21"/>
                <w:szCs w:val="21"/>
                <w:lang w:val="en-US" w:eastAsia="zh-CN"/>
              </w:rPr>
              <w:t>优先采用西门子S7系列，可采用三菱。</w:t>
            </w:r>
            <w:r>
              <w:rPr>
                <w:rFonts w:hint="eastAsia"/>
                <w:sz w:val="21"/>
              </w:rPr>
              <w:t>PLC具备标准通讯协议profinet，以太网接口；</w:t>
            </w:r>
            <w:r>
              <w:rPr>
                <w:rFonts w:hint="eastAsia"/>
                <w:sz w:val="21"/>
                <w:lang w:val="en-US" w:eastAsia="zh-CN"/>
              </w:rPr>
              <w:t>预留10-20%的控制点位</w:t>
            </w:r>
            <w:r>
              <w:rPr>
                <w:rFonts w:hint="eastAsia"/>
                <w:sz w:val="21"/>
                <w:lang w:eastAsia="zh-CN"/>
              </w:rPr>
              <w:t>。</w:t>
            </w:r>
          </w:p>
          <w:p>
            <w:pPr>
              <w:numPr>
                <w:ilvl w:val="0"/>
                <w:numId w:val="5"/>
              </w:numPr>
              <w:suppressLineNumbers/>
              <w:adjustRightInd w:val="0"/>
              <w:snapToGrid w:val="0"/>
              <w:spacing w:line="276" w:lineRule="auto"/>
              <w:ind w:left="0" w:leftChars="0" w:firstLine="0" w:firstLineChars="0"/>
              <w:rPr>
                <w:rFonts w:hint="default"/>
                <w:sz w:val="21"/>
                <w:szCs w:val="21"/>
                <w:highlight w:val="none"/>
                <w:lang w:val="en-US" w:eastAsia="zh-CN"/>
              </w:rPr>
            </w:pPr>
            <w:r>
              <w:rPr>
                <w:rFonts w:hint="eastAsia"/>
                <w:sz w:val="21"/>
                <w:szCs w:val="21"/>
                <w:highlight w:val="yellow"/>
                <w:lang w:val="en-US" w:eastAsia="zh-CN"/>
              </w:rPr>
              <w:t>控制柜本体</w:t>
            </w:r>
            <w:r>
              <w:rPr>
                <w:rFonts w:hint="eastAsia"/>
                <w:sz w:val="21"/>
                <w:szCs w:val="21"/>
                <w:highlight w:val="none"/>
                <w:lang w:val="en-US" w:eastAsia="zh-CN"/>
              </w:rPr>
              <w:t>碳钢喷塑（散热孔带滤网），</w:t>
            </w:r>
            <w:r>
              <w:rPr>
                <w:rFonts w:hint="eastAsia"/>
                <w:sz w:val="21"/>
                <w:szCs w:val="21"/>
                <w:highlight w:val="none"/>
              </w:rPr>
              <w:t>按钮选用塑料按钮；门锁</w:t>
            </w:r>
            <w:r>
              <w:rPr>
                <w:rFonts w:hint="eastAsia"/>
                <w:sz w:val="21"/>
                <w:szCs w:val="21"/>
                <w:highlight w:val="none"/>
                <w:lang w:eastAsia="zh-CN"/>
              </w:rPr>
              <w:t>、</w:t>
            </w:r>
            <w:r>
              <w:rPr>
                <w:rFonts w:hint="eastAsia"/>
                <w:sz w:val="21"/>
                <w:szCs w:val="21"/>
                <w:highlight w:val="none"/>
                <w:lang w:val="en-US" w:eastAsia="zh-CN"/>
              </w:rPr>
              <w:t>合页等转动磨损部件采用</w:t>
            </w:r>
            <w:r>
              <w:rPr>
                <w:rFonts w:hint="eastAsia"/>
                <w:sz w:val="21"/>
                <w:szCs w:val="21"/>
                <w:highlight w:val="none"/>
              </w:rPr>
              <w:t>不锈</w:t>
            </w:r>
            <w:r>
              <w:rPr>
                <w:rFonts w:hint="eastAsia"/>
                <w:sz w:val="21"/>
                <w:szCs w:val="21"/>
                <w:highlight w:val="none"/>
                <w:lang w:val="en-US" w:eastAsia="zh-CN"/>
              </w:rPr>
              <w:t>钢；布线卡槽支架禁铜锌；控制柜防护等级不低于IP54；控制柜进出线方式买方指定。</w:t>
            </w:r>
          </w:p>
          <w:p>
            <w:pPr>
              <w:numPr>
                <w:ilvl w:val="0"/>
                <w:numId w:val="4"/>
              </w:numPr>
              <w:suppressLineNumbers/>
              <w:adjustRightInd w:val="0"/>
              <w:snapToGrid w:val="0"/>
              <w:spacing w:line="276" w:lineRule="auto"/>
              <w:ind w:left="0" w:leftChars="0" w:firstLine="0" w:firstLineChars="0"/>
              <w:rPr>
                <w:rFonts w:hint="eastAsia"/>
                <w:sz w:val="21"/>
                <w:szCs w:val="21"/>
                <w:highlight w:val="none"/>
              </w:rPr>
            </w:pPr>
            <w:r>
              <w:rPr>
                <w:rFonts w:hint="eastAsia"/>
                <w:sz w:val="21"/>
                <w:szCs w:val="21"/>
                <w:highlight w:val="yellow"/>
                <w:lang w:val="en-US" w:eastAsia="zh-CN"/>
              </w:rPr>
              <w:t>气控</w:t>
            </w:r>
            <w:r>
              <w:rPr>
                <w:rFonts w:hint="eastAsia"/>
                <w:sz w:val="21"/>
                <w:szCs w:val="21"/>
                <w:highlight w:val="yellow"/>
              </w:rPr>
              <w:t>箱</w:t>
            </w:r>
            <w:r>
              <w:rPr>
                <w:rFonts w:hint="eastAsia"/>
                <w:sz w:val="21"/>
                <w:szCs w:val="21"/>
                <w:highlight w:val="none"/>
              </w:rPr>
              <w:t>禁铜锌</w:t>
            </w:r>
            <w:r>
              <w:rPr>
                <w:rFonts w:hint="eastAsia"/>
                <w:sz w:val="21"/>
                <w:szCs w:val="21"/>
                <w:highlight w:val="none"/>
                <w:lang w:val="en-US" w:eastAsia="zh-CN"/>
              </w:rPr>
              <w:t>等，密封良好</w:t>
            </w:r>
            <w:r>
              <w:rPr>
                <w:rFonts w:hint="eastAsia"/>
                <w:sz w:val="21"/>
                <w:szCs w:val="21"/>
                <w:highlight w:val="none"/>
              </w:rPr>
              <w:t>；</w:t>
            </w:r>
          </w:p>
          <w:p>
            <w:pPr>
              <w:numPr>
                <w:ilvl w:val="0"/>
                <w:numId w:val="4"/>
              </w:numPr>
              <w:suppressLineNumbers/>
              <w:adjustRightInd w:val="0"/>
              <w:snapToGrid w:val="0"/>
              <w:spacing w:line="276" w:lineRule="auto"/>
              <w:ind w:left="0" w:leftChars="0" w:firstLine="0" w:firstLineChars="0"/>
              <w:rPr>
                <w:rFonts w:hint="default" w:eastAsia="宋体"/>
                <w:lang w:val="en-US" w:eastAsia="zh-CN"/>
              </w:rPr>
            </w:pPr>
            <w:r>
              <w:rPr>
                <w:rFonts w:hint="eastAsia"/>
                <w:sz w:val="21"/>
                <w:highlight w:val="none"/>
              </w:rPr>
              <w:t>每套设备</w:t>
            </w:r>
            <w:r>
              <w:rPr>
                <w:rFonts w:hint="eastAsia"/>
                <w:sz w:val="21"/>
                <w:highlight w:val="none"/>
                <w:lang w:val="en-US" w:eastAsia="zh-CN"/>
              </w:rPr>
              <w:t>配</w:t>
            </w:r>
            <w:r>
              <w:rPr>
                <w:rFonts w:hint="eastAsia"/>
                <w:sz w:val="21"/>
                <w:highlight w:val="none"/>
              </w:rPr>
              <w:t>一个控制柜，配置1台PLC和1台</w:t>
            </w:r>
            <w:r>
              <w:rPr>
                <w:rFonts w:hint="eastAsia"/>
                <w:sz w:val="21"/>
                <w:highlight w:val="yellow"/>
              </w:rPr>
              <w:t>触摸屏</w:t>
            </w:r>
            <w:r>
              <w:rPr>
                <w:rFonts w:hint="eastAsia"/>
                <w:sz w:val="21"/>
                <w:highlight w:val="none"/>
                <w:lang w:eastAsia="zh-CN"/>
              </w:rPr>
              <w:t>（</w:t>
            </w:r>
            <w:r>
              <w:rPr>
                <w:rFonts w:hint="eastAsia"/>
                <w:sz w:val="21"/>
                <w:highlight w:val="none"/>
                <w:lang w:val="en-US" w:eastAsia="zh-CN"/>
              </w:rPr>
              <w:t>品牌：西门子及同级别品牌或昆仑通态</w:t>
            </w:r>
            <w:r>
              <w:rPr>
                <w:rFonts w:hint="eastAsia"/>
                <w:sz w:val="21"/>
                <w:highlight w:val="none"/>
                <w:lang w:eastAsia="zh-CN"/>
              </w:rPr>
              <w:t>）</w:t>
            </w:r>
            <w:r>
              <w:rPr>
                <w:rFonts w:hint="eastAsia"/>
                <w:sz w:val="21"/>
                <w:highlight w:val="none"/>
              </w:rPr>
              <w:t>；</w:t>
            </w:r>
          </w:p>
          <w:p>
            <w:pPr>
              <w:numPr>
                <w:ilvl w:val="0"/>
                <w:numId w:val="4"/>
              </w:numPr>
              <w:suppressLineNumbers/>
              <w:adjustRightInd w:val="0"/>
              <w:snapToGrid w:val="0"/>
              <w:spacing w:line="276" w:lineRule="auto"/>
              <w:ind w:left="0" w:leftChars="0" w:firstLine="0" w:firstLineChars="0"/>
              <w:rPr>
                <w:sz w:val="21"/>
                <w:highlight w:val="none"/>
              </w:rPr>
            </w:pPr>
            <w:r>
              <w:rPr>
                <w:rFonts w:hint="eastAsia"/>
                <w:sz w:val="21"/>
                <w:highlight w:val="none"/>
              </w:rPr>
              <w:t>触摸屏能够显示和设置以下参数：高速混合机转速、高速混合机运行频率、混料时间；显示物料温度、搅拌电流；将数字信号反馈至高速混合机连锁控制；参数超限发生</w:t>
            </w:r>
            <w:r>
              <w:rPr>
                <w:rFonts w:hint="eastAsia"/>
                <w:sz w:val="21"/>
                <w:highlight w:val="yellow"/>
              </w:rPr>
              <w:t>声光报警</w:t>
            </w:r>
            <w:r>
              <w:rPr>
                <w:rFonts w:hint="eastAsia"/>
                <w:sz w:val="21"/>
                <w:highlight w:val="none"/>
              </w:rPr>
              <w:t>；触摸屏上具备进行设备实际运行时间（可设定）实现维护保养预警功能；</w:t>
            </w:r>
          </w:p>
          <w:p>
            <w:pPr>
              <w:numPr>
                <w:ilvl w:val="0"/>
                <w:numId w:val="4"/>
              </w:numPr>
              <w:suppressLineNumbers/>
              <w:adjustRightInd w:val="0"/>
              <w:snapToGrid w:val="0"/>
              <w:spacing w:line="276" w:lineRule="auto"/>
              <w:ind w:left="0" w:leftChars="0" w:firstLine="0" w:firstLineChars="0"/>
              <w:rPr>
                <w:rFonts w:hint="eastAsia" w:eastAsia="宋体"/>
                <w:sz w:val="21"/>
                <w:highlight w:val="none"/>
                <w:lang w:val="en-US" w:eastAsia="zh-CN"/>
              </w:rPr>
            </w:pPr>
            <w:r>
              <w:rPr>
                <w:rFonts w:hint="eastAsia"/>
                <w:sz w:val="21"/>
                <w:highlight w:val="none"/>
                <w:lang w:val="en-US" w:eastAsia="zh-CN"/>
              </w:rPr>
              <w:t>具备自动/手动，本地/远程。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right="155"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14</w:t>
            </w:r>
          </w:p>
        </w:tc>
        <w:tc>
          <w:tcPr>
            <w:tcW w:w="1070" w:type="pct"/>
            <w:vAlign w:val="center"/>
          </w:tcPr>
          <w:p>
            <w:pPr>
              <w:pStyle w:val="19"/>
              <w:spacing w:before="0" w:line="360" w:lineRule="auto"/>
              <w:ind w:left="0" w:right="155" w:firstLine="0" w:firstLineChars="0"/>
              <w:jc w:val="center"/>
              <w:rPr>
                <w:rFonts w:hint="default" w:ascii="Times New Roman" w:hAnsi="Times New Roman" w:eastAsia="宋体" w:cs="Times New Roman"/>
                <w:sz w:val="21"/>
                <w:highlight w:val="none"/>
                <w:lang w:val="en-US" w:eastAsia="zh-CN"/>
              </w:rPr>
            </w:pPr>
            <w:r>
              <w:rPr>
                <w:rFonts w:hint="eastAsia" w:ascii="Times New Roman" w:hAnsi="Times New Roman" w:cs="Times New Roman"/>
                <w:sz w:val="21"/>
                <w:highlight w:val="none"/>
                <w:lang w:val="en-US" w:eastAsia="zh-CN"/>
              </w:rPr>
              <w:t>排气过滤器（脉冲/带反吹）</w:t>
            </w:r>
          </w:p>
        </w:tc>
        <w:tc>
          <w:tcPr>
            <w:tcW w:w="3445" w:type="pct"/>
            <w:vAlign w:val="center"/>
          </w:tcPr>
          <w:p>
            <w:pPr>
              <w:numPr>
                <w:ilvl w:val="0"/>
                <w:numId w:val="0"/>
              </w:numPr>
              <w:suppressLineNumbers/>
              <w:adjustRightInd w:val="0"/>
              <w:snapToGrid w:val="0"/>
              <w:spacing w:line="276" w:lineRule="auto"/>
              <w:ind w:leftChars="0"/>
              <w:rPr>
                <w:rFonts w:hint="eastAsia"/>
                <w:sz w:val="21"/>
                <w:highlight w:val="none"/>
                <w:lang w:val="en-US" w:eastAsia="zh-CN"/>
              </w:rPr>
            </w:pPr>
            <w:r>
              <w:rPr>
                <w:rFonts w:hint="eastAsia"/>
                <w:color w:val="auto"/>
                <w:sz w:val="21"/>
                <w:highlight w:val="yellow"/>
                <w:lang w:val="en-US" w:eastAsia="zh-CN"/>
              </w:rPr>
              <w:t>请厂家单项报价，作为选配项目</w:t>
            </w:r>
            <w:r>
              <w:rPr>
                <w:rFonts w:hint="eastAsia"/>
                <w:sz w:val="21"/>
                <w:highlight w:val="none"/>
                <w:lang w:val="en-US" w:eastAsia="zh-CN"/>
              </w:rPr>
              <w:t>。请厂家对其结构形式，材质喷涂等做详细说明。</w:t>
            </w:r>
          </w:p>
          <w:p>
            <w:pPr>
              <w:numPr>
                <w:ilvl w:val="0"/>
                <w:numId w:val="0"/>
              </w:numPr>
              <w:suppressLineNumbers/>
              <w:adjustRightInd w:val="0"/>
              <w:snapToGrid w:val="0"/>
              <w:spacing w:line="276" w:lineRule="auto"/>
              <w:ind w:leftChars="0"/>
              <w:rPr>
                <w:rFonts w:hint="default"/>
                <w:sz w:val="21"/>
                <w:highlight w:val="none"/>
                <w:lang w:val="en-US" w:eastAsia="zh-CN"/>
              </w:rPr>
            </w:pPr>
            <w:r>
              <w:rPr>
                <w:rFonts w:hint="eastAsia"/>
                <w:sz w:val="21"/>
                <w:highlight w:val="yellow"/>
                <w:lang w:val="en-US" w:eastAsia="zh-CN"/>
              </w:rPr>
              <w:t>默认</w:t>
            </w:r>
            <w:r>
              <w:rPr>
                <w:rFonts w:hint="eastAsia"/>
                <w:sz w:val="21"/>
                <w:highlight w:val="none"/>
                <w:lang w:val="en-US" w:eastAsia="zh-CN"/>
              </w:rPr>
              <w:t>设备自带简易的排气过滤器（不带</w:t>
            </w:r>
            <w:r>
              <w:rPr>
                <w:rFonts w:hint="eastAsia" w:ascii="Times New Roman" w:hAnsi="Times New Roman" w:cs="Times New Roman"/>
                <w:sz w:val="21"/>
                <w:highlight w:val="none"/>
                <w:lang w:val="en-US" w:eastAsia="zh-CN"/>
              </w:rPr>
              <w:t>脉冲/反吹</w:t>
            </w:r>
            <w:r>
              <w:rPr>
                <w:rFonts w:hint="eastAsia"/>
                <w:sz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84" w:type="pct"/>
            <w:vAlign w:val="center"/>
          </w:tcPr>
          <w:p>
            <w:pPr>
              <w:pStyle w:val="19"/>
              <w:spacing w:before="0" w:line="360" w:lineRule="auto"/>
              <w:ind w:left="0" w:right="155"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15</w:t>
            </w:r>
          </w:p>
        </w:tc>
        <w:tc>
          <w:tcPr>
            <w:tcW w:w="1070" w:type="pct"/>
            <w:vAlign w:val="center"/>
          </w:tcPr>
          <w:p>
            <w:pPr>
              <w:pStyle w:val="19"/>
              <w:spacing w:before="0" w:line="360" w:lineRule="auto"/>
              <w:ind w:left="0" w:right="155" w:firstLine="0" w:firstLineChars="0"/>
              <w:jc w:val="center"/>
              <w:rPr>
                <w:rFonts w:hint="default" w:ascii="Times New Roman" w:hAnsi="Times New Roman" w:cs="Times New Roman"/>
                <w:sz w:val="21"/>
                <w:highlight w:val="none"/>
                <w:lang w:val="en-US" w:eastAsia="zh-CN"/>
              </w:rPr>
            </w:pPr>
            <w:r>
              <w:rPr>
                <w:rFonts w:hint="eastAsia" w:ascii="Times New Roman" w:hAnsi="Times New Roman" w:cs="Times New Roman"/>
                <w:sz w:val="21"/>
                <w:highlight w:val="none"/>
                <w:lang w:val="en-US" w:eastAsia="zh-CN"/>
              </w:rPr>
              <w:t>气动元器件</w:t>
            </w:r>
          </w:p>
        </w:tc>
        <w:tc>
          <w:tcPr>
            <w:tcW w:w="3445" w:type="pct"/>
            <w:vAlign w:val="center"/>
          </w:tcPr>
          <w:p>
            <w:pPr>
              <w:suppressLineNumbers/>
              <w:adjustRightInd w:val="0"/>
              <w:snapToGrid w:val="0"/>
              <w:spacing w:line="276" w:lineRule="auto"/>
              <w:ind w:left="0" w:leftChars="0" w:firstLine="0" w:firstLineChars="0"/>
              <w:rPr>
                <w:rFonts w:hint="eastAsia"/>
                <w:sz w:val="21"/>
                <w:highlight w:val="none"/>
                <w:lang w:val="en-US" w:eastAsia="zh-CN"/>
              </w:rPr>
            </w:pPr>
            <w:r>
              <w:rPr>
                <w:rFonts w:hint="eastAsia" w:ascii="宋体" w:hAnsi="宋体" w:eastAsia="宋体" w:cs="楷体"/>
                <w:sz w:val="21"/>
                <w:szCs w:val="21"/>
                <w:lang w:val="en-US" w:eastAsia="zh-CN"/>
              </w:rPr>
              <w:t>配置KCC、</w:t>
            </w:r>
            <w:r>
              <w:rPr>
                <w:rFonts w:hint="eastAsia" w:ascii="宋体" w:hAnsi="宋体" w:eastAsia="宋体" w:cs="楷体"/>
                <w:sz w:val="21"/>
                <w:szCs w:val="21"/>
              </w:rPr>
              <w:t>SMC、亚德客</w:t>
            </w:r>
            <w:r>
              <w:rPr>
                <w:rFonts w:hint="eastAsia" w:ascii="宋体" w:hAnsi="宋体" w:eastAsia="宋体" w:cs="楷体"/>
                <w:sz w:val="21"/>
                <w:szCs w:val="21"/>
                <w:lang w:val="en-US" w:eastAsia="zh-CN"/>
              </w:rPr>
              <w:t>等</w:t>
            </w:r>
            <w:r>
              <w:rPr>
                <w:rFonts w:hint="eastAsia" w:ascii="宋体" w:hAnsi="宋体" w:eastAsia="宋体" w:cs="楷体"/>
                <w:sz w:val="21"/>
                <w:szCs w:val="21"/>
                <w:highlight w:val="yellow"/>
              </w:rPr>
              <w:t>锂电专用品牌元器件</w:t>
            </w:r>
            <w:r>
              <w:rPr>
                <w:rFonts w:hint="eastAsia" w:ascii="宋体" w:hAnsi="宋体" w:eastAsia="宋体" w:cs="楷体"/>
                <w:sz w:val="21"/>
                <w:szCs w:val="21"/>
                <w:lang w:eastAsia="zh-CN"/>
              </w:rPr>
              <w:t>，</w:t>
            </w:r>
            <w:r>
              <w:rPr>
                <w:rFonts w:hint="eastAsia" w:ascii="宋体" w:hAnsi="宋体" w:eastAsia="宋体" w:cs="楷体"/>
                <w:sz w:val="21"/>
                <w:szCs w:val="21"/>
                <w:lang w:val="en-US" w:eastAsia="zh-CN"/>
              </w:rPr>
              <w:t>不引入铜</w:t>
            </w:r>
            <w:r>
              <w:rPr>
                <w:rFonts w:hint="eastAsia"/>
                <w:sz w:val="21"/>
                <w:szCs w:val="21"/>
                <w:highlight w:val="none"/>
              </w:rPr>
              <w:t>锌</w:t>
            </w:r>
            <w:r>
              <w:rPr>
                <w:rFonts w:hint="eastAsia"/>
                <w:sz w:val="21"/>
                <w:szCs w:val="21"/>
                <w:highlight w:val="none"/>
                <w:lang w:val="en-US" w:eastAsia="zh-CN"/>
              </w:rPr>
              <w:t>等金属异物。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right="155"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16</w:t>
            </w:r>
          </w:p>
        </w:tc>
        <w:tc>
          <w:tcPr>
            <w:tcW w:w="1070" w:type="pct"/>
            <w:vAlign w:val="center"/>
          </w:tcPr>
          <w:p>
            <w:pPr>
              <w:pStyle w:val="19"/>
              <w:spacing w:before="0" w:line="360" w:lineRule="auto"/>
              <w:ind w:left="0" w:right="155" w:firstLine="0" w:firstLineChars="0"/>
              <w:jc w:val="center"/>
              <w:rPr>
                <w:rFonts w:hint="default" w:ascii="Times New Roman" w:hAnsi="Times New Roman" w:cs="Times New Roman"/>
                <w:sz w:val="21"/>
                <w:highlight w:val="none"/>
                <w:lang w:val="en-US" w:eastAsia="zh-CN"/>
              </w:rPr>
            </w:pPr>
            <w:r>
              <w:rPr>
                <w:rFonts w:hint="eastAsia" w:ascii="Times New Roman" w:hAnsi="Times New Roman" w:cs="Times New Roman"/>
                <w:sz w:val="21"/>
                <w:highlight w:val="none"/>
                <w:lang w:val="en-US" w:eastAsia="zh-CN"/>
              </w:rPr>
              <w:t>温度检测</w:t>
            </w:r>
          </w:p>
        </w:tc>
        <w:tc>
          <w:tcPr>
            <w:tcW w:w="3445" w:type="pct"/>
            <w:vAlign w:val="center"/>
          </w:tcPr>
          <w:p>
            <w:pPr>
              <w:pStyle w:val="27"/>
              <w:ind w:left="0" w:leftChars="0" w:firstLine="0" w:firstLineChars="0"/>
              <w:rPr>
                <w:rFonts w:hint="eastAsia" w:ascii="MS Mincho" w:hAnsi="MS Mincho"/>
                <w:color w:val="000000" w:themeColor="text1"/>
                <w:sz w:val="21"/>
                <w:szCs w:val="21"/>
                <w14:textFill>
                  <w14:solidFill>
                    <w14:schemeClr w14:val="tx1"/>
                  </w14:solidFill>
                </w14:textFill>
              </w:rPr>
            </w:pPr>
            <w:r>
              <w:rPr>
                <w:rFonts w:hint="eastAsia" w:ascii="MS Mincho" w:hAnsi="MS Mincho"/>
                <w:color w:val="000000" w:themeColor="text1"/>
                <w:sz w:val="21"/>
                <w:szCs w:val="21"/>
                <w:lang w:val="en-US" w:eastAsia="zh-CN"/>
                <w14:textFill>
                  <w14:solidFill>
                    <w14:schemeClr w14:val="tx1"/>
                  </w14:solidFill>
                </w14:textFill>
              </w:rPr>
              <w:t>配置</w:t>
            </w:r>
            <w:r>
              <w:rPr>
                <w:rFonts w:hint="eastAsia" w:ascii="MS Mincho" w:hAnsi="MS Mincho"/>
                <w:color w:val="000000" w:themeColor="text1"/>
                <w:sz w:val="21"/>
                <w:szCs w:val="21"/>
                <w14:textFill>
                  <w14:solidFill>
                    <w14:schemeClr w14:val="tx1"/>
                  </w14:solidFill>
                </w14:textFill>
              </w:rPr>
              <w:t>材料温度探头</w:t>
            </w:r>
            <w:r>
              <w:rPr>
                <w:rFonts w:hint="eastAsia" w:ascii="MS Mincho" w:hAnsi="MS Mincho"/>
                <w:color w:val="000000" w:themeColor="text1"/>
                <w:sz w:val="21"/>
                <w:szCs w:val="21"/>
                <w:lang w:eastAsia="zh-CN"/>
                <w14:textFill>
                  <w14:solidFill>
                    <w14:schemeClr w14:val="tx1"/>
                  </w14:solidFill>
                </w14:textFill>
              </w:rPr>
              <w:t>（</w:t>
            </w:r>
            <w:r>
              <w:rPr>
                <w:rFonts w:hint="eastAsia" w:ascii="MS Mincho" w:hAnsi="MS Mincho"/>
                <w:color w:val="000000" w:themeColor="text1"/>
                <w:sz w:val="21"/>
                <w:szCs w:val="21"/>
                <w:lang w:val="en-US" w:eastAsia="zh-CN"/>
                <w14:textFill>
                  <w14:solidFill>
                    <w14:schemeClr w14:val="tx1"/>
                  </w14:solidFill>
                </w14:textFill>
              </w:rPr>
              <w:t>进口品牌或国内一线品牌</w:t>
            </w:r>
            <w:r>
              <w:rPr>
                <w:rFonts w:hint="eastAsia" w:ascii="MS Mincho" w:hAnsi="MS Mincho"/>
                <w:color w:val="000000" w:themeColor="text1"/>
                <w:sz w:val="21"/>
                <w:szCs w:val="21"/>
                <w:lang w:eastAsia="zh-CN"/>
                <w14:textFill>
                  <w14:solidFill>
                    <w14:schemeClr w14:val="tx1"/>
                  </w14:solidFill>
                </w14:textFill>
              </w:rPr>
              <w:t>）</w:t>
            </w:r>
          </w:p>
          <w:p>
            <w:pPr>
              <w:pStyle w:val="27"/>
              <w:ind w:left="0" w:leftChars="0" w:firstLine="0" w:firstLineChars="0"/>
              <w:rPr>
                <w:rFonts w:hint="eastAsia" w:ascii="宋体" w:hAnsi="宋体" w:eastAsia="宋体" w:cs="楷体"/>
                <w:sz w:val="21"/>
                <w:szCs w:val="21"/>
                <w:lang w:val="en-US" w:eastAsia="zh-CN"/>
              </w:rPr>
            </w:pPr>
            <w:r>
              <w:rPr>
                <w:rFonts w:hint="eastAsia" w:ascii="MS Mincho" w:hAnsi="MS Mincho"/>
                <w:color w:val="000000" w:themeColor="text1"/>
                <w:sz w:val="21"/>
                <w:szCs w:val="21"/>
                <w:lang w:val="en-US" w:eastAsia="zh-CN"/>
                <w14:textFill>
                  <w14:solidFill>
                    <w14:schemeClr w14:val="tx1"/>
                  </w14:solidFill>
                </w14:textFill>
              </w:rPr>
              <w:t>配置</w:t>
            </w:r>
            <w:r>
              <w:rPr>
                <w:rFonts w:hint="eastAsia" w:ascii="MS Mincho" w:hAnsi="MS Mincho"/>
                <w:color w:val="000000" w:themeColor="text1"/>
                <w:sz w:val="21"/>
                <w:szCs w:val="21"/>
                <w14:textFill>
                  <w14:solidFill>
                    <w14:schemeClr w14:val="tx1"/>
                  </w14:solidFill>
                </w14:textFill>
              </w:rPr>
              <w:t>夹</w:t>
            </w:r>
            <w:r>
              <w:rPr>
                <w:rFonts w:hint="eastAsia" w:ascii="MS Mincho" w:hAnsi="MS Mincho"/>
                <w:color w:val="000000" w:themeColor="text1"/>
                <w:sz w:val="21"/>
                <w:szCs w:val="21"/>
                <w:lang w:val="en-US" w:eastAsia="zh-CN"/>
                <w14:textFill>
                  <w14:solidFill>
                    <w14:schemeClr w14:val="tx1"/>
                  </w14:solidFill>
                </w14:textFill>
              </w:rPr>
              <w:t>套</w:t>
            </w:r>
            <w:r>
              <w:rPr>
                <w:rFonts w:hint="eastAsia" w:ascii="MS Mincho" w:hAnsi="MS Mincho"/>
                <w:color w:val="000000" w:themeColor="text1"/>
                <w:sz w:val="21"/>
                <w:szCs w:val="21"/>
                <w14:textFill>
                  <w14:solidFill>
                    <w14:schemeClr w14:val="tx1"/>
                  </w14:solidFill>
                </w14:textFill>
              </w:rPr>
              <w:t>温度探头</w:t>
            </w:r>
            <w:r>
              <w:rPr>
                <w:rFonts w:hint="eastAsia" w:ascii="MS Mincho" w:hAnsi="MS Mincho"/>
                <w:color w:val="000000" w:themeColor="text1"/>
                <w:sz w:val="21"/>
                <w:szCs w:val="21"/>
                <w:lang w:eastAsia="zh-CN"/>
                <w14:textFill>
                  <w14:solidFill>
                    <w14:schemeClr w14:val="tx1"/>
                  </w14:solidFill>
                </w14:textFill>
              </w:rPr>
              <w:t>（</w:t>
            </w:r>
            <w:r>
              <w:rPr>
                <w:rFonts w:hint="eastAsia" w:ascii="MS Mincho" w:hAnsi="MS Mincho"/>
                <w:color w:val="000000" w:themeColor="text1"/>
                <w:sz w:val="21"/>
                <w:szCs w:val="21"/>
                <w:lang w:val="en-US" w:eastAsia="zh-CN"/>
                <w14:textFill>
                  <w14:solidFill>
                    <w14:schemeClr w14:val="tx1"/>
                  </w14:solidFill>
                </w14:textFill>
              </w:rPr>
              <w:t>进口品牌或国内一线品牌</w:t>
            </w:r>
            <w:r>
              <w:rPr>
                <w:rFonts w:hint="eastAsia" w:ascii="MS Mincho" w:hAnsi="MS Mincho"/>
                <w:color w:val="000000" w:themeColor="text1"/>
                <w:sz w:val="21"/>
                <w:szCs w:val="21"/>
                <w:lang w:eastAsia="zh-CN"/>
                <w14:textFill>
                  <w14:solidFill>
                    <w14:schemeClr w14:val="tx1"/>
                  </w14:solidFill>
                </w14:textFill>
              </w:rPr>
              <w:t>）</w:t>
            </w:r>
            <w:r>
              <w:rPr>
                <w:rFonts w:hint="eastAsia" w:ascii="MS Mincho" w:hAnsi="MS Mincho"/>
                <w:color w:val="000000" w:themeColor="text1"/>
                <w:sz w:val="21"/>
                <w:szCs w:val="21"/>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84" w:type="pct"/>
            <w:vAlign w:val="center"/>
          </w:tcPr>
          <w:p>
            <w:pPr>
              <w:pStyle w:val="19"/>
              <w:spacing w:before="0" w:line="360" w:lineRule="auto"/>
              <w:ind w:left="0" w:right="155"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17</w:t>
            </w:r>
          </w:p>
        </w:tc>
        <w:tc>
          <w:tcPr>
            <w:tcW w:w="1070" w:type="pct"/>
            <w:vAlign w:val="center"/>
          </w:tcPr>
          <w:p>
            <w:pPr>
              <w:pStyle w:val="19"/>
              <w:spacing w:before="0" w:line="360" w:lineRule="auto"/>
              <w:ind w:left="0" w:right="155" w:firstLine="0" w:firstLineChars="0"/>
              <w:jc w:val="center"/>
              <w:rPr>
                <w:rFonts w:hint="default" w:ascii="Times New Roman" w:hAnsi="Times New Roman" w:cs="Times New Roman"/>
                <w:sz w:val="21"/>
                <w:szCs w:val="21"/>
                <w:highlight w:val="none"/>
                <w:lang w:val="en-US" w:eastAsia="zh-CN"/>
              </w:rPr>
            </w:pPr>
            <w:r>
              <w:rPr>
                <w:rFonts w:hint="eastAsia" w:ascii="MS Mincho" w:hAnsi="MS Mincho"/>
                <w:color w:val="000000" w:themeColor="text1"/>
                <w:sz w:val="21"/>
                <w:szCs w:val="21"/>
                <w14:textFill>
                  <w14:solidFill>
                    <w14:schemeClr w14:val="tx1"/>
                  </w14:solidFill>
                </w14:textFill>
              </w:rPr>
              <w:t>二次侧</w:t>
            </w:r>
            <w:r>
              <w:rPr>
                <w:rFonts w:hint="eastAsia" w:ascii="Times New Roman" w:hAnsi="Times New Roman" w:cs="Times New Roman"/>
                <w:sz w:val="21"/>
                <w:szCs w:val="21"/>
                <w:highlight w:val="none"/>
                <w:lang w:val="en-US" w:eastAsia="zh-CN"/>
              </w:rPr>
              <w:t>电缆</w:t>
            </w:r>
          </w:p>
        </w:tc>
        <w:tc>
          <w:tcPr>
            <w:tcW w:w="3445" w:type="pct"/>
            <w:vAlign w:val="center"/>
          </w:tcPr>
          <w:p>
            <w:pPr>
              <w:suppressLineNumbers/>
              <w:adjustRightInd w:val="0"/>
              <w:snapToGrid w:val="0"/>
              <w:spacing w:line="276" w:lineRule="auto"/>
              <w:ind w:left="0" w:leftChars="0" w:firstLine="0" w:firstLineChars="0"/>
              <w:rPr>
                <w:rFonts w:hint="default" w:ascii="宋体" w:hAnsi="宋体" w:eastAsia="宋体" w:cs="楷体"/>
                <w:sz w:val="21"/>
                <w:szCs w:val="21"/>
                <w:lang w:val="en-US" w:eastAsia="zh-CN"/>
              </w:rPr>
            </w:pPr>
            <w:r>
              <w:rPr>
                <w:rFonts w:hint="eastAsia" w:ascii="宋体" w:hAnsi="宋体" w:eastAsia="宋体" w:cs="楷体"/>
                <w:sz w:val="21"/>
                <w:szCs w:val="21"/>
                <w:lang w:val="en-US" w:eastAsia="zh-CN"/>
              </w:rPr>
              <w:t>设备控制柜到设备端的电缆</w:t>
            </w:r>
            <w:r>
              <w:rPr>
                <w:rFonts w:hint="eastAsia" w:ascii="宋体" w:hAnsi="宋体" w:eastAsia="宋体" w:cs="楷体"/>
                <w:sz w:val="21"/>
                <w:szCs w:val="21"/>
                <w:highlight w:val="yellow"/>
                <w:lang w:val="en-US" w:eastAsia="zh-CN"/>
              </w:rPr>
              <w:t>由设备厂家提供</w:t>
            </w:r>
            <w:r>
              <w:rPr>
                <w:rFonts w:hint="eastAsia" w:ascii="宋体" w:hAnsi="宋体" w:eastAsia="宋体" w:cs="楷体"/>
                <w:sz w:val="21"/>
                <w:szCs w:val="21"/>
                <w:lang w:val="en-US" w:eastAsia="zh-CN"/>
              </w:rPr>
              <w:t>，</w:t>
            </w:r>
            <w:r>
              <w:rPr>
                <w:rFonts w:hint="eastAsia" w:ascii="宋体" w:hAnsi="宋体" w:eastAsia="宋体" w:cs="楷体"/>
                <w:sz w:val="21"/>
                <w:szCs w:val="21"/>
                <w:highlight w:val="yellow"/>
                <w:lang w:val="en-US" w:eastAsia="zh-CN"/>
              </w:rPr>
              <w:t>长度约20米。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84" w:type="pct"/>
            <w:vAlign w:val="center"/>
          </w:tcPr>
          <w:p>
            <w:pPr>
              <w:pStyle w:val="19"/>
              <w:spacing w:before="0" w:line="360" w:lineRule="auto"/>
              <w:ind w:left="0" w:right="155"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18</w:t>
            </w:r>
          </w:p>
        </w:tc>
        <w:tc>
          <w:tcPr>
            <w:tcW w:w="1070" w:type="pct"/>
            <w:vAlign w:val="center"/>
          </w:tcPr>
          <w:p>
            <w:pPr>
              <w:pStyle w:val="19"/>
              <w:spacing w:before="0" w:line="360" w:lineRule="auto"/>
              <w:ind w:left="0" w:right="155" w:firstLine="0" w:firstLineChars="0"/>
              <w:jc w:val="center"/>
              <w:rPr>
                <w:rFonts w:hint="default" w:ascii="MS Mincho" w:hAnsi="MS Mincho" w:eastAsia="宋体"/>
                <w:color w:val="000000" w:themeColor="text1"/>
                <w:sz w:val="21"/>
                <w:szCs w:val="21"/>
                <w:lang w:val="en-US" w:eastAsia="zh-CN"/>
                <w14:textFill>
                  <w14:solidFill>
                    <w14:schemeClr w14:val="tx1"/>
                  </w14:solidFill>
                </w14:textFill>
              </w:rPr>
            </w:pPr>
            <w:r>
              <w:rPr>
                <w:rFonts w:hint="eastAsia" w:ascii="MS Mincho" w:hAnsi="MS Mincho"/>
                <w:color w:val="000000" w:themeColor="text1"/>
                <w:sz w:val="21"/>
                <w:szCs w:val="21"/>
                <w:lang w:val="en-US" w:eastAsia="zh-CN"/>
                <w14:textFill>
                  <w14:solidFill>
                    <w14:schemeClr w14:val="tx1"/>
                  </w14:solidFill>
                </w14:textFill>
              </w:rPr>
              <w:t>冷冻水管路（设备自带的部分）</w:t>
            </w:r>
          </w:p>
        </w:tc>
        <w:tc>
          <w:tcPr>
            <w:tcW w:w="3445" w:type="pct"/>
            <w:vAlign w:val="center"/>
          </w:tcPr>
          <w:p>
            <w:pPr>
              <w:suppressLineNumbers/>
              <w:adjustRightInd w:val="0"/>
              <w:snapToGrid w:val="0"/>
              <w:spacing w:line="276" w:lineRule="auto"/>
              <w:ind w:left="0" w:leftChars="0" w:firstLine="0" w:firstLineChars="0"/>
              <w:rPr>
                <w:rFonts w:hint="eastAsia" w:ascii="宋体" w:hAnsi="宋体" w:eastAsia="宋体" w:cs="楷体"/>
                <w:sz w:val="21"/>
                <w:szCs w:val="21"/>
                <w:lang w:val="en-US" w:eastAsia="zh-CN"/>
              </w:rPr>
            </w:pPr>
            <w:r>
              <w:rPr>
                <w:rFonts w:hint="eastAsia" w:ascii="宋体" w:hAnsi="宋体" w:eastAsia="宋体" w:cs="楷体"/>
                <w:sz w:val="21"/>
                <w:szCs w:val="21"/>
                <w:lang w:val="en-US" w:eastAsia="zh-CN"/>
              </w:rPr>
              <w:t>带旁通管路；</w:t>
            </w:r>
          </w:p>
          <w:p>
            <w:pPr>
              <w:suppressLineNumbers/>
              <w:adjustRightInd w:val="0"/>
              <w:snapToGrid w:val="0"/>
              <w:spacing w:line="276" w:lineRule="auto"/>
              <w:ind w:left="0" w:leftChars="0" w:firstLine="0" w:firstLineChars="0"/>
              <w:rPr>
                <w:rFonts w:hint="default" w:ascii="宋体" w:hAnsi="宋体" w:eastAsia="宋体" w:cs="楷体"/>
                <w:sz w:val="21"/>
                <w:szCs w:val="21"/>
                <w:lang w:val="en-US" w:eastAsia="zh-CN"/>
              </w:rPr>
            </w:pPr>
            <w:r>
              <w:rPr>
                <w:rFonts w:hint="eastAsia" w:ascii="宋体" w:hAnsi="宋体" w:eastAsia="宋体" w:cs="楷体"/>
                <w:sz w:val="21"/>
                <w:szCs w:val="21"/>
                <w:lang w:val="en-US" w:eastAsia="zh-CN"/>
              </w:rPr>
              <w:t>阀门/仪表采用进口品牌/国内一线品牌。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826" w:type="dxa"/>
            <w:vAlign w:val="center"/>
          </w:tcPr>
          <w:p>
            <w:pPr>
              <w:pStyle w:val="19"/>
              <w:spacing w:before="0" w:line="360" w:lineRule="auto"/>
              <w:ind w:left="0" w:leftChars="0" w:right="155" w:rightChars="0"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19</w:t>
            </w:r>
          </w:p>
        </w:tc>
        <w:tc>
          <w:tcPr>
            <w:tcW w:w="1070" w:type="pct"/>
            <w:vAlign w:val="center"/>
          </w:tcPr>
          <w:p>
            <w:pPr>
              <w:pStyle w:val="19"/>
              <w:spacing w:before="0" w:line="360" w:lineRule="auto"/>
              <w:ind w:left="0" w:leftChars="0" w:right="155" w:rightChars="0" w:firstLine="0" w:firstLineChars="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cs="Times New Roman"/>
                <w:sz w:val="21"/>
                <w:highlight w:val="none"/>
              </w:rPr>
              <w:t>设备噪音</w:t>
            </w:r>
          </w:p>
        </w:tc>
        <w:tc>
          <w:tcPr>
            <w:tcW w:w="3445" w:type="pct"/>
            <w:vAlign w:val="center"/>
          </w:tcPr>
          <w:p>
            <w:pPr>
              <w:pStyle w:val="19"/>
              <w:spacing w:before="0" w:line="360" w:lineRule="auto"/>
              <w:ind w:left="0" w:leftChars="0" w:right="155" w:rightChars="0" w:firstLine="0" w:firstLineChars="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cs="Times New Roman"/>
                <w:sz w:val="21"/>
                <w:highlight w:val="none"/>
                <w:lang w:val="en-US" w:eastAsia="zh-CN"/>
              </w:rPr>
              <w:t>空载运行</w:t>
            </w:r>
            <w:r>
              <w:rPr>
                <w:rFonts w:hint="eastAsia" w:ascii="Times New Roman" w:hAnsi="Times New Roman" w:cs="Times New Roman"/>
                <w:sz w:val="21"/>
                <w:highlight w:val="none"/>
              </w:rPr>
              <w:t>≤85dB（1米内）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26" w:type="dxa"/>
            <w:vAlign w:val="center"/>
          </w:tcPr>
          <w:p>
            <w:pPr>
              <w:pStyle w:val="19"/>
              <w:spacing w:before="0" w:line="360" w:lineRule="auto"/>
              <w:ind w:left="0" w:leftChars="0" w:right="155" w:rightChars="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20</w:t>
            </w:r>
          </w:p>
        </w:tc>
        <w:tc>
          <w:tcPr>
            <w:tcW w:w="1070" w:type="pct"/>
            <w:vAlign w:val="center"/>
          </w:tcPr>
          <w:p>
            <w:pPr>
              <w:pStyle w:val="19"/>
              <w:spacing w:before="0" w:line="360" w:lineRule="auto"/>
              <w:ind w:left="0" w:right="155" w:firstLine="0" w:firstLineChars="0"/>
              <w:jc w:val="center"/>
              <w:rPr>
                <w:rFonts w:ascii="Times New Roman" w:hAnsi="Times New Roman" w:cs="Times New Roman"/>
                <w:sz w:val="21"/>
              </w:rPr>
            </w:pPr>
            <w:r>
              <w:rPr>
                <w:rFonts w:hint="eastAsia" w:ascii="Times New Roman" w:hAnsi="Times New Roman" w:cs="Times New Roman"/>
                <w:sz w:val="21"/>
                <w:lang w:eastAsia="en-US"/>
              </w:rPr>
              <w:t>海拔高度</w:t>
            </w:r>
          </w:p>
        </w:tc>
        <w:tc>
          <w:tcPr>
            <w:tcW w:w="3445" w:type="pct"/>
            <w:vAlign w:val="center"/>
          </w:tcPr>
          <w:p>
            <w:pPr>
              <w:pStyle w:val="19"/>
              <w:spacing w:before="0" w:line="360" w:lineRule="auto"/>
              <w:ind w:left="0" w:right="155" w:firstLine="0" w:firstLineChars="0"/>
              <w:jc w:val="left"/>
              <w:rPr>
                <w:rFonts w:cs="Times New Roman"/>
                <w:sz w:val="21"/>
              </w:rPr>
            </w:pPr>
            <w:r>
              <w:rPr>
                <w:rFonts w:hint="eastAsia" w:ascii="Times New Roman" w:hAnsi="Times New Roman" w:cs="Times New Roman"/>
                <w:sz w:val="21"/>
                <w:lang w:eastAsia="en-US"/>
              </w:rPr>
              <w:t>100 米（湖南长沙）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26" w:type="dxa"/>
            <w:vAlign w:val="center"/>
          </w:tcPr>
          <w:p>
            <w:pPr>
              <w:pStyle w:val="19"/>
              <w:spacing w:before="0" w:line="360" w:lineRule="auto"/>
              <w:ind w:left="0" w:leftChars="0" w:right="155" w:rightChars="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21</w:t>
            </w:r>
          </w:p>
        </w:tc>
        <w:tc>
          <w:tcPr>
            <w:tcW w:w="1070" w:type="pct"/>
            <w:vAlign w:val="center"/>
          </w:tcPr>
          <w:p>
            <w:pPr>
              <w:pStyle w:val="19"/>
              <w:spacing w:before="0" w:line="360" w:lineRule="auto"/>
              <w:ind w:left="0" w:right="155" w:firstLine="0" w:firstLineChars="0"/>
              <w:jc w:val="center"/>
              <w:rPr>
                <w:rFonts w:ascii="Times New Roman" w:hAnsi="Times New Roman" w:cs="Times New Roman"/>
                <w:sz w:val="21"/>
                <w:lang w:eastAsia="en-US"/>
              </w:rPr>
            </w:pPr>
            <w:r>
              <w:rPr>
                <w:rFonts w:hint="eastAsia" w:ascii="Times New Roman" w:hAnsi="Times New Roman" w:cs="Times New Roman"/>
                <w:sz w:val="21"/>
                <w:lang w:eastAsia="en-US"/>
              </w:rPr>
              <w:t>年平均环境温度</w:t>
            </w:r>
          </w:p>
        </w:tc>
        <w:tc>
          <w:tcPr>
            <w:tcW w:w="3445" w:type="pct"/>
            <w:vAlign w:val="center"/>
          </w:tcPr>
          <w:p>
            <w:pPr>
              <w:pStyle w:val="19"/>
              <w:spacing w:before="0" w:line="360" w:lineRule="auto"/>
              <w:ind w:left="0" w:right="155" w:firstLine="0" w:firstLineChars="0"/>
              <w:jc w:val="left"/>
              <w:rPr>
                <w:rFonts w:ascii="Times New Roman" w:hAnsi="Times New Roman" w:cs="Times New Roman"/>
                <w:sz w:val="21"/>
                <w:lang w:eastAsia="en-US"/>
              </w:rPr>
            </w:pPr>
            <w:r>
              <w:rPr>
                <w:rFonts w:hint="eastAsia" w:ascii="Times New Roman" w:hAnsi="Times New Roman" w:cs="Times New Roman"/>
                <w:sz w:val="21"/>
              </w:rPr>
              <w:t>18.1</w:t>
            </w:r>
            <w:r>
              <w:rPr>
                <w:rFonts w:hint="eastAsia" w:ascii="Times New Roman" w:hAnsi="Times New Roman" w:cs="Times New Roman"/>
                <w:sz w:val="21"/>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4" w:type="pct"/>
            <w:vAlign w:val="center"/>
          </w:tcPr>
          <w:p>
            <w:pPr>
              <w:pStyle w:val="19"/>
              <w:spacing w:before="0" w:line="360" w:lineRule="auto"/>
              <w:ind w:left="0" w:right="155"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22</w:t>
            </w:r>
          </w:p>
        </w:tc>
        <w:tc>
          <w:tcPr>
            <w:tcW w:w="1070" w:type="pct"/>
            <w:vAlign w:val="center"/>
          </w:tcPr>
          <w:p>
            <w:pPr>
              <w:pStyle w:val="19"/>
              <w:spacing w:before="0" w:line="360" w:lineRule="auto"/>
              <w:ind w:left="0" w:right="155" w:firstLine="0" w:firstLineChars="0"/>
              <w:jc w:val="center"/>
              <w:rPr>
                <w:rFonts w:ascii="Times New Roman" w:hAnsi="Times New Roman" w:cs="Times New Roman"/>
                <w:sz w:val="21"/>
              </w:rPr>
            </w:pPr>
            <w:r>
              <w:rPr>
                <w:rFonts w:hint="eastAsia" w:ascii="Times New Roman" w:hAnsi="Times New Roman" w:cs="Times New Roman"/>
                <w:sz w:val="21"/>
              </w:rPr>
              <w:t>年平均环境空气含湿量</w:t>
            </w:r>
          </w:p>
        </w:tc>
        <w:tc>
          <w:tcPr>
            <w:tcW w:w="3445" w:type="pct"/>
            <w:vAlign w:val="center"/>
          </w:tcPr>
          <w:p>
            <w:pPr>
              <w:pStyle w:val="19"/>
              <w:spacing w:before="0" w:line="360" w:lineRule="auto"/>
              <w:ind w:left="0" w:right="155" w:firstLine="0" w:firstLineChars="0"/>
              <w:jc w:val="left"/>
              <w:rPr>
                <w:rFonts w:ascii="Times New Roman" w:hAnsi="Times New Roman" w:cs="Times New Roman"/>
                <w:sz w:val="21"/>
                <w:lang w:eastAsia="en-US"/>
              </w:rPr>
            </w:pPr>
            <w:r>
              <w:rPr>
                <w:rFonts w:hint="eastAsia" w:ascii="Times New Roman" w:hAnsi="Times New Roman" w:cs="Times New Roman"/>
                <w:sz w:val="21"/>
                <w:lang w:eastAsia="en-US"/>
              </w:rPr>
              <w:t>d=0.009kg 水/kg 干空气</w:t>
            </w:r>
          </w:p>
        </w:tc>
      </w:tr>
      <w:bookmarkEnd w:id="11"/>
    </w:tbl>
    <w:p>
      <w:pPr>
        <w:keepNext/>
        <w:numPr>
          <w:ilvl w:val="0"/>
          <w:numId w:val="1"/>
        </w:numPr>
        <w:spacing w:before="156" w:beforeLines="50" w:line="360" w:lineRule="auto"/>
        <w:ind w:left="0" w:firstLine="0" w:firstLineChars="0"/>
        <w:outlineLvl w:val="0"/>
        <w:rPr>
          <w:b/>
          <w:kern w:val="44"/>
          <w:sz w:val="28"/>
          <w:szCs w:val="28"/>
          <w:lang w:val="zh-CN"/>
        </w:rPr>
      </w:pPr>
      <w:bookmarkStart w:id="12" w:name="_Toc7918"/>
      <w:r>
        <w:rPr>
          <w:rFonts w:hint="eastAsia"/>
          <w:b/>
          <w:kern w:val="44"/>
          <w:sz w:val="28"/>
          <w:szCs w:val="28"/>
        </w:rPr>
        <w:t>防异物要求</w:t>
      </w:r>
      <w:bookmarkEnd w:id="12"/>
    </w:p>
    <w:p>
      <w:pPr>
        <w:numPr>
          <w:ilvl w:val="0"/>
          <w:numId w:val="6"/>
        </w:numPr>
        <w:autoSpaceDE w:val="0"/>
        <w:autoSpaceDN w:val="0"/>
        <w:adjustRightInd w:val="0"/>
        <w:snapToGrid w:val="0"/>
        <w:spacing w:line="560" w:lineRule="exact"/>
        <w:ind w:left="480" w:leftChars="0" w:right="-120" w:rightChars="-50" w:firstLine="0" w:firstLineChars="0"/>
      </w:pPr>
      <w:bookmarkStart w:id="13" w:name="_Toc24857"/>
      <w:r>
        <w:rPr>
          <w:rFonts w:hint="eastAsia"/>
        </w:rPr>
        <w:t xml:space="preserve">设备避免使用含铜、锌材质的设备、配件，如不可避免使用，须列出使用部件清单，并做好防护不能直接裸露在外。 </w:t>
      </w:r>
    </w:p>
    <w:p>
      <w:pPr>
        <w:numPr>
          <w:ilvl w:val="0"/>
          <w:numId w:val="6"/>
        </w:numPr>
        <w:autoSpaceDE w:val="0"/>
        <w:autoSpaceDN w:val="0"/>
        <w:adjustRightInd w:val="0"/>
        <w:snapToGrid w:val="0"/>
        <w:spacing w:line="560" w:lineRule="exact"/>
        <w:ind w:left="480" w:leftChars="0" w:right="-120" w:rightChars="-50" w:firstLine="0" w:firstLineChars="0"/>
      </w:pPr>
      <w:r>
        <w:rPr>
          <w:rFonts w:hint="eastAsia"/>
        </w:rPr>
        <w:t>设备机体、支架等若采用碳钢材质的部分必须做好防腐处理，防腐油漆不能使用含金属的油漆，宜采用不含金属的环氧树脂油漆或喷塑工艺。</w:t>
      </w:r>
      <w:r>
        <w:rPr>
          <w:rFonts w:hint="eastAsia"/>
        </w:rPr>
        <w:cr/>
      </w:r>
      <w:r>
        <w:rPr>
          <w:rFonts w:hint="eastAsia"/>
        </w:rPr>
        <w:t>（</w:t>
      </w:r>
      <w:r>
        <w:rPr>
          <w:rFonts w:hint="eastAsia"/>
          <w:lang w:val="en-US" w:eastAsia="zh-CN"/>
        </w:rPr>
        <w:t>3</w:t>
      </w:r>
      <w:r>
        <w:rPr>
          <w:rFonts w:hint="eastAsia"/>
        </w:rPr>
        <w:t>）内部接触物料部件采用非金属化处理，宜采用陶瓷材料、非金属涂层处理。</w:t>
      </w:r>
      <w:r>
        <w:rPr>
          <w:rFonts w:hint="eastAsia"/>
        </w:rPr>
        <w:cr/>
      </w:r>
      <w:r>
        <w:rPr>
          <w:rFonts w:hint="eastAsia"/>
        </w:rPr>
        <w:t>（</w:t>
      </w:r>
      <w:r>
        <w:rPr>
          <w:rFonts w:hint="eastAsia"/>
          <w:lang w:val="en-US" w:eastAsia="zh-CN"/>
        </w:rPr>
        <w:t>4</w:t>
      </w:r>
      <w:r>
        <w:rPr>
          <w:rFonts w:hint="eastAsia"/>
        </w:rPr>
        <w:t>）内部接触物料的转动部件必须采用耐磨涂层，涂层不含铜、锌材质。</w:t>
      </w:r>
      <w:r>
        <w:rPr>
          <w:rFonts w:hint="eastAsia"/>
        </w:rPr>
        <w:cr/>
      </w:r>
      <w:r>
        <w:rPr>
          <w:rFonts w:hint="eastAsia"/>
        </w:rPr>
        <w:t>（</w:t>
      </w:r>
      <w:r>
        <w:rPr>
          <w:rFonts w:hint="eastAsia"/>
          <w:lang w:val="en-US" w:eastAsia="zh-CN"/>
        </w:rPr>
        <w:t>5</w:t>
      </w:r>
      <w:r>
        <w:rPr>
          <w:rFonts w:hint="eastAsia"/>
        </w:rPr>
        <w:t>）各焊接物件的外观焊缝以及性能焊缝均打磨平整光滑，清除焊渣、焊瘤、飞溅物。</w:t>
      </w:r>
      <w:r>
        <w:rPr>
          <w:rFonts w:hint="eastAsia"/>
        </w:rPr>
        <w:cr/>
      </w:r>
      <w:r>
        <w:rPr>
          <w:rFonts w:hint="eastAsia"/>
        </w:rPr>
        <w:t>（</w:t>
      </w:r>
      <w:r>
        <w:rPr>
          <w:rFonts w:hint="eastAsia"/>
          <w:lang w:val="en-US" w:eastAsia="zh-CN"/>
        </w:rPr>
        <w:t>6</w:t>
      </w:r>
      <w:r>
        <w:rPr>
          <w:rFonts w:hint="eastAsia"/>
        </w:rPr>
        <w:t>）外观覆盖件、透明件无毛刺、铁锈、型砂、焊渣、切屑、油污等物，无碰伤、划伤、拉毛等痕迹。</w:t>
      </w:r>
    </w:p>
    <w:p>
      <w:pPr>
        <w:keepNext/>
        <w:numPr>
          <w:ilvl w:val="0"/>
          <w:numId w:val="1"/>
        </w:numPr>
        <w:spacing w:before="156" w:beforeLines="50" w:line="360" w:lineRule="auto"/>
        <w:ind w:left="0" w:firstLine="0" w:firstLineChars="0"/>
        <w:outlineLvl w:val="0"/>
        <w:rPr>
          <w:b/>
          <w:kern w:val="44"/>
          <w:sz w:val="28"/>
          <w:szCs w:val="28"/>
          <w:lang w:val="zh-CN"/>
        </w:rPr>
      </w:pPr>
      <w:bookmarkStart w:id="14" w:name="_Toc16334"/>
      <w:r>
        <w:rPr>
          <w:rFonts w:hint="eastAsia"/>
          <w:b/>
          <w:kern w:val="44"/>
          <w:sz w:val="28"/>
          <w:szCs w:val="28"/>
        </w:rPr>
        <w:t>技术要求</w:t>
      </w:r>
      <w:bookmarkEnd w:id="13"/>
      <w:bookmarkEnd w:id="14"/>
    </w:p>
    <w:p>
      <w:pPr>
        <w:pStyle w:val="3"/>
      </w:pPr>
      <w:bookmarkStart w:id="15" w:name="_Toc25010"/>
      <w:bookmarkStart w:id="16" w:name="_Toc29045"/>
      <w:r>
        <w:rPr>
          <w:rFonts w:hint="eastAsia"/>
        </w:rPr>
        <w:t>工艺条件</w:t>
      </w:r>
      <w:bookmarkEnd w:id="15"/>
      <w:bookmarkEnd w:id="16"/>
    </w:p>
    <w:p>
      <w:pPr>
        <w:autoSpaceDE w:val="0"/>
        <w:autoSpaceDN w:val="0"/>
        <w:adjustRightInd w:val="0"/>
        <w:snapToGrid w:val="0"/>
        <w:spacing w:line="560" w:lineRule="exact"/>
        <w:ind w:left="-120" w:leftChars="-50" w:right="-120" w:rightChars="-50" w:firstLine="480"/>
      </w:pPr>
      <w:r>
        <w:rPr>
          <w:rFonts w:hint="eastAsia"/>
        </w:rPr>
        <w:t>5.1.1本装置的设计将严格遵照国家的现行法律法规、技术规范和技术标准，包括但不限于本章所列，当各种规范、标准、规定要求不一致时，应采用要求较高的标准规范，或书面通知买方，以便及时确认。对有更新的标准和规范，应采用最新的版本。</w:t>
      </w:r>
    </w:p>
    <w:p>
      <w:pPr>
        <w:autoSpaceDE w:val="0"/>
        <w:autoSpaceDN w:val="0"/>
        <w:adjustRightInd w:val="0"/>
        <w:snapToGrid w:val="0"/>
        <w:spacing w:line="560" w:lineRule="exact"/>
        <w:ind w:left="-120" w:leftChars="-50" w:right="-120" w:rightChars="-50" w:firstLine="480"/>
      </w:pPr>
      <w:r>
        <w:rPr>
          <w:rFonts w:hint="eastAsia"/>
        </w:rPr>
        <w:t>在执行标准规范中出现矛盾或发生争议时，按下列就高不就低且对买方最有利的原则确定：</w:t>
      </w:r>
    </w:p>
    <w:p>
      <w:pPr>
        <w:numPr>
          <w:ilvl w:val="0"/>
          <w:numId w:val="7"/>
        </w:numPr>
        <w:autoSpaceDE w:val="0"/>
        <w:autoSpaceDN w:val="0"/>
        <w:spacing w:line="560" w:lineRule="exact"/>
        <w:ind w:right="240" w:rightChars="100" w:firstLineChars="0"/>
      </w:pPr>
      <w:r>
        <w:rPr>
          <w:rFonts w:hint="eastAsia"/>
        </w:rPr>
        <w:t>本文件规定的设计要求。</w:t>
      </w:r>
    </w:p>
    <w:p>
      <w:pPr>
        <w:autoSpaceDE w:val="0"/>
        <w:autoSpaceDN w:val="0"/>
        <w:spacing w:line="560" w:lineRule="exact"/>
        <w:ind w:left="240" w:leftChars="100" w:right="240" w:rightChars="100" w:firstLine="480"/>
      </w:pPr>
      <w:r>
        <w:rPr>
          <w:rFonts w:hint="eastAsia"/>
        </w:rPr>
        <w:t>2）基础设计特性数据表</w:t>
      </w:r>
    </w:p>
    <w:p>
      <w:pPr>
        <w:autoSpaceDE w:val="0"/>
        <w:autoSpaceDN w:val="0"/>
        <w:spacing w:line="560" w:lineRule="exact"/>
        <w:ind w:right="240" w:rightChars="100" w:firstLine="720" w:firstLineChars="300"/>
      </w:pPr>
      <w:r>
        <w:rPr>
          <w:rFonts w:hint="eastAsia"/>
        </w:rPr>
        <w:t>3）本章提出的标准和规范或卖方确认的代替标准和规范。</w:t>
      </w:r>
    </w:p>
    <w:p>
      <w:pPr>
        <w:autoSpaceDE w:val="0"/>
        <w:autoSpaceDN w:val="0"/>
        <w:spacing w:line="560" w:lineRule="exact"/>
        <w:ind w:right="240" w:rightChars="100" w:firstLine="720" w:firstLineChars="300"/>
      </w:pPr>
      <w:r>
        <w:rPr>
          <w:rFonts w:hint="eastAsia"/>
        </w:rPr>
        <w:t>4）专利商、卖方和制造厂商的标准。</w:t>
      </w:r>
    </w:p>
    <w:p>
      <w:pPr>
        <w:pStyle w:val="3"/>
      </w:pPr>
      <w:bookmarkStart w:id="17" w:name="_Toc23143"/>
      <w:bookmarkStart w:id="18" w:name="_Toc31021"/>
      <w:r>
        <w:rPr>
          <w:rFonts w:hint="eastAsia"/>
        </w:rPr>
        <w:t>法律法规</w:t>
      </w:r>
      <w:bookmarkEnd w:id="17"/>
      <w:bookmarkEnd w:id="18"/>
    </w:p>
    <w:p>
      <w:pPr>
        <w:autoSpaceDE w:val="0"/>
        <w:autoSpaceDN w:val="0"/>
        <w:adjustRightInd w:val="0"/>
        <w:snapToGrid w:val="0"/>
        <w:spacing w:line="560" w:lineRule="exact"/>
        <w:ind w:left="-120" w:leftChars="-50" w:right="-120" w:rightChars="-50" w:firstLine="480"/>
      </w:pPr>
      <w:r>
        <w:rPr>
          <w:rFonts w:hint="eastAsia"/>
        </w:rPr>
        <w:t>中华人民共和国环境保护法</w:t>
      </w:r>
      <w:r>
        <w:rPr>
          <w:rFonts w:hint="eastAsia"/>
        </w:rPr>
        <w:tab/>
      </w:r>
      <w:r>
        <w:rPr>
          <w:rFonts w:hint="eastAsia"/>
        </w:rPr>
        <w:tab/>
      </w:r>
      <w:r>
        <w:rPr>
          <w:rFonts w:hint="eastAsia"/>
        </w:rPr>
        <w:tab/>
      </w:r>
      <w:r>
        <w:rPr>
          <w:rFonts w:hint="eastAsia"/>
        </w:rPr>
        <w:t>2015年1月1日施行</w:t>
      </w:r>
    </w:p>
    <w:p>
      <w:pPr>
        <w:autoSpaceDE w:val="0"/>
        <w:autoSpaceDN w:val="0"/>
        <w:adjustRightInd w:val="0"/>
        <w:snapToGrid w:val="0"/>
        <w:spacing w:line="560" w:lineRule="exact"/>
        <w:ind w:left="-120" w:leftChars="-50" w:right="-120" w:rightChars="-50" w:firstLine="480"/>
      </w:pPr>
      <w:r>
        <w:rPr>
          <w:rFonts w:hint="eastAsia"/>
        </w:rPr>
        <w:t>中华人民共和国清洁生产促进法</w:t>
      </w:r>
      <w:r>
        <w:rPr>
          <w:rFonts w:hint="eastAsia"/>
        </w:rPr>
        <w:tab/>
      </w:r>
      <w:r>
        <w:rPr>
          <w:rFonts w:hint="eastAsia"/>
        </w:rPr>
        <w:tab/>
      </w:r>
      <w:r>
        <w:rPr>
          <w:rFonts w:hint="eastAsia"/>
        </w:rPr>
        <w:t>2003年1月1日施行</w:t>
      </w:r>
    </w:p>
    <w:p>
      <w:pPr>
        <w:autoSpaceDE w:val="0"/>
        <w:autoSpaceDN w:val="0"/>
        <w:adjustRightInd w:val="0"/>
        <w:snapToGrid w:val="0"/>
        <w:spacing w:line="560" w:lineRule="exact"/>
        <w:ind w:left="-120" w:leftChars="-50" w:right="-120" w:rightChars="-50" w:firstLine="480"/>
      </w:pPr>
      <w:r>
        <w:rPr>
          <w:rFonts w:hint="eastAsia"/>
        </w:rPr>
        <w:t>中华人民共和国大气污染防治法</w:t>
      </w:r>
      <w:r>
        <w:rPr>
          <w:rFonts w:hint="eastAsia"/>
        </w:rPr>
        <w:tab/>
      </w:r>
      <w:r>
        <w:rPr>
          <w:rFonts w:hint="eastAsia"/>
        </w:rPr>
        <w:tab/>
      </w:r>
      <w:r>
        <w:rPr>
          <w:rFonts w:hint="eastAsia"/>
        </w:rPr>
        <w:t>2016年1月1日实施</w:t>
      </w:r>
    </w:p>
    <w:p>
      <w:pPr>
        <w:autoSpaceDE w:val="0"/>
        <w:autoSpaceDN w:val="0"/>
        <w:adjustRightInd w:val="0"/>
        <w:snapToGrid w:val="0"/>
        <w:spacing w:line="560" w:lineRule="exact"/>
        <w:ind w:left="-120" w:leftChars="-50" w:right="-120" w:rightChars="-50" w:firstLine="480"/>
      </w:pPr>
      <w:r>
        <w:rPr>
          <w:rFonts w:hint="eastAsia"/>
        </w:rPr>
        <w:t>中华人民共和国水污染防治法</w:t>
      </w:r>
      <w:r>
        <w:rPr>
          <w:rFonts w:hint="eastAsia"/>
        </w:rPr>
        <w:tab/>
      </w:r>
      <w:r>
        <w:rPr>
          <w:rFonts w:hint="eastAsia"/>
        </w:rPr>
        <w:tab/>
      </w:r>
      <w:r>
        <w:rPr>
          <w:rFonts w:hint="eastAsia"/>
        </w:rPr>
        <w:tab/>
      </w:r>
      <w:r>
        <w:rPr>
          <w:rFonts w:hint="eastAsia"/>
        </w:rPr>
        <w:t>2008年6月1日施行</w:t>
      </w:r>
    </w:p>
    <w:p>
      <w:pPr>
        <w:autoSpaceDE w:val="0"/>
        <w:autoSpaceDN w:val="0"/>
        <w:adjustRightInd w:val="0"/>
        <w:snapToGrid w:val="0"/>
        <w:spacing w:line="560" w:lineRule="exact"/>
        <w:ind w:left="-120" w:leftChars="-50" w:right="-120" w:rightChars="-50" w:firstLine="480"/>
      </w:pPr>
      <w:r>
        <w:rPr>
          <w:rFonts w:hint="eastAsia"/>
        </w:rPr>
        <w:t>中华人民共和国噪声污染防治法</w:t>
      </w:r>
      <w:r>
        <w:rPr>
          <w:rFonts w:hint="eastAsia"/>
        </w:rPr>
        <w:tab/>
      </w:r>
      <w:r>
        <w:rPr>
          <w:rFonts w:hint="eastAsia"/>
        </w:rPr>
        <w:tab/>
      </w:r>
      <w:r>
        <w:rPr>
          <w:rFonts w:hint="eastAsia"/>
          <w:lang w:val="en-US" w:eastAsia="zh-CN"/>
        </w:rPr>
        <w:t xml:space="preserve">    2022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日施行</w:t>
      </w:r>
    </w:p>
    <w:p>
      <w:pPr>
        <w:autoSpaceDE w:val="0"/>
        <w:autoSpaceDN w:val="0"/>
        <w:adjustRightInd w:val="0"/>
        <w:snapToGrid w:val="0"/>
        <w:spacing w:line="560" w:lineRule="exact"/>
        <w:ind w:left="-120" w:leftChars="-50" w:right="-120" w:rightChars="-50" w:firstLine="480"/>
      </w:pPr>
      <w:r>
        <w:rPr>
          <w:rFonts w:hint="eastAsia"/>
        </w:rPr>
        <w:t>中华人民共和国固体废物污染环境防治法</w:t>
      </w:r>
      <w:r>
        <w:rPr>
          <w:rFonts w:hint="eastAsia"/>
        </w:rPr>
        <w:tab/>
      </w:r>
      <w:r>
        <w:rPr>
          <w:rFonts w:hint="eastAsia"/>
        </w:rPr>
        <w:t>2005年4月1日施行</w:t>
      </w:r>
    </w:p>
    <w:p>
      <w:pPr>
        <w:autoSpaceDE w:val="0"/>
        <w:autoSpaceDN w:val="0"/>
        <w:adjustRightInd w:val="0"/>
        <w:snapToGrid w:val="0"/>
        <w:spacing w:line="560" w:lineRule="exact"/>
        <w:ind w:left="-120" w:leftChars="-50" w:right="-120" w:rightChars="-50" w:firstLine="480"/>
      </w:pPr>
      <w:r>
        <w:rPr>
          <w:rFonts w:hint="eastAsia"/>
        </w:rPr>
        <w:t>建设项目环境保护管理条例中华人民共和国国务院令第253号（1998-11-29）</w:t>
      </w:r>
    </w:p>
    <w:p>
      <w:pPr>
        <w:autoSpaceDE w:val="0"/>
        <w:autoSpaceDN w:val="0"/>
        <w:adjustRightInd w:val="0"/>
        <w:snapToGrid w:val="0"/>
        <w:spacing w:line="560" w:lineRule="exact"/>
        <w:ind w:left="-120" w:leftChars="-50" w:right="-120" w:rightChars="-50" w:firstLine="480"/>
      </w:pPr>
      <w:r>
        <w:rPr>
          <w:rFonts w:hint="eastAsia"/>
        </w:rPr>
        <w:t>中华人民共和国劳动合同法主席令第65号，2008年1月1日起施行</w:t>
      </w:r>
    </w:p>
    <w:p>
      <w:pPr>
        <w:autoSpaceDE w:val="0"/>
        <w:autoSpaceDN w:val="0"/>
        <w:adjustRightInd w:val="0"/>
        <w:snapToGrid w:val="0"/>
        <w:spacing w:line="560" w:lineRule="exact"/>
        <w:ind w:left="-120" w:leftChars="-50" w:right="-120" w:rightChars="-50" w:firstLine="480"/>
      </w:pPr>
      <w:r>
        <w:rPr>
          <w:rFonts w:hint="eastAsia"/>
        </w:rPr>
        <w:t>中华人民共和国安全生产法，2014年12月1日施行</w:t>
      </w:r>
    </w:p>
    <w:p>
      <w:pPr>
        <w:autoSpaceDE w:val="0"/>
        <w:autoSpaceDN w:val="0"/>
        <w:adjustRightInd w:val="0"/>
        <w:snapToGrid w:val="0"/>
        <w:spacing w:line="560" w:lineRule="exact"/>
        <w:ind w:left="-120" w:leftChars="-50" w:right="-120" w:rightChars="-50" w:firstLine="480"/>
      </w:pPr>
      <w:r>
        <w:rPr>
          <w:rFonts w:hint="eastAsia"/>
        </w:rPr>
        <w:t>中华人民共和国消防法</w:t>
      </w:r>
      <w:r>
        <w:rPr>
          <w:rFonts w:hint="eastAsia"/>
        </w:rPr>
        <w:tab/>
      </w:r>
      <w:r>
        <w:rPr>
          <w:rFonts w:hint="eastAsia"/>
        </w:rPr>
        <w:t>主席令第6号，2009年5月1日施行</w:t>
      </w:r>
    </w:p>
    <w:p>
      <w:pPr>
        <w:autoSpaceDE w:val="0"/>
        <w:autoSpaceDN w:val="0"/>
        <w:adjustRightInd w:val="0"/>
        <w:snapToGrid w:val="0"/>
        <w:spacing w:line="560" w:lineRule="exact"/>
        <w:ind w:left="-120" w:leftChars="-50" w:right="-120" w:rightChars="-50" w:firstLine="480"/>
      </w:pPr>
      <w:r>
        <w:rPr>
          <w:rFonts w:hint="eastAsia"/>
        </w:rPr>
        <w:t>中华人民共和国职业病防治法</w:t>
      </w:r>
      <w:r>
        <w:rPr>
          <w:rFonts w:hint="eastAsia"/>
        </w:rPr>
        <w:tab/>
      </w:r>
      <w:r>
        <w:rPr>
          <w:rFonts w:hint="eastAsia"/>
        </w:rPr>
        <w:t>主席令第48号，2016年9月1日起施行</w:t>
      </w:r>
    </w:p>
    <w:p>
      <w:pPr>
        <w:autoSpaceDE w:val="0"/>
        <w:autoSpaceDN w:val="0"/>
        <w:adjustRightInd w:val="0"/>
        <w:snapToGrid w:val="0"/>
        <w:spacing w:line="560" w:lineRule="exact"/>
        <w:ind w:left="-120" w:leftChars="-50" w:right="-120" w:rightChars="-50" w:firstLine="480"/>
      </w:pPr>
      <w:r>
        <w:rPr>
          <w:rFonts w:hint="eastAsia"/>
        </w:rPr>
        <w:t>危险化学品安全管理条例</w:t>
      </w:r>
      <w:r>
        <w:rPr>
          <w:rFonts w:hint="eastAsia"/>
        </w:rPr>
        <w:tab/>
      </w:r>
      <w:r>
        <w:rPr>
          <w:rFonts w:hint="eastAsia"/>
        </w:rPr>
        <w:tab/>
      </w:r>
      <w:r>
        <w:rPr>
          <w:rFonts w:hint="eastAsia"/>
        </w:rPr>
        <w:tab/>
      </w:r>
      <w:r>
        <w:rPr>
          <w:rFonts w:hint="eastAsia"/>
        </w:rPr>
        <w:tab/>
      </w:r>
      <w:r>
        <w:rPr>
          <w:rFonts w:hint="eastAsia"/>
        </w:rPr>
        <w:tab/>
      </w:r>
      <w:r>
        <w:rPr>
          <w:rFonts w:hint="eastAsia"/>
        </w:rPr>
        <w:t>国务院令第591号</w:t>
      </w:r>
    </w:p>
    <w:p>
      <w:pPr>
        <w:autoSpaceDE w:val="0"/>
        <w:autoSpaceDN w:val="0"/>
        <w:adjustRightInd w:val="0"/>
        <w:snapToGrid w:val="0"/>
        <w:spacing w:line="560" w:lineRule="exact"/>
        <w:ind w:left="-120" w:leftChars="-50" w:right="-120" w:rightChars="-50" w:firstLine="480"/>
      </w:pPr>
      <w:r>
        <w:rPr>
          <w:rFonts w:hint="eastAsia"/>
        </w:rPr>
        <w:t>使用有毒物品作业场所劳动保护条例</w:t>
      </w:r>
      <w:r>
        <w:rPr>
          <w:rFonts w:hint="eastAsia"/>
        </w:rPr>
        <w:tab/>
      </w:r>
      <w:r>
        <w:rPr>
          <w:rFonts w:hint="eastAsia"/>
        </w:rPr>
        <w:tab/>
      </w:r>
      <w:r>
        <w:rPr>
          <w:rFonts w:hint="eastAsia"/>
        </w:rPr>
        <w:t>国务院令第352号</w:t>
      </w:r>
    </w:p>
    <w:p>
      <w:pPr>
        <w:autoSpaceDE w:val="0"/>
        <w:autoSpaceDN w:val="0"/>
        <w:adjustRightInd w:val="0"/>
        <w:snapToGrid w:val="0"/>
        <w:spacing w:line="560" w:lineRule="exact"/>
        <w:ind w:left="-120" w:leftChars="-50" w:right="-120" w:rightChars="-50" w:firstLine="480"/>
      </w:pPr>
      <w:r>
        <w:rPr>
          <w:rFonts w:hint="eastAsia"/>
        </w:rPr>
        <w:t>建设工程安全生产管理条例</w:t>
      </w:r>
      <w:r>
        <w:rPr>
          <w:rFonts w:hint="eastAsia"/>
        </w:rPr>
        <w:tab/>
      </w:r>
      <w:r>
        <w:rPr>
          <w:rFonts w:hint="eastAsia"/>
        </w:rPr>
        <w:tab/>
      </w:r>
      <w:r>
        <w:rPr>
          <w:rFonts w:hint="eastAsia"/>
        </w:rPr>
        <w:tab/>
      </w:r>
      <w:r>
        <w:rPr>
          <w:rFonts w:hint="eastAsia"/>
        </w:rPr>
        <w:tab/>
      </w:r>
      <w:r>
        <w:rPr>
          <w:rFonts w:hint="eastAsia"/>
        </w:rPr>
        <w:t>国务院令第393号</w:t>
      </w:r>
    </w:p>
    <w:p>
      <w:pPr>
        <w:autoSpaceDE w:val="0"/>
        <w:autoSpaceDN w:val="0"/>
        <w:adjustRightInd w:val="0"/>
        <w:snapToGrid w:val="0"/>
        <w:spacing w:line="560" w:lineRule="exact"/>
        <w:ind w:left="-120" w:leftChars="-50" w:right="-120" w:rightChars="-50" w:firstLine="480"/>
      </w:pPr>
      <w:r>
        <w:rPr>
          <w:rFonts w:hint="eastAsia"/>
        </w:rPr>
        <w:t>安全生产许可证条例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国务院令第653号</w:t>
      </w:r>
    </w:p>
    <w:p>
      <w:pPr>
        <w:autoSpaceDE w:val="0"/>
        <w:autoSpaceDN w:val="0"/>
        <w:adjustRightInd w:val="0"/>
        <w:snapToGrid w:val="0"/>
        <w:spacing w:line="560" w:lineRule="exact"/>
        <w:ind w:left="-120" w:leftChars="-50" w:right="-120" w:rightChars="-50" w:firstLine="480"/>
      </w:pPr>
      <w:r>
        <w:rPr>
          <w:rFonts w:hint="eastAsia"/>
        </w:rPr>
        <w:t>特种设备安全监察条例</w:t>
      </w:r>
      <w:r>
        <w:rPr>
          <w:rFonts w:hint="eastAsia"/>
        </w:rPr>
        <w:tab/>
      </w:r>
      <w:r>
        <w:rPr>
          <w:rFonts w:hint="eastAsia"/>
        </w:rPr>
        <w:tab/>
      </w:r>
      <w:r>
        <w:rPr>
          <w:rFonts w:hint="eastAsia"/>
        </w:rPr>
        <w:tab/>
      </w:r>
      <w:r>
        <w:rPr>
          <w:rFonts w:hint="eastAsia"/>
        </w:rPr>
        <w:tab/>
      </w:r>
      <w:r>
        <w:rPr>
          <w:rFonts w:hint="eastAsia"/>
        </w:rPr>
        <w:tab/>
      </w:r>
      <w:r>
        <w:rPr>
          <w:rFonts w:hint="eastAsia"/>
        </w:rPr>
        <w:t>国务院令第549号</w:t>
      </w:r>
    </w:p>
    <w:p>
      <w:pPr>
        <w:autoSpaceDE w:val="0"/>
        <w:autoSpaceDN w:val="0"/>
        <w:adjustRightInd w:val="0"/>
        <w:snapToGrid w:val="0"/>
        <w:spacing w:line="560" w:lineRule="exact"/>
        <w:ind w:left="-120" w:leftChars="-50" w:right="-120" w:rightChars="-50" w:firstLine="480"/>
      </w:pPr>
      <w:r>
        <w:rPr>
          <w:rFonts w:hint="eastAsia"/>
        </w:rPr>
        <w:t>监控化学品管理条例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国务院令第588号</w:t>
      </w:r>
    </w:p>
    <w:p>
      <w:pPr>
        <w:pStyle w:val="3"/>
      </w:pPr>
      <w:bookmarkStart w:id="19" w:name="_Toc941"/>
      <w:bookmarkStart w:id="20" w:name="_Toc23352"/>
      <w:r>
        <w:rPr>
          <w:rFonts w:hint="eastAsia"/>
        </w:rPr>
        <w:t>标准及规范</w:t>
      </w:r>
      <w:bookmarkEnd w:id="19"/>
      <w:bookmarkEnd w:id="20"/>
    </w:p>
    <w:p>
      <w:pPr>
        <w:autoSpaceDE w:val="0"/>
        <w:autoSpaceDN w:val="0"/>
        <w:adjustRightInd w:val="0"/>
        <w:snapToGrid w:val="0"/>
        <w:spacing w:line="560" w:lineRule="exact"/>
        <w:ind w:left="-120" w:leftChars="-50" w:right="-120" w:rightChars="-50" w:firstLine="480"/>
      </w:pPr>
      <w:r>
        <w:rPr>
          <w:rFonts w:hint="eastAsia"/>
        </w:rPr>
        <w:t>本项目所执行的主要设计、制造、施工和检验标准(部分，无特别说明，所采用的标准应为最新版)：</w:t>
      </w:r>
    </w:p>
    <w:p>
      <w:pPr>
        <w:autoSpaceDE w:val="0"/>
        <w:autoSpaceDN w:val="0"/>
        <w:adjustRightInd w:val="0"/>
        <w:snapToGrid w:val="0"/>
        <w:spacing w:line="560" w:lineRule="exact"/>
        <w:ind w:left="-120" w:leftChars="-50" w:right="-120" w:rightChars="-50" w:firstLine="480"/>
      </w:pPr>
      <w:r>
        <w:rPr>
          <w:rFonts w:hint="eastAsia"/>
        </w:rPr>
        <w:t>《钢制焊接常压容器》                            NB/T 47003.1-2009</w:t>
      </w:r>
    </w:p>
    <w:p>
      <w:pPr>
        <w:autoSpaceDE w:val="0"/>
        <w:autoSpaceDN w:val="0"/>
        <w:adjustRightInd w:val="0"/>
        <w:snapToGrid w:val="0"/>
        <w:spacing w:line="560" w:lineRule="exact"/>
        <w:ind w:left="-120" w:leftChars="-50" w:right="-120" w:rightChars="-50" w:firstLine="480"/>
      </w:pPr>
      <w:r>
        <w:rPr>
          <w:rFonts w:hint="eastAsia"/>
        </w:rPr>
        <w:t>《钢制化工容器制造技术要求》                    HG/T 20584-2011</w:t>
      </w:r>
    </w:p>
    <w:p>
      <w:pPr>
        <w:autoSpaceDE w:val="0"/>
        <w:autoSpaceDN w:val="0"/>
        <w:adjustRightInd w:val="0"/>
        <w:snapToGrid w:val="0"/>
        <w:spacing w:line="560" w:lineRule="exact"/>
        <w:ind w:left="-120" w:leftChars="-50" w:right="-120" w:rightChars="-50" w:firstLine="480"/>
      </w:pPr>
      <w:r>
        <w:rPr>
          <w:rFonts w:hint="eastAsia"/>
        </w:rPr>
        <w:t>《机械搅拌设备》                                HG/T 20569-2013</w:t>
      </w:r>
    </w:p>
    <w:p>
      <w:pPr>
        <w:autoSpaceDE w:val="0"/>
        <w:autoSpaceDN w:val="0"/>
        <w:adjustRightInd w:val="0"/>
        <w:snapToGrid w:val="0"/>
        <w:spacing w:line="560" w:lineRule="exact"/>
        <w:ind w:left="-120" w:leftChars="-50" w:right="-120" w:rightChars="-50" w:firstLine="480"/>
      </w:pPr>
      <w:r>
        <w:rPr>
          <w:rFonts w:hint="eastAsia"/>
        </w:rPr>
        <w:t>《钢制化工容器结构设计规定》                    HG/T 20583-2011</w:t>
      </w:r>
    </w:p>
    <w:p>
      <w:pPr>
        <w:autoSpaceDE w:val="0"/>
        <w:autoSpaceDN w:val="0"/>
        <w:adjustRightInd w:val="0"/>
        <w:snapToGrid w:val="0"/>
        <w:spacing w:line="560" w:lineRule="exact"/>
        <w:ind w:left="-120" w:leftChars="-50" w:right="-120" w:rightChars="-50" w:firstLine="480"/>
      </w:pPr>
      <w:r>
        <w:rPr>
          <w:rFonts w:hint="eastAsia"/>
        </w:rPr>
        <w:t>《压力容器焊接规程》                            NB/T 47015-2011</w:t>
      </w:r>
    </w:p>
    <w:p>
      <w:pPr>
        <w:autoSpaceDE w:val="0"/>
        <w:autoSpaceDN w:val="0"/>
        <w:adjustRightInd w:val="0"/>
        <w:snapToGrid w:val="0"/>
        <w:spacing w:line="560" w:lineRule="exact"/>
        <w:ind w:left="-120" w:leftChars="-50" w:right="-120" w:rightChars="-50" w:firstLine="480"/>
      </w:pPr>
      <w:r>
        <w:rPr>
          <w:rFonts w:hint="eastAsia"/>
        </w:rPr>
        <w:t>《压力容器涂敷与运输包装》                      NB/T 10558-2021</w:t>
      </w:r>
    </w:p>
    <w:p>
      <w:pPr>
        <w:autoSpaceDE w:val="0"/>
        <w:autoSpaceDN w:val="0"/>
        <w:adjustRightInd w:val="0"/>
        <w:snapToGrid w:val="0"/>
        <w:spacing w:line="560" w:lineRule="exact"/>
        <w:ind w:left="-120" w:leftChars="-50" w:right="-120" w:rightChars="-50" w:firstLine="480"/>
      </w:pPr>
      <w:r>
        <w:rPr>
          <w:rFonts w:hint="eastAsia"/>
        </w:rPr>
        <w:t>《承压设备用不锈钢钢板及钢带》                  GB/T 24511-2017</w:t>
      </w:r>
    </w:p>
    <w:p>
      <w:pPr>
        <w:autoSpaceDE w:val="0"/>
        <w:autoSpaceDN w:val="0"/>
        <w:adjustRightInd w:val="0"/>
        <w:snapToGrid w:val="0"/>
        <w:spacing w:line="560" w:lineRule="exact"/>
        <w:ind w:left="-120" w:leftChars="-50" w:right="-120" w:rightChars="-50" w:firstLine="480"/>
      </w:pPr>
      <w:r>
        <w:rPr>
          <w:rFonts w:hint="eastAsia"/>
        </w:rPr>
        <w:t>《流体输送用不锈钢无缝钢管》                    GB/T 14976-2012</w:t>
      </w:r>
    </w:p>
    <w:p>
      <w:pPr>
        <w:autoSpaceDE w:val="0"/>
        <w:autoSpaceDN w:val="0"/>
        <w:adjustRightInd w:val="0"/>
        <w:snapToGrid w:val="0"/>
        <w:spacing w:line="560" w:lineRule="exact"/>
        <w:ind w:left="-120" w:leftChars="-50" w:right="-120" w:rightChars="-50" w:firstLine="480"/>
      </w:pPr>
      <w:r>
        <w:rPr>
          <w:rFonts w:hint="eastAsia"/>
        </w:rPr>
        <w:t>《承压设备用不锈钢和耐热钢锻件》                NB/T 47010-2017</w:t>
      </w:r>
    </w:p>
    <w:p>
      <w:pPr>
        <w:autoSpaceDE w:val="0"/>
        <w:autoSpaceDN w:val="0"/>
        <w:adjustRightInd w:val="0"/>
        <w:snapToGrid w:val="0"/>
        <w:spacing w:line="560" w:lineRule="exact"/>
        <w:ind w:left="-120" w:leftChars="-50" w:right="-120" w:rightChars="-50" w:firstLine="480"/>
      </w:pPr>
      <w:r>
        <w:rPr>
          <w:rFonts w:hint="eastAsia"/>
        </w:rPr>
        <w:t>《输送流体用无缝钢管》                          GB/T 8163-2018</w:t>
      </w:r>
    </w:p>
    <w:p>
      <w:pPr>
        <w:autoSpaceDE w:val="0"/>
        <w:autoSpaceDN w:val="0"/>
        <w:adjustRightInd w:val="0"/>
        <w:snapToGrid w:val="0"/>
        <w:spacing w:line="560" w:lineRule="exact"/>
        <w:ind w:left="-120" w:leftChars="-50" w:right="-120" w:rightChars="-50" w:firstLine="480"/>
      </w:pPr>
      <w:r>
        <w:rPr>
          <w:rFonts w:hint="eastAsia"/>
        </w:rPr>
        <w:t>《化工配管用无缝及焊接钢管尺寸选用系列》        HG/T 20553-2011</w:t>
      </w:r>
    </w:p>
    <w:p>
      <w:pPr>
        <w:autoSpaceDE w:val="0"/>
        <w:autoSpaceDN w:val="0"/>
        <w:adjustRightInd w:val="0"/>
        <w:snapToGrid w:val="0"/>
        <w:spacing w:line="560" w:lineRule="exact"/>
        <w:ind w:left="-120" w:leftChars="-50" w:right="-120" w:rightChars="-50" w:firstLine="480"/>
      </w:pPr>
      <w:r>
        <w:rPr>
          <w:rFonts w:hint="eastAsia"/>
        </w:rPr>
        <w:t>《钢制管法兰、垫片、紧固件选用配合规定(PN系列)》  HG/T 20592-2009</w:t>
      </w:r>
    </w:p>
    <w:p>
      <w:pPr>
        <w:autoSpaceDE w:val="0"/>
        <w:autoSpaceDN w:val="0"/>
        <w:adjustRightInd w:val="0"/>
        <w:snapToGrid w:val="0"/>
        <w:spacing w:line="560" w:lineRule="exact"/>
        <w:ind w:left="-120" w:leftChars="-50" w:right="-120" w:rightChars="-50" w:firstLine="480"/>
      </w:pPr>
      <w:r>
        <w:rPr>
          <w:rFonts w:hint="eastAsia"/>
        </w:rPr>
        <w:t>《建筑设计防火规范》                              GB50016-2014</w:t>
      </w:r>
    </w:p>
    <w:p>
      <w:pPr>
        <w:autoSpaceDE w:val="0"/>
        <w:autoSpaceDN w:val="0"/>
        <w:adjustRightInd w:val="0"/>
        <w:snapToGrid w:val="0"/>
        <w:spacing w:line="560" w:lineRule="exact"/>
        <w:ind w:left="-120" w:leftChars="-50" w:right="-120" w:rightChars="-50" w:firstLine="480"/>
      </w:pPr>
      <w:r>
        <w:rPr>
          <w:rFonts w:hint="eastAsia"/>
        </w:rPr>
        <w:t>《化工装置设备布置设计规定》                    HG/T 20546-2009</w:t>
      </w:r>
    </w:p>
    <w:p>
      <w:pPr>
        <w:autoSpaceDE w:val="0"/>
        <w:autoSpaceDN w:val="0"/>
        <w:adjustRightInd w:val="0"/>
        <w:snapToGrid w:val="0"/>
        <w:spacing w:line="560" w:lineRule="exact"/>
        <w:ind w:left="-120" w:leftChars="-50" w:right="-120" w:rightChars="-50" w:firstLine="480"/>
      </w:pPr>
      <w:r>
        <w:rPr>
          <w:rFonts w:hint="eastAsia"/>
        </w:rPr>
        <w:t>《化工装置管道布置设计规定》                    HG/T20549-1998</w:t>
      </w:r>
    </w:p>
    <w:p>
      <w:pPr>
        <w:autoSpaceDE w:val="0"/>
        <w:autoSpaceDN w:val="0"/>
        <w:adjustRightInd w:val="0"/>
        <w:snapToGrid w:val="0"/>
        <w:spacing w:line="560" w:lineRule="exact"/>
        <w:ind w:left="-120" w:leftChars="-50" w:right="-120" w:rightChars="-50" w:firstLine="480"/>
      </w:pPr>
      <w:r>
        <w:rPr>
          <w:rFonts w:hint="eastAsia"/>
        </w:rPr>
        <w:t>《工业金属管道工程施工规范》                      GB50235-2010</w:t>
      </w:r>
    </w:p>
    <w:p>
      <w:pPr>
        <w:autoSpaceDE w:val="0"/>
        <w:autoSpaceDN w:val="0"/>
        <w:adjustRightInd w:val="0"/>
        <w:snapToGrid w:val="0"/>
        <w:spacing w:line="560" w:lineRule="exact"/>
        <w:ind w:left="-120" w:leftChars="-50" w:right="-120" w:rightChars="-50" w:firstLine="480"/>
      </w:pPr>
      <w:r>
        <w:rPr>
          <w:rFonts w:hint="eastAsia"/>
        </w:rPr>
        <w:t>《现场设备、工业管道、焊接工程施工及验收规范》    GB50236-2011</w:t>
      </w:r>
    </w:p>
    <w:p>
      <w:pPr>
        <w:autoSpaceDE w:val="0"/>
        <w:autoSpaceDN w:val="0"/>
        <w:adjustRightInd w:val="0"/>
        <w:snapToGrid w:val="0"/>
        <w:spacing w:line="560" w:lineRule="exact"/>
        <w:ind w:left="-120" w:leftChars="-50" w:right="-120" w:rightChars="-50" w:firstLine="480"/>
      </w:pPr>
      <w:r>
        <w:rPr>
          <w:rFonts w:hint="eastAsia"/>
        </w:rPr>
        <w:t>《工业金属管道工程施工质量验收规范》              GB50184-2011</w:t>
      </w:r>
    </w:p>
    <w:p>
      <w:pPr>
        <w:autoSpaceDE w:val="0"/>
        <w:autoSpaceDN w:val="0"/>
        <w:adjustRightInd w:val="0"/>
        <w:snapToGrid w:val="0"/>
        <w:spacing w:line="560" w:lineRule="exact"/>
        <w:ind w:left="-120" w:leftChars="-50" w:right="-120" w:rightChars="-50" w:firstLine="480"/>
      </w:pPr>
      <w:r>
        <w:rPr>
          <w:rFonts w:hint="eastAsia"/>
        </w:rPr>
        <w:t>《现场设备、工业管道、焊接工程施工质量验收规范》    GB50683-2011</w:t>
      </w:r>
    </w:p>
    <w:p>
      <w:pPr>
        <w:autoSpaceDE w:val="0"/>
        <w:autoSpaceDN w:val="0"/>
        <w:adjustRightInd w:val="0"/>
        <w:snapToGrid w:val="0"/>
        <w:spacing w:line="560" w:lineRule="exact"/>
        <w:ind w:left="-120" w:leftChars="-50" w:right="-120" w:rightChars="-50" w:firstLine="480"/>
      </w:pPr>
      <w:r>
        <w:rPr>
          <w:rFonts w:hint="eastAsia"/>
        </w:rPr>
        <w:t>《自动化仪表选型设计规范》                       HG/T 20507-2014</w:t>
      </w:r>
    </w:p>
    <w:p>
      <w:pPr>
        <w:autoSpaceDE w:val="0"/>
        <w:autoSpaceDN w:val="0"/>
        <w:adjustRightInd w:val="0"/>
        <w:snapToGrid w:val="0"/>
        <w:spacing w:line="560" w:lineRule="exact"/>
        <w:ind w:left="-120" w:leftChars="-50" w:right="-120" w:rightChars="-50" w:firstLine="480"/>
      </w:pPr>
      <w:r>
        <w:rPr>
          <w:rFonts w:hint="eastAsia"/>
        </w:rPr>
        <w:t>《仪表供电设计规范》                             HG/T 20509-2014</w:t>
      </w:r>
    </w:p>
    <w:p>
      <w:pPr>
        <w:autoSpaceDE w:val="0"/>
        <w:autoSpaceDN w:val="0"/>
        <w:adjustRightInd w:val="0"/>
        <w:snapToGrid w:val="0"/>
        <w:spacing w:line="560" w:lineRule="exact"/>
        <w:ind w:left="-120" w:leftChars="-50" w:right="-120" w:rightChars="-50" w:firstLine="480"/>
      </w:pPr>
      <w:r>
        <w:rPr>
          <w:rFonts w:hint="eastAsia"/>
        </w:rPr>
        <w:t xml:space="preserve">《仪表供气设计规范》        </w:t>
      </w:r>
      <w:r>
        <w:rPr>
          <w:rFonts w:hint="eastAsia"/>
        </w:rPr>
        <w:tab/>
      </w:r>
      <w:r>
        <w:rPr>
          <w:rFonts w:hint="eastAsia"/>
        </w:rPr>
        <w:t xml:space="preserve">                    HG/T 20510-2014</w:t>
      </w:r>
    </w:p>
    <w:p>
      <w:pPr>
        <w:autoSpaceDE w:val="0"/>
        <w:autoSpaceDN w:val="0"/>
        <w:adjustRightInd w:val="0"/>
        <w:snapToGrid w:val="0"/>
        <w:spacing w:line="560" w:lineRule="exact"/>
        <w:ind w:left="-120" w:leftChars="-50" w:right="-120" w:rightChars="-50" w:firstLine="480"/>
      </w:pPr>
      <w:r>
        <w:rPr>
          <w:rFonts w:hint="eastAsia"/>
        </w:rPr>
        <w:t>《信号报警及联锁系统设计规范》                  HG/T 20511-2014</w:t>
      </w:r>
    </w:p>
    <w:p>
      <w:pPr>
        <w:autoSpaceDE w:val="0"/>
        <w:autoSpaceDN w:val="0"/>
        <w:adjustRightInd w:val="0"/>
        <w:snapToGrid w:val="0"/>
        <w:spacing w:line="560" w:lineRule="exact"/>
        <w:ind w:left="-120" w:leftChars="-50" w:right="-120" w:rightChars="-50" w:firstLine="480"/>
      </w:pPr>
      <w:r>
        <w:rPr>
          <w:rFonts w:hint="eastAsia"/>
        </w:rPr>
        <w:t>《供配电系统设计规范》                             GB50052-2009</w:t>
      </w:r>
    </w:p>
    <w:p>
      <w:pPr>
        <w:autoSpaceDE w:val="0"/>
        <w:autoSpaceDN w:val="0"/>
        <w:adjustRightInd w:val="0"/>
        <w:snapToGrid w:val="0"/>
        <w:spacing w:line="560" w:lineRule="exact"/>
        <w:ind w:left="-120" w:leftChars="-50" w:right="-120" w:rightChars="-50" w:firstLine="480"/>
      </w:pPr>
      <w:r>
        <w:rPr>
          <w:rFonts w:hint="eastAsia"/>
        </w:rPr>
        <w:t xml:space="preserve">《低压配电设计规范》                              GB50054-2011 </w:t>
      </w:r>
    </w:p>
    <w:p>
      <w:pPr>
        <w:autoSpaceDE w:val="0"/>
        <w:autoSpaceDN w:val="0"/>
        <w:adjustRightInd w:val="0"/>
        <w:snapToGrid w:val="0"/>
        <w:spacing w:line="560" w:lineRule="exact"/>
        <w:ind w:left="-120" w:leftChars="-50" w:right="-120" w:rightChars="-50" w:firstLine="480"/>
      </w:pPr>
      <w:r>
        <w:rPr>
          <w:rFonts w:hint="eastAsia"/>
        </w:rPr>
        <w:t>《化工设备工程施工及验收规范》                   HG/T20275-2017</w:t>
      </w:r>
    </w:p>
    <w:p>
      <w:pPr>
        <w:autoSpaceDE w:val="0"/>
        <w:autoSpaceDN w:val="0"/>
        <w:adjustRightInd w:val="0"/>
        <w:snapToGrid w:val="0"/>
        <w:spacing w:line="560" w:lineRule="exact"/>
        <w:ind w:left="-120" w:leftChars="-50" w:right="-120" w:rightChars="-50" w:firstLine="480"/>
      </w:pPr>
      <w:r>
        <w:rPr>
          <w:rFonts w:hint="eastAsia"/>
        </w:rPr>
        <w:t>《输送设备安装工程施工及验收规范》                 GB50270-2010</w:t>
      </w:r>
    </w:p>
    <w:p>
      <w:pPr>
        <w:autoSpaceDE w:val="0"/>
        <w:autoSpaceDN w:val="0"/>
        <w:adjustRightInd w:val="0"/>
        <w:snapToGrid w:val="0"/>
        <w:spacing w:line="560" w:lineRule="exact"/>
        <w:ind w:left="-120" w:leftChars="-50" w:right="-120" w:rightChars="-50" w:firstLine="480"/>
      </w:pPr>
      <w:r>
        <w:rPr>
          <w:rFonts w:hint="eastAsia"/>
        </w:rPr>
        <w:t>动静设备都必须带配对法兰，标准HG/T20592B PN系列，钢管尺寸标准HG/T20553-II。</w:t>
      </w:r>
    </w:p>
    <w:p>
      <w:pPr>
        <w:autoSpaceDE w:val="0"/>
        <w:autoSpaceDN w:val="0"/>
        <w:adjustRightInd w:val="0"/>
        <w:snapToGrid w:val="0"/>
        <w:spacing w:line="560" w:lineRule="exact"/>
        <w:ind w:left="-120" w:leftChars="-50" w:right="-120" w:rightChars="-50" w:firstLine="480"/>
      </w:pPr>
      <w:r>
        <w:rPr>
          <w:rFonts w:hint="eastAsia"/>
        </w:rPr>
        <w:t>以上标准按签订技术协议时最新版执行卖方提供的制造商标准不低于或高于合同签定时的中国国家和行业规范标准的水平，并按最新版本执行。</w:t>
      </w:r>
    </w:p>
    <w:p>
      <w:pPr>
        <w:autoSpaceDE w:val="0"/>
        <w:autoSpaceDN w:val="0"/>
        <w:adjustRightInd w:val="0"/>
        <w:snapToGrid w:val="0"/>
        <w:spacing w:line="560" w:lineRule="exact"/>
        <w:ind w:left="-120" w:leftChars="-50" w:right="-120" w:rightChars="-50" w:firstLine="480"/>
      </w:pPr>
      <w:r>
        <w:rPr>
          <w:rFonts w:hint="eastAsia"/>
        </w:rPr>
        <w:t>所有静设备基础大于等于2米的，由供方提供基础模板。</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21" w:name="_Toc7127"/>
      <w:bookmarkStart w:id="22" w:name="_Toc10535"/>
      <w:bookmarkStart w:id="23" w:name="_Toc10772"/>
      <w:bookmarkStart w:id="24" w:name="_Toc14878"/>
      <w:r>
        <w:rPr>
          <w:rFonts w:hint="eastAsia" w:cs="Times New Roman"/>
          <w:b/>
          <w:kern w:val="44"/>
          <w:sz w:val="28"/>
          <w:szCs w:val="28"/>
          <w:lang w:val="en-US" w:eastAsia="zh-CN" w:bidi="ar-SA"/>
        </w:rPr>
        <w:t>监造和性能验收</w:t>
      </w:r>
      <w:bookmarkEnd w:id="21"/>
      <w:bookmarkEnd w:id="22"/>
      <w:bookmarkEnd w:id="23"/>
      <w:bookmarkEnd w:id="24"/>
    </w:p>
    <w:p>
      <w:pPr>
        <w:pStyle w:val="3"/>
        <w:rPr>
          <w:rFonts w:hint="eastAsia" w:cs="Times New Roman"/>
          <w:lang w:val="en-US" w:eastAsia="zh-CN"/>
        </w:rPr>
      </w:pPr>
      <w:bookmarkStart w:id="25" w:name="_Toc3580"/>
      <w:bookmarkStart w:id="26" w:name="_Toc17701"/>
      <w:bookmarkStart w:id="27" w:name="_Toc4387"/>
      <w:bookmarkStart w:id="28" w:name="_Toc1000"/>
      <w:bookmarkStart w:id="29" w:name="_Toc29548"/>
      <w:r>
        <w:rPr>
          <w:rFonts w:hint="eastAsia" w:cs="Times New Roman"/>
          <w:lang w:val="en-US" w:eastAsia="zh-CN"/>
        </w:rPr>
        <w:t>性能保证</w:t>
      </w:r>
      <w:bookmarkEnd w:id="25"/>
      <w:bookmarkEnd w:id="26"/>
      <w:bookmarkEnd w:id="27"/>
      <w:bookmarkEnd w:id="28"/>
      <w:bookmarkEnd w:id="29"/>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en-US" w:eastAsia="zh-CN"/>
        </w:rPr>
        <w:t>6</w:t>
      </w:r>
      <w:r>
        <w:rPr>
          <w:rFonts w:hint="eastAsia" w:ascii="Times New Roman" w:hAnsi="Times New Roman" w:cs="Times New Roman"/>
          <w:lang w:val="zh-CN"/>
        </w:rPr>
        <w:t>.1.</w:t>
      </w:r>
      <w:r>
        <w:rPr>
          <w:rFonts w:hint="eastAsia" w:ascii="Times New Roman" w:hAnsi="Times New Roman" w:cs="Times New Roman"/>
        </w:rPr>
        <w:t>1</w:t>
      </w:r>
      <w:r>
        <w:rPr>
          <w:rFonts w:hint="eastAsia" w:ascii="Times New Roman" w:hAnsi="Times New Roman" w:cs="Times New Roman"/>
          <w:lang w:val="zh-CN"/>
        </w:rPr>
        <w:t>设备噪音在自由开放空间</w:t>
      </w:r>
      <w:r>
        <w:rPr>
          <w:rFonts w:hint="eastAsia" w:ascii="Times New Roman" w:hAnsi="Times New Roman" w:cs="Times New Roman"/>
        </w:rPr>
        <w:t>，</w:t>
      </w:r>
      <w:r>
        <w:rPr>
          <w:rFonts w:hint="eastAsia" w:ascii="Times New Roman" w:hAnsi="Times New Roman" w:cs="Times New Roman"/>
          <w:lang w:val="zh-CN"/>
        </w:rPr>
        <w:t>距</w:t>
      </w:r>
      <w:r>
        <w:rPr>
          <w:rFonts w:hint="eastAsia" w:ascii="Times New Roman" w:hAnsi="Times New Roman" w:cs="Times New Roman"/>
        </w:rPr>
        <w:t>设备1</w:t>
      </w:r>
      <w:r>
        <w:rPr>
          <w:rFonts w:hint="eastAsia" w:ascii="Times New Roman" w:hAnsi="Times New Roman" w:cs="Times New Roman"/>
          <w:lang w:val="zh-CN"/>
        </w:rPr>
        <w:t>米的距离上测试</w:t>
      </w:r>
      <w:r>
        <w:rPr>
          <w:rFonts w:hint="eastAsia" w:ascii="Times New Roman" w:hAnsi="Times New Roman" w:cs="Times New Roman"/>
        </w:rPr>
        <w:t>，</w:t>
      </w:r>
      <w:r>
        <w:rPr>
          <w:rFonts w:hint="eastAsia" w:ascii="Times New Roman" w:hAnsi="Times New Roman" w:cs="Times New Roman"/>
          <w:lang w:val="zh-CN"/>
        </w:rPr>
        <w:t>小于</w:t>
      </w:r>
      <w:r>
        <w:rPr>
          <w:rFonts w:hint="eastAsia" w:ascii="Times New Roman" w:hAnsi="Times New Roman" w:cs="Times New Roman"/>
        </w:rPr>
        <w:t>85dB</w:t>
      </w:r>
      <w:r>
        <w:rPr>
          <w:rFonts w:hint="eastAsia" w:ascii="Times New Roman" w:hAnsi="Times New Roman" w:cs="Times New Roman"/>
          <w:lang w:val="zh-CN"/>
        </w:rPr>
        <w:t>。</w:t>
      </w:r>
      <w:r>
        <w:rPr>
          <w:rFonts w:hint="eastAsia" w:ascii="Times New Roman" w:hAnsi="Times New Roman" w:cs="Times New Roman"/>
        </w:rPr>
        <w:t>设备</w:t>
      </w:r>
      <w:r>
        <w:rPr>
          <w:rFonts w:hint="eastAsia" w:ascii="Times New Roman" w:hAnsi="Times New Roman" w:cs="Times New Roman"/>
          <w:lang w:val="zh-CN"/>
        </w:rPr>
        <w:t>以外的管道、设备及附件的噪音不包含在内。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en-US" w:eastAsia="zh-CN"/>
        </w:rPr>
        <w:t>6</w:t>
      </w:r>
      <w:r>
        <w:rPr>
          <w:rFonts w:hint="eastAsia" w:ascii="Times New Roman" w:hAnsi="Times New Roman" w:cs="Times New Roman"/>
          <w:lang w:val="zh-CN"/>
        </w:rPr>
        <w:t>.1.</w:t>
      </w:r>
      <w:r>
        <w:rPr>
          <w:rFonts w:hint="eastAsia" w:ascii="Times New Roman" w:hAnsi="Times New Roman" w:cs="Times New Roman"/>
        </w:rPr>
        <w:t>2设备</w:t>
      </w:r>
      <w:r>
        <w:rPr>
          <w:rFonts w:hint="eastAsia" w:ascii="Times New Roman" w:hAnsi="Times New Roman" w:cs="Times New Roman"/>
          <w:lang w:val="zh-CN"/>
        </w:rPr>
        <w:t>所有部件的设计满足在最大出口压力下运行不发生损坏。</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.1.3满足本技术协议中所有的工艺指标要求。</w:t>
      </w:r>
    </w:p>
    <w:p>
      <w:pPr>
        <w:pStyle w:val="3"/>
        <w:rPr>
          <w:rFonts w:hint="eastAsia" w:cs="Times New Roman"/>
          <w:lang w:val="en-US" w:eastAsia="zh-CN"/>
        </w:rPr>
      </w:pPr>
      <w:bookmarkStart w:id="30" w:name="_Toc28789"/>
      <w:bookmarkStart w:id="31" w:name="_Toc3600"/>
      <w:bookmarkStart w:id="32" w:name="_Toc4610"/>
      <w:bookmarkStart w:id="33" w:name="_Toc20694"/>
      <w:bookmarkStart w:id="34" w:name="_Toc26982"/>
      <w:r>
        <w:rPr>
          <w:rFonts w:hint="eastAsia" w:cs="Times New Roman"/>
          <w:lang w:val="en-US" w:eastAsia="zh-CN"/>
        </w:rPr>
        <w:t>质量保证</w:t>
      </w:r>
      <w:bookmarkEnd w:id="30"/>
      <w:bookmarkEnd w:id="31"/>
      <w:bookmarkEnd w:id="32"/>
      <w:bookmarkEnd w:id="33"/>
      <w:bookmarkEnd w:id="34"/>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6.2.1</w:t>
      </w:r>
      <w:r>
        <w:rPr>
          <w:rFonts w:hint="eastAsia" w:ascii="Times New Roman" w:hAnsi="Times New Roman" w:cs="Times New Roman"/>
          <w:lang w:val="zh-CN" w:eastAsia="zh-CN"/>
        </w:rPr>
        <w:t>制造厂家需建有一套完整的质量保证体系</w:t>
      </w:r>
      <w:r>
        <w:rPr>
          <w:rFonts w:hint="eastAsia" w:ascii="Times New Roman" w:hAnsi="Times New Roman" w:cs="Times New Roman"/>
          <w:lang w:val="en-US" w:eastAsia="zh-CN"/>
        </w:rPr>
        <w:t>，</w:t>
      </w:r>
      <w:r>
        <w:rPr>
          <w:rFonts w:hint="eastAsia" w:ascii="Times New Roman" w:hAnsi="Times New Roman" w:cs="Times New Roman"/>
          <w:lang w:val="zh-CN" w:eastAsia="zh-CN"/>
        </w:rPr>
        <w:t>并获</w:t>
      </w:r>
      <w:r>
        <w:rPr>
          <w:rFonts w:hint="eastAsia" w:ascii="Times New Roman" w:hAnsi="Times New Roman" w:cs="Times New Roman"/>
          <w:lang w:val="en-US" w:eastAsia="zh-CN"/>
        </w:rPr>
        <w:t>ISO9001</w:t>
      </w:r>
      <w:r>
        <w:rPr>
          <w:rFonts w:hint="eastAsia" w:ascii="Times New Roman" w:hAnsi="Times New Roman" w:cs="Times New Roman"/>
          <w:lang w:val="zh-CN" w:eastAsia="zh-CN"/>
        </w:rPr>
        <w:t>国际质量体系认证</w:t>
      </w:r>
      <w:r>
        <w:rPr>
          <w:rFonts w:hint="eastAsia" w:ascii="Times New Roman" w:hAnsi="Times New Roman" w:cs="Times New Roman"/>
          <w:lang w:val="en-US" w:eastAsia="zh-CN"/>
        </w:rPr>
        <w:t>，</w:t>
      </w:r>
      <w:r>
        <w:rPr>
          <w:rFonts w:hint="eastAsia" w:ascii="Times New Roman" w:hAnsi="Times New Roman" w:cs="Times New Roman"/>
          <w:lang w:val="zh-CN" w:eastAsia="zh-CN"/>
        </w:rPr>
        <w:t>保证机组是全新的、高质量的和供货完整的。</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.2.2保证货物全新，材料上乘，加工精良，完全符合合同规定的质量和性能。在正确安装，操作及保养的条件下，设备质保期为验收后12个月或发货后18个月，以先期满者为准。</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.2.3卖方必须保证产品为本厂生产，若有其他外协单位供货部分，提供卖方品牌清单，加工制造过程中买方保留在买卖双方达成一致的前提下到卖方外协单位进行检查的权利。</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6.2.4</w:t>
      </w:r>
      <w:r>
        <w:rPr>
          <w:rFonts w:hint="eastAsia" w:ascii="Times New Roman" w:hAnsi="Times New Roman" w:cs="Times New Roman"/>
          <w:lang w:val="zh-CN" w:eastAsia="zh-CN"/>
        </w:rPr>
        <w:t>所有金属含量要求见技术协议，所有设备入厂需进行金属成分检测，不满足要求更换处理。</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6.2.5</w:t>
      </w:r>
      <w:r>
        <w:rPr>
          <w:rFonts w:hint="eastAsia" w:ascii="Times New Roman" w:hAnsi="Times New Roman" w:cs="Times New Roman"/>
          <w:lang w:val="zh-CN" w:eastAsia="zh-CN"/>
        </w:rPr>
        <w:t>设备</w:t>
      </w:r>
      <w:r>
        <w:rPr>
          <w:rFonts w:hint="eastAsia" w:ascii="Times New Roman" w:hAnsi="Times New Roman" w:cs="Times New Roman"/>
          <w:lang w:val="en-GB" w:eastAsia="zh-CN"/>
        </w:rPr>
        <w:t>调试完成，稳定运行</w:t>
      </w:r>
      <w:r>
        <w:rPr>
          <w:rFonts w:hint="eastAsia" w:cs="Times New Roman"/>
          <w:lang w:val="en-US" w:eastAsia="zh-CN"/>
        </w:rPr>
        <w:t>3个月</w:t>
      </w:r>
      <w:r>
        <w:rPr>
          <w:rFonts w:hint="eastAsia" w:ascii="Times New Roman" w:hAnsi="Times New Roman" w:cs="Times New Roman"/>
          <w:lang w:val="en-GB" w:eastAsia="zh-CN"/>
        </w:rPr>
        <w:t>无任何故障（可在5分钟内解决的问题不能作为故障）视为验收合格，否则卖方必须采取现场整改、换货等措施直至达到稳定运行工况</w:t>
      </w:r>
      <w:r>
        <w:rPr>
          <w:rFonts w:hint="eastAsia" w:ascii="Times New Roman" w:hAnsi="Times New Roman" w:cs="Times New Roman"/>
          <w:lang w:val="zh-CN" w:eastAsia="zh-CN"/>
        </w:rPr>
        <w:t>。</w:t>
      </w:r>
    </w:p>
    <w:p>
      <w:pPr>
        <w:pStyle w:val="3"/>
        <w:rPr>
          <w:rFonts w:hint="eastAsia" w:cs="Times New Roman"/>
          <w:lang w:val="en-US" w:eastAsia="zh-CN"/>
        </w:rPr>
      </w:pPr>
      <w:bookmarkStart w:id="35" w:name="_Toc16855"/>
      <w:bookmarkStart w:id="36" w:name="_Toc22401"/>
      <w:bookmarkStart w:id="37" w:name="_Toc28591"/>
      <w:bookmarkStart w:id="38" w:name="_Toc12855"/>
      <w:bookmarkStart w:id="39" w:name="_Toc14101"/>
      <w:r>
        <w:rPr>
          <w:rFonts w:hint="eastAsia" w:cs="Times New Roman"/>
          <w:lang w:val="en-US" w:eastAsia="zh-CN"/>
        </w:rPr>
        <w:t>检验保证</w:t>
      </w:r>
      <w:bookmarkEnd w:id="35"/>
      <w:bookmarkEnd w:id="36"/>
      <w:bookmarkEnd w:id="37"/>
      <w:bookmarkEnd w:id="38"/>
      <w:bookmarkEnd w:id="39"/>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.3.1卖方所需该设备生产主材及关键部位材质均需提供检验合格证明材料，并在交货时一同交付。</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.3.2卖方生产过程须保留该产品生产过程记录，买方在中间检查或验收时可随时提供相关资料。</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bookmarkStart w:id="40" w:name="_Toc8104"/>
      <w:r>
        <w:rPr>
          <w:rFonts w:hint="eastAsia" w:ascii="Times New Roman" w:hAnsi="Times New Roman" w:cs="Times New Roman"/>
          <w:lang w:val="en-US" w:eastAsia="zh-CN"/>
        </w:rPr>
        <w:t>6</w:t>
      </w:r>
      <w:r>
        <w:rPr>
          <w:rFonts w:hint="eastAsia" w:ascii="Times New Roman" w:hAnsi="Times New Roman" w:cs="Times New Roman"/>
          <w:lang w:val="zh-CN" w:eastAsia="zh-CN"/>
        </w:rPr>
        <w:t>.3.3其他相关检验项目按照卖方企标、国家标准规范实施。</w:t>
      </w:r>
      <w:bookmarkEnd w:id="40"/>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.3.4买方保留全过程监造权利。</w:t>
      </w:r>
    </w:p>
    <w:p>
      <w:pPr>
        <w:pStyle w:val="3"/>
        <w:rPr>
          <w:rFonts w:hint="eastAsia" w:cs="Times New Roman"/>
          <w:lang w:val="en-US" w:eastAsia="zh-CN"/>
        </w:rPr>
      </w:pPr>
      <w:bookmarkStart w:id="41" w:name="_Toc10600"/>
      <w:bookmarkStart w:id="42" w:name="_Toc3554"/>
      <w:bookmarkStart w:id="43" w:name="_Toc2888"/>
      <w:bookmarkStart w:id="44" w:name="_Toc15586"/>
      <w:bookmarkStart w:id="45" w:name="_Toc28521"/>
      <w:r>
        <w:rPr>
          <w:rFonts w:hint="eastAsia" w:cs="Times New Roman"/>
          <w:lang w:val="en-US" w:eastAsia="zh-CN"/>
        </w:rPr>
        <w:t>验收</w:t>
      </w:r>
      <w:bookmarkEnd w:id="41"/>
      <w:r>
        <w:rPr>
          <w:rFonts w:hint="eastAsia" w:cs="Times New Roman"/>
          <w:lang w:val="en-US" w:eastAsia="zh-CN"/>
        </w:rPr>
        <w:t>与安装</w:t>
      </w:r>
      <w:bookmarkEnd w:id="42"/>
      <w:bookmarkEnd w:id="43"/>
      <w:bookmarkEnd w:id="44"/>
      <w:bookmarkEnd w:id="4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6.4.1</w:t>
      </w:r>
      <w:r>
        <w:rPr>
          <w:rFonts w:hint="eastAsia" w:ascii="Times New Roman" w:hAnsi="Times New Roman" w:cs="Times New Roman"/>
          <w:lang w:val="en-GB" w:eastAsia="zh-CN"/>
        </w:rPr>
        <w:t>设备到达现场后，</w:t>
      </w:r>
      <w:r>
        <w:rPr>
          <w:rFonts w:hint="eastAsia" w:cs="Times New Roman"/>
          <w:lang w:val="en-US" w:eastAsia="zh-CN"/>
        </w:rPr>
        <w:t>买卖双方</w:t>
      </w:r>
      <w:r>
        <w:rPr>
          <w:rFonts w:hint="eastAsia" w:ascii="Times New Roman" w:hAnsi="Times New Roman" w:cs="Times New Roman"/>
          <w:lang w:val="en-GB" w:eastAsia="zh-CN"/>
        </w:rPr>
        <w:t>现场进行开箱检验。</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6.4.2</w:t>
      </w:r>
      <w:r>
        <w:rPr>
          <w:rFonts w:hint="eastAsia" w:ascii="Times New Roman" w:hAnsi="Times New Roman" w:cs="Times New Roman"/>
          <w:lang w:val="en-GB" w:eastAsia="zh-CN"/>
        </w:rPr>
        <w:t>如果卖方未</w:t>
      </w:r>
      <w:r>
        <w:rPr>
          <w:rFonts w:hint="eastAsia" w:cs="Times New Roman"/>
          <w:lang w:val="en-US" w:eastAsia="zh-CN"/>
        </w:rPr>
        <w:t>随机</w:t>
      </w:r>
      <w:r>
        <w:rPr>
          <w:rFonts w:hint="eastAsia" w:ascii="Times New Roman" w:hAnsi="Times New Roman" w:cs="Times New Roman"/>
          <w:lang w:val="en-GB" w:eastAsia="zh-CN"/>
        </w:rPr>
        <w:t>到达现场，买方可以根据工程需要自行开箱检验，如发现设备、部件与装箱清单不符或设备、部件损坏，卖方应承担全部责任。</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6.4.3</w:t>
      </w:r>
      <w:r>
        <w:rPr>
          <w:rFonts w:hint="eastAsia" w:ascii="Times New Roman" w:hAnsi="Times New Roman" w:cs="Times New Roman"/>
          <w:lang w:val="en-GB" w:eastAsia="zh-CN"/>
        </w:rPr>
        <w:t>产品生产过程中的主要阶段的试验与验收卖方必须邀请买方人员参加，买方可视具体情况决定派员参加或不参加，需要不参加的试验卖方应将试验结构送交买方确认</w:t>
      </w:r>
      <w:r>
        <w:rPr>
          <w:rFonts w:hint="eastAsia" w:cs="Times New Roman"/>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6.4.4</w:t>
      </w:r>
      <w:r>
        <w:rPr>
          <w:rFonts w:hint="eastAsia" w:ascii="Times New Roman" w:hAnsi="Times New Roman" w:cs="Times New Roman"/>
          <w:lang w:val="en-GB" w:eastAsia="zh-CN"/>
        </w:rPr>
        <w:t>制造厂内买方的验收不作为最终产品合格的保证，产品最终应通过现场调试和运行考验来验收。</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6.4.5</w:t>
      </w:r>
      <w:r>
        <w:rPr>
          <w:rFonts w:hint="eastAsia" w:ascii="Times New Roman" w:hAnsi="Times New Roman" w:cs="Times New Roman"/>
          <w:lang w:val="en-GB" w:eastAsia="zh-CN"/>
        </w:rPr>
        <w:t>产品最终验收以达到买方产品技术要求为准，并满足各种性能要求。</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6.4.6</w:t>
      </w:r>
      <w:r>
        <w:rPr>
          <w:rFonts w:hint="eastAsia" w:ascii="Times New Roman" w:hAnsi="Times New Roman" w:cs="Times New Roman"/>
          <w:lang w:val="zh-CN" w:eastAsia="zh-CN"/>
        </w:rPr>
        <w:t>设备</w:t>
      </w:r>
      <w:r>
        <w:rPr>
          <w:rFonts w:hint="eastAsia" w:ascii="Times New Roman" w:hAnsi="Times New Roman" w:cs="Times New Roman"/>
          <w:lang w:val="en-GB" w:eastAsia="zh-CN"/>
        </w:rPr>
        <w:t>调试完成，稳定运行</w:t>
      </w:r>
      <w:r>
        <w:rPr>
          <w:rFonts w:hint="eastAsia" w:cs="Times New Roman"/>
          <w:lang w:val="en-US" w:eastAsia="zh-CN"/>
        </w:rPr>
        <w:t>3个月</w:t>
      </w:r>
      <w:r>
        <w:rPr>
          <w:rFonts w:hint="eastAsia" w:ascii="Times New Roman" w:hAnsi="Times New Roman" w:cs="Times New Roman"/>
          <w:lang w:val="en-GB" w:eastAsia="zh-CN"/>
        </w:rPr>
        <w:t>无任何故障</w:t>
      </w:r>
      <w:r>
        <w:rPr>
          <w:rFonts w:hint="eastAsia" w:cs="Times New Roman"/>
          <w:lang w:val="en-US" w:eastAsia="zh-CN"/>
        </w:rPr>
        <w:t>且满足工艺指标要求</w:t>
      </w:r>
      <w:r>
        <w:rPr>
          <w:rFonts w:hint="eastAsia" w:ascii="Times New Roman" w:hAnsi="Times New Roman" w:cs="Times New Roman"/>
          <w:lang w:val="en-GB" w:eastAsia="zh-CN"/>
        </w:rPr>
        <w:t>（可在5分钟内解决的问题不能作为故障）视为验收合格，否则卖方必须</w:t>
      </w:r>
      <w:r>
        <w:rPr>
          <w:rFonts w:hint="eastAsia" w:cs="Times New Roman"/>
          <w:lang w:val="en-US" w:eastAsia="zh-CN"/>
        </w:rPr>
        <w:t>在15天内</w:t>
      </w:r>
      <w:r>
        <w:rPr>
          <w:rFonts w:hint="eastAsia" w:ascii="Times New Roman" w:hAnsi="Times New Roman" w:cs="Times New Roman"/>
          <w:lang w:val="en-GB" w:eastAsia="zh-CN"/>
        </w:rPr>
        <w:t>采取现场整改、换货等措施直至达到稳定运行工况。</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lang w:val="en-US" w:eastAsia="zh-CN"/>
        </w:rPr>
      </w:pPr>
      <w:r>
        <w:rPr>
          <w:rFonts w:hint="eastAsia" w:ascii="Times New Roman" w:hAnsi="Times New Roman" w:cs="Times New Roman"/>
          <w:lang w:val="en-US" w:eastAsia="zh-CN"/>
        </w:rPr>
        <w:t>6.4.</w:t>
      </w:r>
      <w:r>
        <w:rPr>
          <w:rFonts w:hint="eastAsia" w:cs="Times New Roman"/>
          <w:lang w:val="en-US" w:eastAsia="zh-CN"/>
        </w:rPr>
        <w:t>7</w:t>
      </w:r>
      <w:r>
        <w:rPr>
          <w:rFonts w:hint="default" w:ascii="Times New Roman" w:hAnsi="Times New Roman" w:cs="Times New Roman"/>
          <w:lang w:val="en-US" w:eastAsia="zh-CN"/>
        </w:rPr>
        <w:t>接到买方通知三天内，卖方安排专业</w:t>
      </w:r>
      <w:r>
        <w:rPr>
          <w:rFonts w:hint="eastAsia" w:cs="Times New Roman"/>
          <w:lang w:val="en-US" w:eastAsia="zh-CN"/>
        </w:rPr>
        <w:t>工程师</w:t>
      </w:r>
      <w:r>
        <w:rPr>
          <w:rFonts w:hint="default" w:ascii="Times New Roman" w:hAnsi="Times New Roman" w:cs="Times New Roman"/>
          <w:lang w:val="en-US" w:eastAsia="zh-CN"/>
        </w:rPr>
        <w:t>（含机械、电仪等专业人员）指导安装，直至安装调试合格。</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46" w:name="_Toc4951"/>
      <w:bookmarkStart w:id="47" w:name="_Toc15454"/>
      <w:bookmarkStart w:id="48" w:name="_Toc26945"/>
      <w:bookmarkStart w:id="49" w:name="_Toc11103"/>
      <w:bookmarkStart w:id="50" w:name="_Toc25459"/>
      <w:r>
        <w:rPr>
          <w:rFonts w:hint="eastAsia" w:ascii="Times New Roman" w:hAnsi="Times New Roman" w:eastAsia="宋体" w:cs="Times New Roman"/>
          <w:b/>
          <w:kern w:val="44"/>
          <w:sz w:val="28"/>
          <w:szCs w:val="28"/>
          <w:lang w:val="en-US" w:eastAsia="zh-CN" w:bidi="ar-SA"/>
        </w:rPr>
        <w:t>油漆与包装运输</w:t>
      </w:r>
      <w:bookmarkEnd w:id="46"/>
      <w:bookmarkEnd w:id="47"/>
      <w:bookmarkEnd w:id="48"/>
      <w:bookmarkEnd w:id="49"/>
      <w:bookmarkEnd w:id="50"/>
    </w:p>
    <w:p>
      <w:pPr>
        <w:autoSpaceDE w:val="0"/>
        <w:autoSpaceDN w:val="0"/>
        <w:adjustRightInd w:val="0"/>
        <w:snapToGrid w:val="0"/>
        <w:spacing w:line="560" w:lineRule="exact"/>
        <w:ind w:left="-120" w:leftChars="-50" w:right="-120" w:rightChars="-50" w:firstLine="480"/>
        <w:rPr>
          <w:rFonts w:hint="default" w:ascii="Times New Roman" w:hAnsi="Times New Roman" w:cs="Times New Roman"/>
          <w:lang w:val="en-GB" w:eastAsia="zh-CN"/>
        </w:rPr>
      </w:pPr>
      <w:r>
        <w:rPr>
          <w:rFonts w:hint="eastAsia" w:ascii="Times New Roman" w:hAnsi="Times New Roman" w:cs="Times New Roman"/>
          <w:lang w:val="en-US" w:eastAsia="zh-CN"/>
        </w:rPr>
        <w:t>1.</w:t>
      </w:r>
      <w:r>
        <w:rPr>
          <w:rFonts w:hint="eastAsia" w:ascii="Times New Roman" w:hAnsi="Times New Roman" w:cs="Times New Roman"/>
          <w:lang w:val="en-GB" w:eastAsia="zh-CN"/>
        </w:rPr>
        <w:t>设备的油漆、包装、运输必须符合国家现行有关标准和企业规定。油漆颜色</w:t>
      </w:r>
      <w:r>
        <w:rPr>
          <w:rFonts w:hint="eastAsia" w:ascii="Times New Roman" w:hAnsi="Times New Roman" w:cs="Times New Roman"/>
          <w:lang w:val="en-US" w:eastAsia="zh-CN"/>
        </w:rPr>
        <w:t>按</w:t>
      </w:r>
      <w:r>
        <w:rPr>
          <w:rFonts w:hint="eastAsia" w:ascii="Times New Roman" w:hAnsi="Times New Roman" w:cs="Times New Roman"/>
          <w:lang w:val="en-GB" w:eastAsia="zh-CN"/>
        </w:rPr>
        <w:t>买方</w:t>
      </w:r>
      <w:r>
        <w:rPr>
          <w:rFonts w:hint="eastAsia" w:ascii="Times New Roman" w:hAnsi="Times New Roman" w:cs="Times New Roman"/>
          <w:lang w:val="en-US" w:eastAsia="zh-CN"/>
        </w:rPr>
        <w:t>统一规定执行</w:t>
      </w:r>
      <w:r>
        <w:rPr>
          <w:rFonts w:hint="eastAsia" w:ascii="Times New Roman" w:hAnsi="Times New Roman" w:cs="Times New Roman"/>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2.</w:t>
      </w:r>
      <w:r>
        <w:rPr>
          <w:rFonts w:hint="eastAsia" w:ascii="Times New Roman" w:hAnsi="Times New Roman" w:cs="Times New Roman"/>
          <w:lang w:val="en-GB" w:eastAsia="zh-CN"/>
        </w:rPr>
        <w:t>包装箱应符合有关规定要求，保证运输期间不会损坏。每个设备箱至少应包括二份详细的装箱清单和一份质量检验证明书和产品合格证，一份交买方，一份在箱内。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3.</w:t>
      </w:r>
      <w:r>
        <w:rPr>
          <w:rFonts w:hint="eastAsia" w:ascii="Times New Roman" w:hAnsi="Times New Roman" w:cs="Times New Roman"/>
          <w:lang w:val="en-GB" w:eastAsia="zh-CN"/>
        </w:rPr>
        <w:t>设备的外包装箱上应清楚地标明：出厂编号、总共箱数及箱号、发货站、到货站、发货单位、收货单位、出厂或装箱日期以及设备运输、储存保管要求的国际通用标记。</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4.</w:t>
      </w:r>
      <w:r>
        <w:rPr>
          <w:rFonts w:hint="eastAsia" w:ascii="Times New Roman" w:hAnsi="Times New Roman" w:cs="Times New Roman"/>
          <w:lang w:val="en-GB" w:eastAsia="zh-CN"/>
        </w:rPr>
        <w:t>由于卖方包装、运输原因所造成的设备丢失、缺损、发霉、锈蚀、受潮和错发等问题，卖方负责修理、补充或更换。</w:t>
      </w:r>
    </w:p>
    <w:p>
      <w:pPr>
        <w:autoSpaceDE w:val="0"/>
        <w:autoSpaceDN w:val="0"/>
        <w:adjustRightInd w:val="0"/>
        <w:snapToGrid w:val="0"/>
        <w:spacing w:line="560" w:lineRule="exact"/>
        <w:ind w:left="-120" w:leftChars="-50" w:right="-120" w:rightChars="-50" w:firstLine="480"/>
        <w:rPr>
          <w:rFonts w:hint="eastAsia" w:cs="Times New Roman"/>
          <w:lang w:val="en-GB" w:eastAsia="zh-CN"/>
        </w:rPr>
      </w:pPr>
      <w:r>
        <w:rPr>
          <w:rFonts w:hint="eastAsia" w:ascii="Times New Roman" w:hAnsi="Times New Roman" w:cs="Times New Roman"/>
          <w:lang w:val="en-US" w:eastAsia="zh-CN"/>
        </w:rPr>
        <w:t>5.</w:t>
      </w:r>
      <w:r>
        <w:rPr>
          <w:rFonts w:hint="eastAsia" w:ascii="Times New Roman" w:hAnsi="Times New Roman" w:cs="Times New Roman"/>
          <w:lang w:val="en-GB" w:eastAsia="zh-CN"/>
        </w:rPr>
        <w:t>运输费用由卖方负责。货物到达甲方现场并接受之前，货物的安全问题由买方负责</w:t>
      </w:r>
      <w:r>
        <w:rPr>
          <w:rFonts w:hint="eastAsia" w:cs="Times New Roman"/>
          <w:lang w:val="en-GB" w:eastAsia="zh-CN"/>
        </w:rPr>
        <w:t>。</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51" w:name="_Toc22007"/>
      <w:bookmarkStart w:id="52" w:name="_Toc4984"/>
      <w:bookmarkStart w:id="53" w:name="_Toc31100"/>
      <w:bookmarkStart w:id="54" w:name="_Toc10019"/>
      <w:bookmarkStart w:id="55" w:name="_Toc241"/>
      <w:r>
        <w:rPr>
          <w:rFonts w:hint="eastAsia" w:ascii="Times New Roman" w:hAnsi="Times New Roman" w:cs="Times New Roman"/>
          <w:b/>
          <w:kern w:val="44"/>
          <w:sz w:val="28"/>
          <w:szCs w:val="28"/>
          <w:lang w:val="en-US" w:eastAsia="zh-CN" w:bidi="ar-SA"/>
        </w:rPr>
        <w:t>买卖双方责任范围</w:t>
      </w:r>
      <w:bookmarkEnd w:id="51"/>
      <w:bookmarkEnd w:id="52"/>
      <w:bookmarkEnd w:id="53"/>
      <w:bookmarkEnd w:id="54"/>
      <w:bookmarkEnd w:id="55"/>
    </w:p>
    <w:p>
      <w:pPr>
        <w:numPr>
          <w:ilvl w:val="0"/>
          <w:numId w:val="0"/>
        </w:numPr>
        <w:autoSpaceDE w:val="0"/>
        <w:autoSpaceDN w:val="0"/>
        <w:adjustRightInd w:val="0"/>
        <w:snapToGrid w:val="0"/>
        <w:spacing w:line="560" w:lineRule="exact"/>
        <w:ind w:leftChars="150" w:right="-120" w:rightChars="-50"/>
        <w:outlineLvl w:val="9"/>
        <w:rPr>
          <w:rFonts w:hint="default"/>
          <w:lang w:val="en-US" w:eastAsia="zh-CN"/>
        </w:rPr>
      </w:pPr>
      <w:r>
        <w:rPr>
          <w:rFonts w:hint="default"/>
          <w:lang w:val="en-US" w:eastAsia="zh-CN"/>
        </w:rPr>
        <w:t>○印：责任范围</w:t>
      </w:r>
      <w:r>
        <w:rPr>
          <w:rFonts w:hint="eastAsia"/>
          <w:lang w:val="en-US" w:eastAsia="zh-CN"/>
        </w:rPr>
        <w:t xml:space="preserve">      </w:t>
      </w:r>
      <w:r>
        <w:rPr>
          <w:rFonts w:hint="default"/>
          <w:lang w:val="en-US" w:eastAsia="zh-CN"/>
        </w:rPr>
        <w:t xml:space="preserve"> </w:t>
      </w:r>
      <w:r>
        <w:rPr>
          <w:rFonts w:hint="eastAsia"/>
          <w:lang w:val="en-US" w:eastAsia="zh-CN"/>
        </w:rPr>
        <w:t>-</w:t>
      </w:r>
      <w:r>
        <w:rPr>
          <w:rFonts w:hint="default"/>
          <w:lang w:val="en-US" w:eastAsia="zh-CN"/>
        </w:rPr>
        <w:t>印：责任范围外</w:t>
      </w:r>
    </w:p>
    <w:tbl>
      <w:tblPr>
        <w:tblStyle w:val="15"/>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9"/>
        <w:gridCol w:w="1472"/>
        <w:gridCol w:w="1797"/>
        <w:gridCol w:w="1217"/>
        <w:gridCol w:w="1207"/>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Header/>
          <w:jc w:val="center"/>
        </w:trPr>
        <w:tc>
          <w:tcPr>
            <w:tcW w:w="2198" w:type="dxa"/>
            <w:gridSpan w:val="2"/>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业务区分</w:t>
            </w: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w:t>
            </w:r>
            <w:r>
              <w:rPr>
                <w:rFonts w:hint="eastAsia" w:ascii="Times New Roman" w:hAnsi="Times New Roman" w:cs="Times New Roman"/>
                <w:b/>
                <w:bCs/>
                <w:color w:val="auto"/>
                <w:kern w:val="2"/>
                <w:sz w:val="21"/>
                <w:szCs w:val="24"/>
                <w:highlight w:val="none"/>
                <w:lang w:val="en-US" w:eastAsia="zh-CN" w:bidi="ar-SA"/>
              </w:rPr>
              <w:tab/>
            </w:r>
            <w:r>
              <w:rPr>
                <w:rFonts w:hint="eastAsia" w:ascii="Times New Roman" w:hAnsi="Times New Roman" w:cs="Times New Roman"/>
                <w:b/>
                <w:bCs/>
                <w:color w:val="auto"/>
                <w:kern w:val="2"/>
                <w:sz w:val="21"/>
                <w:szCs w:val="24"/>
                <w:highlight w:val="none"/>
                <w:lang w:val="en-US" w:eastAsia="zh-CN" w:bidi="ar-SA"/>
              </w:rPr>
              <w:t>目</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卖方</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买方</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470"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最终规格确认</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470"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设备制作部分</w:t>
            </w: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12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2"/>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w:t>
            </w:r>
          </w:p>
        </w:tc>
        <w:tc>
          <w:tcPr>
            <w:tcW w:w="12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2"/>
              <w:ind w:left="1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2"/>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上盖开孔位置及尺寸确认</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177"/>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1"/>
              <w:ind w:left="107"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28"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470"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运输相关</w:t>
            </w: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w:t>
            </w:r>
          </w:p>
        </w:tc>
        <w:tc>
          <w:tcPr>
            <w:tcW w:w="12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运输捆包</w:t>
            </w:r>
          </w:p>
        </w:tc>
        <w:tc>
          <w:tcPr>
            <w:tcW w:w="12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1"/>
              <w:ind w:left="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1"/>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176"/>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176"/>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176"/>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107"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工场内搬运</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0"/>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470"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安装调试相关</w:t>
            </w: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安装、组装</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一次配管及配线</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177"/>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1"/>
              <w:jc w:val="both"/>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二次配管及配线</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1" w:line="278" w:lineRule="auto"/>
              <w:ind w:left="107" w:right="96"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买方负责接机；</w:t>
            </w:r>
          </w:p>
          <w:p>
            <w:pPr>
              <w:pStyle w:val="19"/>
              <w:keepNext w:val="0"/>
              <w:keepLines w:val="0"/>
              <w:pageBreakBefore w:val="0"/>
              <w:widowControl w:val="0"/>
              <w:kinsoku/>
              <w:wordWrap/>
              <w:overflowPunct/>
              <w:topLinePunct w:val="0"/>
              <w:autoSpaceDE/>
              <w:autoSpaceDN/>
              <w:bidi w:val="0"/>
              <w:adjustRightInd/>
              <w:snapToGrid/>
              <w:spacing w:before="21" w:line="278" w:lineRule="auto"/>
              <w:ind w:left="107" w:right="96"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卖方提供二次侧电缆+派人现场</w:t>
            </w:r>
            <w:r>
              <w:rPr>
                <w:rFonts w:hint="eastAsia" w:ascii="Times New Roman" w:hAnsi="Times New Roman" w:eastAsia="宋体" w:cs="Times New Roman"/>
                <w:color w:val="auto"/>
                <w:kern w:val="2"/>
                <w:sz w:val="21"/>
                <w:szCs w:val="24"/>
                <w:highlight w:val="yellow"/>
                <w:lang w:val="en-US" w:eastAsia="zh-CN" w:bidi="ar-SA"/>
              </w:rPr>
              <w:t>指导安装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试运转调试</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卖方负责调试</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按照工艺要求双方现场进行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5"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试运转材料提供</w:t>
            </w:r>
          </w:p>
        </w:tc>
        <w:tc>
          <w:tcPr>
            <w:tcW w:w="121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6"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提供试机所用</w:t>
            </w:r>
            <w:r>
              <w:rPr>
                <w:rFonts w:hint="eastAsia" w:ascii="Times New Roman" w:hAnsi="Times New Roman" w:cs="Times New Roman"/>
                <w:color w:val="auto"/>
                <w:kern w:val="2"/>
                <w:sz w:val="21"/>
                <w:szCs w:val="24"/>
                <w:highlight w:val="none"/>
                <w:lang w:val="en-US" w:eastAsia="zh-CN" w:bidi="ar-SA"/>
              </w:rPr>
              <w:t>原</w:t>
            </w:r>
            <w:r>
              <w:rPr>
                <w:rFonts w:hint="eastAsia" w:ascii="Times New Roman" w:hAnsi="Times New Roman" w:eastAsia="宋体" w:cs="Times New Roman"/>
                <w:color w:val="auto"/>
                <w:kern w:val="2"/>
                <w:sz w:val="21"/>
                <w:szCs w:val="24"/>
                <w:highlight w:val="none"/>
                <w:lang w:val="en-US" w:eastAsia="zh-CN" w:bidi="ar-SA"/>
              </w:rPr>
              <w:t>材料</w:t>
            </w:r>
          </w:p>
        </w:tc>
      </w:tr>
    </w:tbl>
    <w:p>
      <w:pPr>
        <w:pStyle w:val="18"/>
        <w:outlineLvl w:val="9"/>
        <w:rPr>
          <w:rFonts w:hint="default"/>
          <w:lang w:val="en-US" w:eastAsia="zh-CN"/>
        </w:rPr>
      </w:pPr>
    </w:p>
    <w:p>
      <w:pPr>
        <w:pStyle w:val="8"/>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4"/>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3"/>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0957AAC"/>
    <w:multiLevelType w:val="singleLevel"/>
    <w:tmpl w:val="E0957AAC"/>
    <w:lvl w:ilvl="0" w:tentative="0">
      <w:start w:val="1"/>
      <w:numFmt w:val="lowerLetter"/>
      <w:suff w:val="space"/>
      <w:lvlText w:val="%1."/>
      <w:lvlJc w:val="left"/>
    </w:lvl>
  </w:abstractNum>
  <w:abstractNum w:abstractNumId="3">
    <w:nsid w:val="EDC1BF9A"/>
    <w:multiLevelType w:val="singleLevel"/>
    <w:tmpl w:val="EDC1BF9A"/>
    <w:lvl w:ilvl="0" w:tentative="0">
      <w:start w:val="1"/>
      <w:numFmt w:val="lowerLetter"/>
      <w:suff w:val="space"/>
      <w:lvlText w:val="%1."/>
      <w:lvlJc w:val="left"/>
    </w:lvl>
  </w:abstractNum>
  <w:abstractNum w:abstractNumId="4">
    <w:nsid w:val="1F605887"/>
    <w:multiLevelType w:val="singleLevel"/>
    <w:tmpl w:val="1F605887"/>
    <w:lvl w:ilvl="0" w:tentative="0">
      <w:start w:val="1"/>
      <w:numFmt w:val="lowerLetter"/>
      <w:lvlText w:val="%1."/>
      <w:lvlJc w:val="left"/>
      <w:pPr>
        <w:tabs>
          <w:tab w:val="left" w:pos="312"/>
        </w:tabs>
      </w:pPr>
    </w:lvl>
  </w:abstractNum>
  <w:abstractNum w:abstractNumId="5">
    <w:nsid w:val="325FE92F"/>
    <w:multiLevelType w:val="singleLevel"/>
    <w:tmpl w:val="325FE92F"/>
    <w:lvl w:ilvl="0" w:tentative="0">
      <w:start w:val="1"/>
      <w:numFmt w:val="decimal"/>
      <w:suff w:val="nothing"/>
      <w:lvlText w:val="（%1）"/>
      <w:lvlJc w:val="left"/>
      <w:pPr>
        <w:ind w:left="480" w:leftChars="0" w:firstLine="0" w:firstLineChars="0"/>
      </w:pPr>
    </w:lvl>
  </w:abstractNum>
  <w:abstractNum w:abstractNumId="6">
    <w:nsid w:val="50EE0AE2"/>
    <w:multiLevelType w:val="multilevel"/>
    <w:tmpl w:val="50EE0AE2"/>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xMjBmYjFlZmNiZDlmMGVkNzdkZjVjNmFjZTY0ZDQifQ=="/>
  </w:docVars>
  <w:rsids>
    <w:rsidRoot w:val="420E3092"/>
    <w:rsid w:val="0011023B"/>
    <w:rsid w:val="00133C9C"/>
    <w:rsid w:val="001C4A51"/>
    <w:rsid w:val="001E20F2"/>
    <w:rsid w:val="00395584"/>
    <w:rsid w:val="0045152B"/>
    <w:rsid w:val="006066B9"/>
    <w:rsid w:val="00681C95"/>
    <w:rsid w:val="008A4E6A"/>
    <w:rsid w:val="008E5C6D"/>
    <w:rsid w:val="009319AE"/>
    <w:rsid w:val="00975317"/>
    <w:rsid w:val="00AB2FDA"/>
    <w:rsid w:val="00B204F4"/>
    <w:rsid w:val="00B21B52"/>
    <w:rsid w:val="00BA1050"/>
    <w:rsid w:val="00C419D6"/>
    <w:rsid w:val="00C551C1"/>
    <w:rsid w:val="00C973AF"/>
    <w:rsid w:val="00CE4D69"/>
    <w:rsid w:val="00F81534"/>
    <w:rsid w:val="00F96FFA"/>
    <w:rsid w:val="00FB70A2"/>
    <w:rsid w:val="010E1F23"/>
    <w:rsid w:val="019404F8"/>
    <w:rsid w:val="0350044F"/>
    <w:rsid w:val="03E272F9"/>
    <w:rsid w:val="044C50BA"/>
    <w:rsid w:val="045B70AB"/>
    <w:rsid w:val="05D46230"/>
    <w:rsid w:val="05E03D0C"/>
    <w:rsid w:val="05F76EB5"/>
    <w:rsid w:val="06051B8A"/>
    <w:rsid w:val="06285F4E"/>
    <w:rsid w:val="064A73D7"/>
    <w:rsid w:val="06624721"/>
    <w:rsid w:val="076F3599"/>
    <w:rsid w:val="07A974BB"/>
    <w:rsid w:val="07E35623"/>
    <w:rsid w:val="08541AE2"/>
    <w:rsid w:val="08565332"/>
    <w:rsid w:val="08D86F1C"/>
    <w:rsid w:val="09063A89"/>
    <w:rsid w:val="092D1D3F"/>
    <w:rsid w:val="0A011659"/>
    <w:rsid w:val="0A3245CA"/>
    <w:rsid w:val="0AE53B72"/>
    <w:rsid w:val="0AFD2C6A"/>
    <w:rsid w:val="0B486EB0"/>
    <w:rsid w:val="0B894E19"/>
    <w:rsid w:val="0B8C3FEE"/>
    <w:rsid w:val="0BAE039B"/>
    <w:rsid w:val="0BBD2598"/>
    <w:rsid w:val="0BCB0FBA"/>
    <w:rsid w:val="0BD95485"/>
    <w:rsid w:val="0BFE6C9A"/>
    <w:rsid w:val="0C730594"/>
    <w:rsid w:val="0CBC03F1"/>
    <w:rsid w:val="0D036EDE"/>
    <w:rsid w:val="0D091860"/>
    <w:rsid w:val="0D4C1032"/>
    <w:rsid w:val="0DC14423"/>
    <w:rsid w:val="0DF23947"/>
    <w:rsid w:val="0E040695"/>
    <w:rsid w:val="0E086D3A"/>
    <w:rsid w:val="0E673AD7"/>
    <w:rsid w:val="0ECA5F52"/>
    <w:rsid w:val="0EEB219D"/>
    <w:rsid w:val="0F0C4A59"/>
    <w:rsid w:val="0F62295D"/>
    <w:rsid w:val="0FDC5544"/>
    <w:rsid w:val="0FE97C61"/>
    <w:rsid w:val="106E1C0C"/>
    <w:rsid w:val="10C06C14"/>
    <w:rsid w:val="10F90765"/>
    <w:rsid w:val="11611B50"/>
    <w:rsid w:val="11D5049D"/>
    <w:rsid w:val="11D720D8"/>
    <w:rsid w:val="11D90AD7"/>
    <w:rsid w:val="12734B7F"/>
    <w:rsid w:val="128864C1"/>
    <w:rsid w:val="12971947"/>
    <w:rsid w:val="12CA1FCB"/>
    <w:rsid w:val="12FF7E1E"/>
    <w:rsid w:val="13023513"/>
    <w:rsid w:val="13BF1DBD"/>
    <w:rsid w:val="13E729A1"/>
    <w:rsid w:val="14003F0D"/>
    <w:rsid w:val="143C5DF0"/>
    <w:rsid w:val="147D7E6A"/>
    <w:rsid w:val="14AD3953"/>
    <w:rsid w:val="153E27FD"/>
    <w:rsid w:val="15475B55"/>
    <w:rsid w:val="15C40F54"/>
    <w:rsid w:val="15CA5E3E"/>
    <w:rsid w:val="16421E79"/>
    <w:rsid w:val="168A5092"/>
    <w:rsid w:val="16A526C7"/>
    <w:rsid w:val="16DB6E25"/>
    <w:rsid w:val="16DC407B"/>
    <w:rsid w:val="172901FF"/>
    <w:rsid w:val="186567A2"/>
    <w:rsid w:val="18823AC5"/>
    <w:rsid w:val="189A116C"/>
    <w:rsid w:val="19025819"/>
    <w:rsid w:val="19526877"/>
    <w:rsid w:val="198253AE"/>
    <w:rsid w:val="199A1FE9"/>
    <w:rsid w:val="19B95D77"/>
    <w:rsid w:val="19DB4C55"/>
    <w:rsid w:val="1A44596A"/>
    <w:rsid w:val="1A5403CD"/>
    <w:rsid w:val="1A917BF7"/>
    <w:rsid w:val="1AB46A98"/>
    <w:rsid w:val="1B0167A6"/>
    <w:rsid w:val="1B0C5264"/>
    <w:rsid w:val="1B2B2550"/>
    <w:rsid w:val="1B9B1759"/>
    <w:rsid w:val="1BC17CE4"/>
    <w:rsid w:val="1C891218"/>
    <w:rsid w:val="1CCB2BC8"/>
    <w:rsid w:val="1D1064CC"/>
    <w:rsid w:val="1DEE106A"/>
    <w:rsid w:val="1E9A6CF6"/>
    <w:rsid w:val="1EDE4F4A"/>
    <w:rsid w:val="1EF22302"/>
    <w:rsid w:val="1F64045B"/>
    <w:rsid w:val="1F93212F"/>
    <w:rsid w:val="1FCC304D"/>
    <w:rsid w:val="205277B8"/>
    <w:rsid w:val="206A6B9C"/>
    <w:rsid w:val="21380A48"/>
    <w:rsid w:val="213B4B89"/>
    <w:rsid w:val="21661111"/>
    <w:rsid w:val="218F2F30"/>
    <w:rsid w:val="21C2133B"/>
    <w:rsid w:val="221257F2"/>
    <w:rsid w:val="228C59A5"/>
    <w:rsid w:val="22985DCE"/>
    <w:rsid w:val="22FF3F45"/>
    <w:rsid w:val="235B60DC"/>
    <w:rsid w:val="237A70F6"/>
    <w:rsid w:val="23983A20"/>
    <w:rsid w:val="23D119EE"/>
    <w:rsid w:val="24701A48"/>
    <w:rsid w:val="24D33715"/>
    <w:rsid w:val="24F133E8"/>
    <w:rsid w:val="25BE0B79"/>
    <w:rsid w:val="25D0724F"/>
    <w:rsid w:val="26220F7D"/>
    <w:rsid w:val="2642684E"/>
    <w:rsid w:val="26485CB3"/>
    <w:rsid w:val="266320C3"/>
    <w:rsid w:val="270839E3"/>
    <w:rsid w:val="27643E35"/>
    <w:rsid w:val="27D90D61"/>
    <w:rsid w:val="281426A1"/>
    <w:rsid w:val="28374226"/>
    <w:rsid w:val="288602EB"/>
    <w:rsid w:val="28A14CAD"/>
    <w:rsid w:val="29130F5F"/>
    <w:rsid w:val="294206B6"/>
    <w:rsid w:val="2A407548"/>
    <w:rsid w:val="2A5A558B"/>
    <w:rsid w:val="2A8A4095"/>
    <w:rsid w:val="2B876854"/>
    <w:rsid w:val="2BE758B3"/>
    <w:rsid w:val="2D607A1D"/>
    <w:rsid w:val="2DC25F5A"/>
    <w:rsid w:val="2DEE1D98"/>
    <w:rsid w:val="2E3A3BC0"/>
    <w:rsid w:val="2E7A444E"/>
    <w:rsid w:val="2EC46B3C"/>
    <w:rsid w:val="2F350375"/>
    <w:rsid w:val="2FAF45CB"/>
    <w:rsid w:val="2FD438CC"/>
    <w:rsid w:val="30573B8E"/>
    <w:rsid w:val="312F12D8"/>
    <w:rsid w:val="314D2A6F"/>
    <w:rsid w:val="31717D8A"/>
    <w:rsid w:val="317E1FB4"/>
    <w:rsid w:val="31B84AAD"/>
    <w:rsid w:val="32340DB8"/>
    <w:rsid w:val="329D0DFF"/>
    <w:rsid w:val="32A26E1B"/>
    <w:rsid w:val="32B60E5B"/>
    <w:rsid w:val="334E7C57"/>
    <w:rsid w:val="33B977C6"/>
    <w:rsid w:val="34013A65"/>
    <w:rsid w:val="34272982"/>
    <w:rsid w:val="34666505"/>
    <w:rsid w:val="34A264AC"/>
    <w:rsid w:val="35246EC1"/>
    <w:rsid w:val="354B7A7C"/>
    <w:rsid w:val="354F7EAB"/>
    <w:rsid w:val="358D2CB9"/>
    <w:rsid w:val="359C114E"/>
    <w:rsid w:val="35D16601"/>
    <w:rsid w:val="36466A9F"/>
    <w:rsid w:val="365A788E"/>
    <w:rsid w:val="366A3C5E"/>
    <w:rsid w:val="36987B67"/>
    <w:rsid w:val="36A502E6"/>
    <w:rsid w:val="370F51A6"/>
    <w:rsid w:val="371A67CE"/>
    <w:rsid w:val="3720190B"/>
    <w:rsid w:val="37490E61"/>
    <w:rsid w:val="37E00D3A"/>
    <w:rsid w:val="38A75F00"/>
    <w:rsid w:val="38C77023"/>
    <w:rsid w:val="39000B48"/>
    <w:rsid w:val="39386D6D"/>
    <w:rsid w:val="39F63E15"/>
    <w:rsid w:val="3A04181D"/>
    <w:rsid w:val="3A122D4C"/>
    <w:rsid w:val="3AD46C94"/>
    <w:rsid w:val="3AE0388B"/>
    <w:rsid w:val="3AEA6D99"/>
    <w:rsid w:val="3BF37E34"/>
    <w:rsid w:val="3CC13DBB"/>
    <w:rsid w:val="3D5F13DF"/>
    <w:rsid w:val="3D804EB1"/>
    <w:rsid w:val="3DA05553"/>
    <w:rsid w:val="3E2241BA"/>
    <w:rsid w:val="3E234634"/>
    <w:rsid w:val="3ECD2378"/>
    <w:rsid w:val="3EE17BD1"/>
    <w:rsid w:val="3EF23B8C"/>
    <w:rsid w:val="3F3B5CA6"/>
    <w:rsid w:val="3F576444"/>
    <w:rsid w:val="3F6C393F"/>
    <w:rsid w:val="3F6F51DD"/>
    <w:rsid w:val="3FCE658B"/>
    <w:rsid w:val="3FF57DD8"/>
    <w:rsid w:val="403160CA"/>
    <w:rsid w:val="40470FDD"/>
    <w:rsid w:val="405B2981"/>
    <w:rsid w:val="40D71B0D"/>
    <w:rsid w:val="414E3521"/>
    <w:rsid w:val="41614FF9"/>
    <w:rsid w:val="417D0085"/>
    <w:rsid w:val="41EE5659"/>
    <w:rsid w:val="420E3092"/>
    <w:rsid w:val="42357EBF"/>
    <w:rsid w:val="42861473"/>
    <w:rsid w:val="42E61C5A"/>
    <w:rsid w:val="42FC5CA1"/>
    <w:rsid w:val="433561DD"/>
    <w:rsid w:val="4355293C"/>
    <w:rsid w:val="43763A35"/>
    <w:rsid w:val="44C47D79"/>
    <w:rsid w:val="44F25050"/>
    <w:rsid w:val="45236DFE"/>
    <w:rsid w:val="45A55DFD"/>
    <w:rsid w:val="463C7836"/>
    <w:rsid w:val="46A2306B"/>
    <w:rsid w:val="470C060F"/>
    <w:rsid w:val="470E1010"/>
    <w:rsid w:val="47253C1A"/>
    <w:rsid w:val="47943DC7"/>
    <w:rsid w:val="481352A4"/>
    <w:rsid w:val="481F1950"/>
    <w:rsid w:val="495F2D19"/>
    <w:rsid w:val="49644740"/>
    <w:rsid w:val="4974354D"/>
    <w:rsid w:val="49B06B1E"/>
    <w:rsid w:val="49D700DA"/>
    <w:rsid w:val="49E72DEA"/>
    <w:rsid w:val="4A5120AF"/>
    <w:rsid w:val="4A791A90"/>
    <w:rsid w:val="4AA04DE4"/>
    <w:rsid w:val="4AAB05FE"/>
    <w:rsid w:val="4B35166F"/>
    <w:rsid w:val="4B5866DE"/>
    <w:rsid w:val="4B5C6F5D"/>
    <w:rsid w:val="4B95072B"/>
    <w:rsid w:val="4C1B0BC7"/>
    <w:rsid w:val="4C1D3A9A"/>
    <w:rsid w:val="4CC43A0A"/>
    <w:rsid w:val="4CDC7F9F"/>
    <w:rsid w:val="4DB75F1A"/>
    <w:rsid w:val="4DE41E5A"/>
    <w:rsid w:val="4DF46BB6"/>
    <w:rsid w:val="4DFF7D33"/>
    <w:rsid w:val="4E2B7618"/>
    <w:rsid w:val="4E601839"/>
    <w:rsid w:val="4E7256BE"/>
    <w:rsid w:val="4E8748FA"/>
    <w:rsid w:val="4EE03A01"/>
    <w:rsid w:val="4F495880"/>
    <w:rsid w:val="4F9A725F"/>
    <w:rsid w:val="4FEC63D6"/>
    <w:rsid w:val="4FFA2DA3"/>
    <w:rsid w:val="502D4C7A"/>
    <w:rsid w:val="507A1108"/>
    <w:rsid w:val="50BD21C0"/>
    <w:rsid w:val="50FE2865"/>
    <w:rsid w:val="511300BE"/>
    <w:rsid w:val="51256043"/>
    <w:rsid w:val="5268443A"/>
    <w:rsid w:val="52821CF7"/>
    <w:rsid w:val="528E50AB"/>
    <w:rsid w:val="52950FA7"/>
    <w:rsid w:val="52C21BD8"/>
    <w:rsid w:val="52C8130F"/>
    <w:rsid w:val="52D7336D"/>
    <w:rsid w:val="53091289"/>
    <w:rsid w:val="53591C57"/>
    <w:rsid w:val="53632588"/>
    <w:rsid w:val="536C1D08"/>
    <w:rsid w:val="54A42D89"/>
    <w:rsid w:val="54AD0A81"/>
    <w:rsid w:val="54D71F1A"/>
    <w:rsid w:val="558477DD"/>
    <w:rsid w:val="55AC109B"/>
    <w:rsid w:val="55AD1F14"/>
    <w:rsid w:val="55CC2F32"/>
    <w:rsid w:val="55FB5C27"/>
    <w:rsid w:val="56003FBF"/>
    <w:rsid w:val="560B5CB2"/>
    <w:rsid w:val="56152E93"/>
    <w:rsid w:val="5635234A"/>
    <w:rsid w:val="563E640C"/>
    <w:rsid w:val="564C7BCE"/>
    <w:rsid w:val="56816CC1"/>
    <w:rsid w:val="56FB3ACE"/>
    <w:rsid w:val="57243FF4"/>
    <w:rsid w:val="57320C68"/>
    <w:rsid w:val="577E0EF6"/>
    <w:rsid w:val="581110D0"/>
    <w:rsid w:val="587E57C9"/>
    <w:rsid w:val="58B877B7"/>
    <w:rsid w:val="58F46A27"/>
    <w:rsid w:val="594F1EAF"/>
    <w:rsid w:val="5959745E"/>
    <w:rsid w:val="59DF76D7"/>
    <w:rsid w:val="5A6279C1"/>
    <w:rsid w:val="5B0311A3"/>
    <w:rsid w:val="5B5F204E"/>
    <w:rsid w:val="5B710D6D"/>
    <w:rsid w:val="5BA44F3F"/>
    <w:rsid w:val="5C1170D3"/>
    <w:rsid w:val="5C62639E"/>
    <w:rsid w:val="5D3A7F35"/>
    <w:rsid w:val="5D8D11F8"/>
    <w:rsid w:val="5E061A46"/>
    <w:rsid w:val="5E3716FF"/>
    <w:rsid w:val="5EBC30A5"/>
    <w:rsid w:val="5ED748CA"/>
    <w:rsid w:val="5EE74A73"/>
    <w:rsid w:val="5EEF6B1A"/>
    <w:rsid w:val="5F096FA4"/>
    <w:rsid w:val="5F4D4EEE"/>
    <w:rsid w:val="5FC2117B"/>
    <w:rsid w:val="5FF27A39"/>
    <w:rsid w:val="60926DBF"/>
    <w:rsid w:val="609A399F"/>
    <w:rsid w:val="612B2565"/>
    <w:rsid w:val="61AD324A"/>
    <w:rsid w:val="621F1F6A"/>
    <w:rsid w:val="62402D30"/>
    <w:rsid w:val="62630367"/>
    <w:rsid w:val="628630B9"/>
    <w:rsid w:val="6299063F"/>
    <w:rsid w:val="63974B7F"/>
    <w:rsid w:val="639817B0"/>
    <w:rsid w:val="63BA261B"/>
    <w:rsid w:val="64041226"/>
    <w:rsid w:val="645055AC"/>
    <w:rsid w:val="64572CE8"/>
    <w:rsid w:val="64D1412A"/>
    <w:rsid w:val="64D15E6F"/>
    <w:rsid w:val="64E96B53"/>
    <w:rsid w:val="64E9765C"/>
    <w:rsid w:val="64ED11A3"/>
    <w:rsid w:val="656C3990"/>
    <w:rsid w:val="65EF754F"/>
    <w:rsid w:val="66B303FD"/>
    <w:rsid w:val="67AA12EC"/>
    <w:rsid w:val="687A05CB"/>
    <w:rsid w:val="68CA5740"/>
    <w:rsid w:val="68CE2C12"/>
    <w:rsid w:val="692C4A1B"/>
    <w:rsid w:val="697A2F79"/>
    <w:rsid w:val="699833FF"/>
    <w:rsid w:val="69CB581E"/>
    <w:rsid w:val="6A020035"/>
    <w:rsid w:val="6AEA1F10"/>
    <w:rsid w:val="6BCF0C2E"/>
    <w:rsid w:val="6C3A4645"/>
    <w:rsid w:val="6C3B7BA1"/>
    <w:rsid w:val="6CB220E3"/>
    <w:rsid w:val="6D2B2B4B"/>
    <w:rsid w:val="6D967C55"/>
    <w:rsid w:val="6E2E7E8E"/>
    <w:rsid w:val="6E3661C1"/>
    <w:rsid w:val="6E860563"/>
    <w:rsid w:val="6EB51099"/>
    <w:rsid w:val="6ED749C9"/>
    <w:rsid w:val="6F5A4CB2"/>
    <w:rsid w:val="6F6D0E8A"/>
    <w:rsid w:val="701102E0"/>
    <w:rsid w:val="70250EE0"/>
    <w:rsid w:val="703B4AE4"/>
    <w:rsid w:val="70EE1031"/>
    <w:rsid w:val="71306613"/>
    <w:rsid w:val="71942C30"/>
    <w:rsid w:val="7195703E"/>
    <w:rsid w:val="71CC0ED0"/>
    <w:rsid w:val="72231ECA"/>
    <w:rsid w:val="72730565"/>
    <w:rsid w:val="72C154D1"/>
    <w:rsid w:val="73155AC0"/>
    <w:rsid w:val="731F693F"/>
    <w:rsid w:val="73612AB3"/>
    <w:rsid w:val="736675BE"/>
    <w:rsid w:val="737E0B7F"/>
    <w:rsid w:val="739C3FD0"/>
    <w:rsid w:val="73C240F0"/>
    <w:rsid w:val="7460720F"/>
    <w:rsid w:val="74AA3682"/>
    <w:rsid w:val="74CC4773"/>
    <w:rsid w:val="7513602F"/>
    <w:rsid w:val="7533413A"/>
    <w:rsid w:val="75502DDF"/>
    <w:rsid w:val="760106F2"/>
    <w:rsid w:val="76AA4771"/>
    <w:rsid w:val="76E64FAF"/>
    <w:rsid w:val="78370287"/>
    <w:rsid w:val="784E7AE3"/>
    <w:rsid w:val="78661915"/>
    <w:rsid w:val="788B2A23"/>
    <w:rsid w:val="788D434B"/>
    <w:rsid w:val="78C00DE1"/>
    <w:rsid w:val="79163CB7"/>
    <w:rsid w:val="79195926"/>
    <w:rsid w:val="796E3EA9"/>
    <w:rsid w:val="79EB61A0"/>
    <w:rsid w:val="7A0643B5"/>
    <w:rsid w:val="7A237CFD"/>
    <w:rsid w:val="7A9E45ED"/>
    <w:rsid w:val="7AEC4A35"/>
    <w:rsid w:val="7B5E4622"/>
    <w:rsid w:val="7BBE768A"/>
    <w:rsid w:val="7C7C51E0"/>
    <w:rsid w:val="7CB41BA4"/>
    <w:rsid w:val="7CBE4AD3"/>
    <w:rsid w:val="7D0B2DAF"/>
    <w:rsid w:val="7D851A94"/>
    <w:rsid w:val="7D8C72EC"/>
    <w:rsid w:val="7DE2006D"/>
    <w:rsid w:val="7E4C288C"/>
    <w:rsid w:val="7EA448CF"/>
    <w:rsid w:val="7EF52CFA"/>
    <w:rsid w:val="7F013954"/>
    <w:rsid w:val="7F0E1DF9"/>
    <w:rsid w:val="7F2A26A9"/>
    <w:rsid w:val="7FB35D6A"/>
    <w:rsid w:val="7FBB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3">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4">
    <w:name w:val="heading 3"/>
    <w:basedOn w:val="1"/>
    <w:next w:val="5"/>
    <w:autoRedefine/>
    <w:unhideWhenUsed/>
    <w:qFormat/>
    <w:uiPriority w:val="0"/>
    <w:pPr>
      <w:keepNext/>
      <w:keepLines/>
      <w:numPr>
        <w:ilvl w:val="2"/>
        <w:numId w:val="2"/>
      </w:numPr>
      <w:ind w:firstLine="0" w:firstLineChars="0"/>
      <w:outlineLvl w:val="2"/>
    </w:p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5">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6">
    <w:name w:val="Normal Indent"/>
    <w:basedOn w:val="1"/>
    <w:autoRedefine/>
    <w:qFormat/>
    <w:uiPriority w:val="0"/>
    <w:pPr>
      <w:ind w:firstLine="420"/>
    </w:pPr>
    <w:rPr>
      <w:szCs w:val="20"/>
    </w:rPr>
  </w:style>
  <w:style w:type="paragraph" w:styleId="7">
    <w:name w:val="annotation text"/>
    <w:basedOn w:val="1"/>
    <w:link w:val="25"/>
    <w:autoRedefine/>
    <w:qFormat/>
    <w:uiPriority w:val="0"/>
    <w:pPr>
      <w:jc w:val="left"/>
    </w:pPr>
  </w:style>
  <w:style w:type="paragraph" w:styleId="8">
    <w:name w:val="Body Text"/>
    <w:basedOn w:val="1"/>
    <w:next w:val="9"/>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9">
    <w:name w:val="Body Text First Indent"/>
    <w:basedOn w:val="8"/>
    <w:autoRedefine/>
    <w:qFormat/>
    <w:uiPriority w:val="0"/>
    <w:pPr>
      <w:ind w:firstLine="420" w:firstLineChars="1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next w:val="1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628"/>
      </w:tabs>
      <w:spacing w:line="240" w:lineRule="auto"/>
    </w:pPr>
    <w:rPr>
      <w:rFonts w:ascii="宋体" w:hAnsi="宋体"/>
      <w:b/>
      <w:sz w:val="28"/>
    </w:rPr>
  </w:style>
  <w:style w:type="paragraph" w:styleId="13">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styleId="14">
    <w:name w:val="annotation subject"/>
    <w:basedOn w:val="7"/>
    <w:next w:val="7"/>
    <w:link w:val="26"/>
    <w:autoRedefine/>
    <w:qFormat/>
    <w:uiPriority w:val="0"/>
    <w:rPr>
      <w:b/>
      <w:bCs/>
    </w:rPr>
  </w:style>
  <w:style w:type="character" w:styleId="17">
    <w:name w:val="annotation reference"/>
    <w:basedOn w:val="16"/>
    <w:autoRedefine/>
    <w:qFormat/>
    <w:uiPriority w:val="0"/>
    <w:rPr>
      <w:sz w:val="21"/>
      <w:szCs w:val="21"/>
    </w:rPr>
  </w:style>
  <w:style w:type="paragraph" w:customStyle="1" w:styleId="18">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19">
    <w:name w:val="Table Paragraph"/>
    <w:basedOn w:val="1"/>
    <w:autoRedefine/>
    <w:qFormat/>
    <w:uiPriority w:val="1"/>
    <w:pPr>
      <w:spacing w:before="178"/>
      <w:ind w:left="105"/>
    </w:pPr>
    <w:rPr>
      <w:rFonts w:ascii="宋体" w:hAnsi="宋体" w:cs="宋体"/>
    </w:rPr>
  </w:style>
  <w:style w:type="paragraph" w:customStyle="1" w:styleId="20">
    <w:name w:val="表格内文字"/>
    <w:basedOn w:val="1"/>
    <w:next w:val="1"/>
    <w:autoRedefine/>
    <w:qFormat/>
    <w:uiPriority w:val="0"/>
    <w:pPr>
      <w:spacing w:line="240" w:lineRule="auto"/>
      <w:ind w:firstLine="0" w:firstLineChars="0"/>
      <w:jc w:val="center"/>
    </w:pPr>
    <w:rPr>
      <w:sz w:val="21"/>
    </w:rPr>
  </w:style>
  <w:style w:type="paragraph" w:styleId="21">
    <w:name w:val="List Paragraph"/>
    <w:basedOn w:val="1"/>
    <w:autoRedefine/>
    <w:qFormat/>
    <w:uiPriority w:val="1"/>
    <w:pPr>
      <w:ind w:left="830" w:hanging="590"/>
    </w:pPr>
    <w:rPr>
      <w:rFonts w:ascii="宋体" w:hAnsi="宋体" w:cs="宋体"/>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table" w:customStyle="1" w:styleId="24">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5">
    <w:name w:val="批注文字 字符"/>
    <w:basedOn w:val="16"/>
    <w:link w:val="7"/>
    <w:autoRedefine/>
    <w:qFormat/>
    <w:uiPriority w:val="0"/>
    <w:rPr>
      <w:kern w:val="2"/>
      <w:sz w:val="24"/>
      <w:szCs w:val="24"/>
    </w:rPr>
  </w:style>
  <w:style w:type="character" w:customStyle="1" w:styleId="26">
    <w:name w:val="批注主题 字符"/>
    <w:basedOn w:val="25"/>
    <w:link w:val="14"/>
    <w:autoRedefine/>
    <w:qFormat/>
    <w:uiPriority w:val="0"/>
    <w:rPr>
      <w:b/>
      <w:bCs/>
      <w:kern w:val="2"/>
      <w:sz w:val="24"/>
      <w:szCs w:val="24"/>
    </w:rPr>
  </w:style>
  <w:style w:type="paragraph" w:customStyle="1" w:styleId="27">
    <w:name w:val="リスト段落3"/>
    <w:basedOn w:val="1"/>
    <w:autoRedefine/>
    <w:qFormat/>
    <w:uiPriority w:val="34"/>
    <w:pPr>
      <w:ind w:left="840" w:leftChars="4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1793</Words>
  <Characters>10222</Characters>
  <Lines>85</Lines>
  <Paragraphs>23</Paragraphs>
  <TotalTime>0</TotalTime>
  <ScaleCrop>false</ScaleCrop>
  <LinksUpToDate>false</LinksUpToDate>
  <CharactersWithSpaces>11992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2024-04-10T08:17:00Z</dcterms:created>
  <dc:creator>梦☆忆紫筱生</dc:creator>
  <cp:lastModifiedBy>WPS_1645609622</cp:lastModifiedBy>
  <dcterms:modified xsi:type="dcterms:W3CDTF">2024-05-26T13:18:34Z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7790493E6EA14F5A84F58A145FECA5B5_13</vt:lpwstr>
  </property>
</Properties>
</file>