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1"/>
        <w:gridCol w:w="550"/>
        <w:gridCol w:w="48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ind w:firstLine="0" w:firstLineChars="0"/>
              <w:jc w:val="center"/>
              <w:rPr>
                <w:rFonts w:eastAsiaTheme="minorEastAsia"/>
              </w:rPr>
            </w:pPr>
            <w:bookmarkStart w:id="49" w:name="_GoBack"/>
            <w:bookmarkEnd w:id="49"/>
            <w:r>
              <w:rPr>
                <w:rFonts w:hint="eastAsia"/>
                <w:b/>
                <w:bCs/>
              </w:rPr>
              <w:t>中机国际工程设计研究院有限责任公司</w:t>
            </w:r>
          </w:p>
        </w:tc>
        <w:tc>
          <w:tcPr>
            <w:tcW w:w="2411" w:type="pct"/>
            <w:vAlign w:val="center"/>
          </w:tcPr>
          <w:p>
            <w:pPr>
              <w:keepNext w:val="0"/>
              <w:keepLines w:val="0"/>
              <w:suppressLineNumbers w:val="0"/>
              <w:spacing w:before="0" w:beforeAutospacing="0" w:after="0" w:afterAutospacing="0"/>
              <w:ind w:right="0" w:rightChars="0" w:firstLine="480" w:firstLineChars="200"/>
              <w:jc w:val="both"/>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ind w:firstLine="0" w:firstLineChars="0"/>
              <w:jc w:val="center"/>
              <w:rPr>
                <w:rFonts w:eastAsiaTheme="minorEastAsia"/>
              </w:rPr>
            </w:pPr>
            <w:r>
              <w:rPr>
                <w:rFonts w:hint="eastAsia"/>
              </w:rPr>
              <w:t>项目号</w:t>
            </w:r>
          </w:p>
        </w:tc>
        <w:tc>
          <w:tcPr>
            <w:tcW w:w="609" w:type="pct"/>
            <w:gridSpan w:val="2"/>
            <w:vAlign w:val="center"/>
          </w:tcPr>
          <w:p>
            <w:pPr>
              <w:ind w:firstLine="0" w:firstLineChars="0"/>
              <w:jc w:val="center"/>
            </w:pPr>
          </w:p>
        </w:tc>
        <w:tc>
          <w:tcPr>
            <w:tcW w:w="610" w:type="pct"/>
            <w:vAlign w:val="center"/>
          </w:tcPr>
          <w:p>
            <w:pPr>
              <w:ind w:firstLine="0" w:firstLineChars="0"/>
              <w:jc w:val="center"/>
            </w:pPr>
            <w:r>
              <w:rPr>
                <w:rFonts w:hint="eastAsia"/>
              </w:rPr>
              <w:t>0</w:t>
            </w:r>
            <w:r>
              <w:rPr>
                <w:rFonts w:hint="eastAsia"/>
                <w:lang w:val="en-US" w:eastAsia="zh-CN"/>
              </w:rPr>
              <w:t>1</w:t>
            </w:r>
            <w:r>
              <w:rPr>
                <w:rFonts w:hint="eastAsia"/>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ind w:firstLine="0" w:firstLineChars="0"/>
              <w:jc w:val="center"/>
            </w:pPr>
            <w:r>
              <w:rPr>
                <w:rFonts w:hint="eastAsia"/>
                <w:lang w:val="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ind w:firstLine="0" w:firstLineChars="0"/>
              <w:jc w:val="center"/>
              <w:rPr>
                <w:rFonts w:eastAsiaTheme="minorEastAsia"/>
              </w:rPr>
            </w:pPr>
            <w:r>
              <w:rPr>
                <w:rFonts w:hint="eastAsia"/>
                <w:lang w:val="en-US" w:eastAsia="zh-CN"/>
              </w:rPr>
              <w:t>双对辊</w:t>
            </w:r>
            <w:r>
              <w:rPr>
                <w:rFonts w:hint="eastAsia"/>
              </w:rPr>
              <w:t>成套设备</w:t>
            </w:r>
          </w:p>
        </w:tc>
        <w:tc>
          <w:tcPr>
            <w:tcW w:w="922" w:type="pct"/>
            <w:gridSpan w:val="2"/>
            <w:vAlign w:val="center"/>
          </w:tcPr>
          <w:p>
            <w:pPr>
              <w:ind w:firstLine="480"/>
            </w:pPr>
            <w:r>
              <w:rPr>
                <w:rFonts w:hint="eastAsia"/>
              </w:rPr>
              <w:t>第1页</w:t>
            </w:r>
          </w:p>
        </w:tc>
        <w:tc>
          <w:tcPr>
            <w:tcW w:w="897" w:type="pct"/>
            <w:gridSpan w:val="2"/>
            <w:vAlign w:val="center"/>
          </w:tcPr>
          <w:p>
            <w:pPr>
              <w:ind w:firstLine="0" w:firstLineChars="0"/>
              <w:jc w:val="center"/>
            </w:pPr>
            <w:r>
              <w:rPr>
                <w:rFonts w:hint="eastAsia"/>
              </w:rPr>
              <w:t>共</w:t>
            </w:r>
            <w:r>
              <w:rPr>
                <w:rFonts w:hint="eastAsia"/>
                <w:lang w:val="en-US" w:eastAsia="zh-CN"/>
              </w:rPr>
              <w:t>8</w:t>
            </w:r>
            <w:r>
              <w:rPr>
                <w:rFonts w:hint="eastAsia"/>
              </w:rPr>
              <w:t>页</w:t>
            </w:r>
          </w:p>
        </w:tc>
      </w:tr>
    </w:tbl>
    <w:tbl>
      <w:tblPr>
        <w:tblStyle w:val="15"/>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ind w:firstLine="1124"/>
              <w:jc w:val="center"/>
              <w:rPr>
                <w:b/>
                <w:bCs/>
                <w:sz w:val="56"/>
                <w:szCs w:val="56"/>
              </w:rPr>
            </w:pPr>
          </w:p>
          <w:p>
            <w:pPr>
              <w:pStyle w:val="8"/>
            </w:pPr>
            <w:r>
              <w:rPr>
                <w:rFonts w:hint="eastAsia"/>
                <w:b/>
                <w:bCs/>
                <w:sz w:val="56"/>
                <w:szCs w:val="44"/>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p>
        </w:tc>
        <w:tc>
          <w:tcPr>
            <w:tcW w:w="855" w:type="pct"/>
            <w:vAlign w:val="center"/>
          </w:tcPr>
          <w:p>
            <w:pPr>
              <w:ind w:firstLine="480"/>
              <w:rPr>
                <w:rFonts w:eastAsiaTheme="minorEastAsia"/>
              </w:rPr>
            </w:pP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71120</wp:posOffset>
                  </wp:positionH>
                  <wp:positionV relativeFrom="paragraph">
                    <wp:posOffset>212725</wp:posOffset>
                  </wp:positionV>
                  <wp:extent cx="502285" cy="307340"/>
                  <wp:effectExtent l="0" t="0" r="635" b="0"/>
                  <wp:wrapNone/>
                  <wp:docPr id="2" name="图片 2"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189230</wp:posOffset>
                  </wp:positionH>
                  <wp:positionV relativeFrom="paragraph">
                    <wp:posOffset>217170</wp:posOffset>
                  </wp:positionV>
                  <wp:extent cx="410845" cy="325755"/>
                  <wp:effectExtent l="0" t="0" r="635" b="9525"/>
                  <wp:wrapNone/>
                  <wp:docPr id="3" name="图片 3"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rPr>
                <w:rFonts w:hint="eastAsia" w:eastAsia="宋体"/>
                <w:lang w:eastAsia="zh-CN"/>
              </w:rPr>
            </w:pPr>
            <w:r>
              <w:rPr>
                <w:rFonts w:hint="eastAsia"/>
              </w:rPr>
              <w:t>0</w:t>
            </w:r>
            <w:r>
              <w:rPr>
                <w:rFonts w:hint="eastAsia"/>
                <w:lang w:val="en-US" w:eastAsia="zh-CN"/>
              </w:rPr>
              <w:t>1</w:t>
            </w:r>
          </w:p>
        </w:tc>
        <w:tc>
          <w:tcPr>
            <w:tcW w:w="1246" w:type="pct"/>
            <w:vAlign w:val="center"/>
          </w:tcPr>
          <w:p>
            <w:pPr>
              <w:ind w:firstLine="0" w:firstLineChars="0"/>
              <w:jc w:val="center"/>
              <w:rPr>
                <w:rFonts w:eastAsiaTheme="minorEastAsia"/>
              </w:rPr>
            </w:pPr>
          </w:p>
        </w:tc>
        <w:tc>
          <w:tcPr>
            <w:tcW w:w="719" w:type="pct"/>
            <w:vAlign w:val="center"/>
          </w:tcPr>
          <w:p>
            <w:pPr>
              <w:ind w:firstLine="0" w:firstLineChars="0"/>
              <w:jc w:val="center"/>
              <w:rPr>
                <w:rFonts w:eastAsiaTheme="minorEastAsia"/>
              </w:rPr>
            </w:pPr>
          </w:p>
        </w:tc>
        <w:tc>
          <w:tcPr>
            <w:tcW w:w="855" w:type="pct"/>
            <w:vAlign w:val="center"/>
          </w:tcPr>
          <w:p>
            <w:pPr>
              <w:ind w:firstLine="0" w:firstLineChars="0"/>
              <w:jc w:val="center"/>
              <w:rPr>
                <w:rFonts w:eastAsiaTheme="minorEastAsia"/>
              </w:rPr>
            </w:pPr>
          </w:p>
        </w:tc>
        <w:tc>
          <w:tcPr>
            <w:tcW w:w="736" w:type="pct"/>
            <w:vAlign w:val="center"/>
          </w:tcPr>
          <w:p>
            <w:pPr>
              <w:ind w:firstLine="0" w:firstLineChars="0"/>
              <w:jc w:val="center"/>
              <w:rPr>
                <w:rFonts w:eastAsiaTheme="minorEastAsia"/>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3810</wp:posOffset>
                  </wp:positionH>
                  <wp:positionV relativeFrom="paragraph">
                    <wp:posOffset>18415</wp:posOffset>
                  </wp:positionV>
                  <wp:extent cx="589915" cy="318135"/>
                  <wp:effectExtent l="0" t="0" r="4445" b="1905"/>
                  <wp:wrapNone/>
                  <wp:docPr id="4" name="图片 4"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ind w:firstLine="480"/>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pPr>
            <w:r>
              <w:rPr>
                <w:rFonts w:hint="eastAsia"/>
              </w:rPr>
              <w:t>版</w:t>
            </w:r>
          </w:p>
        </w:tc>
        <w:tc>
          <w:tcPr>
            <w:tcW w:w="1246" w:type="pct"/>
            <w:vAlign w:val="center"/>
          </w:tcPr>
          <w:p>
            <w:pPr>
              <w:ind w:firstLine="0" w:firstLineChars="0"/>
              <w:jc w:val="center"/>
            </w:pPr>
            <w:r>
              <w:rPr>
                <w:rFonts w:hint="eastAsia"/>
              </w:rPr>
              <w:t>说明</w:t>
            </w:r>
          </w:p>
        </w:tc>
        <w:tc>
          <w:tcPr>
            <w:tcW w:w="719" w:type="pct"/>
            <w:vAlign w:val="center"/>
          </w:tcPr>
          <w:p>
            <w:pPr>
              <w:ind w:firstLine="0" w:firstLineChars="0"/>
              <w:jc w:val="center"/>
              <w:rPr>
                <w:rFonts w:eastAsiaTheme="minorEastAsia"/>
              </w:rPr>
            </w:pPr>
            <w:r>
              <w:rPr>
                <w:rFonts w:hint="eastAsia"/>
              </w:rPr>
              <w:t>编制</w:t>
            </w:r>
          </w:p>
        </w:tc>
        <w:tc>
          <w:tcPr>
            <w:tcW w:w="855" w:type="pct"/>
            <w:vAlign w:val="center"/>
          </w:tcPr>
          <w:p>
            <w:pPr>
              <w:ind w:firstLine="0" w:firstLineChars="0"/>
              <w:jc w:val="center"/>
              <w:rPr>
                <w:rFonts w:eastAsiaTheme="minorEastAsia"/>
              </w:rPr>
            </w:pPr>
            <w:r>
              <w:rPr>
                <w:rFonts w:hint="eastAsia"/>
              </w:rPr>
              <w:t>校审</w:t>
            </w:r>
          </w:p>
        </w:tc>
        <w:tc>
          <w:tcPr>
            <w:tcW w:w="736" w:type="pct"/>
            <w:vAlign w:val="center"/>
          </w:tcPr>
          <w:p>
            <w:pPr>
              <w:ind w:firstLine="0" w:firstLineChars="0"/>
              <w:jc w:val="center"/>
              <w:rPr>
                <w:rFonts w:eastAsiaTheme="minorEastAsia"/>
              </w:rPr>
            </w:pPr>
            <w:r>
              <w:rPr>
                <w:rFonts w:hint="eastAsia"/>
              </w:rPr>
              <w:t>审核</w:t>
            </w:r>
          </w:p>
        </w:tc>
        <w:tc>
          <w:tcPr>
            <w:tcW w:w="726" w:type="pct"/>
            <w:vAlign w:val="center"/>
          </w:tcPr>
          <w:p>
            <w:pPr>
              <w:ind w:firstLine="0" w:firstLineChars="0"/>
              <w:jc w:val="center"/>
            </w:pPr>
            <w:r>
              <w:rPr>
                <w:rFonts w:hint="eastAsia"/>
              </w:rPr>
              <w:t>日期</w:t>
            </w:r>
          </w:p>
        </w:tc>
      </w:tr>
    </w:tbl>
    <w:p>
      <w:pPr>
        <w:ind w:firstLine="480"/>
        <w:sectPr>
          <w:footerReference r:id="rId5" w:type="default"/>
          <w:pgSz w:w="11906" w:h="16838"/>
          <w:pgMar w:top="1440" w:right="1800" w:bottom="1440" w:left="1800" w:header="851" w:footer="992" w:gutter="0"/>
          <w:cols w:space="425" w:num="1"/>
          <w:docGrid w:type="lines" w:linePitch="312" w:charSpace="0"/>
        </w:sectPr>
      </w:pPr>
    </w:p>
    <w:sdt>
      <w:sdtPr>
        <w:rPr>
          <w:rFonts w:ascii="宋体" w:hAnsi="宋体"/>
          <w:sz w:val="28"/>
          <w:szCs w:val="36"/>
        </w:rPr>
        <w:id w:val="147475574"/>
        <w15:color w:val="DBDBDB"/>
        <w:docPartObj>
          <w:docPartGallery w:val="Table of Contents"/>
          <w:docPartUnique/>
        </w:docPartObj>
      </w:sdtPr>
      <w:sdtEndPr>
        <w:rPr>
          <w:rFonts w:ascii="宋体" w:hAnsi="宋体"/>
          <w:b/>
          <w:sz w:val="21"/>
          <w:szCs w:val="24"/>
        </w:rPr>
      </w:sdtEndPr>
      <w:sdtContent>
        <w:p>
          <w:pPr>
            <w:spacing w:line="240" w:lineRule="auto"/>
            <w:ind w:firstLine="0" w:firstLineChars="0"/>
            <w:jc w:val="center"/>
            <w:rPr>
              <w:sz w:val="36"/>
              <w:szCs w:val="36"/>
            </w:rPr>
          </w:pPr>
          <w:r>
            <w:rPr>
              <w:rFonts w:ascii="宋体" w:hAnsi="宋体"/>
              <w:sz w:val="28"/>
              <w:szCs w:val="36"/>
            </w:rPr>
            <w:t>目</w:t>
          </w:r>
          <w:r>
            <w:rPr>
              <w:rFonts w:hint="eastAsia" w:ascii="宋体" w:hAnsi="宋体"/>
              <w:sz w:val="28"/>
              <w:szCs w:val="36"/>
            </w:rPr>
            <w:t xml:space="preserve">  </w:t>
          </w:r>
          <w:r>
            <w:rPr>
              <w:rFonts w:ascii="宋体" w:hAnsi="宋体"/>
              <w:sz w:val="28"/>
              <w:szCs w:val="36"/>
            </w:rPr>
            <w:t>录</w:t>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_Toc18478 </w:instrText>
          </w:r>
          <w:r>
            <w:rPr>
              <w:sz w:val="24"/>
              <w:szCs w:val="24"/>
            </w:rPr>
            <w:fldChar w:fldCharType="separate"/>
          </w:r>
          <w:r>
            <w:rPr>
              <w:rFonts w:hint="default" w:ascii="Times New Roman" w:hAnsi="Times New Roman" w:eastAsia="宋体" w:cs="宋体"/>
              <w:kern w:val="44"/>
              <w:sz w:val="24"/>
              <w:szCs w:val="24"/>
              <w:lang w:val="zh-CN"/>
            </w:rPr>
            <w:t xml:space="preserve">1 </w:t>
          </w:r>
          <w:r>
            <w:rPr>
              <w:rFonts w:hint="eastAsia"/>
              <w:kern w:val="44"/>
              <w:sz w:val="24"/>
              <w:szCs w:val="24"/>
              <w:lang w:val="zh-CN"/>
            </w:rPr>
            <w:t>总</w:t>
          </w:r>
          <w:r>
            <w:rPr>
              <w:rFonts w:hint="eastAsia"/>
              <w:kern w:val="44"/>
              <w:sz w:val="24"/>
              <w:szCs w:val="24"/>
            </w:rPr>
            <w:t>则</w:t>
          </w:r>
          <w:r>
            <w:rPr>
              <w:sz w:val="24"/>
              <w:szCs w:val="24"/>
            </w:rPr>
            <w:tab/>
          </w:r>
          <w:r>
            <w:rPr>
              <w:sz w:val="24"/>
              <w:szCs w:val="24"/>
            </w:rPr>
            <w:fldChar w:fldCharType="begin"/>
          </w:r>
          <w:r>
            <w:rPr>
              <w:sz w:val="24"/>
              <w:szCs w:val="24"/>
            </w:rPr>
            <w:instrText xml:space="preserve"> PAGEREF _Toc18478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_Toc10008 </w:instrText>
          </w:r>
          <w:r>
            <w:rPr>
              <w:sz w:val="24"/>
              <w:szCs w:val="24"/>
            </w:rPr>
            <w:fldChar w:fldCharType="separate"/>
          </w:r>
          <w:r>
            <w:rPr>
              <w:rFonts w:hint="default" w:ascii="Times New Roman" w:hAnsi="Times New Roman" w:eastAsia="宋体" w:cs="宋体"/>
              <w:kern w:val="44"/>
              <w:sz w:val="24"/>
              <w:szCs w:val="24"/>
              <w:lang w:val="zh-CN"/>
            </w:rPr>
            <w:t xml:space="preserve">2 </w:t>
          </w:r>
          <w:r>
            <w:rPr>
              <w:rFonts w:hint="eastAsia"/>
              <w:kern w:val="44"/>
              <w:sz w:val="24"/>
              <w:szCs w:val="24"/>
            </w:rPr>
            <w:t>工程概况</w:t>
          </w:r>
          <w:r>
            <w:rPr>
              <w:sz w:val="24"/>
              <w:szCs w:val="24"/>
            </w:rPr>
            <w:tab/>
          </w:r>
          <w:r>
            <w:rPr>
              <w:sz w:val="24"/>
              <w:szCs w:val="24"/>
            </w:rPr>
            <w:fldChar w:fldCharType="begin"/>
          </w:r>
          <w:r>
            <w:rPr>
              <w:sz w:val="24"/>
              <w:szCs w:val="24"/>
            </w:rPr>
            <w:instrText xml:space="preserve"> PAGEREF _Toc10008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_Toc28954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rPr>
            <w:t>基本条件</w:t>
          </w:r>
          <w:r>
            <w:rPr>
              <w:sz w:val="24"/>
              <w:szCs w:val="24"/>
            </w:rPr>
            <w:tab/>
          </w:r>
          <w:r>
            <w:rPr>
              <w:sz w:val="24"/>
              <w:szCs w:val="24"/>
            </w:rPr>
            <w:fldChar w:fldCharType="begin"/>
          </w:r>
          <w:r>
            <w:rPr>
              <w:sz w:val="24"/>
              <w:szCs w:val="24"/>
            </w:rPr>
            <w:instrText xml:space="preserve"> PAGEREF _Toc28954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_Toc12285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rPr>
            <w:t>气象条件</w:t>
          </w:r>
          <w:r>
            <w:rPr>
              <w:sz w:val="24"/>
              <w:szCs w:val="24"/>
            </w:rPr>
            <w:tab/>
          </w:r>
          <w:r>
            <w:rPr>
              <w:sz w:val="24"/>
              <w:szCs w:val="24"/>
            </w:rPr>
            <w:fldChar w:fldCharType="begin"/>
          </w:r>
          <w:r>
            <w:rPr>
              <w:sz w:val="24"/>
              <w:szCs w:val="24"/>
            </w:rPr>
            <w:instrText xml:space="preserve"> PAGEREF _Toc12285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_Toc26893 </w:instrText>
          </w:r>
          <w:r>
            <w:rPr>
              <w:sz w:val="24"/>
              <w:szCs w:val="24"/>
            </w:rPr>
            <w:fldChar w:fldCharType="separate"/>
          </w:r>
          <w:r>
            <w:rPr>
              <w:rFonts w:hint="default" w:ascii="Times New Roman" w:hAnsi="Times New Roman" w:eastAsia="宋体" w:cs="宋体"/>
              <w:kern w:val="44"/>
              <w:sz w:val="24"/>
              <w:szCs w:val="24"/>
              <w:lang w:val="zh-CN"/>
            </w:rPr>
            <w:t xml:space="preserve">3 </w:t>
          </w:r>
          <w:r>
            <w:rPr>
              <w:rFonts w:hint="eastAsia"/>
              <w:kern w:val="44"/>
              <w:sz w:val="24"/>
              <w:szCs w:val="24"/>
            </w:rPr>
            <w:t>设计和运行条件</w:t>
          </w:r>
          <w:r>
            <w:rPr>
              <w:sz w:val="24"/>
              <w:szCs w:val="24"/>
            </w:rPr>
            <w:tab/>
          </w:r>
          <w:r>
            <w:rPr>
              <w:sz w:val="24"/>
              <w:szCs w:val="24"/>
            </w:rPr>
            <w:fldChar w:fldCharType="begin"/>
          </w:r>
          <w:r>
            <w:rPr>
              <w:sz w:val="24"/>
              <w:szCs w:val="24"/>
            </w:rPr>
            <w:instrText xml:space="preserve"> PAGEREF _Toc26893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_Toc14184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rPr>
            <w:t>设计条件</w:t>
          </w:r>
          <w:r>
            <w:rPr>
              <w:sz w:val="24"/>
              <w:szCs w:val="24"/>
            </w:rPr>
            <w:tab/>
          </w:r>
          <w:r>
            <w:rPr>
              <w:sz w:val="24"/>
              <w:szCs w:val="24"/>
            </w:rPr>
            <w:fldChar w:fldCharType="begin"/>
          </w:r>
          <w:r>
            <w:rPr>
              <w:sz w:val="24"/>
              <w:szCs w:val="24"/>
            </w:rPr>
            <w:instrText xml:space="preserve"> PAGEREF _Toc14184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_Toc4005 </w:instrText>
          </w:r>
          <w:r>
            <w:rPr>
              <w:sz w:val="24"/>
              <w:szCs w:val="24"/>
            </w:rPr>
            <w:fldChar w:fldCharType="separate"/>
          </w:r>
          <w:r>
            <w:rPr>
              <w:rFonts w:hint="default" w:ascii="Times New Roman" w:hAnsi="Times New Roman" w:eastAsia="宋体" w:cs="宋体"/>
              <w:kern w:val="44"/>
              <w:sz w:val="24"/>
              <w:szCs w:val="24"/>
              <w:lang w:val="zh-CN"/>
            </w:rPr>
            <w:t xml:space="preserve">4 </w:t>
          </w:r>
          <w:r>
            <w:rPr>
              <w:rFonts w:hint="eastAsia"/>
              <w:kern w:val="44"/>
              <w:sz w:val="24"/>
              <w:szCs w:val="24"/>
            </w:rPr>
            <w:t>防异物要求</w:t>
          </w:r>
          <w:r>
            <w:rPr>
              <w:sz w:val="24"/>
              <w:szCs w:val="24"/>
            </w:rPr>
            <w:tab/>
          </w:r>
          <w:r>
            <w:rPr>
              <w:sz w:val="24"/>
              <w:szCs w:val="24"/>
            </w:rPr>
            <w:fldChar w:fldCharType="begin"/>
          </w:r>
          <w:r>
            <w:rPr>
              <w:sz w:val="24"/>
              <w:szCs w:val="24"/>
            </w:rPr>
            <w:instrText xml:space="preserve"> PAGEREF _Toc4005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_Toc27955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5 </w:t>
          </w:r>
          <w:r>
            <w:rPr>
              <w:rFonts w:hint="eastAsia" w:cs="Times New Roman"/>
              <w:kern w:val="44"/>
              <w:sz w:val="24"/>
              <w:szCs w:val="24"/>
              <w:lang w:val="en-US" w:eastAsia="zh-CN" w:bidi="ar-SA"/>
            </w:rPr>
            <w:t>监造和性能验收</w:t>
          </w:r>
          <w:r>
            <w:rPr>
              <w:sz w:val="24"/>
              <w:szCs w:val="24"/>
            </w:rPr>
            <w:tab/>
          </w:r>
          <w:r>
            <w:rPr>
              <w:sz w:val="24"/>
              <w:szCs w:val="24"/>
            </w:rPr>
            <w:fldChar w:fldCharType="begin"/>
          </w:r>
          <w:r>
            <w:rPr>
              <w:sz w:val="24"/>
              <w:szCs w:val="24"/>
            </w:rPr>
            <w:instrText xml:space="preserve"> PAGEREF _Toc27955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_Toc20779 </w:instrText>
          </w:r>
          <w:r>
            <w:rPr>
              <w:sz w:val="24"/>
              <w:szCs w:val="24"/>
            </w:rPr>
            <w:fldChar w:fldCharType="separate"/>
          </w:r>
          <w:r>
            <w:rPr>
              <w:rFonts w:hint="default" w:ascii="Times New Roman" w:hAnsi="Times New Roman" w:eastAsia="宋体" w:cs="宋体"/>
              <w:sz w:val="24"/>
              <w:szCs w:val="24"/>
              <w:lang w:val="en-US" w:eastAsia="zh-CN"/>
            </w:rPr>
            <w:t xml:space="preserve">5.1 </w:t>
          </w:r>
          <w:r>
            <w:rPr>
              <w:rFonts w:hint="eastAsia" w:cs="Times New Roman"/>
              <w:sz w:val="24"/>
              <w:szCs w:val="24"/>
              <w:lang w:val="en-US" w:eastAsia="zh-CN"/>
            </w:rPr>
            <w:t>性能保证</w:t>
          </w:r>
          <w:r>
            <w:rPr>
              <w:sz w:val="24"/>
              <w:szCs w:val="24"/>
            </w:rPr>
            <w:tab/>
          </w:r>
          <w:r>
            <w:rPr>
              <w:sz w:val="24"/>
              <w:szCs w:val="24"/>
            </w:rPr>
            <w:fldChar w:fldCharType="begin"/>
          </w:r>
          <w:r>
            <w:rPr>
              <w:sz w:val="24"/>
              <w:szCs w:val="24"/>
            </w:rPr>
            <w:instrText xml:space="preserve"> PAGEREF _Toc20779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_Toc24848 </w:instrText>
          </w:r>
          <w:r>
            <w:rPr>
              <w:sz w:val="24"/>
              <w:szCs w:val="24"/>
            </w:rPr>
            <w:fldChar w:fldCharType="separate"/>
          </w:r>
          <w:r>
            <w:rPr>
              <w:rFonts w:hint="default" w:ascii="Times New Roman" w:hAnsi="Times New Roman" w:eastAsia="宋体" w:cs="宋体"/>
              <w:sz w:val="24"/>
              <w:szCs w:val="24"/>
              <w:lang w:val="en-US" w:eastAsia="zh-CN"/>
            </w:rPr>
            <w:t xml:space="preserve">5.2 </w:t>
          </w:r>
          <w:r>
            <w:rPr>
              <w:rFonts w:hint="eastAsia" w:cs="Times New Roman"/>
              <w:sz w:val="24"/>
              <w:szCs w:val="24"/>
              <w:lang w:val="en-US" w:eastAsia="zh-CN"/>
            </w:rPr>
            <w:t>质量保证</w:t>
          </w:r>
          <w:r>
            <w:rPr>
              <w:sz w:val="24"/>
              <w:szCs w:val="24"/>
            </w:rPr>
            <w:tab/>
          </w:r>
          <w:r>
            <w:rPr>
              <w:sz w:val="24"/>
              <w:szCs w:val="24"/>
            </w:rPr>
            <w:fldChar w:fldCharType="begin"/>
          </w:r>
          <w:r>
            <w:rPr>
              <w:sz w:val="24"/>
              <w:szCs w:val="24"/>
            </w:rPr>
            <w:instrText xml:space="preserve"> PAGEREF _Toc24848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_Toc10470 </w:instrText>
          </w:r>
          <w:r>
            <w:rPr>
              <w:sz w:val="24"/>
              <w:szCs w:val="24"/>
            </w:rPr>
            <w:fldChar w:fldCharType="separate"/>
          </w:r>
          <w:r>
            <w:rPr>
              <w:rFonts w:hint="default" w:ascii="Times New Roman" w:hAnsi="Times New Roman" w:eastAsia="宋体" w:cs="宋体"/>
              <w:sz w:val="24"/>
              <w:szCs w:val="24"/>
              <w:lang w:val="en-US" w:eastAsia="zh-CN"/>
            </w:rPr>
            <w:t xml:space="preserve">5.3 </w:t>
          </w:r>
          <w:r>
            <w:rPr>
              <w:rFonts w:hint="eastAsia" w:cs="Times New Roman"/>
              <w:sz w:val="24"/>
              <w:szCs w:val="24"/>
              <w:lang w:val="en-US" w:eastAsia="zh-CN"/>
            </w:rPr>
            <w:t>检验保证</w:t>
          </w:r>
          <w:r>
            <w:rPr>
              <w:sz w:val="24"/>
              <w:szCs w:val="24"/>
            </w:rPr>
            <w:tab/>
          </w:r>
          <w:r>
            <w:rPr>
              <w:sz w:val="24"/>
              <w:szCs w:val="24"/>
            </w:rPr>
            <w:fldChar w:fldCharType="begin"/>
          </w:r>
          <w:r>
            <w:rPr>
              <w:sz w:val="24"/>
              <w:szCs w:val="24"/>
            </w:rPr>
            <w:instrText xml:space="preserve"> PAGEREF _Toc10470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 w:val="clear" w:pos="9660"/>
            </w:tabs>
            <w:kinsoku/>
            <w:wordWrap/>
            <w:overflowPunct/>
            <w:topLinePunct w:val="0"/>
            <w:autoSpaceDE/>
            <w:autoSpaceDN/>
            <w:bidi w:val="0"/>
            <w:adjustRightInd/>
            <w:snapToGrid/>
            <w:spacing w:line="240" w:lineRule="auto"/>
            <w:ind w:firstLine="480" w:firstLineChars="200"/>
            <w:textAlignment w:val="auto"/>
            <w:rPr>
              <w:sz w:val="24"/>
              <w:szCs w:val="24"/>
            </w:rPr>
          </w:pPr>
          <w:r>
            <w:rPr>
              <w:sz w:val="24"/>
              <w:szCs w:val="24"/>
            </w:rPr>
            <w:fldChar w:fldCharType="begin"/>
          </w:r>
          <w:r>
            <w:rPr>
              <w:sz w:val="24"/>
              <w:szCs w:val="24"/>
            </w:rPr>
            <w:instrText xml:space="preserve"> HYPERLINK \l _Toc10753 </w:instrText>
          </w:r>
          <w:r>
            <w:rPr>
              <w:sz w:val="24"/>
              <w:szCs w:val="24"/>
            </w:rPr>
            <w:fldChar w:fldCharType="separate"/>
          </w:r>
          <w:r>
            <w:rPr>
              <w:rFonts w:hint="default" w:ascii="Times New Roman" w:hAnsi="Times New Roman" w:eastAsia="宋体" w:cs="宋体"/>
              <w:sz w:val="24"/>
              <w:szCs w:val="24"/>
              <w:lang w:val="en-US" w:eastAsia="zh-CN"/>
            </w:rPr>
            <w:t xml:space="preserve">5.4 </w:t>
          </w:r>
          <w:r>
            <w:rPr>
              <w:rFonts w:hint="eastAsia" w:cs="Times New Roman"/>
              <w:sz w:val="24"/>
              <w:szCs w:val="24"/>
              <w:lang w:val="en-US" w:eastAsia="zh-CN"/>
            </w:rPr>
            <w:t>验收与安装</w:t>
          </w:r>
          <w:r>
            <w:rPr>
              <w:sz w:val="24"/>
              <w:szCs w:val="24"/>
            </w:rPr>
            <w:tab/>
          </w:r>
          <w:r>
            <w:rPr>
              <w:sz w:val="24"/>
              <w:szCs w:val="24"/>
            </w:rPr>
            <w:fldChar w:fldCharType="begin"/>
          </w:r>
          <w:r>
            <w:rPr>
              <w:sz w:val="24"/>
              <w:szCs w:val="24"/>
            </w:rPr>
            <w:instrText xml:space="preserve"> PAGEREF _Toc10753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_Toc8008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ascii="Times New Roman" w:hAnsi="Times New Roman" w:eastAsia="宋体" w:cs="Times New Roman"/>
              <w:kern w:val="44"/>
              <w:sz w:val="24"/>
              <w:szCs w:val="24"/>
              <w:lang w:val="en-US" w:eastAsia="zh-CN" w:bidi="ar-SA"/>
            </w:rPr>
            <w:t>油漆与包装运输</w:t>
          </w:r>
          <w:r>
            <w:rPr>
              <w:sz w:val="24"/>
              <w:szCs w:val="24"/>
            </w:rPr>
            <w:tab/>
          </w:r>
          <w:r>
            <w:rPr>
              <w:sz w:val="24"/>
              <w:szCs w:val="24"/>
            </w:rPr>
            <w:fldChar w:fldCharType="begin"/>
          </w:r>
          <w:r>
            <w:rPr>
              <w:sz w:val="24"/>
              <w:szCs w:val="24"/>
            </w:rPr>
            <w:instrText xml:space="preserve"> PAGEREF _Toc8008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2"/>
            <w:keepNext w:val="0"/>
            <w:keepLines w:val="0"/>
            <w:pageBreakBefore w:val="0"/>
            <w:widowControl w:val="0"/>
            <w:tabs>
              <w:tab w:val="right" w:leader="dot" w:pos="8306"/>
              <w:tab w:val="clear" w:pos="9628"/>
            </w:tabs>
            <w:kinsoku/>
            <w:wordWrap/>
            <w:overflowPunct/>
            <w:topLinePunct w:val="0"/>
            <w:autoSpaceDE/>
            <w:autoSpaceDN/>
            <w:bidi w:val="0"/>
            <w:adjustRightInd/>
            <w:snapToGrid/>
            <w:spacing w:line="240" w:lineRule="auto"/>
            <w:ind w:firstLine="482" w:firstLineChars="200"/>
            <w:textAlignment w:val="auto"/>
            <w:rPr>
              <w:sz w:val="24"/>
              <w:szCs w:val="24"/>
            </w:rPr>
          </w:pPr>
          <w:r>
            <w:rPr>
              <w:sz w:val="24"/>
              <w:szCs w:val="24"/>
            </w:rPr>
            <w:fldChar w:fldCharType="begin"/>
          </w:r>
          <w:r>
            <w:rPr>
              <w:sz w:val="24"/>
              <w:szCs w:val="24"/>
            </w:rPr>
            <w:instrText xml:space="preserve"> HYPERLINK \l _Toc3680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cs="Times New Roman"/>
              <w:kern w:val="44"/>
              <w:sz w:val="24"/>
              <w:szCs w:val="24"/>
              <w:lang w:val="en-US" w:eastAsia="zh-CN" w:bidi="ar-SA"/>
            </w:rPr>
            <w:t>买卖双方责任范围</w:t>
          </w:r>
          <w:r>
            <w:rPr>
              <w:sz w:val="24"/>
              <w:szCs w:val="24"/>
            </w:rPr>
            <w:tab/>
          </w:r>
          <w:r>
            <w:rPr>
              <w:sz w:val="24"/>
              <w:szCs w:val="24"/>
            </w:rPr>
            <w:fldChar w:fldCharType="begin"/>
          </w:r>
          <w:r>
            <w:rPr>
              <w:sz w:val="24"/>
              <w:szCs w:val="24"/>
            </w:rPr>
            <w:instrText xml:space="preserve"> PAGEREF _Toc3680 \h </w:instrText>
          </w:r>
          <w:r>
            <w:rPr>
              <w:sz w:val="24"/>
              <w:szCs w:val="24"/>
            </w:rPr>
            <w:fldChar w:fldCharType="separate"/>
          </w:r>
          <w:r>
            <w:rPr>
              <w:sz w:val="24"/>
              <w:szCs w:val="24"/>
            </w:rPr>
            <w:t>7</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sz w:val="24"/>
              <w:szCs w:val="24"/>
            </w:rPr>
            <w:fldChar w:fldCharType="end"/>
          </w:r>
        </w:p>
      </w:sdtContent>
    </w:sdt>
    <w:p>
      <w:pPr>
        <w:keepNext/>
        <w:numPr>
          <w:ilvl w:val="0"/>
          <w:numId w:val="1"/>
        </w:numPr>
        <w:spacing w:before="156" w:beforeLines="50" w:line="360" w:lineRule="auto"/>
        <w:ind w:left="0" w:firstLine="0" w:firstLineChars="0"/>
        <w:outlineLvl w:val="0"/>
        <w:rPr>
          <w:b/>
          <w:kern w:val="44"/>
          <w:sz w:val="28"/>
          <w:szCs w:val="28"/>
          <w:lang w:val="zh-CN"/>
        </w:rPr>
      </w:pPr>
      <w:bookmarkStart w:id="0" w:name="_Toc18478"/>
      <w:r>
        <w:rPr>
          <w:rFonts w:hint="eastAsia"/>
          <w:b/>
          <w:kern w:val="44"/>
          <w:sz w:val="28"/>
          <w:szCs w:val="28"/>
          <w:lang w:val="zh-CN"/>
        </w:rPr>
        <w:t>总</w:t>
      </w:r>
      <w:r>
        <w:rPr>
          <w:rFonts w:hint="eastAsia"/>
          <w:b/>
          <w:kern w:val="44"/>
          <w:sz w:val="28"/>
          <w:szCs w:val="28"/>
        </w:rPr>
        <w:t>则</w:t>
      </w:r>
      <w:bookmarkEnd w:id="0"/>
    </w:p>
    <w:p>
      <w:pPr>
        <w:autoSpaceDE w:val="0"/>
        <w:autoSpaceDN w:val="0"/>
        <w:adjustRightInd w:val="0"/>
        <w:snapToGrid w:val="0"/>
        <w:spacing w:line="560" w:lineRule="exact"/>
        <w:ind w:left="-120" w:leftChars="-50" w:right="-120" w:rightChars="-50" w:firstLine="480"/>
        <w:rPr>
          <w:lang w:val="zh-CN"/>
        </w:rPr>
      </w:pPr>
      <w:r>
        <w:rPr>
          <w:rFonts w:hint="eastAsia"/>
          <w:lang w:val="zh-CN"/>
        </w:rPr>
        <w:t>本询价文件(包括数据表、技术要求和设计规范等）适用于湖南美特科研成果转化基地暨正极材料中试线建设项目正极材料中试线</w:t>
      </w:r>
      <w:r>
        <w:rPr>
          <w:rFonts w:hint="eastAsia"/>
          <w:lang w:val="en-US" w:eastAsia="zh-CN"/>
        </w:rPr>
        <w:t>双对辊</w:t>
      </w:r>
      <w:r>
        <w:rPr>
          <w:rFonts w:hint="eastAsia"/>
          <w:lang w:val="zh-CN"/>
        </w:rPr>
        <w:t>的设计、制造、指导安装、检验要求和供货范围的标准规范及要求。</w:t>
      </w:r>
    </w:p>
    <w:p>
      <w:pPr>
        <w:autoSpaceDE w:val="0"/>
        <w:autoSpaceDN w:val="0"/>
        <w:adjustRightInd w:val="0"/>
        <w:snapToGrid w:val="0"/>
        <w:spacing w:line="560" w:lineRule="exact"/>
        <w:ind w:left="-120" w:leftChars="-50" w:right="-120" w:rightChars="-50" w:firstLine="480"/>
        <w:rPr>
          <w:lang w:val="zh-CN"/>
        </w:rPr>
      </w:pPr>
      <w:r>
        <w:rPr>
          <w:rFonts w:hint="eastAsia"/>
          <w:lang w:val="zh-CN"/>
        </w:rPr>
        <w:t>卖方应遵循项目规范和本询价文件的要求，并保证其分供货商也遵守上述要求。卖方对所报价的设备或材料负完全责任。</w:t>
      </w:r>
    </w:p>
    <w:p>
      <w:pPr>
        <w:keepNext/>
        <w:numPr>
          <w:ilvl w:val="0"/>
          <w:numId w:val="1"/>
        </w:numPr>
        <w:spacing w:before="156" w:beforeLines="50" w:line="360" w:lineRule="auto"/>
        <w:ind w:left="0" w:firstLine="0" w:firstLineChars="0"/>
        <w:outlineLvl w:val="0"/>
        <w:rPr>
          <w:b/>
          <w:kern w:val="44"/>
          <w:sz w:val="28"/>
          <w:szCs w:val="28"/>
          <w:lang w:val="zh-CN"/>
        </w:rPr>
      </w:pPr>
      <w:bookmarkStart w:id="1" w:name="_Toc10008"/>
      <w:bookmarkStart w:id="2" w:name="_Toc22337"/>
      <w:r>
        <w:rPr>
          <w:rFonts w:hint="eastAsia"/>
          <w:b/>
          <w:kern w:val="44"/>
          <w:sz w:val="28"/>
          <w:szCs w:val="28"/>
        </w:rPr>
        <w:t>工程概况</w:t>
      </w:r>
      <w:bookmarkEnd w:id="1"/>
      <w:bookmarkEnd w:id="2"/>
    </w:p>
    <w:p>
      <w:pPr>
        <w:pStyle w:val="3"/>
      </w:pPr>
      <w:bookmarkStart w:id="3" w:name="_Toc28954"/>
      <w:bookmarkStart w:id="4" w:name="_Toc155446205"/>
      <w:bookmarkStart w:id="5" w:name="_Toc31287"/>
      <w:r>
        <w:rPr>
          <w:rFonts w:hint="eastAsia"/>
        </w:rPr>
        <w:t>基本条件</w:t>
      </w:r>
      <w:bookmarkEnd w:id="3"/>
      <w:bookmarkEnd w:id="4"/>
      <w:bookmarkEnd w:id="5"/>
    </w:p>
    <w:p>
      <w:pPr>
        <w:autoSpaceDE w:val="0"/>
        <w:autoSpaceDN w:val="0"/>
        <w:adjustRightInd w:val="0"/>
        <w:snapToGrid w:val="0"/>
        <w:spacing w:line="560" w:lineRule="exact"/>
        <w:ind w:left="-120" w:leftChars="-50" w:right="-120" w:rightChars="-50" w:firstLine="480"/>
        <w:rPr>
          <w:lang w:val="zh-CN"/>
        </w:rPr>
      </w:pPr>
      <w:r>
        <w:rPr>
          <w:rFonts w:hint="eastAsia"/>
          <w:lang w:val="zh-CN"/>
        </w:rPr>
        <w:t>工作制度：300天/年，</w:t>
      </w:r>
      <w:r>
        <w:rPr>
          <w:rFonts w:hint="eastAsia"/>
        </w:rPr>
        <w:t>3</w:t>
      </w:r>
      <w:r>
        <w:rPr>
          <w:rFonts w:hint="eastAsia"/>
          <w:lang w:val="zh-CN"/>
        </w:rPr>
        <w:t>班/天，</w:t>
      </w:r>
      <w:r>
        <w:rPr>
          <w:rFonts w:hint="eastAsia"/>
        </w:rPr>
        <w:t>8</w:t>
      </w:r>
      <w:r>
        <w:rPr>
          <w:rFonts w:hint="eastAsia"/>
          <w:lang w:val="zh-CN"/>
        </w:rPr>
        <w:t>小时/班。</w:t>
      </w:r>
    </w:p>
    <w:p>
      <w:pPr>
        <w:autoSpaceDE w:val="0"/>
        <w:autoSpaceDN w:val="0"/>
        <w:adjustRightInd w:val="0"/>
        <w:snapToGrid w:val="0"/>
        <w:spacing w:line="560" w:lineRule="exact"/>
        <w:ind w:left="-120" w:leftChars="-50" w:right="-120" w:rightChars="-50" w:firstLine="480"/>
        <w:rPr>
          <w:lang w:val="zh-CN"/>
        </w:rPr>
      </w:pPr>
      <w:r>
        <w:rPr>
          <w:rFonts w:hint="eastAsia"/>
          <w:highlight w:val="yellow"/>
          <w:lang w:val="zh-CN"/>
        </w:rPr>
        <w:t>设备安装位置：</w:t>
      </w:r>
      <w:r>
        <w:rPr>
          <w:rFonts w:hint="eastAsia"/>
          <w:highlight w:val="yellow"/>
        </w:rPr>
        <w:t>湖南</w:t>
      </w:r>
      <w:r>
        <w:rPr>
          <w:rFonts w:hint="eastAsia"/>
          <w:highlight w:val="yellow"/>
          <w:lang w:val="zh-CN"/>
        </w:rPr>
        <w:t>省</w:t>
      </w:r>
      <w:r>
        <w:rPr>
          <w:rFonts w:hint="eastAsia"/>
          <w:highlight w:val="yellow"/>
        </w:rPr>
        <w:t>长沙</w:t>
      </w:r>
      <w:r>
        <w:rPr>
          <w:rFonts w:hint="eastAsia"/>
          <w:highlight w:val="yellow"/>
          <w:lang w:val="zh-CN"/>
        </w:rPr>
        <w:t>市</w:t>
      </w:r>
      <w:r>
        <w:rPr>
          <w:rFonts w:hint="eastAsia"/>
        </w:rPr>
        <w:t>望城</w:t>
      </w:r>
      <w:r>
        <w:rPr>
          <w:rFonts w:hint="eastAsia"/>
          <w:lang w:val="zh-CN"/>
        </w:rPr>
        <w:t>区、室内。</w:t>
      </w:r>
    </w:p>
    <w:p>
      <w:pPr>
        <w:autoSpaceDE w:val="0"/>
        <w:autoSpaceDN w:val="0"/>
        <w:adjustRightInd w:val="0"/>
        <w:snapToGrid w:val="0"/>
        <w:spacing w:line="560" w:lineRule="exact"/>
        <w:ind w:left="-120" w:leftChars="-50" w:right="-120" w:rightChars="-50" w:firstLine="480"/>
        <w:rPr>
          <w:lang w:val="zh-CN"/>
        </w:rPr>
      </w:pPr>
      <w:r>
        <w:rPr>
          <w:rFonts w:hint="eastAsia"/>
          <w:lang w:val="zh-CN"/>
        </w:rPr>
        <w:t>海拔高度：</w:t>
      </w:r>
      <w:r>
        <w:rPr>
          <w:rFonts w:hint="eastAsia"/>
        </w:rPr>
        <w:t>60</w:t>
      </w:r>
      <w:r>
        <w:rPr>
          <w:rFonts w:hint="eastAsia"/>
          <w:lang w:val="zh-CN"/>
        </w:rPr>
        <w:t>~</w:t>
      </w:r>
      <w:r>
        <w:rPr>
          <w:rFonts w:hint="eastAsia"/>
        </w:rPr>
        <w:t>150</w:t>
      </w:r>
      <w:r>
        <w:rPr>
          <w:rFonts w:hint="eastAsia"/>
          <w:lang w:val="zh-CN"/>
        </w:rPr>
        <w:t>m。</w:t>
      </w:r>
    </w:p>
    <w:p>
      <w:pPr>
        <w:autoSpaceDE w:val="0"/>
        <w:autoSpaceDN w:val="0"/>
        <w:adjustRightInd w:val="0"/>
        <w:snapToGrid w:val="0"/>
        <w:spacing w:line="560" w:lineRule="exact"/>
        <w:ind w:left="-120" w:leftChars="-50" w:right="-120" w:rightChars="-50" w:firstLine="480"/>
        <w:rPr>
          <w:lang w:val="zh-CN"/>
        </w:rPr>
      </w:pPr>
      <w:r>
        <w:rPr>
          <w:rFonts w:hint="eastAsia"/>
          <w:lang w:val="zh-CN"/>
        </w:rPr>
        <w:t>大气压力：0.1 MPa。</w:t>
      </w:r>
    </w:p>
    <w:p>
      <w:pPr>
        <w:pStyle w:val="3"/>
      </w:pPr>
      <w:bookmarkStart w:id="6" w:name="_Toc12285"/>
      <w:bookmarkStart w:id="7" w:name="_Toc18842"/>
      <w:r>
        <w:rPr>
          <w:rFonts w:hint="eastAsia"/>
        </w:rPr>
        <w:t>气象条件</w:t>
      </w:r>
      <w:bookmarkEnd w:id="6"/>
      <w:bookmarkEnd w:id="7"/>
    </w:p>
    <w:p>
      <w:pPr>
        <w:autoSpaceDE w:val="0"/>
        <w:autoSpaceDN w:val="0"/>
        <w:adjustRightInd w:val="0"/>
        <w:snapToGrid w:val="0"/>
        <w:spacing w:line="560" w:lineRule="exact"/>
        <w:ind w:left="-120" w:leftChars="-50" w:right="-120" w:rightChars="-50" w:firstLine="480"/>
      </w:pPr>
      <w:r>
        <w:rPr>
          <w:rFonts w:hint="eastAsia"/>
        </w:rPr>
        <w:t>长沙市望城区地处</w:t>
      </w:r>
      <w:r>
        <w:fldChar w:fldCharType="begin"/>
      </w:r>
      <w:r>
        <w:instrText xml:space="preserve">HYPERLINK "https://baike.baidu.com/item/%E6%B4%9E%E5%BA%AD%E6%B9%96/182539?fromModule=lemma_inlink" \t "_blank"</w:instrText>
      </w:r>
      <w:r>
        <w:fldChar w:fldCharType="separate"/>
      </w:r>
      <w:r>
        <w:rPr>
          <w:rFonts w:hint="eastAsia"/>
        </w:rPr>
        <w:t>洞庭湖</w:t>
      </w:r>
      <w:r>
        <w:fldChar w:fldCharType="end"/>
      </w:r>
      <w:r>
        <w:rPr>
          <w:rFonts w:hint="eastAsia"/>
        </w:rPr>
        <w:t>南缘、长浏盆地的西部，长衡丘陵向滨湖平原过渡的地带，地理上位于位于</w:t>
      </w:r>
      <w:r>
        <w:rPr>
          <w:rFonts w:hint="eastAsia"/>
        </w:rPr>
        <w:fldChar w:fldCharType="begin"/>
      </w:r>
      <w:r>
        <w:rPr>
          <w:rFonts w:hint="eastAsia"/>
        </w:rPr>
        <w:instrText xml:space="preserve"> HYPERLINK "https://baike.baidu.com/item/%E6%B9%96%E5%8D%97/228213?fromModule=lemma_inlink" \t "_blank" </w:instrText>
      </w:r>
      <w:r>
        <w:rPr>
          <w:rFonts w:hint="eastAsia"/>
        </w:rPr>
        <w:fldChar w:fldCharType="separate"/>
      </w:r>
      <w:r>
        <w:rPr>
          <w:rFonts w:hint="eastAsia"/>
        </w:rPr>
        <w:t>湖南</w:t>
      </w:r>
      <w:r>
        <w:rPr>
          <w:rFonts w:hint="eastAsia"/>
        </w:rPr>
        <w:fldChar w:fldCharType="end"/>
      </w:r>
      <w:r>
        <w:rPr>
          <w:rFonts w:hint="eastAsia"/>
        </w:rPr>
        <w:t>中部偏北、长沙城区北半部，位于东经112°35′48″—113°02′30″和北纬27°58′28″—28°33′45″之间，属</w:t>
      </w:r>
      <w:r>
        <w:rPr>
          <w:rFonts w:hint="eastAsia"/>
        </w:rPr>
        <w:fldChar w:fldCharType="begin"/>
      </w:r>
      <w:r>
        <w:rPr>
          <w:rFonts w:hint="eastAsia"/>
        </w:rPr>
        <w:instrText xml:space="preserve"> HYPERLINK "https://baike.baidu.com/item/%E4%BA%9A%E7%83%AD%E5%B8%A6%E5%AD%A3%E9%A3%8E%E6%B0%94%E5%80%99/875538?fromModule=lemma_inlink" \t "_blank" </w:instrText>
      </w:r>
      <w:r>
        <w:rPr>
          <w:rFonts w:hint="eastAsia"/>
        </w:rPr>
        <w:fldChar w:fldCharType="separate"/>
      </w:r>
      <w:r>
        <w:rPr>
          <w:rFonts w:hint="eastAsia"/>
        </w:rPr>
        <w:t>亚热带季风气候</w:t>
      </w:r>
      <w:r>
        <w:rPr>
          <w:rFonts w:hint="eastAsia"/>
        </w:rPr>
        <w:fldChar w:fldCharType="end"/>
      </w:r>
      <w:r>
        <w:rPr>
          <w:rFonts w:hint="eastAsia"/>
        </w:rPr>
        <w:t>，气候特征是：气候温和，降水充沛，雨热同期，四季分明</w:t>
      </w:r>
    </w:p>
    <w:p>
      <w:pPr>
        <w:autoSpaceDE w:val="0"/>
        <w:autoSpaceDN w:val="0"/>
        <w:adjustRightInd w:val="0"/>
        <w:snapToGrid w:val="0"/>
        <w:spacing w:line="560" w:lineRule="exact"/>
        <w:ind w:left="-120" w:leftChars="-50" w:right="-120" w:rightChars="-50" w:firstLine="480"/>
      </w:pPr>
      <w:r>
        <w:rPr>
          <w:rFonts w:hint="eastAsia"/>
        </w:rPr>
        <w:t>1）温度</w:t>
      </w:r>
    </w:p>
    <w:p>
      <w:pPr>
        <w:autoSpaceDE w:val="0"/>
        <w:autoSpaceDN w:val="0"/>
        <w:adjustRightInd w:val="0"/>
        <w:snapToGrid w:val="0"/>
        <w:spacing w:line="560" w:lineRule="exact"/>
        <w:ind w:left="-120" w:leftChars="-50" w:right="-120" w:rightChars="-50" w:firstLine="480"/>
      </w:pPr>
      <w:r>
        <w:rPr>
          <w:rFonts w:hint="eastAsia"/>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pPr>
      <w:r>
        <w:rPr>
          <w:rFonts w:hint="eastAsia"/>
        </w:rPr>
        <w:t>2）降水</w:t>
      </w:r>
    </w:p>
    <w:p>
      <w:pPr>
        <w:autoSpaceDE w:val="0"/>
        <w:autoSpaceDN w:val="0"/>
        <w:adjustRightInd w:val="0"/>
        <w:snapToGrid w:val="0"/>
        <w:spacing w:line="560" w:lineRule="exact"/>
        <w:ind w:left="-120" w:leftChars="-50" w:right="-120" w:rightChars="-50" w:firstLine="480"/>
      </w:pPr>
      <w:r>
        <w:rPr>
          <w:rFonts w:hint="eastAsia"/>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pPr>
      <w:r>
        <w:rPr>
          <w:rFonts w:hint="eastAsia"/>
        </w:rPr>
        <w:t>3）风</w:t>
      </w:r>
    </w:p>
    <w:p>
      <w:pPr>
        <w:autoSpaceDE w:val="0"/>
        <w:autoSpaceDN w:val="0"/>
        <w:adjustRightInd w:val="0"/>
        <w:snapToGrid w:val="0"/>
        <w:spacing w:line="560" w:lineRule="exact"/>
        <w:ind w:left="-120" w:leftChars="-50" w:right="-120" w:rightChars="-50" w:firstLine="480"/>
      </w:pPr>
      <w:r>
        <w:rPr>
          <w:rFonts w:hint="eastAsia"/>
        </w:rPr>
        <w:t>基本风压：0.35kN/m</w:t>
      </w:r>
      <w:r>
        <w:rPr>
          <w:rFonts w:hint="eastAsia"/>
          <w:vertAlign w:val="superscript"/>
        </w:rPr>
        <w:t>2</w:t>
      </w:r>
      <w:r>
        <w:rPr>
          <w:rFonts w:hint="eastAsia"/>
        </w:rPr>
        <w:t>（50年一遇）；地面粗糙度类别：B类</w:t>
      </w:r>
    </w:p>
    <w:p>
      <w:pPr>
        <w:autoSpaceDE w:val="0"/>
        <w:autoSpaceDN w:val="0"/>
        <w:adjustRightInd w:val="0"/>
        <w:snapToGrid w:val="0"/>
        <w:spacing w:line="560" w:lineRule="exact"/>
        <w:ind w:left="-120" w:leftChars="-50" w:right="-120" w:rightChars="-50" w:firstLine="480"/>
      </w:pPr>
      <w:r>
        <w:rPr>
          <w:rFonts w:hint="eastAsia"/>
        </w:rPr>
        <w:t>（风荷载体型系数按GB50009-2012第8.3节）</w:t>
      </w:r>
    </w:p>
    <w:p>
      <w:pPr>
        <w:autoSpaceDE w:val="0"/>
        <w:autoSpaceDN w:val="0"/>
        <w:adjustRightInd w:val="0"/>
        <w:snapToGrid w:val="0"/>
        <w:spacing w:line="560" w:lineRule="exact"/>
        <w:ind w:left="-120" w:leftChars="-50" w:right="-120" w:rightChars="-50" w:firstLine="480"/>
      </w:pPr>
      <w:r>
        <w:rPr>
          <w:rFonts w:hint="eastAsia"/>
        </w:rPr>
        <w:t>基本雪压：0.50kN/m</w:t>
      </w:r>
      <w:r>
        <w:rPr>
          <w:rFonts w:hint="eastAsia"/>
          <w:vertAlign w:val="superscript"/>
        </w:rPr>
        <w:t>2</w:t>
      </w:r>
      <w:r>
        <w:rPr>
          <w:rFonts w:hint="eastAsia"/>
        </w:rPr>
        <w:t xml:space="preserve">（100年一遇）        </w:t>
      </w:r>
    </w:p>
    <w:p>
      <w:pPr>
        <w:autoSpaceDE w:val="0"/>
        <w:autoSpaceDN w:val="0"/>
        <w:adjustRightInd w:val="0"/>
        <w:snapToGrid w:val="0"/>
        <w:spacing w:line="560" w:lineRule="exact"/>
        <w:ind w:left="-120" w:leftChars="-50" w:right="-120" w:rightChars="-50" w:firstLine="480"/>
      </w:pPr>
      <w:r>
        <w:rPr>
          <w:rFonts w:hint="eastAsia"/>
        </w:rPr>
        <w:t>（屋面积雪压分布系数按GB 50009-2012第7.2节）</w:t>
      </w:r>
    </w:p>
    <w:p>
      <w:pPr>
        <w:keepNext/>
        <w:numPr>
          <w:ilvl w:val="0"/>
          <w:numId w:val="1"/>
        </w:numPr>
        <w:spacing w:before="156" w:beforeLines="50" w:line="360" w:lineRule="auto"/>
        <w:ind w:left="0" w:firstLine="0" w:firstLineChars="0"/>
        <w:outlineLvl w:val="0"/>
        <w:rPr>
          <w:b/>
          <w:kern w:val="44"/>
          <w:sz w:val="28"/>
          <w:szCs w:val="28"/>
          <w:lang w:val="zh-CN"/>
        </w:rPr>
      </w:pPr>
      <w:bookmarkStart w:id="8" w:name="_Toc14415"/>
      <w:bookmarkStart w:id="9" w:name="_Toc26893"/>
      <w:r>
        <w:rPr>
          <w:rFonts w:hint="eastAsia"/>
          <w:b/>
          <w:kern w:val="44"/>
          <w:sz w:val="28"/>
          <w:szCs w:val="28"/>
        </w:rPr>
        <w:t>设计和运行条件</w:t>
      </w:r>
      <w:bookmarkEnd w:id="8"/>
      <w:bookmarkEnd w:id="9"/>
    </w:p>
    <w:p>
      <w:pPr>
        <w:pStyle w:val="3"/>
        <w:spacing w:before="156" w:beforeLines="50" w:line="360" w:lineRule="auto"/>
      </w:pPr>
      <w:bookmarkStart w:id="10" w:name="_Toc14184"/>
      <w:bookmarkStart w:id="11" w:name="_Toc1155"/>
      <w:r>
        <w:rPr>
          <w:rFonts w:hint="eastAsia"/>
        </w:rPr>
        <w:t>设计条件</w:t>
      </w:r>
      <w:bookmarkEnd w:id="10"/>
    </w:p>
    <w:tbl>
      <w:tblPr>
        <w:tblStyle w:val="15"/>
        <w:tblW w:w="53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0"/>
        <w:gridCol w:w="2650"/>
        <w:gridCol w:w="1785"/>
        <w:gridCol w:w="872"/>
        <w:gridCol w:w="1209"/>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blHeader/>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 xml:space="preserve">序号 </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cs="Times New Roman"/>
                <w:b/>
                <w:bCs/>
                <w:color w:val="auto"/>
                <w:kern w:val="2"/>
                <w:sz w:val="21"/>
                <w:szCs w:val="24"/>
                <w:highlight w:val="none"/>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en-US" w:bidi="ar-SA"/>
              </w:rPr>
              <w:t xml:space="preserve">目 </w:t>
            </w:r>
          </w:p>
        </w:tc>
        <w:tc>
          <w:tcPr>
            <w:tcW w:w="995"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cs="Times New Roman"/>
                <w:b/>
                <w:bCs/>
                <w:color w:val="auto"/>
                <w:kern w:val="2"/>
                <w:sz w:val="21"/>
                <w:szCs w:val="24"/>
                <w:highlight w:val="none"/>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en-US" w:bidi="ar-SA"/>
              </w:rPr>
              <w:t xml:space="preserve">数 </w:t>
            </w:r>
          </w:p>
        </w:tc>
        <w:tc>
          <w:tcPr>
            <w:tcW w:w="1160" w:type="pct"/>
            <w:gridSpan w:val="2"/>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对辊后粒度</w:t>
            </w:r>
          </w:p>
        </w:tc>
        <w:tc>
          <w:tcPr>
            <w:tcW w:w="1015"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数量（台）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1" w:type="pct"/>
            <w:vMerge w:val="restar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477" w:type="pct"/>
            <w:vMerge w:val="restar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物料名称</w:t>
            </w:r>
          </w:p>
        </w:tc>
        <w:tc>
          <w:tcPr>
            <w:tcW w:w="995"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钠电-层状氧化物</w:t>
            </w:r>
          </w:p>
        </w:tc>
        <w:tc>
          <w:tcPr>
            <w:tcW w:w="1160" w:type="pct"/>
            <w:gridSpan w:val="2"/>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≤1mm</w:t>
            </w:r>
          </w:p>
        </w:tc>
        <w:tc>
          <w:tcPr>
            <w:tcW w:w="1015"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1" w:type="pct"/>
            <w:vMerge w:val="continue"/>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p>
        </w:tc>
        <w:tc>
          <w:tcPr>
            <w:tcW w:w="1477" w:type="pct"/>
            <w:vMerge w:val="continue"/>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p>
        </w:tc>
        <w:tc>
          <w:tcPr>
            <w:tcW w:w="995"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钴酸锂</w:t>
            </w:r>
          </w:p>
        </w:tc>
        <w:tc>
          <w:tcPr>
            <w:tcW w:w="1160" w:type="pct"/>
            <w:gridSpan w:val="2"/>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≤1mm</w:t>
            </w:r>
          </w:p>
        </w:tc>
        <w:tc>
          <w:tcPr>
            <w:tcW w:w="1015"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2</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处理能力</w:t>
            </w:r>
          </w:p>
        </w:tc>
        <w:tc>
          <w:tcPr>
            <w:tcW w:w="3170" w:type="pct"/>
            <w:gridSpan w:val="4"/>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150-200kg/h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3</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对辊</w:t>
            </w:r>
          </w:p>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（氧化铝陶瓷纯度＞99%）</w:t>
            </w:r>
          </w:p>
        </w:tc>
        <w:tc>
          <w:tcPr>
            <w:tcW w:w="1481" w:type="pct"/>
            <w:gridSpan w:val="2"/>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上层齿辊</w:t>
            </w:r>
          </w:p>
        </w:tc>
        <w:tc>
          <w:tcPr>
            <w:tcW w:w="1689" w:type="pct"/>
            <w:gridSpan w:val="2"/>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下层平辊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间隙调整</w:t>
            </w:r>
          </w:p>
        </w:tc>
        <w:tc>
          <w:tcPr>
            <w:tcW w:w="3170" w:type="pct"/>
            <w:gridSpan w:val="4"/>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none"/>
                <w:lang w:val="en-US" w:eastAsia="zh-CN" w:bidi="ar-SA"/>
              </w:rPr>
              <w:t>0.15-20mm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来料状态</w:t>
            </w:r>
          </w:p>
        </w:tc>
        <w:tc>
          <w:tcPr>
            <w:tcW w:w="3170" w:type="pct"/>
            <w:gridSpan w:val="4"/>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一烧、二烧窑炉后物料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腔体材质</w:t>
            </w:r>
          </w:p>
        </w:tc>
        <w:tc>
          <w:tcPr>
            <w:tcW w:w="3170" w:type="pct"/>
            <w:gridSpan w:val="4"/>
            <w:vAlign w:val="center"/>
          </w:tcPr>
          <w:p>
            <w:pPr>
              <w:keepNext w:val="0"/>
              <w:keepLines w:val="0"/>
              <w:widowControl/>
              <w:suppressLineNumbers w:val="0"/>
              <w:jc w:val="left"/>
              <w:rPr>
                <w:rFonts w:hint="eastAsia" w:ascii="Times New Roman" w:hAnsi="Times New Roman" w:cs="Times New Roman"/>
                <w:color w:val="auto"/>
                <w:kern w:val="2"/>
                <w:sz w:val="21"/>
                <w:szCs w:val="21"/>
                <w:highlight w:val="none"/>
                <w:lang w:val="en-US" w:eastAsia="zh-CN" w:bidi="ar-SA"/>
              </w:rPr>
            </w:pPr>
            <w:r>
              <w:rPr>
                <w:rFonts w:hint="eastAsia" w:ascii="宋体" w:hAnsi="宋体" w:eastAsia="宋体" w:cs="宋体"/>
                <w:color w:val="000000"/>
                <w:kern w:val="0"/>
                <w:sz w:val="21"/>
                <w:szCs w:val="21"/>
                <w:lang w:val="en-US" w:eastAsia="zh-CN" w:bidi="ar"/>
              </w:rPr>
              <w:t>接触物料部分SUS304+ 0.3mm ECTFE涂层：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传动方式</w:t>
            </w:r>
          </w:p>
        </w:tc>
        <w:tc>
          <w:tcPr>
            <w:tcW w:w="3170" w:type="pct"/>
            <w:gridSpan w:val="4"/>
            <w:vAlign w:val="center"/>
          </w:tcPr>
          <w:p>
            <w:pPr>
              <w:keepNext w:val="0"/>
              <w:keepLines w:val="0"/>
              <w:widowControl/>
              <w:suppressLineNumbers w:val="0"/>
              <w:jc w:val="left"/>
              <w:rPr>
                <w:rFonts w:hint="default" w:ascii="Times New Roman" w:hAnsi="Times New Roman" w:cs="Times New Roman"/>
                <w:color w:val="auto"/>
                <w:kern w:val="2"/>
                <w:sz w:val="21"/>
                <w:szCs w:val="21"/>
                <w:highlight w:val="yellow"/>
                <w:lang w:val="en-US" w:eastAsia="zh-CN" w:bidi="ar-SA"/>
              </w:rPr>
            </w:pPr>
            <w:r>
              <w:rPr>
                <w:rFonts w:hint="eastAsia" w:ascii="宋体" w:hAnsi="宋体" w:eastAsia="宋体" w:cs="宋体"/>
                <w:color w:val="000000"/>
                <w:kern w:val="0"/>
                <w:sz w:val="21"/>
                <w:szCs w:val="21"/>
                <w:highlight w:val="yellow"/>
                <w:lang w:val="en-US" w:eastAsia="zh-CN" w:bidi="ar"/>
              </w:rPr>
              <w:t>减速电机直连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保护装置</w:t>
            </w:r>
          </w:p>
        </w:tc>
        <w:tc>
          <w:tcPr>
            <w:tcW w:w="3170" w:type="pct"/>
            <w:gridSpan w:val="4"/>
            <w:vAlign w:val="center"/>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弹簧保护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密封方式</w:t>
            </w:r>
          </w:p>
        </w:tc>
        <w:tc>
          <w:tcPr>
            <w:tcW w:w="3170" w:type="pct"/>
            <w:gridSpan w:val="4"/>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机械迷宫密封+</w:t>
            </w:r>
          </w:p>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气密封（确保密封可靠的情况下可取消气密封）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PLC</w:t>
            </w:r>
          </w:p>
        </w:tc>
        <w:tc>
          <w:tcPr>
            <w:tcW w:w="3170" w:type="pct"/>
            <w:gridSpan w:val="4"/>
            <w:vAlign w:val="center"/>
          </w:tcPr>
          <w:p>
            <w:pPr>
              <w:keepNext w:val="0"/>
              <w:keepLines w:val="0"/>
              <w:widowControl/>
              <w:suppressLineNumbers w:val="0"/>
              <w:jc w:val="left"/>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西门子S7系列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触摸屏</w:t>
            </w:r>
          </w:p>
        </w:tc>
        <w:tc>
          <w:tcPr>
            <w:tcW w:w="3170" w:type="pct"/>
            <w:gridSpan w:val="4"/>
            <w:vAlign w:val="center"/>
          </w:tcPr>
          <w:p>
            <w:pPr>
              <w:keepNext w:val="0"/>
              <w:keepLines w:val="0"/>
              <w:widowControl/>
              <w:suppressLineNumbers w:val="0"/>
              <w:jc w:val="left"/>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昆仑通态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电机</w:t>
            </w:r>
          </w:p>
        </w:tc>
        <w:tc>
          <w:tcPr>
            <w:tcW w:w="3170" w:type="pct"/>
            <w:gridSpan w:val="4"/>
            <w:vAlign w:val="center"/>
          </w:tcPr>
          <w:p>
            <w:pPr>
              <w:keepNext w:val="0"/>
              <w:keepLines w:val="0"/>
              <w:widowControl/>
              <w:suppressLineNumbers w:val="0"/>
              <w:jc w:val="left"/>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SEW/势拓及同级别品牌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13</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变频器</w:t>
            </w:r>
          </w:p>
        </w:tc>
        <w:tc>
          <w:tcPr>
            <w:tcW w:w="3170" w:type="pct"/>
            <w:gridSpan w:val="4"/>
            <w:vAlign w:val="center"/>
          </w:tcPr>
          <w:p>
            <w:pPr>
              <w:keepNext w:val="0"/>
              <w:keepLines w:val="0"/>
              <w:widowControl/>
              <w:suppressLineNumbers w:val="0"/>
              <w:jc w:val="left"/>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汇川/ABB及同级别品牌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14</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减速机</w:t>
            </w:r>
          </w:p>
        </w:tc>
        <w:tc>
          <w:tcPr>
            <w:tcW w:w="3170" w:type="pct"/>
            <w:gridSpan w:val="4"/>
            <w:vAlign w:val="center"/>
          </w:tcPr>
          <w:p>
            <w:pPr>
              <w:keepNext w:val="0"/>
              <w:keepLines w:val="0"/>
              <w:widowControl/>
              <w:suppressLineNumbers w:val="0"/>
              <w:jc w:val="left"/>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SEW/国贸及同级别品牌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15</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控制元器件</w:t>
            </w:r>
          </w:p>
        </w:tc>
        <w:tc>
          <w:tcPr>
            <w:tcW w:w="3170" w:type="pct"/>
            <w:gridSpan w:val="4"/>
            <w:vAlign w:val="center"/>
          </w:tcPr>
          <w:p>
            <w:pPr>
              <w:keepNext w:val="0"/>
              <w:keepLines w:val="0"/>
              <w:widowControl/>
              <w:suppressLineNumbers w:val="0"/>
              <w:jc w:val="left"/>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施耐德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16</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电缆</w:t>
            </w:r>
          </w:p>
        </w:tc>
        <w:tc>
          <w:tcPr>
            <w:tcW w:w="3170" w:type="pct"/>
            <w:gridSpan w:val="4"/>
            <w:vAlign w:val="center"/>
          </w:tcPr>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上上/远东/恒飞/新亚光及同等品牌</w:t>
            </w:r>
          </w:p>
          <w:p>
            <w:pPr>
              <w:keepNext w:val="0"/>
              <w:keepLines w:val="0"/>
              <w:widowControl/>
              <w:suppressLineNumbers w:val="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控制柜到设备端的电缆由卖方负责，长度约20米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17</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控制柜</w:t>
            </w:r>
          </w:p>
        </w:tc>
        <w:tc>
          <w:tcPr>
            <w:tcW w:w="3170" w:type="pct"/>
            <w:gridSpan w:val="4"/>
            <w:vAlign w:val="center"/>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碳钢喷塑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18</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机体材质</w:t>
            </w:r>
          </w:p>
        </w:tc>
        <w:tc>
          <w:tcPr>
            <w:tcW w:w="3170" w:type="pct"/>
            <w:gridSpan w:val="4"/>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420" w:firstLineChars="200"/>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1"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19</w:t>
            </w:r>
          </w:p>
        </w:tc>
        <w:tc>
          <w:tcPr>
            <w:tcW w:w="1477" w:type="pct"/>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设备支架</w:t>
            </w:r>
          </w:p>
        </w:tc>
        <w:tc>
          <w:tcPr>
            <w:tcW w:w="3170" w:type="pct"/>
            <w:gridSpan w:val="4"/>
            <w:vAlign w:val="center"/>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Q235喷塑/喷漆</w:t>
            </w:r>
          </w:p>
        </w:tc>
      </w:tr>
    </w:tbl>
    <w:p/>
    <w:bookmarkEnd w:id="11"/>
    <w:p>
      <w:pPr>
        <w:keepNext/>
        <w:numPr>
          <w:ilvl w:val="0"/>
          <w:numId w:val="1"/>
        </w:numPr>
        <w:spacing w:before="156" w:beforeLines="50" w:line="360" w:lineRule="auto"/>
        <w:ind w:left="0" w:firstLine="0" w:firstLineChars="0"/>
        <w:outlineLvl w:val="0"/>
        <w:rPr>
          <w:b/>
          <w:kern w:val="44"/>
          <w:sz w:val="28"/>
          <w:szCs w:val="28"/>
          <w:lang w:val="zh-CN"/>
        </w:rPr>
      </w:pPr>
      <w:bookmarkStart w:id="12" w:name="_Toc4005"/>
      <w:r>
        <w:rPr>
          <w:rFonts w:hint="eastAsia"/>
          <w:b/>
          <w:kern w:val="44"/>
          <w:sz w:val="28"/>
          <w:szCs w:val="28"/>
        </w:rPr>
        <w:t>防异物要求</w:t>
      </w:r>
      <w:bookmarkEnd w:id="12"/>
    </w:p>
    <w:p>
      <w:pPr>
        <w:numPr>
          <w:ilvl w:val="1"/>
          <w:numId w:val="0"/>
        </w:numPr>
        <w:autoSpaceDE w:val="0"/>
        <w:autoSpaceDN w:val="0"/>
        <w:adjustRightInd w:val="0"/>
        <w:snapToGrid w:val="0"/>
        <w:spacing w:line="560" w:lineRule="exact"/>
        <w:ind w:leftChars="100" w:right="-120" w:rightChars="-50"/>
      </w:pPr>
      <w:bookmarkStart w:id="13" w:name="_Toc24857"/>
      <w:r>
        <w:rPr>
          <w:rFonts w:hint="eastAsia"/>
          <w:lang w:val="en-US" w:eastAsia="zh-CN"/>
        </w:rPr>
        <w:t>1.</w:t>
      </w:r>
      <w:r>
        <w:rPr>
          <w:rFonts w:hint="eastAsia"/>
        </w:rPr>
        <w:t>设备避免使用含铜、锌材质的设备、配件，如不可避免使用，须列出使用部件清单，并做好防护不能直接裸露在外</w:t>
      </w:r>
      <w:r>
        <w:rPr>
          <w:rFonts w:hint="eastAsia"/>
          <w:lang w:eastAsia="zh-CN"/>
        </w:rPr>
        <w:t>，</w:t>
      </w:r>
      <w:r>
        <w:rPr>
          <w:rFonts w:hint="eastAsia"/>
          <w:lang w:val="en-US" w:eastAsia="zh-CN"/>
        </w:rPr>
        <w:t>符合锂电正极材料行业禁铜锌等金属异物的要求</w:t>
      </w:r>
      <w:r>
        <w:rPr>
          <w:rFonts w:hint="eastAsia"/>
        </w:rPr>
        <w:t xml:space="preserve">。 </w:t>
      </w:r>
    </w:p>
    <w:p>
      <w:pPr>
        <w:numPr>
          <w:ilvl w:val="1"/>
          <w:numId w:val="0"/>
        </w:numPr>
        <w:autoSpaceDE w:val="0"/>
        <w:autoSpaceDN w:val="0"/>
        <w:adjustRightInd w:val="0"/>
        <w:snapToGrid w:val="0"/>
        <w:spacing w:line="560" w:lineRule="exact"/>
        <w:ind w:leftChars="100" w:right="-120" w:rightChars="-50"/>
      </w:pPr>
      <w:r>
        <w:rPr>
          <w:rFonts w:hint="eastAsia"/>
          <w:lang w:val="en-US" w:eastAsia="zh-CN"/>
        </w:rPr>
        <w:t>2.</w:t>
      </w:r>
      <w:r>
        <w:rPr>
          <w:rFonts w:hint="eastAsia"/>
        </w:rPr>
        <w:t>设备机体、支架等若采用碳钢材质的部分必须做好防腐处理，防腐油漆不能使用含金属的油漆，宜采用不含金属的环氧树脂油漆或喷塑工艺。</w:t>
      </w:r>
      <w:r>
        <w:rPr>
          <w:rFonts w:hint="eastAsia"/>
        </w:rPr>
        <w:cr/>
      </w:r>
      <w:r>
        <w:rPr>
          <w:rFonts w:hint="eastAsia"/>
          <w:lang w:val="en-US" w:eastAsia="zh-CN"/>
        </w:rPr>
        <w:t>3.</w:t>
      </w:r>
      <w:r>
        <w:rPr>
          <w:rFonts w:hint="eastAsia"/>
        </w:rPr>
        <w:t>内部接触物料部件采用非金属化处理，宜采用陶瓷材料、非金属涂层处理。</w:t>
      </w:r>
      <w:r>
        <w:rPr>
          <w:rFonts w:hint="eastAsia"/>
        </w:rPr>
        <w:cr/>
      </w:r>
      <w:r>
        <w:rPr>
          <w:rFonts w:hint="eastAsia"/>
          <w:lang w:val="en-US" w:eastAsia="zh-CN"/>
        </w:rPr>
        <w:t>4.</w:t>
      </w:r>
      <w:r>
        <w:rPr>
          <w:rFonts w:hint="eastAsia"/>
        </w:rPr>
        <w:t>内部接触物料的转动部件必须采用耐磨涂层，涂层不含铜、锌材质。</w:t>
      </w:r>
      <w:r>
        <w:rPr>
          <w:rFonts w:hint="eastAsia"/>
        </w:rPr>
        <w:cr/>
      </w:r>
      <w:r>
        <w:rPr>
          <w:rFonts w:hint="eastAsia"/>
          <w:lang w:val="en-US" w:eastAsia="zh-CN"/>
        </w:rPr>
        <w:t>5.</w:t>
      </w:r>
      <w:r>
        <w:rPr>
          <w:rFonts w:hint="eastAsia"/>
        </w:rPr>
        <w:t>各焊接物件的外观焊缝以及性能焊缝均打磨平整光滑，清除焊渣、焊瘤、飞溅物。</w:t>
      </w:r>
      <w:r>
        <w:rPr>
          <w:rFonts w:hint="eastAsia"/>
        </w:rPr>
        <w:cr/>
      </w:r>
      <w:r>
        <w:rPr>
          <w:rFonts w:hint="eastAsia"/>
          <w:lang w:val="en-US" w:eastAsia="zh-CN"/>
        </w:rPr>
        <w:t>6.</w:t>
      </w:r>
      <w:r>
        <w:rPr>
          <w:rFonts w:hint="eastAsia"/>
        </w:rPr>
        <w:t>外观覆盖件、透明件无毛刺、铁锈、型砂、焊渣、切屑、油污等物，无碰伤、划伤、拉毛等痕迹。</w:t>
      </w:r>
    </w:p>
    <w:bookmarkEnd w:id="13"/>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14" w:name="_Toc10772"/>
      <w:bookmarkStart w:id="15" w:name="_Toc14878"/>
      <w:bookmarkStart w:id="16" w:name="_Toc10535"/>
      <w:bookmarkStart w:id="17" w:name="_Toc27955"/>
      <w:r>
        <w:rPr>
          <w:rFonts w:hint="eastAsia" w:cs="Times New Roman"/>
          <w:b/>
          <w:kern w:val="44"/>
          <w:sz w:val="28"/>
          <w:szCs w:val="28"/>
          <w:lang w:val="en-US" w:eastAsia="zh-CN" w:bidi="ar-SA"/>
        </w:rPr>
        <w:t>监造和性能验收</w:t>
      </w:r>
      <w:bookmarkEnd w:id="14"/>
      <w:bookmarkEnd w:id="15"/>
      <w:bookmarkEnd w:id="16"/>
      <w:bookmarkEnd w:id="17"/>
    </w:p>
    <w:p>
      <w:pPr>
        <w:pStyle w:val="3"/>
        <w:rPr>
          <w:rFonts w:hint="eastAsia" w:cs="Times New Roman"/>
          <w:lang w:val="en-US" w:eastAsia="zh-CN"/>
        </w:rPr>
      </w:pPr>
      <w:bookmarkStart w:id="18" w:name="_Toc1000"/>
      <w:bookmarkStart w:id="19" w:name="_Toc29548"/>
      <w:bookmarkStart w:id="20" w:name="_Toc20779"/>
      <w:bookmarkStart w:id="21" w:name="_Toc3580"/>
      <w:bookmarkStart w:id="22" w:name="_Toc4387"/>
      <w:r>
        <w:rPr>
          <w:rFonts w:hint="eastAsia" w:cs="Times New Roman"/>
          <w:lang w:val="en-US" w:eastAsia="zh-CN"/>
        </w:rPr>
        <w:t>性能保证</w:t>
      </w:r>
      <w:bookmarkEnd w:id="18"/>
      <w:bookmarkEnd w:id="19"/>
      <w:bookmarkEnd w:id="20"/>
      <w:bookmarkEnd w:id="21"/>
      <w:bookmarkEnd w:id="22"/>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cs="Times New Roman"/>
          <w:lang w:val="en-US" w:eastAsia="zh-CN"/>
        </w:rPr>
        <w:t>1.</w:t>
      </w:r>
      <w:r>
        <w:rPr>
          <w:rFonts w:hint="eastAsia" w:ascii="Times New Roman" w:hAnsi="Times New Roman" w:cs="Times New Roman"/>
          <w:lang w:val="zh-CN"/>
        </w:rPr>
        <w:t>设备噪音在自由开放空间</w:t>
      </w:r>
      <w:r>
        <w:rPr>
          <w:rFonts w:hint="eastAsia" w:ascii="Times New Roman" w:hAnsi="Times New Roman" w:cs="Times New Roman"/>
        </w:rPr>
        <w:t>，</w:t>
      </w:r>
      <w:r>
        <w:rPr>
          <w:rFonts w:hint="eastAsia" w:ascii="Times New Roman" w:hAnsi="Times New Roman" w:cs="Times New Roman"/>
          <w:lang w:val="zh-CN"/>
        </w:rPr>
        <w:t>距</w:t>
      </w:r>
      <w:r>
        <w:rPr>
          <w:rFonts w:hint="eastAsia" w:ascii="Times New Roman" w:hAnsi="Times New Roman" w:cs="Times New Roman"/>
        </w:rPr>
        <w:t>设备1</w:t>
      </w:r>
      <w:r>
        <w:rPr>
          <w:rFonts w:hint="eastAsia" w:ascii="Times New Roman" w:hAnsi="Times New Roman" w:cs="Times New Roman"/>
          <w:lang w:val="zh-CN"/>
        </w:rPr>
        <w:t>米的距离上测试</w:t>
      </w:r>
      <w:r>
        <w:rPr>
          <w:rFonts w:hint="eastAsia" w:ascii="Times New Roman" w:hAnsi="Times New Roman" w:cs="Times New Roman"/>
        </w:rPr>
        <w:t>，</w:t>
      </w:r>
      <w:r>
        <w:rPr>
          <w:rFonts w:hint="eastAsia" w:ascii="Times New Roman" w:hAnsi="Times New Roman" w:cs="Times New Roman"/>
          <w:lang w:val="zh-CN"/>
        </w:rPr>
        <w:t>小于</w:t>
      </w:r>
      <w:r>
        <w:rPr>
          <w:rFonts w:hint="eastAsia" w:ascii="Times New Roman" w:hAnsi="Times New Roman" w:cs="Times New Roman"/>
        </w:rPr>
        <w:t>85dB</w:t>
      </w:r>
      <w:r>
        <w:rPr>
          <w:rFonts w:hint="eastAsia" w:ascii="Times New Roman" w:hAnsi="Times New Roman" w:cs="Times New Roman"/>
          <w:lang w:val="zh-CN"/>
        </w:rPr>
        <w:t>。</w:t>
      </w:r>
      <w:r>
        <w:rPr>
          <w:rFonts w:hint="eastAsia" w:ascii="Times New Roman" w:hAnsi="Times New Roman" w:cs="Times New Roman"/>
        </w:rPr>
        <w:t>设备</w:t>
      </w:r>
      <w:r>
        <w:rPr>
          <w:rFonts w:hint="eastAsia" w:ascii="Times New Roman" w:hAnsi="Times New Roman" w:cs="Times New Roman"/>
          <w:lang w:val="zh-CN"/>
        </w:rPr>
        <w:t>以外的管道、设备及附件的噪音不包含在内。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cs="Times New Roman"/>
          <w:lang w:val="en-US" w:eastAsia="zh-CN"/>
        </w:rPr>
        <w:t>2.</w:t>
      </w:r>
      <w:r>
        <w:rPr>
          <w:rFonts w:hint="eastAsia" w:ascii="Times New Roman" w:hAnsi="Times New Roman" w:cs="Times New Roman"/>
        </w:rPr>
        <w:t>设备</w:t>
      </w:r>
      <w:r>
        <w:rPr>
          <w:rFonts w:hint="eastAsia" w:ascii="Times New Roman" w:hAnsi="Times New Roman" w:cs="Times New Roman"/>
          <w:lang w:val="zh-CN"/>
        </w:rPr>
        <w:t>所有部件的设计满足在最大出口压力下运行不发生损坏。</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cs="Times New Roman"/>
          <w:lang w:val="en-US" w:eastAsia="zh-CN"/>
        </w:rPr>
        <w:t>3.</w:t>
      </w:r>
      <w:r>
        <w:rPr>
          <w:rFonts w:hint="eastAsia" w:ascii="Times New Roman" w:hAnsi="Times New Roman" w:cs="Times New Roman"/>
        </w:rPr>
        <w:t>满足本技术协议中所有的工艺指标要求。</w:t>
      </w:r>
    </w:p>
    <w:p>
      <w:pPr>
        <w:pStyle w:val="3"/>
        <w:rPr>
          <w:rFonts w:hint="eastAsia" w:cs="Times New Roman"/>
          <w:lang w:val="en-US" w:eastAsia="zh-CN"/>
        </w:rPr>
      </w:pPr>
      <w:bookmarkStart w:id="23" w:name="_Toc20694"/>
      <w:bookmarkStart w:id="24" w:name="_Toc28789"/>
      <w:bookmarkStart w:id="25" w:name="_Toc4610"/>
      <w:bookmarkStart w:id="26" w:name="_Toc24848"/>
      <w:bookmarkStart w:id="27" w:name="_Toc3600"/>
      <w:r>
        <w:rPr>
          <w:rFonts w:hint="eastAsia" w:cs="Times New Roman"/>
          <w:lang w:val="en-US" w:eastAsia="zh-CN"/>
        </w:rPr>
        <w:t>质量保证</w:t>
      </w:r>
      <w:bookmarkEnd w:id="23"/>
      <w:bookmarkEnd w:id="24"/>
      <w:bookmarkEnd w:id="25"/>
      <w:bookmarkEnd w:id="26"/>
      <w:bookmarkEnd w:id="27"/>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US" w:eastAsia="zh-CN"/>
        </w:rPr>
      </w:pPr>
      <w:r>
        <w:rPr>
          <w:rFonts w:hint="eastAsia" w:cs="Times New Roman"/>
          <w:lang w:val="en-US" w:eastAsia="zh-CN"/>
        </w:rPr>
        <w:t>1.</w:t>
      </w:r>
      <w:r>
        <w:rPr>
          <w:rFonts w:hint="eastAsia" w:ascii="Times New Roman" w:hAnsi="Times New Roman" w:cs="Times New Roman"/>
          <w:lang w:val="zh-CN" w:eastAsia="zh-CN"/>
        </w:rPr>
        <w:t>制造厂家需建有一套完整的质量保证体系</w:t>
      </w:r>
      <w:r>
        <w:rPr>
          <w:rFonts w:hint="eastAsia" w:ascii="Times New Roman" w:hAnsi="Times New Roman" w:cs="Times New Roman"/>
          <w:lang w:val="en-US" w:eastAsia="zh-CN"/>
        </w:rPr>
        <w:t>，</w:t>
      </w:r>
      <w:r>
        <w:rPr>
          <w:rFonts w:hint="eastAsia" w:ascii="Times New Roman" w:hAnsi="Times New Roman" w:cs="Times New Roman"/>
          <w:lang w:val="zh-CN" w:eastAsia="zh-CN"/>
        </w:rPr>
        <w:t>并获</w:t>
      </w:r>
      <w:r>
        <w:rPr>
          <w:rFonts w:hint="eastAsia" w:ascii="Times New Roman" w:hAnsi="Times New Roman" w:cs="Times New Roman"/>
          <w:lang w:val="en-US" w:eastAsia="zh-CN"/>
        </w:rPr>
        <w:t>ISO9001</w:t>
      </w:r>
      <w:r>
        <w:rPr>
          <w:rFonts w:hint="eastAsia" w:ascii="Times New Roman" w:hAnsi="Times New Roman" w:cs="Times New Roman"/>
          <w:lang w:val="zh-CN" w:eastAsia="zh-CN"/>
        </w:rPr>
        <w:t>国际质量体系认证</w:t>
      </w:r>
      <w:r>
        <w:rPr>
          <w:rFonts w:hint="eastAsia" w:ascii="Times New Roman" w:hAnsi="Times New Roman" w:cs="Times New Roman"/>
          <w:lang w:val="en-US" w:eastAsia="zh-CN"/>
        </w:rPr>
        <w:t>，</w:t>
      </w:r>
      <w:r>
        <w:rPr>
          <w:rFonts w:hint="eastAsia" w:ascii="Times New Roman" w:hAnsi="Times New Roman" w:cs="Times New Roman"/>
          <w:lang w:val="zh-CN" w:eastAsia="zh-CN"/>
        </w:rPr>
        <w:t>保证机组是全新的、高质量的和供货完整的。</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cs="Times New Roman"/>
          <w:lang w:val="en-US" w:eastAsia="zh-CN"/>
        </w:rPr>
        <w:t>2.</w:t>
      </w:r>
      <w:r>
        <w:rPr>
          <w:rFonts w:hint="eastAsia" w:ascii="Times New Roman" w:hAnsi="Times New Roman" w:cs="Times New Roman"/>
          <w:lang w:val="zh-CN" w:eastAsia="zh-CN"/>
        </w:rPr>
        <w:t>保证货物全新，材料上乘，加工精良，完全符合合同规定的质量和性能。在正确安装，操作及保养的条件下，设备质保期为验收后12个月或发货后18个月，以先期满者为准。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cs="Times New Roman"/>
          <w:lang w:val="en-US" w:eastAsia="zh-CN"/>
        </w:rPr>
        <w:t>3.</w:t>
      </w:r>
      <w:r>
        <w:rPr>
          <w:rFonts w:hint="eastAsia" w:ascii="Times New Roman" w:hAnsi="Times New Roman" w:cs="Times New Roman"/>
          <w:lang w:val="zh-CN" w:eastAsia="zh-CN"/>
        </w:rPr>
        <w:t>卖方必须保证产品为本厂生产，若有其他外协单位供货部分，提供卖方品牌清单，加工制造过程中买方保留在买卖双方达成一致的前提下到卖方外协单位进行检查的权利。</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cs="Times New Roman"/>
          <w:lang w:val="en-US" w:eastAsia="zh-CN"/>
        </w:rPr>
        <w:t>4.</w:t>
      </w:r>
      <w:r>
        <w:rPr>
          <w:rFonts w:hint="eastAsia" w:ascii="Times New Roman" w:hAnsi="Times New Roman" w:cs="Times New Roman"/>
          <w:lang w:val="zh-CN" w:eastAsia="zh-CN"/>
        </w:rPr>
        <w:t>所有金属含量要求见技术协议，所有设备入厂需进行金属成分检测，不满足要求更换处理。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cs="Times New Roman"/>
          <w:lang w:val="en-US" w:eastAsia="zh-CN"/>
        </w:rPr>
        <w:t>5.</w:t>
      </w:r>
      <w:r>
        <w:rPr>
          <w:rFonts w:hint="eastAsia" w:ascii="Times New Roman" w:hAnsi="Times New Roman" w:cs="Times New Roman"/>
          <w:lang w:val="zh-CN" w:eastAsia="zh-CN"/>
        </w:rPr>
        <w:t>设备</w:t>
      </w:r>
      <w:r>
        <w:rPr>
          <w:rFonts w:hint="eastAsia" w:ascii="Times New Roman" w:hAnsi="Times New Roman" w:cs="Times New Roman"/>
          <w:lang w:val="en-GB" w:eastAsia="zh-CN"/>
        </w:rPr>
        <w:t>调试完成，稳定运行</w:t>
      </w:r>
      <w:r>
        <w:rPr>
          <w:rFonts w:hint="eastAsia" w:cs="Times New Roman"/>
          <w:lang w:val="en-US" w:eastAsia="zh-CN"/>
        </w:rPr>
        <w:t>3个月</w:t>
      </w:r>
      <w:r>
        <w:rPr>
          <w:rFonts w:hint="eastAsia" w:ascii="Times New Roman" w:hAnsi="Times New Roman" w:cs="Times New Roman"/>
          <w:lang w:val="en-GB" w:eastAsia="zh-CN"/>
        </w:rPr>
        <w:t>无任何故障（可在5分钟内解决的问题不能作为故障）视为验收合格，否则卖方必须采取现场整改、换货等措施直至达到稳定运行工况</w:t>
      </w:r>
      <w:r>
        <w:rPr>
          <w:rFonts w:hint="eastAsia" w:ascii="Times New Roman" w:hAnsi="Times New Roman" w:cs="Times New Roman"/>
          <w:lang w:val="zh-CN" w:eastAsia="zh-CN"/>
        </w:rPr>
        <w:t>。</w:t>
      </w:r>
    </w:p>
    <w:p>
      <w:pPr>
        <w:pStyle w:val="3"/>
        <w:rPr>
          <w:rFonts w:hint="eastAsia" w:cs="Times New Roman"/>
          <w:lang w:val="en-US" w:eastAsia="zh-CN"/>
        </w:rPr>
      </w:pPr>
      <w:bookmarkStart w:id="28" w:name="_Toc16855"/>
      <w:bookmarkStart w:id="29" w:name="_Toc22401"/>
      <w:bookmarkStart w:id="30" w:name="_Toc28591"/>
      <w:bookmarkStart w:id="31" w:name="_Toc10470"/>
      <w:bookmarkStart w:id="32" w:name="_Toc12855"/>
      <w:r>
        <w:rPr>
          <w:rFonts w:hint="eastAsia" w:cs="Times New Roman"/>
          <w:lang w:val="en-US" w:eastAsia="zh-CN"/>
        </w:rPr>
        <w:t>检验保证</w:t>
      </w:r>
      <w:bookmarkEnd w:id="28"/>
      <w:bookmarkEnd w:id="29"/>
      <w:bookmarkEnd w:id="30"/>
      <w:bookmarkEnd w:id="31"/>
      <w:bookmarkEnd w:id="32"/>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cs="Times New Roman"/>
          <w:lang w:val="en-US" w:eastAsia="zh-CN"/>
        </w:rPr>
        <w:t>1.</w:t>
      </w:r>
      <w:r>
        <w:rPr>
          <w:rFonts w:hint="eastAsia" w:ascii="Times New Roman" w:hAnsi="Times New Roman" w:cs="Times New Roman"/>
          <w:lang w:val="zh-CN" w:eastAsia="zh-CN"/>
        </w:rPr>
        <w:t>卖方所需该设备生产主材及关键部位材质均需提供检验合格证明材料，并在交货时一同交付。</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cs="Times New Roman"/>
          <w:lang w:val="en-US" w:eastAsia="zh-CN"/>
        </w:rPr>
        <w:t>2.</w:t>
      </w:r>
      <w:r>
        <w:rPr>
          <w:rFonts w:hint="eastAsia" w:ascii="Times New Roman" w:hAnsi="Times New Roman" w:cs="Times New Roman"/>
          <w:lang w:val="zh-CN" w:eastAsia="zh-CN"/>
        </w:rPr>
        <w:t>卖方生产过程须保留该产品生产过程记录，买方在中间检查或验收时可随时提供相关资料。</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bookmarkStart w:id="33" w:name="_Toc8104"/>
      <w:r>
        <w:rPr>
          <w:rFonts w:hint="eastAsia" w:cs="Times New Roman"/>
          <w:lang w:val="en-US" w:eastAsia="zh-CN"/>
        </w:rPr>
        <w:t>3.</w:t>
      </w:r>
      <w:r>
        <w:rPr>
          <w:rFonts w:hint="eastAsia" w:ascii="Times New Roman" w:hAnsi="Times New Roman" w:cs="Times New Roman"/>
          <w:lang w:val="zh-CN" w:eastAsia="zh-CN"/>
        </w:rPr>
        <w:t>其他相关检验项目按照卖方企标、国家标准规范实施。</w:t>
      </w:r>
      <w:bookmarkEnd w:id="33"/>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cs="Times New Roman"/>
          <w:lang w:val="en-US" w:eastAsia="zh-CN"/>
        </w:rPr>
        <w:t>4.</w:t>
      </w:r>
      <w:r>
        <w:rPr>
          <w:rFonts w:hint="eastAsia" w:ascii="Times New Roman" w:hAnsi="Times New Roman" w:cs="Times New Roman"/>
          <w:lang w:val="zh-CN" w:eastAsia="zh-CN"/>
        </w:rPr>
        <w:t>买方保留全过程监造权利。</w:t>
      </w:r>
    </w:p>
    <w:p>
      <w:pPr>
        <w:pStyle w:val="3"/>
        <w:rPr>
          <w:rFonts w:hint="eastAsia" w:cs="Times New Roman"/>
          <w:lang w:val="en-US" w:eastAsia="zh-CN"/>
        </w:rPr>
      </w:pPr>
      <w:bookmarkStart w:id="34" w:name="_Toc10600"/>
      <w:bookmarkStart w:id="35" w:name="_Toc28521"/>
      <w:bookmarkStart w:id="36" w:name="_Toc2888"/>
      <w:bookmarkStart w:id="37" w:name="_Toc10753"/>
      <w:bookmarkStart w:id="38" w:name="_Toc15586"/>
      <w:r>
        <w:rPr>
          <w:rFonts w:hint="eastAsia" w:cs="Times New Roman"/>
          <w:lang w:val="en-US" w:eastAsia="zh-CN"/>
        </w:rPr>
        <w:t>验收</w:t>
      </w:r>
      <w:bookmarkEnd w:id="34"/>
      <w:r>
        <w:rPr>
          <w:rFonts w:hint="eastAsia" w:cs="Times New Roman"/>
          <w:lang w:val="en-US" w:eastAsia="zh-CN"/>
        </w:rPr>
        <w:t>与安装</w:t>
      </w:r>
      <w:bookmarkEnd w:id="35"/>
      <w:bookmarkEnd w:id="36"/>
      <w:bookmarkEnd w:id="37"/>
      <w:bookmarkEnd w:id="38"/>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1.</w:t>
      </w:r>
      <w:r>
        <w:rPr>
          <w:rFonts w:hint="eastAsia" w:ascii="Times New Roman" w:hAnsi="Times New Roman" w:cs="Times New Roman"/>
          <w:lang w:val="en-GB" w:eastAsia="zh-CN"/>
        </w:rPr>
        <w:t>设备到达现场后，</w:t>
      </w:r>
      <w:r>
        <w:rPr>
          <w:rFonts w:hint="eastAsia" w:cs="Times New Roman"/>
          <w:lang w:val="en-US" w:eastAsia="zh-CN"/>
        </w:rPr>
        <w:t>买卖双方</w:t>
      </w:r>
      <w:r>
        <w:rPr>
          <w:rFonts w:hint="eastAsia" w:ascii="Times New Roman" w:hAnsi="Times New Roman" w:cs="Times New Roman"/>
          <w:lang w:val="en-GB" w:eastAsia="zh-CN"/>
        </w:rPr>
        <w:t>现场进行开箱检验。</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2.</w:t>
      </w:r>
      <w:r>
        <w:rPr>
          <w:rFonts w:hint="eastAsia" w:ascii="Times New Roman" w:hAnsi="Times New Roman" w:cs="Times New Roman"/>
          <w:lang w:val="en-GB" w:eastAsia="zh-CN"/>
        </w:rPr>
        <w:t>如果卖方</w:t>
      </w:r>
      <w:r>
        <w:rPr>
          <w:rFonts w:hint="eastAsia" w:cs="Times New Roman"/>
          <w:lang w:val="en-US" w:eastAsia="zh-CN"/>
        </w:rPr>
        <w:t>未随设备</w:t>
      </w:r>
      <w:r>
        <w:rPr>
          <w:rFonts w:hint="eastAsia" w:ascii="Times New Roman" w:hAnsi="Times New Roman" w:cs="Times New Roman"/>
          <w:lang w:val="en-GB" w:eastAsia="zh-CN"/>
        </w:rPr>
        <w:t>到达现场</w:t>
      </w:r>
      <w:r>
        <w:rPr>
          <w:rFonts w:hint="eastAsia" w:cs="Times New Roman"/>
          <w:lang w:val="en-US" w:eastAsia="zh-CN"/>
        </w:rPr>
        <w:t>的</w:t>
      </w:r>
      <w:r>
        <w:rPr>
          <w:rFonts w:hint="eastAsia" w:ascii="Times New Roman" w:hAnsi="Times New Roman" w:cs="Times New Roman"/>
          <w:lang w:val="en-GB" w:eastAsia="zh-CN"/>
        </w:rPr>
        <w:t>，买方可以根据工程需要自行开箱检验，如发现设备、部件与装箱清单不符或设备、部件损坏，卖方应承担全部责任。</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3.</w:t>
      </w:r>
      <w:r>
        <w:rPr>
          <w:rFonts w:hint="eastAsia" w:ascii="Times New Roman" w:hAnsi="Times New Roman" w:cs="Times New Roman"/>
          <w:lang w:val="en-GB" w:eastAsia="zh-CN"/>
        </w:rPr>
        <w:t>产品生产过程中的主要阶段的试验与验收卖方必须邀请买方人员参加，买方可视具体情况决定派员参加或不参加，需要不参加的试验卖方应将试验结构送交买方确认</w:t>
      </w:r>
      <w:r>
        <w:rPr>
          <w:rFonts w:hint="eastAsia"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4.</w:t>
      </w:r>
      <w:r>
        <w:rPr>
          <w:rFonts w:hint="eastAsia" w:ascii="Times New Roman" w:hAnsi="Times New Roman" w:cs="Times New Roman"/>
          <w:lang w:val="en-GB" w:eastAsia="zh-CN"/>
        </w:rPr>
        <w:t>制造厂内买方的验收不作为最终产品合格的保证，产品最终应通过现场调试和运行考验来验收。</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5.</w:t>
      </w:r>
      <w:r>
        <w:rPr>
          <w:rFonts w:hint="eastAsia" w:ascii="Times New Roman" w:hAnsi="Times New Roman" w:cs="Times New Roman"/>
          <w:lang w:val="en-GB" w:eastAsia="zh-CN"/>
        </w:rPr>
        <w:t>产品最终验收以达到买方产品技术要求为准，并满足各种性能要求。</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US" w:eastAsia="zh-CN"/>
        </w:rPr>
      </w:pPr>
      <w:r>
        <w:rPr>
          <w:rFonts w:hint="eastAsia" w:cs="Times New Roman"/>
          <w:lang w:val="en-US" w:eastAsia="zh-CN"/>
        </w:rPr>
        <w:t>6.</w:t>
      </w:r>
      <w:r>
        <w:rPr>
          <w:rFonts w:hint="default" w:ascii="Times New Roman" w:hAnsi="Times New Roman" w:cs="Times New Roman"/>
          <w:lang w:val="en-US" w:eastAsia="zh-CN"/>
        </w:rPr>
        <w:t>接到买方通知三天内，卖方安排专业</w:t>
      </w:r>
      <w:r>
        <w:rPr>
          <w:rFonts w:hint="eastAsia" w:cs="Times New Roman"/>
          <w:lang w:val="en-US" w:eastAsia="zh-CN"/>
        </w:rPr>
        <w:t>工程师</w:t>
      </w:r>
      <w:r>
        <w:rPr>
          <w:rFonts w:hint="default" w:ascii="Times New Roman" w:hAnsi="Times New Roman" w:cs="Times New Roman"/>
          <w:lang w:val="en-US" w:eastAsia="zh-CN"/>
        </w:rPr>
        <w:t>（含机械、电仪等专业人员）指导安装，直至安装调试合格。</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39" w:name="_Toc25459"/>
      <w:bookmarkStart w:id="40" w:name="_Toc11103"/>
      <w:bookmarkStart w:id="41" w:name="_Toc4951"/>
      <w:bookmarkStart w:id="42" w:name="_Toc26945"/>
      <w:bookmarkStart w:id="43" w:name="_Toc8008"/>
      <w:r>
        <w:rPr>
          <w:rFonts w:hint="eastAsia" w:ascii="Times New Roman" w:hAnsi="Times New Roman" w:eastAsia="宋体" w:cs="Times New Roman"/>
          <w:b/>
          <w:kern w:val="44"/>
          <w:sz w:val="28"/>
          <w:szCs w:val="28"/>
          <w:lang w:val="en-US" w:eastAsia="zh-CN" w:bidi="ar-SA"/>
        </w:rPr>
        <w:t>油漆与包装运输</w:t>
      </w:r>
      <w:bookmarkEnd w:id="39"/>
      <w:bookmarkEnd w:id="40"/>
      <w:bookmarkEnd w:id="41"/>
      <w:bookmarkEnd w:id="42"/>
      <w:bookmarkEnd w:id="43"/>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GB" w:eastAsia="zh-CN"/>
        </w:rPr>
      </w:pPr>
      <w:r>
        <w:rPr>
          <w:rFonts w:hint="eastAsia" w:cs="Times New Roman"/>
          <w:lang w:val="en-US" w:eastAsia="zh-CN"/>
        </w:rPr>
        <w:t>1.</w:t>
      </w:r>
      <w:r>
        <w:rPr>
          <w:rFonts w:hint="eastAsia" w:ascii="Times New Roman" w:hAnsi="Times New Roman" w:cs="Times New Roman"/>
          <w:lang w:val="en-GB" w:eastAsia="zh-CN"/>
        </w:rPr>
        <w:t>设备的油漆、包装、运输必须符合国家现行有关标准和企业规定。油漆颜色</w:t>
      </w:r>
      <w:r>
        <w:rPr>
          <w:rFonts w:hint="eastAsia" w:ascii="Times New Roman" w:hAnsi="Times New Roman" w:cs="Times New Roman"/>
          <w:lang w:val="en-US" w:eastAsia="zh-CN"/>
        </w:rPr>
        <w:t>按</w:t>
      </w:r>
      <w:r>
        <w:rPr>
          <w:rFonts w:hint="eastAsia" w:ascii="Times New Roman" w:hAnsi="Times New Roman" w:cs="Times New Roman"/>
          <w:lang w:val="en-GB" w:eastAsia="zh-CN"/>
        </w:rPr>
        <w:t>买方</w:t>
      </w:r>
      <w:r>
        <w:rPr>
          <w:rFonts w:hint="eastAsia" w:ascii="Times New Roman" w:hAnsi="Times New Roman" w:cs="Times New Roman"/>
          <w:lang w:val="en-US" w:eastAsia="zh-CN"/>
        </w:rPr>
        <w:t>统一规定执行</w:t>
      </w:r>
      <w:r>
        <w:rPr>
          <w:rFonts w:hint="eastAsia" w:ascii="Times New Roman" w:hAnsi="Times New Roman"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2.</w:t>
      </w:r>
      <w:r>
        <w:rPr>
          <w:rFonts w:hint="eastAsia" w:ascii="Times New Roman" w:hAnsi="Times New Roman" w:cs="Times New Roman"/>
          <w:lang w:val="en-GB" w:eastAsia="zh-CN"/>
        </w:rPr>
        <w:t>包装箱应符合有关规定要求，保证运输期间不会损坏。每个设备箱至少应包括二份详细的装箱清单和一份质量检验证明书和产品合格证</w:t>
      </w:r>
      <w:r>
        <w:rPr>
          <w:rFonts w:hint="eastAsia" w:cs="Times New Roman"/>
          <w:lang w:val="en-GB" w:eastAsia="zh-CN"/>
        </w:rPr>
        <w:t>（</w:t>
      </w:r>
      <w:r>
        <w:rPr>
          <w:rFonts w:hint="eastAsia" w:cs="Times New Roman"/>
          <w:lang w:val="en-US" w:eastAsia="zh-CN"/>
        </w:rPr>
        <w:t>含元器件合格证</w:t>
      </w:r>
      <w:r>
        <w:rPr>
          <w:rFonts w:hint="eastAsia" w:cs="Times New Roman"/>
          <w:lang w:val="en-GB" w:eastAsia="zh-CN"/>
        </w:rPr>
        <w:t>）</w:t>
      </w:r>
      <w:r>
        <w:rPr>
          <w:rFonts w:hint="eastAsia" w:ascii="Times New Roman" w:hAnsi="Times New Roman" w:cs="Times New Roman"/>
          <w:lang w:val="en-GB" w:eastAsia="zh-CN"/>
        </w:rPr>
        <w:t>，一份交买方，一份在箱内。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3.</w:t>
      </w:r>
      <w:r>
        <w:rPr>
          <w:rFonts w:hint="eastAsia" w:ascii="Times New Roman" w:hAnsi="Times New Roman" w:cs="Times New Roman"/>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4.</w:t>
      </w:r>
      <w:r>
        <w:rPr>
          <w:rFonts w:hint="eastAsia" w:ascii="Times New Roman" w:hAnsi="Times New Roman" w:cs="Times New Roman"/>
          <w:lang w:val="en-GB" w:eastAsia="zh-CN"/>
        </w:rPr>
        <w:t>由于卖方包装、运输原因所造成的设备丢失、缺损、发霉、锈蚀、受潮和错发等问题，卖方负责修理、补充或更换。</w:t>
      </w:r>
    </w:p>
    <w:p>
      <w:pPr>
        <w:autoSpaceDE w:val="0"/>
        <w:autoSpaceDN w:val="0"/>
        <w:adjustRightInd w:val="0"/>
        <w:snapToGrid w:val="0"/>
        <w:spacing w:line="560" w:lineRule="exact"/>
        <w:ind w:left="-120" w:leftChars="-50" w:right="-120" w:rightChars="-50" w:firstLine="480"/>
        <w:rPr>
          <w:rFonts w:hint="eastAsia" w:cs="Times New Roman"/>
          <w:lang w:val="en-GB" w:eastAsia="zh-CN"/>
        </w:rPr>
      </w:pPr>
      <w:r>
        <w:rPr>
          <w:rFonts w:hint="eastAsia" w:cs="Times New Roman"/>
          <w:lang w:val="en-US" w:eastAsia="zh-CN"/>
        </w:rPr>
        <w:t>5.</w:t>
      </w:r>
      <w:r>
        <w:rPr>
          <w:rFonts w:hint="eastAsia" w:ascii="Times New Roman" w:hAnsi="Times New Roman" w:cs="Times New Roman"/>
          <w:lang w:val="en-GB" w:eastAsia="zh-CN"/>
        </w:rPr>
        <w:t>运输费用由卖方负责。货物到达甲方现场并接受之前，货物的安全问题由买方负责</w:t>
      </w:r>
      <w:r>
        <w:rPr>
          <w:rFonts w:hint="eastAsia" w:cs="Times New Roman"/>
          <w:lang w:val="en-GB"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44" w:name="_Toc22007"/>
      <w:bookmarkStart w:id="45" w:name="_Toc31100"/>
      <w:bookmarkStart w:id="46" w:name="_Toc4984"/>
      <w:bookmarkStart w:id="47" w:name="_Toc3680"/>
      <w:bookmarkStart w:id="48" w:name="_Toc10019"/>
      <w:r>
        <w:rPr>
          <w:rFonts w:hint="eastAsia" w:ascii="Times New Roman" w:hAnsi="Times New Roman" w:cs="Times New Roman"/>
          <w:b/>
          <w:kern w:val="44"/>
          <w:sz w:val="28"/>
          <w:szCs w:val="28"/>
          <w:lang w:val="en-US" w:eastAsia="zh-CN" w:bidi="ar-SA"/>
        </w:rPr>
        <w:t>买卖双方责任范围</w:t>
      </w:r>
      <w:bookmarkEnd w:id="44"/>
      <w:bookmarkEnd w:id="45"/>
      <w:bookmarkEnd w:id="46"/>
      <w:bookmarkEnd w:id="47"/>
      <w:bookmarkEnd w:id="48"/>
    </w:p>
    <w:p>
      <w:pPr>
        <w:numPr>
          <w:ilvl w:val="0"/>
          <w:numId w:val="0"/>
        </w:numPr>
        <w:autoSpaceDE w:val="0"/>
        <w:autoSpaceDN w:val="0"/>
        <w:adjustRightInd w:val="0"/>
        <w:snapToGrid w:val="0"/>
        <w:spacing w:line="560" w:lineRule="exact"/>
        <w:ind w:leftChars="150" w:right="-120" w:rightChars="-50"/>
        <w:outlineLvl w:val="9"/>
        <w:rPr>
          <w:rFonts w:hint="default"/>
          <w:lang w:val="en-US" w:eastAsia="zh-CN"/>
        </w:rPr>
      </w:pPr>
      <w:r>
        <w:rPr>
          <w:rFonts w:hint="default"/>
          <w:lang w:val="en-US" w:eastAsia="zh-CN"/>
        </w:rPr>
        <w:t>○印：责任范围</w:t>
      </w:r>
      <w:r>
        <w:rPr>
          <w:rFonts w:hint="eastAsia"/>
          <w:lang w:val="en-US" w:eastAsia="zh-CN"/>
        </w:rPr>
        <w:t xml:space="preserve">      </w:t>
      </w:r>
      <w:r>
        <w:rPr>
          <w:rFonts w:hint="default"/>
          <w:lang w:val="en-US" w:eastAsia="zh-CN"/>
        </w:rPr>
        <w:t xml:space="preserve"> </w:t>
      </w:r>
      <w:r>
        <w:rPr>
          <w:rFonts w:hint="eastAsia"/>
          <w:lang w:val="en-US" w:eastAsia="zh-CN"/>
        </w:rPr>
        <w:t>-</w:t>
      </w:r>
      <w:r>
        <w:rPr>
          <w:rFonts w:hint="default"/>
          <w:lang w:val="en-US" w:eastAsia="zh-CN"/>
        </w:rPr>
        <w:t>印：责任范围外</w:t>
      </w:r>
    </w:p>
    <w:tbl>
      <w:tblPr>
        <w:tblStyle w:val="15"/>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0"/>
        <w:gridCol w:w="1474"/>
        <w:gridCol w:w="1799"/>
        <w:gridCol w:w="1218"/>
        <w:gridCol w:w="120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blHeader/>
          <w:jc w:val="center"/>
        </w:trPr>
        <w:tc>
          <w:tcPr>
            <w:tcW w:w="2201" w:type="dxa"/>
            <w:gridSpan w:val="2"/>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卖方</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买方</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472"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472"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2"/>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2"/>
              <w:ind w:left="1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2"/>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29"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472"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1"/>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6"/>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6"/>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7"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0"/>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72" w:type="dxa"/>
            <w:vMerge w:val="restart"/>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一次配管及配线</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7"/>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二次配管及配线</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1" w:line="278" w:lineRule="auto"/>
              <w:ind w:left="107" w:right="96"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买方负责施工；</w:t>
            </w:r>
          </w:p>
          <w:p>
            <w:pPr>
              <w:pStyle w:val="19"/>
              <w:keepNext w:val="0"/>
              <w:keepLines w:val="0"/>
              <w:pageBreakBefore w:val="0"/>
              <w:widowControl w:val="0"/>
              <w:kinsoku/>
              <w:wordWrap/>
              <w:overflowPunct/>
              <w:topLinePunct w:val="0"/>
              <w:autoSpaceDE/>
              <w:autoSpaceDN/>
              <w:bidi w:val="0"/>
              <w:adjustRightInd/>
              <w:snapToGrid/>
              <w:spacing w:before="21" w:line="278" w:lineRule="auto"/>
              <w:ind w:left="107" w:right="96"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yellow"/>
                <w:lang w:val="en-US" w:eastAsia="zh-CN" w:bidi="ar-SA"/>
              </w:rPr>
              <w:t>卖方</w:t>
            </w:r>
            <w:r>
              <w:rPr>
                <w:rFonts w:hint="eastAsia" w:ascii="Times New Roman" w:hAnsi="Times New Roman" w:cs="Times New Roman"/>
                <w:color w:val="auto"/>
                <w:kern w:val="2"/>
                <w:sz w:val="21"/>
                <w:szCs w:val="24"/>
                <w:highlight w:val="none"/>
                <w:lang w:val="en-US" w:eastAsia="zh-CN" w:bidi="ar-SA"/>
              </w:rPr>
              <w:t>提供二次侧电缆+派人现场</w:t>
            </w:r>
            <w:r>
              <w:rPr>
                <w:rFonts w:hint="eastAsia" w:ascii="Times New Roman" w:hAnsi="Times New Roman" w:eastAsia="宋体" w:cs="Times New Roman"/>
                <w:color w:val="auto"/>
                <w:kern w:val="2"/>
                <w:sz w:val="21"/>
                <w:szCs w:val="24"/>
                <w:highlight w:val="none"/>
                <w:lang w:val="en-US" w:eastAsia="zh-CN" w:bidi="ar-SA"/>
              </w:rPr>
              <w:t>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试运转调试</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卖方负责调试；</w:t>
            </w:r>
            <w:r>
              <w:rPr>
                <w:rFonts w:hint="eastAsia" w:ascii="Times New Roman" w:hAnsi="Times New Roman" w:eastAsia="宋体" w:cs="Times New Roman"/>
                <w:color w:val="auto"/>
                <w:kern w:val="2"/>
                <w:sz w:val="21"/>
                <w:szCs w:val="24"/>
                <w:highlight w:val="none"/>
                <w:lang w:val="en-US" w:eastAsia="zh-CN" w:bidi="ar-SA"/>
              </w:rPr>
              <w:t>按照工艺要求双方现场进行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121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7"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19"/>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w:t>
            </w:r>
            <w:r>
              <w:rPr>
                <w:rFonts w:hint="eastAsia" w:ascii="Times New Roman" w:hAnsi="Times New Roman" w:cs="Times New Roman"/>
                <w:color w:val="auto"/>
                <w:kern w:val="2"/>
                <w:sz w:val="21"/>
                <w:szCs w:val="24"/>
                <w:highlight w:val="none"/>
                <w:lang w:val="en-US" w:eastAsia="zh-CN" w:bidi="ar-SA"/>
              </w:rPr>
              <w:t>原</w:t>
            </w:r>
            <w:r>
              <w:rPr>
                <w:rFonts w:hint="eastAsia" w:ascii="Times New Roman" w:hAnsi="Times New Roman" w:eastAsia="宋体" w:cs="Times New Roman"/>
                <w:color w:val="auto"/>
                <w:kern w:val="2"/>
                <w:sz w:val="21"/>
                <w:szCs w:val="24"/>
                <w:highlight w:val="none"/>
                <w:lang w:val="en-US" w:eastAsia="zh-CN" w:bidi="ar-SA"/>
              </w:rPr>
              <w:t>材料</w:t>
            </w:r>
          </w:p>
        </w:tc>
      </w:tr>
    </w:tbl>
    <w:p>
      <w:pPr>
        <w:pStyle w:val="18"/>
        <w:outlineLvl w:val="9"/>
        <w:rPr>
          <w:rFonts w:hint="default"/>
          <w:lang w:val="en-US" w:eastAsia="zh-CN"/>
        </w:rPr>
      </w:pPr>
    </w:p>
    <w:p>
      <w:pPr>
        <w:pStyle w:val="8"/>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4"/>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3"/>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MjBmYjFlZmNiZDlmMGVkNzdkZjVjNmFjZTY0ZDQifQ=="/>
  </w:docVars>
  <w:rsids>
    <w:rsidRoot w:val="420E3092"/>
    <w:rsid w:val="0011023B"/>
    <w:rsid w:val="00133C9C"/>
    <w:rsid w:val="001C4A51"/>
    <w:rsid w:val="001E20F2"/>
    <w:rsid w:val="00395584"/>
    <w:rsid w:val="0045152B"/>
    <w:rsid w:val="006066B9"/>
    <w:rsid w:val="00681C95"/>
    <w:rsid w:val="008A4E6A"/>
    <w:rsid w:val="008E5C6D"/>
    <w:rsid w:val="009319AE"/>
    <w:rsid w:val="00975317"/>
    <w:rsid w:val="00AB2FDA"/>
    <w:rsid w:val="00B204F4"/>
    <w:rsid w:val="00B21B52"/>
    <w:rsid w:val="00BA1050"/>
    <w:rsid w:val="00C419D6"/>
    <w:rsid w:val="00C551C1"/>
    <w:rsid w:val="00C973AF"/>
    <w:rsid w:val="00CE4D69"/>
    <w:rsid w:val="00F81534"/>
    <w:rsid w:val="00F96FFA"/>
    <w:rsid w:val="00FB70A2"/>
    <w:rsid w:val="010E1F23"/>
    <w:rsid w:val="013651A1"/>
    <w:rsid w:val="019404F8"/>
    <w:rsid w:val="02954528"/>
    <w:rsid w:val="0350044F"/>
    <w:rsid w:val="03E272F9"/>
    <w:rsid w:val="044C50BA"/>
    <w:rsid w:val="045B70AB"/>
    <w:rsid w:val="05D46230"/>
    <w:rsid w:val="05E03D0C"/>
    <w:rsid w:val="05F76EB5"/>
    <w:rsid w:val="06051B8A"/>
    <w:rsid w:val="061D0E06"/>
    <w:rsid w:val="06285F4E"/>
    <w:rsid w:val="064A73D7"/>
    <w:rsid w:val="06624721"/>
    <w:rsid w:val="076F3599"/>
    <w:rsid w:val="07A974BB"/>
    <w:rsid w:val="07E35623"/>
    <w:rsid w:val="081163FE"/>
    <w:rsid w:val="08541AE2"/>
    <w:rsid w:val="08565332"/>
    <w:rsid w:val="08D86F1C"/>
    <w:rsid w:val="09063A89"/>
    <w:rsid w:val="092D1D3F"/>
    <w:rsid w:val="0A011659"/>
    <w:rsid w:val="0A3245CA"/>
    <w:rsid w:val="0AE53B72"/>
    <w:rsid w:val="0AFD2C6A"/>
    <w:rsid w:val="0B486EB0"/>
    <w:rsid w:val="0B894E19"/>
    <w:rsid w:val="0B8C3FEE"/>
    <w:rsid w:val="0BAE039B"/>
    <w:rsid w:val="0BBD2598"/>
    <w:rsid w:val="0BCB0FBA"/>
    <w:rsid w:val="0BD95485"/>
    <w:rsid w:val="0BFE6C9A"/>
    <w:rsid w:val="0CBC03F1"/>
    <w:rsid w:val="0D036EDE"/>
    <w:rsid w:val="0D091860"/>
    <w:rsid w:val="0D4C1032"/>
    <w:rsid w:val="0DC14423"/>
    <w:rsid w:val="0E040695"/>
    <w:rsid w:val="0E086D3A"/>
    <w:rsid w:val="0E673AD7"/>
    <w:rsid w:val="0ECA5F52"/>
    <w:rsid w:val="0EEB219D"/>
    <w:rsid w:val="0F0C4A59"/>
    <w:rsid w:val="0F62295D"/>
    <w:rsid w:val="0FDC5544"/>
    <w:rsid w:val="0FE97C61"/>
    <w:rsid w:val="106E1C0C"/>
    <w:rsid w:val="10C06C14"/>
    <w:rsid w:val="10F90765"/>
    <w:rsid w:val="11611B50"/>
    <w:rsid w:val="11D5049D"/>
    <w:rsid w:val="11D720D8"/>
    <w:rsid w:val="11D90AD7"/>
    <w:rsid w:val="125F420A"/>
    <w:rsid w:val="12734B7F"/>
    <w:rsid w:val="128864C1"/>
    <w:rsid w:val="12971947"/>
    <w:rsid w:val="12CA1FCB"/>
    <w:rsid w:val="12FF7E1E"/>
    <w:rsid w:val="13023513"/>
    <w:rsid w:val="13BF1DBD"/>
    <w:rsid w:val="13E729A1"/>
    <w:rsid w:val="14003F0D"/>
    <w:rsid w:val="143C5DF0"/>
    <w:rsid w:val="147D7E6A"/>
    <w:rsid w:val="14AD3953"/>
    <w:rsid w:val="153E27FD"/>
    <w:rsid w:val="15475B55"/>
    <w:rsid w:val="15C40F54"/>
    <w:rsid w:val="15CA5E3E"/>
    <w:rsid w:val="16421E79"/>
    <w:rsid w:val="168A5092"/>
    <w:rsid w:val="16A526C7"/>
    <w:rsid w:val="16DB6E25"/>
    <w:rsid w:val="16DC407B"/>
    <w:rsid w:val="172901FF"/>
    <w:rsid w:val="186567A2"/>
    <w:rsid w:val="18823AC5"/>
    <w:rsid w:val="189A116C"/>
    <w:rsid w:val="19025819"/>
    <w:rsid w:val="19526877"/>
    <w:rsid w:val="198253AE"/>
    <w:rsid w:val="198F3627"/>
    <w:rsid w:val="199A1FE9"/>
    <w:rsid w:val="19B95D77"/>
    <w:rsid w:val="19DB4C55"/>
    <w:rsid w:val="1A44596A"/>
    <w:rsid w:val="1A5403CD"/>
    <w:rsid w:val="1A917BF7"/>
    <w:rsid w:val="1AB46A98"/>
    <w:rsid w:val="1B0167A6"/>
    <w:rsid w:val="1B0C5264"/>
    <w:rsid w:val="1B2B2550"/>
    <w:rsid w:val="1B9B1759"/>
    <w:rsid w:val="1BC17CE4"/>
    <w:rsid w:val="1C891218"/>
    <w:rsid w:val="1CCB2BC8"/>
    <w:rsid w:val="1CDA105D"/>
    <w:rsid w:val="1D1064CC"/>
    <w:rsid w:val="1D992CC6"/>
    <w:rsid w:val="1DEE106A"/>
    <w:rsid w:val="1E9A6CF6"/>
    <w:rsid w:val="1EDE4F4A"/>
    <w:rsid w:val="1EF22302"/>
    <w:rsid w:val="1EFD1033"/>
    <w:rsid w:val="1F64045B"/>
    <w:rsid w:val="1F93212F"/>
    <w:rsid w:val="1FCC304D"/>
    <w:rsid w:val="205277B8"/>
    <w:rsid w:val="206A6B9C"/>
    <w:rsid w:val="21380A48"/>
    <w:rsid w:val="213B4B89"/>
    <w:rsid w:val="21661111"/>
    <w:rsid w:val="218617B3"/>
    <w:rsid w:val="218F2F30"/>
    <w:rsid w:val="21C2133B"/>
    <w:rsid w:val="221257F2"/>
    <w:rsid w:val="228C59A5"/>
    <w:rsid w:val="22985DCE"/>
    <w:rsid w:val="22CD6F6E"/>
    <w:rsid w:val="22FF3F45"/>
    <w:rsid w:val="235B60DC"/>
    <w:rsid w:val="237A70F6"/>
    <w:rsid w:val="23983A20"/>
    <w:rsid w:val="23D119EE"/>
    <w:rsid w:val="24701A48"/>
    <w:rsid w:val="24D33715"/>
    <w:rsid w:val="24F133E8"/>
    <w:rsid w:val="25A30961"/>
    <w:rsid w:val="25BE0B79"/>
    <w:rsid w:val="25D0724F"/>
    <w:rsid w:val="26220F7D"/>
    <w:rsid w:val="2642684E"/>
    <w:rsid w:val="26485CB3"/>
    <w:rsid w:val="266320C3"/>
    <w:rsid w:val="270839E3"/>
    <w:rsid w:val="270F3FF9"/>
    <w:rsid w:val="27643E35"/>
    <w:rsid w:val="27713183"/>
    <w:rsid w:val="27D90D61"/>
    <w:rsid w:val="281426A1"/>
    <w:rsid w:val="28374226"/>
    <w:rsid w:val="288602EB"/>
    <w:rsid w:val="28A14CAD"/>
    <w:rsid w:val="28C72DDD"/>
    <w:rsid w:val="29130F5F"/>
    <w:rsid w:val="294206B6"/>
    <w:rsid w:val="2A407548"/>
    <w:rsid w:val="2A5A558B"/>
    <w:rsid w:val="2A8A4095"/>
    <w:rsid w:val="2B876854"/>
    <w:rsid w:val="2BE758B3"/>
    <w:rsid w:val="2BEF284B"/>
    <w:rsid w:val="2D607A1D"/>
    <w:rsid w:val="2DC25F5A"/>
    <w:rsid w:val="2DEE1D98"/>
    <w:rsid w:val="2E3A3BC0"/>
    <w:rsid w:val="2E7A444E"/>
    <w:rsid w:val="2EC46B3C"/>
    <w:rsid w:val="2F350375"/>
    <w:rsid w:val="2F9B0B20"/>
    <w:rsid w:val="2FAF45CB"/>
    <w:rsid w:val="2FD438CC"/>
    <w:rsid w:val="30573B8E"/>
    <w:rsid w:val="312F12D8"/>
    <w:rsid w:val="314D2A6F"/>
    <w:rsid w:val="31717D8A"/>
    <w:rsid w:val="317E1FB4"/>
    <w:rsid w:val="31B84AAD"/>
    <w:rsid w:val="32340DB8"/>
    <w:rsid w:val="329D0DFF"/>
    <w:rsid w:val="32A26E1B"/>
    <w:rsid w:val="32B60E5B"/>
    <w:rsid w:val="334E7C57"/>
    <w:rsid w:val="33B977C6"/>
    <w:rsid w:val="34013A65"/>
    <w:rsid w:val="34272982"/>
    <w:rsid w:val="34666505"/>
    <w:rsid w:val="34A264AC"/>
    <w:rsid w:val="35246EC1"/>
    <w:rsid w:val="354B7A7C"/>
    <w:rsid w:val="354F7EAB"/>
    <w:rsid w:val="358D2CB9"/>
    <w:rsid w:val="359C114E"/>
    <w:rsid w:val="35B16AED"/>
    <w:rsid w:val="35D16601"/>
    <w:rsid w:val="35FB40C6"/>
    <w:rsid w:val="36466A9F"/>
    <w:rsid w:val="365A788E"/>
    <w:rsid w:val="366A3C5E"/>
    <w:rsid w:val="36987B67"/>
    <w:rsid w:val="36A502E6"/>
    <w:rsid w:val="370F51A6"/>
    <w:rsid w:val="371A67CE"/>
    <w:rsid w:val="3720190B"/>
    <w:rsid w:val="37490E61"/>
    <w:rsid w:val="37E00D3A"/>
    <w:rsid w:val="38A75F00"/>
    <w:rsid w:val="38C77023"/>
    <w:rsid w:val="39000B48"/>
    <w:rsid w:val="39386D6D"/>
    <w:rsid w:val="397F0B6A"/>
    <w:rsid w:val="39F63E15"/>
    <w:rsid w:val="3A04181D"/>
    <w:rsid w:val="3A122D4C"/>
    <w:rsid w:val="3AD46C94"/>
    <w:rsid w:val="3AE0388B"/>
    <w:rsid w:val="3AEA6D99"/>
    <w:rsid w:val="3BF37E34"/>
    <w:rsid w:val="3C213DBA"/>
    <w:rsid w:val="3CC13DBB"/>
    <w:rsid w:val="3D804EB1"/>
    <w:rsid w:val="3DA05553"/>
    <w:rsid w:val="3E2241BA"/>
    <w:rsid w:val="3E234634"/>
    <w:rsid w:val="3ECD2378"/>
    <w:rsid w:val="3EE17BD1"/>
    <w:rsid w:val="3EF23B8C"/>
    <w:rsid w:val="3F3B5CA6"/>
    <w:rsid w:val="3F576444"/>
    <w:rsid w:val="3F6C393F"/>
    <w:rsid w:val="3F6F51DD"/>
    <w:rsid w:val="3FCE658B"/>
    <w:rsid w:val="3FF57DD8"/>
    <w:rsid w:val="403160CA"/>
    <w:rsid w:val="40470FDD"/>
    <w:rsid w:val="405B2981"/>
    <w:rsid w:val="40D71B0D"/>
    <w:rsid w:val="414E3521"/>
    <w:rsid w:val="41614FF9"/>
    <w:rsid w:val="417D0085"/>
    <w:rsid w:val="41EE5659"/>
    <w:rsid w:val="420E3092"/>
    <w:rsid w:val="42357EBF"/>
    <w:rsid w:val="425260B0"/>
    <w:rsid w:val="425D3A13"/>
    <w:rsid w:val="42861473"/>
    <w:rsid w:val="42E61C5A"/>
    <w:rsid w:val="42FC5CA1"/>
    <w:rsid w:val="43016A94"/>
    <w:rsid w:val="433561DD"/>
    <w:rsid w:val="4355293C"/>
    <w:rsid w:val="43763A35"/>
    <w:rsid w:val="44C47D79"/>
    <w:rsid w:val="44F25050"/>
    <w:rsid w:val="45236DFE"/>
    <w:rsid w:val="45A55DFD"/>
    <w:rsid w:val="46A2306B"/>
    <w:rsid w:val="46AC5AA6"/>
    <w:rsid w:val="470C060F"/>
    <w:rsid w:val="470E1010"/>
    <w:rsid w:val="47253C1A"/>
    <w:rsid w:val="47943DC7"/>
    <w:rsid w:val="481352A4"/>
    <w:rsid w:val="481F1950"/>
    <w:rsid w:val="495F2D19"/>
    <w:rsid w:val="496444D9"/>
    <w:rsid w:val="49644740"/>
    <w:rsid w:val="4974354D"/>
    <w:rsid w:val="49B06B1E"/>
    <w:rsid w:val="49D700DA"/>
    <w:rsid w:val="49E72DEA"/>
    <w:rsid w:val="4A5120AF"/>
    <w:rsid w:val="4A791A90"/>
    <w:rsid w:val="4AA04DE4"/>
    <w:rsid w:val="4AAB05FE"/>
    <w:rsid w:val="4B35166F"/>
    <w:rsid w:val="4B3D6CF2"/>
    <w:rsid w:val="4B5866DE"/>
    <w:rsid w:val="4B5C6F5D"/>
    <w:rsid w:val="4C1B0BC7"/>
    <w:rsid w:val="4C1D3A9A"/>
    <w:rsid w:val="4CC43A0A"/>
    <w:rsid w:val="4CDC7F9F"/>
    <w:rsid w:val="4D367F37"/>
    <w:rsid w:val="4DB75F1A"/>
    <w:rsid w:val="4DE41E5A"/>
    <w:rsid w:val="4DFF7D33"/>
    <w:rsid w:val="4E2B7618"/>
    <w:rsid w:val="4E601839"/>
    <w:rsid w:val="4E7256BE"/>
    <w:rsid w:val="4E8748FA"/>
    <w:rsid w:val="4EE03A01"/>
    <w:rsid w:val="4F495880"/>
    <w:rsid w:val="4F9A725F"/>
    <w:rsid w:val="4FEC63D6"/>
    <w:rsid w:val="4FFA2DA3"/>
    <w:rsid w:val="502D4C7A"/>
    <w:rsid w:val="507A1108"/>
    <w:rsid w:val="50BD21C0"/>
    <w:rsid w:val="50FE2865"/>
    <w:rsid w:val="51020E71"/>
    <w:rsid w:val="511300BE"/>
    <w:rsid w:val="51256043"/>
    <w:rsid w:val="515A3F3F"/>
    <w:rsid w:val="5268443A"/>
    <w:rsid w:val="52821CF7"/>
    <w:rsid w:val="528E50AB"/>
    <w:rsid w:val="52950FA7"/>
    <w:rsid w:val="52C21BD8"/>
    <w:rsid w:val="52C8130F"/>
    <w:rsid w:val="52D7336D"/>
    <w:rsid w:val="53091289"/>
    <w:rsid w:val="53591C57"/>
    <w:rsid w:val="53632588"/>
    <w:rsid w:val="536C1D08"/>
    <w:rsid w:val="54A42D89"/>
    <w:rsid w:val="54AD0A81"/>
    <w:rsid w:val="54D71F1A"/>
    <w:rsid w:val="558477DD"/>
    <w:rsid w:val="55AC109B"/>
    <w:rsid w:val="55AD1F14"/>
    <w:rsid w:val="55CC2F32"/>
    <w:rsid w:val="55FB5C27"/>
    <w:rsid w:val="56003FBF"/>
    <w:rsid w:val="560B5CB2"/>
    <w:rsid w:val="56116B96"/>
    <w:rsid w:val="56152E93"/>
    <w:rsid w:val="5635234A"/>
    <w:rsid w:val="563E640C"/>
    <w:rsid w:val="564C7BCE"/>
    <w:rsid w:val="56816CC1"/>
    <w:rsid w:val="56ED315F"/>
    <w:rsid w:val="56FB3ACE"/>
    <w:rsid w:val="57243FF4"/>
    <w:rsid w:val="57320C68"/>
    <w:rsid w:val="574D3BFE"/>
    <w:rsid w:val="577E0EF6"/>
    <w:rsid w:val="581110D0"/>
    <w:rsid w:val="587E57C9"/>
    <w:rsid w:val="58B877B7"/>
    <w:rsid w:val="58F46A27"/>
    <w:rsid w:val="594F1EAF"/>
    <w:rsid w:val="5959745E"/>
    <w:rsid w:val="59AE2797"/>
    <w:rsid w:val="59DF76D7"/>
    <w:rsid w:val="5A6279C1"/>
    <w:rsid w:val="5B0311A3"/>
    <w:rsid w:val="5B5F204E"/>
    <w:rsid w:val="5B710D6D"/>
    <w:rsid w:val="5BA44F3F"/>
    <w:rsid w:val="5C036F81"/>
    <w:rsid w:val="5C1170D3"/>
    <w:rsid w:val="5D8D11F8"/>
    <w:rsid w:val="5E061A46"/>
    <w:rsid w:val="5E3716FF"/>
    <w:rsid w:val="5EBC30A5"/>
    <w:rsid w:val="5ED748CA"/>
    <w:rsid w:val="5EE74A73"/>
    <w:rsid w:val="5EEF6B1A"/>
    <w:rsid w:val="5F096FA4"/>
    <w:rsid w:val="5F4D4EEE"/>
    <w:rsid w:val="5FC2117B"/>
    <w:rsid w:val="5FF27A39"/>
    <w:rsid w:val="600D03CE"/>
    <w:rsid w:val="60926DBF"/>
    <w:rsid w:val="609A399F"/>
    <w:rsid w:val="612B2565"/>
    <w:rsid w:val="61AD324A"/>
    <w:rsid w:val="621F1F6A"/>
    <w:rsid w:val="62402D30"/>
    <w:rsid w:val="62630367"/>
    <w:rsid w:val="628630B9"/>
    <w:rsid w:val="6299063F"/>
    <w:rsid w:val="63974B7F"/>
    <w:rsid w:val="639817B0"/>
    <w:rsid w:val="63BA261B"/>
    <w:rsid w:val="64041226"/>
    <w:rsid w:val="645055AC"/>
    <w:rsid w:val="64572CE8"/>
    <w:rsid w:val="64D1412A"/>
    <w:rsid w:val="64D15E6F"/>
    <w:rsid w:val="64E96B53"/>
    <w:rsid w:val="64ED11A3"/>
    <w:rsid w:val="656C3990"/>
    <w:rsid w:val="65EF754F"/>
    <w:rsid w:val="669B6734"/>
    <w:rsid w:val="66B303FD"/>
    <w:rsid w:val="67AA12EC"/>
    <w:rsid w:val="67BE1F41"/>
    <w:rsid w:val="687A05CB"/>
    <w:rsid w:val="68CA5740"/>
    <w:rsid w:val="68CE2C12"/>
    <w:rsid w:val="692C4A1B"/>
    <w:rsid w:val="697A2F79"/>
    <w:rsid w:val="699833FF"/>
    <w:rsid w:val="69CB581E"/>
    <w:rsid w:val="6A020035"/>
    <w:rsid w:val="6AEA1F10"/>
    <w:rsid w:val="6B166CD1"/>
    <w:rsid w:val="6BCF0C2E"/>
    <w:rsid w:val="6C3A4645"/>
    <w:rsid w:val="6C3B7BA1"/>
    <w:rsid w:val="6CB220E3"/>
    <w:rsid w:val="6D2B2B4B"/>
    <w:rsid w:val="6D967C55"/>
    <w:rsid w:val="6E2E7E8E"/>
    <w:rsid w:val="6E3661C1"/>
    <w:rsid w:val="6E777A87"/>
    <w:rsid w:val="6EB51099"/>
    <w:rsid w:val="6ED749C9"/>
    <w:rsid w:val="6F5A4CB2"/>
    <w:rsid w:val="6F6D0E8A"/>
    <w:rsid w:val="701102E0"/>
    <w:rsid w:val="70250EE0"/>
    <w:rsid w:val="703B4AE4"/>
    <w:rsid w:val="70EE1031"/>
    <w:rsid w:val="71306613"/>
    <w:rsid w:val="7164006A"/>
    <w:rsid w:val="71942C30"/>
    <w:rsid w:val="7195703E"/>
    <w:rsid w:val="71CC0ED0"/>
    <w:rsid w:val="72231ECA"/>
    <w:rsid w:val="72730565"/>
    <w:rsid w:val="72C154D1"/>
    <w:rsid w:val="73155AC0"/>
    <w:rsid w:val="731F693F"/>
    <w:rsid w:val="73612AB3"/>
    <w:rsid w:val="736675BE"/>
    <w:rsid w:val="737E0B7F"/>
    <w:rsid w:val="739C3FD0"/>
    <w:rsid w:val="73C240F0"/>
    <w:rsid w:val="7460720F"/>
    <w:rsid w:val="74AA3682"/>
    <w:rsid w:val="74CC4773"/>
    <w:rsid w:val="7513602F"/>
    <w:rsid w:val="7533413A"/>
    <w:rsid w:val="75502DDF"/>
    <w:rsid w:val="760106F2"/>
    <w:rsid w:val="76AA4771"/>
    <w:rsid w:val="76E64FAF"/>
    <w:rsid w:val="78370287"/>
    <w:rsid w:val="784E7AE3"/>
    <w:rsid w:val="78661915"/>
    <w:rsid w:val="788B2A23"/>
    <w:rsid w:val="788D434B"/>
    <w:rsid w:val="78C00DE1"/>
    <w:rsid w:val="79163CB7"/>
    <w:rsid w:val="79195926"/>
    <w:rsid w:val="796E3EA9"/>
    <w:rsid w:val="79EB61A0"/>
    <w:rsid w:val="7A0643B5"/>
    <w:rsid w:val="7A237CFD"/>
    <w:rsid w:val="7A9E45ED"/>
    <w:rsid w:val="7AEC4A35"/>
    <w:rsid w:val="7B5E4622"/>
    <w:rsid w:val="7BBE768A"/>
    <w:rsid w:val="7C472258"/>
    <w:rsid w:val="7C7C51E0"/>
    <w:rsid w:val="7CB41BA4"/>
    <w:rsid w:val="7CBE4AD3"/>
    <w:rsid w:val="7D0B2DAF"/>
    <w:rsid w:val="7D851A94"/>
    <w:rsid w:val="7D8C72EC"/>
    <w:rsid w:val="7DE2006D"/>
    <w:rsid w:val="7E4C288C"/>
    <w:rsid w:val="7E642586"/>
    <w:rsid w:val="7EA448CF"/>
    <w:rsid w:val="7EF52CFA"/>
    <w:rsid w:val="7F013954"/>
    <w:rsid w:val="7F0E1DF9"/>
    <w:rsid w:val="7F2A26A9"/>
    <w:rsid w:val="7FB35D6A"/>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3">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4">
    <w:name w:val="heading 3"/>
    <w:basedOn w:val="1"/>
    <w:next w:val="5"/>
    <w:autoRedefine/>
    <w:unhideWhenUsed/>
    <w:qFormat/>
    <w:uiPriority w:val="0"/>
    <w:pPr>
      <w:keepNext/>
      <w:keepLines/>
      <w:numPr>
        <w:ilvl w:val="2"/>
        <w:numId w:val="2"/>
      </w:numPr>
      <w:ind w:firstLine="0" w:firstLineChars="0"/>
      <w:outlineLvl w:val="2"/>
    </w:p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link w:val="25"/>
    <w:autoRedefine/>
    <w:qFormat/>
    <w:uiPriority w:val="0"/>
    <w:pPr>
      <w:jc w:val="left"/>
    </w:pPr>
  </w:style>
  <w:style w:type="paragraph" w:styleId="8">
    <w:name w:val="Body Text"/>
    <w:basedOn w:val="1"/>
    <w:next w:val="9"/>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9">
    <w:name w:val="Body Text First Indent"/>
    <w:basedOn w:val="8"/>
    <w:autoRedefine/>
    <w:qFormat/>
    <w:uiPriority w:val="0"/>
    <w:pPr>
      <w:ind w:firstLine="420" w:firstLineChars="1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styleId="14">
    <w:name w:val="annotation subject"/>
    <w:basedOn w:val="7"/>
    <w:next w:val="7"/>
    <w:link w:val="26"/>
    <w:autoRedefine/>
    <w:qFormat/>
    <w:uiPriority w:val="0"/>
    <w:rPr>
      <w:b/>
      <w:bCs/>
    </w:rPr>
  </w:style>
  <w:style w:type="character" w:styleId="17">
    <w:name w:val="annotation reference"/>
    <w:basedOn w:val="16"/>
    <w:autoRedefine/>
    <w:qFormat/>
    <w:uiPriority w:val="0"/>
    <w:rPr>
      <w:sz w:val="21"/>
      <w:szCs w:val="21"/>
    </w:rPr>
  </w:style>
  <w:style w:type="paragraph" w:customStyle="1" w:styleId="18">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19">
    <w:name w:val="Table Paragraph"/>
    <w:basedOn w:val="1"/>
    <w:autoRedefine/>
    <w:qFormat/>
    <w:uiPriority w:val="1"/>
    <w:pPr>
      <w:spacing w:before="178"/>
      <w:ind w:left="105"/>
    </w:pPr>
    <w:rPr>
      <w:rFonts w:ascii="宋体" w:hAnsi="宋体" w:cs="宋体"/>
    </w:rPr>
  </w:style>
  <w:style w:type="paragraph" w:customStyle="1" w:styleId="20">
    <w:name w:val="表格内文字"/>
    <w:basedOn w:val="1"/>
    <w:next w:val="1"/>
    <w:autoRedefine/>
    <w:qFormat/>
    <w:uiPriority w:val="0"/>
    <w:pPr>
      <w:spacing w:line="240" w:lineRule="auto"/>
      <w:ind w:firstLine="0" w:firstLineChars="0"/>
      <w:jc w:val="center"/>
    </w:pPr>
    <w:rPr>
      <w:sz w:val="21"/>
    </w:rPr>
  </w:style>
  <w:style w:type="paragraph" w:styleId="21">
    <w:name w:val="List Paragraph"/>
    <w:basedOn w:val="1"/>
    <w:autoRedefine/>
    <w:qFormat/>
    <w:uiPriority w:val="1"/>
    <w:pPr>
      <w:ind w:left="830" w:hanging="590"/>
    </w:pPr>
    <w:rPr>
      <w:rFonts w:ascii="宋体" w:hAnsi="宋体" w:cs="宋体"/>
    </w:rPr>
  </w:style>
  <w:style w:type="paragraph" w:customStyle="1" w:styleId="22">
    <w:name w:val="WPSOffice手动目录 1"/>
    <w:autoRedefine/>
    <w:qFormat/>
    <w:uiPriority w:val="0"/>
    <w:rPr>
      <w:rFonts w:asciiTheme="minorHAnsi" w:hAnsiTheme="minorHAnsi" w:eastAsiaTheme="minorEastAsia" w:cstheme="minorBidi"/>
      <w:lang w:val="en-US" w:eastAsia="zh-CN" w:bidi="ar-SA"/>
    </w:rPr>
  </w:style>
  <w:style w:type="paragraph" w:customStyle="1" w:styleId="23">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table" w:customStyle="1" w:styleId="24">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25">
    <w:name w:val="批注文字 字符"/>
    <w:basedOn w:val="16"/>
    <w:link w:val="7"/>
    <w:autoRedefine/>
    <w:qFormat/>
    <w:uiPriority w:val="0"/>
    <w:rPr>
      <w:kern w:val="2"/>
      <w:sz w:val="24"/>
      <w:szCs w:val="24"/>
    </w:rPr>
  </w:style>
  <w:style w:type="character" w:customStyle="1" w:styleId="26">
    <w:name w:val="批注主题 字符"/>
    <w:basedOn w:val="25"/>
    <w:link w:val="14"/>
    <w:autoRedefine/>
    <w:qFormat/>
    <w:uiPriority w:val="0"/>
    <w:rPr>
      <w:b/>
      <w:bCs/>
      <w:kern w:val="2"/>
      <w:sz w:val="24"/>
      <w:szCs w:val="24"/>
    </w:rPr>
  </w:style>
  <w:style w:type="paragraph" w:customStyle="1" w:styleId="27">
    <w:name w:val="リスト段落3"/>
    <w:basedOn w:val="1"/>
    <w:autoRedefine/>
    <w:qFormat/>
    <w:uiPriority w:val="34"/>
    <w:pPr>
      <w:ind w:left="840" w:leftChars="4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1793</Words>
  <Characters>10222</Characters>
  <Lines>85</Lines>
  <Paragraphs>23</Paragraphs>
  <TotalTime>0</TotalTime>
  <ScaleCrop>false</ScaleCrop>
  <LinksUpToDate>false</LinksUpToDate>
  <CharactersWithSpaces>11992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2024-04-10T08:17:00Z</dcterms:created>
  <dc:creator>梦☆忆紫筱生</dc:creator>
  <cp:lastModifiedBy>WPS_1645609622</cp:lastModifiedBy>
  <dcterms:modified xsi:type="dcterms:W3CDTF">2024-05-26T13:20:44Z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7790493E6EA14F5A84F58A145FECA5B5_13</vt:lpwstr>
  </property>
</Properties>
</file>