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b/>
          <w:szCs w:val="24"/>
        </w:rPr>
      </w:pPr>
    </w:p>
    <w:p>
      <w:pPr>
        <w:spacing w:line="720" w:lineRule="auto"/>
        <w:jc w:val="center"/>
        <w:rPr>
          <w:rFonts w:cs="Times New Roman" w:asciiTheme="minorEastAsia" w:hAnsiTheme="minorEastAsia" w:eastAsiaTheme="minorEastAsia"/>
          <w:sz w:val="44"/>
          <w:szCs w:val="44"/>
        </w:rPr>
      </w:pPr>
      <w:r>
        <w:rPr>
          <w:rFonts w:hint="eastAsia" w:cs="Times New Roman" w:asciiTheme="minorEastAsia" w:hAnsiTheme="minorEastAsia" w:eastAsiaTheme="minorEastAsia"/>
          <w:sz w:val="44"/>
          <w:szCs w:val="44"/>
        </w:rPr>
        <w:t>东汽电站服务事业部</w:t>
      </w:r>
    </w:p>
    <w:p>
      <w:pPr>
        <w:spacing w:line="720" w:lineRule="auto"/>
        <w:jc w:val="center"/>
        <w:rPr>
          <w:rFonts w:cs="Times New Roman" w:asciiTheme="minorEastAsia" w:hAnsiTheme="minorEastAsia" w:eastAsiaTheme="minorEastAsia"/>
          <w:sz w:val="44"/>
          <w:szCs w:val="44"/>
        </w:rPr>
      </w:pPr>
      <w:r>
        <w:rPr>
          <w:rFonts w:hint="eastAsia" w:cs="Times New Roman" w:asciiTheme="minorEastAsia" w:hAnsiTheme="minorEastAsia" w:eastAsiaTheme="minorEastAsia"/>
          <w:sz w:val="44"/>
          <w:szCs w:val="44"/>
        </w:rPr>
        <w:t>大唐托克托10号机精修项目外包部分</w:t>
      </w:r>
    </w:p>
    <w:p>
      <w:pPr>
        <w:jc w:val="center"/>
        <w:rPr>
          <w:rFonts w:eastAsia="楷体" w:cs="Times New Roman"/>
          <w:b/>
          <w:sz w:val="52"/>
          <w:szCs w:val="52"/>
        </w:rPr>
      </w:pPr>
    </w:p>
    <w:p>
      <w:pPr>
        <w:jc w:val="center"/>
        <w:rPr>
          <w:rFonts w:eastAsia="楷体" w:cs="Times New Roman"/>
          <w:b/>
          <w:sz w:val="52"/>
          <w:szCs w:val="52"/>
        </w:rPr>
      </w:pPr>
    </w:p>
    <w:p>
      <w:pPr>
        <w:jc w:val="center"/>
        <w:rPr>
          <w:rFonts w:eastAsia="楷体" w:cs="Times New Roman"/>
          <w:b/>
          <w:sz w:val="52"/>
          <w:szCs w:val="52"/>
        </w:rPr>
      </w:pPr>
    </w:p>
    <w:p>
      <w:pPr>
        <w:jc w:val="center"/>
        <w:rPr>
          <w:rFonts w:hint="eastAsia" w:eastAsia="楷体" w:cs="Times New Roman"/>
          <w:b/>
          <w:sz w:val="52"/>
          <w:szCs w:val="52"/>
          <w:lang w:eastAsia="zh-CN"/>
        </w:rPr>
      </w:pPr>
      <w:r>
        <w:rPr>
          <w:rFonts w:hint="eastAsia" w:eastAsia="楷体" w:cs="Times New Roman"/>
          <w:b/>
          <w:sz w:val="52"/>
          <w:szCs w:val="52"/>
          <w:lang w:eastAsia="zh-CN"/>
        </w:rPr>
        <w:t>机务电控成套供货</w:t>
      </w:r>
    </w:p>
    <w:p>
      <w:pPr>
        <w:jc w:val="center"/>
        <w:rPr>
          <w:rFonts w:eastAsia="楷体" w:cs="Times New Roman"/>
          <w:b/>
          <w:sz w:val="32"/>
          <w:szCs w:val="32"/>
        </w:rPr>
      </w:pPr>
    </w:p>
    <w:p>
      <w:pPr>
        <w:jc w:val="center"/>
        <w:rPr>
          <w:rFonts w:eastAsia="楷体" w:cs="Times New Roman"/>
          <w:b/>
          <w:sz w:val="52"/>
          <w:szCs w:val="52"/>
        </w:rPr>
      </w:pPr>
      <w:r>
        <w:rPr>
          <w:rFonts w:hint="eastAsia" w:eastAsia="楷体" w:cs="Times New Roman"/>
          <w:b/>
          <w:sz w:val="52"/>
          <w:szCs w:val="52"/>
        </w:rPr>
        <w:t>技术规范</w:t>
      </w:r>
    </w:p>
    <w:p>
      <w:pPr>
        <w:jc w:val="center"/>
        <w:rPr>
          <w:rFonts w:eastAsia="楷体" w:cs="Times New Roman"/>
          <w:b/>
          <w:sz w:val="52"/>
          <w:szCs w:val="52"/>
        </w:rPr>
      </w:pPr>
      <w:bookmarkStart w:id="59" w:name="_GoBack"/>
      <w:bookmarkEnd w:id="59"/>
    </w:p>
    <w:p>
      <w:pPr>
        <w:jc w:val="center"/>
        <w:rPr>
          <w:rFonts w:eastAsia="楷体" w:cs="Times New Roman"/>
          <w:b/>
          <w:sz w:val="36"/>
          <w:szCs w:val="36"/>
        </w:rPr>
      </w:pPr>
    </w:p>
    <w:p>
      <w:pPr>
        <w:jc w:val="center"/>
        <w:rPr>
          <w:rFonts w:eastAsia="楷体" w:cs="Times New Roman"/>
          <w:b/>
          <w:sz w:val="36"/>
          <w:szCs w:val="36"/>
        </w:rPr>
      </w:pPr>
    </w:p>
    <w:p>
      <w:pPr>
        <w:jc w:val="center"/>
        <w:rPr>
          <w:rFonts w:eastAsia="楷体" w:cs="Times New Roman"/>
          <w:b/>
          <w:sz w:val="36"/>
          <w:szCs w:val="36"/>
        </w:rPr>
      </w:pPr>
    </w:p>
    <w:p>
      <w:pPr>
        <w:spacing w:before="100" w:beforeAutospacing="1" w:after="100" w:afterAutospacing="1"/>
        <w:ind w:firstLine="1270" w:firstLineChars="397"/>
        <w:jc w:val="left"/>
        <w:rPr>
          <w:rFonts w:asciiTheme="minorEastAsia" w:hAnsiTheme="minorEastAsia" w:eastAsiaTheme="minorEastAsia"/>
          <w:sz w:val="32"/>
          <w:szCs w:val="32"/>
        </w:rPr>
      </w:pPr>
      <w:r>
        <w:rPr>
          <w:rFonts w:asciiTheme="minorEastAsia" w:hAnsiTheme="minorEastAsia" w:eastAsiaTheme="minorEastAsia"/>
          <w:sz w:val="32"/>
          <w:szCs w:val="32"/>
        </w:rPr>
        <w:t>需方：中机国际工程设计研究院有限责任公司</w:t>
      </w:r>
    </w:p>
    <w:p>
      <w:pPr>
        <w:ind w:firstLine="1270" w:firstLineChars="397"/>
        <w:jc w:val="left"/>
        <w:rPr>
          <w:rFonts w:cs="Times New Roman" w:asciiTheme="minorEastAsia" w:hAnsiTheme="minorEastAsia" w:eastAsiaTheme="minorEastAsia"/>
          <w:sz w:val="36"/>
          <w:szCs w:val="36"/>
        </w:rPr>
      </w:pPr>
      <w:r>
        <w:rPr>
          <w:rFonts w:asciiTheme="minorEastAsia" w:hAnsiTheme="minorEastAsia" w:eastAsiaTheme="minorEastAsia"/>
          <w:sz w:val="32"/>
          <w:szCs w:val="32"/>
        </w:rPr>
        <w:t>供方：</w:t>
      </w:r>
      <w:r>
        <w:rPr>
          <w:rFonts w:cs="Times New Roman" w:asciiTheme="minorEastAsia" w:hAnsiTheme="minorEastAsia" w:eastAsiaTheme="minorEastAsia"/>
          <w:sz w:val="36"/>
          <w:szCs w:val="36"/>
        </w:rPr>
        <w:t xml:space="preserve"> </w:t>
      </w:r>
    </w:p>
    <w:p>
      <w:pPr>
        <w:jc w:val="center"/>
        <w:rPr>
          <w:rFonts w:cs="Times New Roman" w:asciiTheme="minorEastAsia" w:hAnsiTheme="minorEastAsia" w:eastAsiaTheme="minorEastAsia"/>
          <w:sz w:val="36"/>
          <w:szCs w:val="36"/>
        </w:rPr>
      </w:pPr>
    </w:p>
    <w:p>
      <w:pPr>
        <w:jc w:val="center"/>
        <w:rPr>
          <w:rFonts w:cs="Times New Roman" w:asciiTheme="minorEastAsia" w:hAnsiTheme="minorEastAsia" w:eastAsiaTheme="minorEastAsia"/>
          <w:snapToGrid w:val="0"/>
          <w:color w:val="000000"/>
          <w:spacing w:val="30"/>
          <w:kern w:val="0"/>
          <w:sz w:val="32"/>
          <w:szCs w:val="32"/>
        </w:rPr>
      </w:pPr>
      <w:r>
        <w:rPr>
          <w:rFonts w:cs="Times New Roman" w:asciiTheme="minorEastAsia" w:hAnsiTheme="minorEastAsia" w:eastAsiaTheme="minorEastAsia"/>
          <w:sz w:val="36"/>
          <w:szCs w:val="36"/>
        </w:rPr>
        <w:t>二O</w:t>
      </w:r>
      <w:r>
        <w:rPr>
          <w:rFonts w:hint="eastAsia" w:cs="Times New Roman" w:asciiTheme="minorEastAsia" w:hAnsiTheme="minorEastAsia" w:eastAsiaTheme="minorEastAsia"/>
          <w:sz w:val="36"/>
          <w:szCs w:val="36"/>
        </w:rPr>
        <w:t>二三</w:t>
      </w:r>
      <w:r>
        <w:rPr>
          <w:rFonts w:cs="Times New Roman" w:asciiTheme="minorEastAsia" w:hAnsiTheme="minorEastAsia" w:eastAsiaTheme="minorEastAsia"/>
          <w:sz w:val="36"/>
          <w:szCs w:val="36"/>
        </w:rPr>
        <w:t>年</w:t>
      </w:r>
      <w:r>
        <w:rPr>
          <w:rFonts w:hint="eastAsia" w:cs="Times New Roman" w:asciiTheme="minorEastAsia" w:hAnsiTheme="minorEastAsia" w:eastAsiaTheme="minorEastAsia"/>
          <w:sz w:val="36"/>
          <w:szCs w:val="36"/>
        </w:rPr>
        <w:t>十</w:t>
      </w:r>
      <w:r>
        <w:rPr>
          <w:rFonts w:cs="Times New Roman" w:asciiTheme="minorEastAsia" w:hAnsiTheme="minorEastAsia" w:eastAsiaTheme="minorEastAsia"/>
          <w:sz w:val="36"/>
          <w:szCs w:val="36"/>
        </w:rPr>
        <w:t>月</w:t>
      </w:r>
    </w:p>
    <w:p>
      <w:pPr>
        <w:jc w:val="left"/>
        <w:rPr>
          <w:rFonts w:eastAsia="黑体" w:cs="Times New Roman"/>
          <w:snapToGrid w:val="0"/>
          <w:color w:val="000000"/>
          <w:spacing w:val="30"/>
          <w:kern w:val="0"/>
          <w:sz w:val="32"/>
          <w:szCs w:val="32"/>
        </w:rPr>
      </w:pPr>
    </w:p>
    <w:p>
      <w:pPr>
        <w:jc w:val="center"/>
        <w:rPr>
          <w:rFonts w:eastAsia="黑体" w:cs="Times New Roman"/>
          <w:snapToGrid w:val="0"/>
          <w:color w:val="000000"/>
          <w:spacing w:val="30"/>
          <w:kern w:val="0"/>
          <w:sz w:val="32"/>
          <w:szCs w:val="32"/>
        </w:rPr>
        <w:sectPr>
          <w:headerReference r:id="rId3" w:type="default"/>
          <w:pgSz w:w="11906" w:h="16838"/>
          <w:pgMar w:top="1440" w:right="1800" w:bottom="1440" w:left="1800" w:header="851" w:footer="992" w:gutter="0"/>
          <w:cols w:space="425" w:num="1"/>
          <w:docGrid w:type="lines" w:linePitch="312" w:charSpace="0"/>
        </w:sectPr>
      </w:pPr>
    </w:p>
    <w:p>
      <w:pPr>
        <w:jc w:val="center"/>
        <w:rPr>
          <w:rFonts w:eastAsia="黑体" w:cs="Times New Roman"/>
          <w:snapToGrid w:val="0"/>
          <w:color w:val="000000"/>
          <w:spacing w:val="30"/>
          <w:kern w:val="0"/>
          <w:sz w:val="32"/>
          <w:szCs w:val="32"/>
        </w:rPr>
      </w:pPr>
      <w:r>
        <w:rPr>
          <w:rFonts w:hint="eastAsia" w:eastAsia="黑体" w:cs="Times New Roman"/>
          <w:snapToGrid w:val="0"/>
          <w:color w:val="000000"/>
          <w:spacing w:val="30"/>
          <w:kern w:val="0"/>
          <w:sz w:val="32"/>
          <w:szCs w:val="32"/>
        </w:rPr>
        <w:t>目 录</w:t>
      </w:r>
    </w:p>
    <w:p>
      <w:pPr>
        <w:pStyle w:val="19"/>
        <w:tabs>
          <w:tab w:val="right" w:leader="dot" w:pos="9060"/>
        </w:tabs>
        <w:rPr>
          <w:rFonts w:asciiTheme="minorHAnsi" w:hAnsiTheme="minorHAnsi" w:eastAsiaTheme="minorEastAsia"/>
          <w:sz w:val="21"/>
        </w:rPr>
      </w:pPr>
      <w:r>
        <w:rPr>
          <w:rFonts w:cs="Times New Roman"/>
          <w:snapToGrid w:val="0"/>
          <w:color w:val="000000"/>
          <w:spacing w:val="30"/>
          <w:kern w:val="0"/>
          <w:szCs w:val="24"/>
        </w:rPr>
        <w:fldChar w:fldCharType="begin"/>
      </w:r>
      <w:r>
        <w:rPr>
          <w:rFonts w:cs="Times New Roman"/>
          <w:snapToGrid w:val="0"/>
          <w:color w:val="000000"/>
          <w:spacing w:val="30"/>
          <w:kern w:val="0"/>
          <w:szCs w:val="24"/>
        </w:rPr>
        <w:instrText xml:space="preserve"> TOC \o "1-2" \h \z \u </w:instrText>
      </w:r>
      <w:r>
        <w:rPr>
          <w:rFonts w:cs="Times New Roman"/>
          <w:snapToGrid w:val="0"/>
          <w:color w:val="000000"/>
          <w:spacing w:val="30"/>
          <w:kern w:val="0"/>
          <w:szCs w:val="24"/>
        </w:rPr>
        <w:fldChar w:fldCharType="separate"/>
      </w:r>
      <w:r>
        <w:fldChar w:fldCharType="begin"/>
      </w:r>
      <w:r>
        <w:instrText xml:space="preserve"> HYPERLINK \l "_Toc148101338" </w:instrText>
      </w:r>
      <w:r>
        <w:fldChar w:fldCharType="separate"/>
      </w:r>
      <w:r>
        <w:rPr>
          <w:rStyle w:val="29"/>
        </w:rPr>
        <w:t>1</w:t>
      </w:r>
      <w:r>
        <w:rPr>
          <w:rStyle w:val="29"/>
          <w:rFonts w:hint="eastAsia"/>
        </w:rPr>
        <w:t xml:space="preserve"> 项目概况及总体要求</w:t>
      </w:r>
      <w:r>
        <w:tab/>
      </w:r>
      <w:r>
        <w:fldChar w:fldCharType="begin"/>
      </w:r>
      <w:r>
        <w:instrText xml:space="preserve"> PAGEREF _Toc148101338 \h </w:instrText>
      </w:r>
      <w:r>
        <w:fldChar w:fldCharType="separate"/>
      </w:r>
      <w:r>
        <w:t>1</w:t>
      </w:r>
      <w:r>
        <w:fldChar w:fldCharType="end"/>
      </w:r>
      <w:r>
        <w:fldChar w:fldCharType="end"/>
      </w:r>
    </w:p>
    <w:p>
      <w:pPr>
        <w:pStyle w:val="22"/>
        <w:tabs>
          <w:tab w:val="right" w:leader="dot" w:pos="9060"/>
        </w:tabs>
        <w:ind w:left="480"/>
        <w:rPr>
          <w:rFonts w:asciiTheme="minorHAnsi" w:hAnsiTheme="minorHAnsi" w:eastAsiaTheme="minorEastAsia"/>
          <w:sz w:val="21"/>
        </w:rPr>
      </w:pPr>
      <w:r>
        <w:fldChar w:fldCharType="begin"/>
      </w:r>
      <w:r>
        <w:instrText xml:space="preserve"> HYPERLINK \l "_Toc148101339" </w:instrText>
      </w:r>
      <w:r>
        <w:fldChar w:fldCharType="separate"/>
      </w:r>
      <w:r>
        <w:rPr>
          <w:rStyle w:val="29"/>
        </w:rPr>
        <w:t>1.1</w:t>
      </w:r>
      <w:r>
        <w:rPr>
          <w:rStyle w:val="29"/>
          <w:rFonts w:hint="eastAsia" w:ascii="宋体" w:hAnsi="宋体"/>
        </w:rPr>
        <w:t xml:space="preserve"> 项目基本信息</w:t>
      </w:r>
      <w:r>
        <w:tab/>
      </w:r>
      <w:r>
        <w:fldChar w:fldCharType="begin"/>
      </w:r>
      <w:r>
        <w:instrText xml:space="preserve"> PAGEREF _Toc148101339 \h </w:instrText>
      </w:r>
      <w:r>
        <w:fldChar w:fldCharType="separate"/>
      </w:r>
      <w:r>
        <w:t>1</w:t>
      </w:r>
      <w:r>
        <w:fldChar w:fldCharType="end"/>
      </w:r>
      <w:r>
        <w:fldChar w:fldCharType="end"/>
      </w:r>
    </w:p>
    <w:p>
      <w:pPr>
        <w:pStyle w:val="22"/>
        <w:tabs>
          <w:tab w:val="right" w:leader="dot" w:pos="9060"/>
        </w:tabs>
        <w:ind w:left="480"/>
        <w:rPr>
          <w:rFonts w:asciiTheme="minorHAnsi" w:hAnsiTheme="minorHAnsi" w:eastAsiaTheme="minorEastAsia"/>
          <w:sz w:val="21"/>
        </w:rPr>
      </w:pPr>
      <w:r>
        <w:fldChar w:fldCharType="begin"/>
      </w:r>
      <w:r>
        <w:instrText xml:space="preserve"> HYPERLINK \l "_Toc148101340" </w:instrText>
      </w:r>
      <w:r>
        <w:fldChar w:fldCharType="separate"/>
      </w:r>
      <w:r>
        <w:rPr>
          <w:rStyle w:val="29"/>
        </w:rPr>
        <w:t>1.2</w:t>
      </w:r>
      <w:r>
        <w:rPr>
          <w:rStyle w:val="29"/>
          <w:rFonts w:hint="eastAsia" w:ascii="宋体" w:hAnsi="宋体"/>
        </w:rPr>
        <w:t xml:space="preserve"> 总则</w:t>
      </w:r>
      <w:r>
        <w:tab/>
      </w:r>
      <w:r>
        <w:fldChar w:fldCharType="begin"/>
      </w:r>
      <w:r>
        <w:instrText xml:space="preserve"> PAGEREF _Toc148101340 \h </w:instrText>
      </w:r>
      <w:r>
        <w:fldChar w:fldCharType="separate"/>
      </w:r>
      <w:r>
        <w:t>1</w:t>
      </w:r>
      <w:r>
        <w:fldChar w:fldCharType="end"/>
      </w:r>
      <w:r>
        <w:fldChar w:fldCharType="end"/>
      </w:r>
    </w:p>
    <w:p>
      <w:pPr>
        <w:pStyle w:val="19"/>
        <w:tabs>
          <w:tab w:val="right" w:leader="dot" w:pos="9060"/>
        </w:tabs>
        <w:rPr>
          <w:rFonts w:asciiTheme="minorHAnsi" w:hAnsiTheme="minorHAnsi" w:eastAsiaTheme="minorEastAsia"/>
          <w:sz w:val="21"/>
        </w:rPr>
      </w:pPr>
      <w:r>
        <w:fldChar w:fldCharType="begin"/>
      </w:r>
      <w:r>
        <w:instrText xml:space="preserve"> HYPERLINK \l "_Toc148101341" </w:instrText>
      </w:r>
      <w:r>
        <w:fldChar w:fldCharType="separate"/>
      </w:r>
      <w:r>
        <w:rPr>
          <w:rStyle w:val="29"/>
        </w:rPr>
        <w:t>2</w:t>
      </w:r>
      <w:r>
        <w:rPr>
          <w:rStyle w:val="29"/>
          <w:rFonts w:hint="eastAsia"/>
        </w:rPr>
        <w:t xml:space="preserve"> 供货范围</w:t>
      </w:r>
      <w:r>
        <w:tab/>
      </w:r>
      <w:r>
        <w:fldChar w:fldCharType="begin"/>
      </w:r>
      <w:r>
        <w:instrText xml:space="preserve"> PAGEREF _Toc148101341 \h </w:instrText>
      </w:r>
      <w:r>
        <w:fldChar w:fldCharType="separate"/>
      </w:r>
      <w:r>
        <w:t>2</w:t>
      </w:r>
      <w:r>
        <w:fldChar w:fldCharType="end"/>
      </w:r>
      <w:r>
        <w:fldChar w:fldCharType="end"/>
      </w:r>
    </w:p>
    <w:p>
      <w:pPr>
        <w:pStyle w:val="22"/>
        <w:tabs>
          <w:tab w:val="right" w:leader="dot" w:pos="9060"/>
        </w:tabs>
        <w:ind w:left="480"/>
        <w:rPr>
          <w:rFonts w:asciiTheme="minorHAnsi" w:hAnsiTheme="minorHAnsi" w:eastAsiaTheme="minorEastAsia"/>
          <w:sz w:val="21"/>
        </w:rPr>
      </w:pPr>
      <w:r>
        <w:fldChar w:fldCharType="begin"/>
      </w:r>
      <w:r>
        <w:instrText xml:space="preserve"> HYPERLINK \l "_Toc148101342" </w:instrText>
      </w:r>
      <w:r>
        <w:fldChar w:fldCharType="separate"/>
      </w:r>
      <w:r>
        <w:rPr>
          <w:rStyle w:val="29"/>
        </w:rPr>
        <w:t>2.1</w:t>
      </w:r>
      <w:r>
        <w:rPr>
          <w:rStyle w:val="29"/>
          <w:rFonts w:hint="eastAsia" w:ascii="宋体" w:hAnsi="宋体"/>
        </w:rPr>
        <w:t xml:space="preserve"> 一般要求</w:t>
      </w:r>
      <w:r>
        <w:tab/>
      </w:r>
      <w:r>
        <w:fldChar w:fldCharType="begin"/>
      </w:r>
      <w:r>
        <w:instrText xml:space="preserve"> PAGEREF _Toc148101342 \h </w:instrText>
      </w:r>
      <w:r>
        <w:fldChar w:fldCharType="separate"/>
      </w:r>
      <w:r>
        <w:t>2</w:t>
      </w:r>
      <w:r>
        <w:fldChar w:fldCharType="end"/>
      </w:r>
      <w:r>
        <w:fldChar w:fldCharType="end"/>
      </w:r>
    </w:p>
    <w:p>
      <w:pPr>
        <w:pStyle w:val="22"/>
        <w:tabs>
          <w:tab w:val="right" w:leader="dot" w:pos="9060"/>
        </w:tabs>
        <w:ind w:left="480"/>
        <w:rPr>
          <w:rFonts w:asciiTheme="minorHAnsi" w:hAnsiTheme="minorHAnsi" w:eastAsiaTheme="minorEastAsia"/>
          <w:sz w:val="21"/>
        </w:rPr>
      </w:pPr>
      <w:r>
        <w:fldChar w:fldCharType="begin"/>
      </w:r>
      <w:r>
        <w:instrText xml:space="preserve"> HYPERLINK \l "_Toc148101343" </w:instrText>
      </w:r>
      <w:r>
        <w:fldChar w:fldCharType="separate"/>
      </w:r>
      <w:r>
        <w:rPr>
          <w:rStyle w:val="29"/>
        </w:rPr>
        <w:t>2.2</w:t>
      </w:r>
      <w:r>
        <w:rPr>
          <w:rStyle w:val="29"/>
          <w:rFonts w:hint="eastAsia" w:ascii="宋体" w:hAnsi="宋体"/>
        </w:rPr>
        <w:t xml:space="preserve"> 供货清单</w:t>
      </w:r>
      <w:r>
        <w:tab/>
      </w:r>
      <w:r>
        <w:fldChar w:fldCharType="begin"/>
      </w:r>
      <w:r>
        <w:instrText xml:space="preserve"> PAGEREF _Toc148101343 \h </w:instrText>
      </w:r>
      <w:r>
        <w:fldChar w:fldCharType="separate"/>
      </w:r>
      <w:r>
        <w:t>3</w:t>
      </w:r>
      <w:r>
        <w:fldChar w:fldCharType="end"/>
      </w:r>
      <w:r>
        <w:fldChar w:fldCharType="end"/>
      </w:r>
    </w:p>
    <w:p>
      <w:pPr>
        <w:pStyle w:val="19"/>
        <w:tabs>
          <w:tab w:val="right" w:leader="dot" w:pos="9060"/>
        </w:tabs>
        <w:rPr>
          <w:rFonts w:asciiTheme="minorHAnsi" w:hAnsiTheme="minorHAnsi" w:eastAsiaTheme="minorEastAsia"/>
          <w:sz w:val="21"/>
        </w:rPr>
      </w:pPr>
      <w:r>
        <w:fldChar w:fldCharType="begin"/>
      </w:r>
      <w:r>
        <w:instrText xml:space="preserve"> HYPERLINK \l "_Toc148101344" </w:instrText>
      </w:r>
      <w:r>
        <w:fldChar w:fldCharType="separate"/>
      </w:r>
      <w:r>
        <w:rPr>
          <w:rStyle w:val="29"/>
        </w:rPr>
        <w:t>3</w:t>
      </w:r>
      <w:r>
        <w:rPr>
          <w:rStyle w:val="29"/>
          <w:rFonts w:hint="eastAsia"/>
        </w:rPr>
        <w:t xml:space="preserve"> 标准及规范</w:t>
      </w:r>
      <w:r>
        <w:tab/>
      </w:r>
      <w:r>
        <w:fldChar w:fldCharType="begin"/>
      </w:r>
      <w:r>
        <w:instrText xml:space="preserve"> PAGEREF _Toc148101344 \h </w:instrText>
      </w:r>
      <w:r>
        <w:fldChar w:fldCharType="separate"/>
      </w:r>
      <w:r>
        <w:t>9</w:t>
      </w:r>
      <w:r>
        <w:fldChar w:fldCharType="end"/>
      </w:r>
      <w:r>
        <w:fldChar w:fldCharType="end"/>
      </w:r>
    </w:p>
    <w:p>
      <w:pPr>
        <w:pStyle w:val="19"/>
        <w:tabs>
          <w:tab w:val="right" w:leader="dot" w:pos="9060"/>
        </w:tabs>
        <w:rPr>
          <w:rFonts w:asciiTheme="minorHAnsi" w:hAnsiTheme="minorHAnsi" w:eastAsiaTheme="minorEastAsia"/>
          <w:sz w:val="21"/>
        </w:rPr>
      </w:pPr>
      <w:r>
        <w:fldChar w:fldCharType="begin"/>
      </w:r>
      <w:r>
        <w:instrText xml:space="preserve"> HYPERLINK \l "_Toc148101345" </w:instrText>
      </w:r>
      <w:r>
        <w:fldChar w:fldCharType="separate"/>
      </w:r>
      <w:r>
        <w:rPr>
          <w:rStyle w:val="29"/>
        </w:rPr>
        <w:t>4</w:t>
      </w:r>
      <w:r>
        <w:rPr>
          <w:rStyle w:val="29"/>
          <w:rFonts w:hint="eastAsia"/>
        </w:rPr>
        <w:t xml:space="preserve"> 技术要求</w:t>
      </w:r>
      <w:r>
        <w:tab/>
      </w:r>
      <w:r>
        <w:fldChar w:fldCharType="begin"/>
      </w:r>
      <w:r>
        <w:instrText xml:space="preserve"> PAGEREF _Toc148101345 \h </w:instrText>
      </w:r>
      <w:r>
        <w:fldChar w:fldCharType="separate"/>
      </w:r>
      <w:r>
        <w:t>11</w:t>
      </w:r>
      <w:r>
        <w:fldChar w:fldCharType="end"/>
      </w:r>
      <w:r>
        <w:fldChar w:fldCharType="end"/>
      </w:r>
    </w:p>
    <w:p>
      <w:pPr>
        <w:pStyle w:val="22"/>
        <w:tabs>
          <w:tab w:val="right" w:leader="dot" w:pos="9060"/>
        </w:tabs>
        <w:ind w:left="480"/>
        <w:rPr>
          <w:rFonts w:asciiTheme="minorHAnsi" w:hAnsiTheme="minorHAnsi" w:eastAsiaTheme="minorEastAsia"/>
          <w:sz w:val="21"/>
        </w:rPr>
      </w:pPr>
      <w:r>
        <w:fldChar w:fldCharType="begin"/>
      </w:r>
      <w:r>
        <w:instrText xml:space="preserve"> HYPERLINK \l "_Toc148101346" </w:instrText>
      </w:r>
      <w:r>
        <w:fldChar w:fldCharType="separate"/>
      </w:r>
      <w:r>
        <w:rPr>
          <w:rStyle w:val="29"/>
          <w:b/>
        </w:rPr>
        <w:t>4.1</w:t>
      </w:r>
      <w:r>
        <w:rPr>
          <w:rStyle w:val="29"/>
          <w:rFonts w:hint="eastAsia"/>
          <w:b/>
        </w:rPr>
        <w:t>管道管件要求</w:t>
      </w:r>
      <w:r>
        <w:tab/>
      </w:r>
      <w:r>
        <w:fldChar w:fldCharType="begin"/>
      </w:r>
      <w:r>
        <w:instrText xml:space="preserve"> PAGEREF _Toc148101346 \h </w:instrText>
      </w:r>
      <w:r>
        <w:fldChar w:fldCharType="separate"/>
      </w:r>
      <w:r>
        <w:t>11</w:t>
      </w:r>
      <w:r>
        <w:fldChar w:fldCharType="end"/>
      </w:r>
      <w:r>
        <w:fldChar w:fldCharType="end"/>
      </w:r>
    </w:p>
    <w:p>
      <w:pPr>
        <w:pStyle w:val="22"/>
        <w:tabs>
          <w:tab w:val="right" w:leader="dot" w:pos="9060"/>
        </w:tabs>
        <w:ind w:left="480"/>
        <w:rPr>
          <w:rFonts w:asciiTheme="minorHAnsi" w:hAnsiTheme="minorHAnsi" w:eastAsiaTheme="minorEastAsia"/>
          <w:sz w:val="21"/>
        </w:rPr>
      </w:pPr>
      <w:r>
        <w:fldChar w:fldCharType="begin"/>
      </w:r>
      <w:r>
        <w:instrText xml:space="preserve"> HYPERLINK \l "_Toc148101347" </w:instrText>
      </w:r>
      <w:r>
        <w:fldChar w:fldCharType="separate"/>
      </w:r>
      <w:r>
        <w:rPr>
          <w:rStyle w:val="29"/>
          <w:b/>
        </w:rPr>
        <w:t>4.2</w:t>
      </w:r>
      <w:r>
        <w:rPr>
          <w:rStyle w:val="29"/>
          <w:rFonts w:hint="eastAsia"/>
          <w:b/>
        </w:rPr>
        <w:t>支吊架要求</w:t>
      </w:r>
      <w:r>
        <w:tab/>
      </w:r>
      <w:r>
        <w:fldChar w:fldCharType="begin"/>
      </w:r>
      <w:r>
        <w:instrText xml:space="preserve"> PAGEREF _Toc148101347 \h </w:instrText>
      </w:r>
      <w:r>
        <w:fldChar w:fldCharType="separate"/>
      </w:r>
      <w:r>
        <w:t>12</w:t>
      </w:r>
      <w:r>
        <w:fldChar w:fldCharType="end"/>
      </w:r>
      <w:r>
        <w:fldChar w:fldCharType="end"/>
      </w:r>
    </w:p>
    <w:p>
      <w:pPr>
        <w:pStyle w:val="19"/>
        <w:tabs>
          <w:tab w:val="right" w:leader="dot" w:pos="9060"/>
        </w:tabs>
        <w:rPr>
          <w:rFonts w:asciiTheme="minorHAnsi" w:hAnsiTheme="minorHAnsi" w:eastAsiaTheme="minorEastAsia"/>
          <w:sz w:val="21"/>
        </w:rPr>
      </w:pPr>
      <w:r>
        <w:fldChar w:fldCharType="begin"/>
      </w:r>
      <w:r>
        <w:instrText xml:space="preserve"> HYPERLINK \l "_Toc148101348" </w:instrText>
      </w:r>
      <w:r>
        <w:fldChar w:fldCharType="separate"/>
      </w:r>
      <w:r>
        <w:rPr>
          <w:rStyle w:val="29"/>
          <w:rFonts w:cs="宋体"/>
        </w:rPr>
        <w:t>5</w:t>
      </w:r>
      <w:r>
        <w:rPr>
          <w:rStyle w:val="29"/>
          <w:rFonts w:hint="eastAsia"/>
        </w:rPr>
        <w:t xml:space="preserve"> 包装、标志、运输、验收和保管</w:t>
      </w:r>
      <w:r>
        <w:tab/>
      </w:r>
      <w:r>
        <w:fldChar w:fldCharType="begin"/>
      </w:r>
      <w:r>
        <w:instrText xml:space="preserve"> PAGEREF _Toc148101348 \h </w:instrText>
      </w:r>
      <w:r>
        <w:fldChar w:fldCharType="separate"/>
      </w:r>
      <w:r>
        <w:t>14</w:t>
      </w:r>
      <w:r>
        <w:fldChar w:fldCharType="end"/>
      </w:r>
      <w:r>
        <w:fldChar w:fldCharType="end"/>
      </w:r>
    </w:p>
    <w:p>
      <w:pPr>
        <w:pStyle w:val="19"/>
        <w:tabs>
          <w:tab w:val="right" w:leader="dot" w:pos="9060"/>
        </w:tabs>
        <w:rPr>
          <w:rFonts w:asciiTheme="minorHAnsi" w:hAnsiTheme="minorHAnsi" w:eastAsiaTheme="minorEastAsia"/>
          <w:sz w:val="21"/>
        </w:rPr>
      </w:pPr>
      <w:r>
        <w:fldChar w:fldCharType="begin"/>
      </w:r>
      <w:r>
        <w:instrText xml:space="preserve"> HYPERLINK \l "_Toc148101349" </w:instrText>
      </w:r>
      <w:r>
        <w:fldChar w:fldCharType="separate"/>
      </w:r>
      <w:r>
        <w:rPr>
          <w:rStyle w:val="29"/>
        </w:rPr>
        <w:t>6</w:t>
      </w:r>
      <w:r>
        <w:rPr>
          <w:rStyle w:val="29"/>
          <w:rFonts w:hint="eastAsia"/>
        </w:rPr>
        <w:t xml:space="preserve"> 技术资料及交付进度</w:t>
      </w:r>
      <w:r>
        <w:tab/>
      </w:r>
      <w:r>
        <w:fldChar w:fldCharType="begin"/>
      </w:r>
      <w:r>
        <w:instrText xml:space="preserve"> PAGEREF _Toc148101349 \h </w:instrText>
      </w:r>
      <w:r>
        <w:fldChar w:fldCharType="separate"/>
      </w:r>
      <w:r>
        <w:t>17</w:t>
      </w:r>
      <w:r>
        <w:fldChar w:fldCharType="end"/>
      </w:r>
      <w:r>
        <w:fldChar w:fldCharType="end"/>
      </w:r>
    </w:p>
    <w:p>
      <w:pPr>
        <w:pStyle w:val="19"/>
        <w:tabs>
          <w:tab w:val="right" w:leader="dot" w:pos="9060"/>
        </w:tabs>
        <w:rPr>
          <w:rFonts w:asciiTheme="minorHAnsi" w:hAnsiTheme="minorHAnsi" w:eastAsiaTheme="minorEastAsia"/>
          <w:sz w:val="21"/>
        </w:rPr>
      </w:pPr>
      <w:r>
        <w:fldChar w:fldCharType="begin"/>
      </w:r>
      <w:r>
        <w:instrText xml:space="preserve"> HYPERLINK \l "_Toc148101350" </w:instrText>
      </w:r>
      <w:r>
        <w:fldChar w:fldCharType="separate"/>
      </w:r>
      <w:r>
        <w:rPr>
          <w:rStyle w:val="29"/>
        </w:rPr>
        <w:t>7</w:t>
      </w:r>
      <w:r>
        <w:rPr>
          <w:rStyle w:val="29"/>
          <w:rFonts w:hint="eastAsia"/>
        </w:rPr>
        <w:t xml:space="preserve"> 设备监造、检验和性能验收试验</w:t>
      </w:r>
      <w:r>
        <w:tab/>
      </w:r>
      <w:r>
        <w:fldChar w:fldCharType="begin"/>
      </w:r>
      <w:r>
        <w:instrText xml:space="preserve"> PAGEREF _Toc148101350 \h </w:instrText>
      </w:r>
      <w:r>
        <w:fldChar w:fldCharType="separate"/>
      </w:r>
      <w:r>
        <w:t>19</w:t>
      </w:r>
      <w:r>
        <w:fldChar w:fldCharType="end"/>
      </w:r>
      <w:r>
        <w:fldChar w:fldCharType="end"/>
      </w:r>
    </w:p>
    <w:p>
      <w:pPr>
        <w:pStyle w:val="22"/>
        <w:tabs>
          <w:tab w:val="right" w:leader="dot" w:pos="9060"/>
        </w:tabs>
        <w:ind w:left="480"/>
        <w:rPr>
          <w:rFonts w:asciiTheme="minorHAnsi" w:hAnsiTheme="minorHAnsi" w:eastAsiaTheme="minorEastAsia"/>
          <w:sz w:val="21"/>
        </w:rPr>
      </w:pPr>
      <w:r>
        <w:fldChar w:fldCharType="begin"/>
      </w:r>
      <w:r>
        <w:instrText xml:space="preserve"> HYPERLINK \l "_Toc148101351" </w:instrText>
      </w:r>
      <w:r>
        <w:fldChar w:fldCharType="separate"/>
      </w:r>
      <w:r>
        <w:rPr>
          <w:rStyle w:val="29"/>
        </w:rPr>
        <w:t>7.1</w:t>
      </w:r>
      <w:r>
        <w:rPr>
          <w:rStyle w:val="29"/>
          <w:rFonts w:hint="eastAsia"/>
        </w:rPr>
        <w:t xml:space="preserve"> 工厂检验</w:t>
      </w:r>
      <w:r>
        <w:tab/>
      </w:r>
      <w:r>
        <w:fldChar w:fldCharType="begin"/>
      </w:r>
      <w:r>
        <w:instrText xml:space="preserve"> PAGEREF _Toc148101351 \h </w:instrText>
      </w:r>
      <w:r>
        <w:fldChar w:fldCharType="separate"/>
      </w:r>
      <w:r>
        <w:t>19</w:t>
      </w:r>
      <w:r>
        <w:fldChar w:fldCharType="end"/>
      </w:r>
      <w:r>
        <w:fldChar w:fldCharType="end"/>
      </w:r>
    </w:p>
    <w:p>
      <w:pPr>
        <w:pStyle w:val="22"/>
        <w:tabs>
          <w:tab w:val="right" w:leader="dot" w:pos="9060"/>
        </w:tabs>
        <w:ind w:left="480"/>
        <w:rPr>
          <w:rFonts w:asciiTheme="minorHAnsi" w:hAnsiTheme="minorHAnsi" w:eastAsiaTheme="minorEastAsia"/>
          <w:sz w:val="21"/>
        </w:rPr>
      </w:pPr>
      <w:r>
        <w:fldChar w:fldCharType="begin"/>
      </w:r>
      <w:r>
        <w:instrText xml:space="preserve"> HYPERLINK \l "_Toc148101352" </w:instrText>
      </w:r>
      <w:r>
        <w:fldChar w:fldCharType="separate"/>
      </w:r>
      <w:r>
        <w:rPr>
          <w:rStyle w:val="29"/>
        </w:rPr>
        <w:t>7.2</w:t>
      </w:r>
      <w:r>
        <w:rPr>
          <w:rStyle w:val="29"/>
          <w:rFonts w:hint="eastAsia"/>
        </w:rPr>
        <w:t xml:space="preserve"> 设备监造</w:t>
      </w:r>
      <w:r>
        <w:tab/>
      </w:r>
      <w:r>
        <w:fldChar w:fldCharType="begin"/>
      </w:r>
      <w:r>
        <w:instrText xml:space="preserve"> PAGEREF _Toc148101352 \h </w:instrText>
      </w:r>
      <w:r>
        <w:fldChar w:fldCharType="separate"/>
      </w:r>
      <w:r>
        <w:t>19</w:t>
      </w:r>
      <w:r>
        <w:fldChar w:fldCharType="end"/>
      </w:r>
      <w:r>
        <w:fldChar w:fldCharType="end"/>
      </w:r>
    </w:p>
    <w:p>
      <w:pPr>
        <w:pStyle w:val="22"/>
        <w:tabs>
          <w:tab w:val="right" w:leader="dot" w:pos="9060"/>
        </w:tabs>
        <w:ind w:left="480"/>
        <w:rPr>
          <w:rFonts w:asciiTheme="minorHAnsi" w:hAnsiTheme="minorHAnsi" w:eastAsiaTheme="minorEastAsia"/>
          <w:sz w:val="21"/>
        </w:rPr>
      </w:pPr>
      <w:r>
        <w:fldChar w:fldCharType="begin"/>
      </w:r>
      <w:r>
        <w:instrText xml:space="preserve"> HYPERLINK \l "_Toc148101353" </w:instrText>
      </w:r>
      <w:r>
        <w:fldChar w:fldCharType="separate"/>
      </w:r>
      <w:r>
        <w:rPr>
          <w:rStyle w:val="29"/>
        </w:rPr>
        <w:t>7.4</w:t>
      </w:r>
      <w:r>
        <w:rPr>
          <w:rStyle w:val="29"/>
          <w:rFonts w:hint="eastAsia"/>
        </w:rPr>
        <w:t xml:space="preserve"> 制造、安装和性能验收试验的内容</w:t>
      </w:r>
      <w:r>
        <w:rPr>
          <w:rStyle w:val="29"/>
        </w:rPr>
        <w:t>:</w:t>
      </w:r>
      <w:r>
        <w:tab/>
      </w:r>
      <w:r>
        <w:fldChar w:fldCharType="begin"/>
      </w:r>
      <w:r>
        <w:instrText xml:space="preserve"> PAGEREF _Toc148101353 \h </w:instrText>
      </w:r>
      <w:r>
        <w:fldChar w:fldCharType="separate"/>
      </w:r>
      <w:r>
        <w:t>20</w:t>
      </w:r>
      <w:r>
        <w:fldChar w:fldCharType="end"/>
      </w:r>
      <w:r>
        <w:fldChar w:fldCharType="end"/>
      </w:r>
    </w:p>
    <w:p>
      <w:pPr>
        <w:pStyle w:val="22"/>
        <w:tabs>
          <w:tab w:val="right" w:leader="dot" w:pos="9060"/>
        </w:tabs>
        <w:ind w:left="480"/>
        <w:rPr>
          <w:rFonts w:asciiTheme="minorHAnsi" w:hAnsiTheme="minorHAnsi" w:eastAsiaTheme="minorEastAsia"/>
          <w:sz w:val="21"/>
        </w:rPr>
      </w:pPr>
      <w:r>
        <w:fldChar w:fldCharType="begin"/>
      </w:r>
      <w:r>
        <w:instrText xml:space="preserve"> HYPERLINK \l "_Toc148101354" </w:instrText>
      </w:r>
      <w:r>
        <w:fldChar w:fldCharType="separate"/>
      </w:r>
      <w:r>
        <w:rPr>
          <w:rStyle w:val="29"/>
        </w:rPr>
        <w:t>7.6</w:t>
      </w:r>
      <w:r>
        <w:rPr>
          <w:rStyle w:val="29"/>
          <w:rFonts w:hint="eastAsia"/>
        </w:rPr>
        <w:t>性能验收试验结果的确认</w:t>
      </w:r>
      <w:r>
        <w:tab/>
      </w:r>
      <w:r>
        <w:fldChar w:fldCharType="begin"/>
      </w:r>
      <w:r>
        <w:instrText xml:space="preserve"> PAGEREF _Toc148101354 \h </w:instrText>
      </w:r>
      <w:r>
        <w:fldChar w:fldCharType="separate"/>
      </w:r>
      <w:r>
        <w:t>20</w:t>
      </w:r>
      <w:r>
        <w:fldChar w:fldCharType="end"/>
      </w:r>
      <w:r>
        <w:fldChar w:fldCharType="end"/>
      </w:r>
    </w:p>
    <w:p>
      <w:pPr>
        <w:pStyle w:val="19"/>
        <w:tabs>
          <w:tab w:val="right" w:leader="dot" w:pos="9060"/>
        </w:tabs>
        <w:rPr>
          <w:rFonts w:asciiTheme="minorHAnsi" w:hAnsiTheme="minorHAnsi" w:eastAsiaTheme="minorEastAsia"/>
          <w:sz w:val="21"/>
        </w:rPr>
      </w:pPr>
      <w:r>
        <w:fldChar w:fldCharType="begin"/>
      </w:r>
      <w:r>
        <w:instrText xml:space="preserve"> HYPERLINK \l "_Toc148101355" </w:instrText>
      </w:r>
      <w:r>
        <w:fldChar w:fldCharType="separate"/>
      </w:r>
      <w:r>
        <w:rPr>
          <w:rStyle w:val="29"/>
        </w:rPr>
        <w:t>8</w:t>
      </w:r>
      <w:r>
        <w:rPr>
          <w:rStyle w:val="29"/>
          <w:rFonts w:hint="eastAsia"/>
        </w:rPr>
        <w:t xml:space="preserve"> 供方现场技术服务</w:t>
      </w:r>
      <w:r>
        <w:tab/>
      </w:r>
      <w:r>
        <w:fldChar w:fldCharType="begin"/>
      </w:r>
      <w:r>
        <w:instrText xml:space="preserve"> PAGEREF _Toc148101355 \h </w:instrText>
      </w:r>
      <w:r>
        <w:fldChar w:fldCharType="separate"/>
      </w:r>
      <w:r>
        <w:t>21</w:t>
      </w:r>
      <w:r>
        <w:fldChar w:fldCharType="end"/>
      </w:r>
      <w:r>
        <w:fldChar w:fldCharType="end"/>
      </w:r>
    </w:p>
    <w:p>
      <w:pPr>
        <w:tabs>
          <w:tab w:val="right" w:leader="dot" w:pos="9072"/>
        </w:tabs>
        <w:spacing w:line="420" w:lineRule="auto"/>
        <w:rPr>
          <w:rFonts w:cs="Times New Roman"/>
          <w:snapToGrid w:val="0"/>
          <w:szCs w:val="24"/>
        </w:rPr>
        <w:sectPr>
          <w:headerReference r:id="rId4" w:type="default"/>
          <w:footerReference r:id="rId5" w:type="default"/>
          <w:pgSz w:w="11906" w:h="16838"/>
          <w:pgMar w:top="1474" w:right="1418" w:bottom="1134" w:left="1418" w:header="567" w:footer="567" w:gutter="0"/>
          <w:pgNumType w:fmt="upperRoman" w:start="1"/>
          <w:cols w:space="425" w:num="1"/>
          <w:docGrid w:type="lines" w:linePitch="326" w:charSpace="0"/>
        </w:sectPr>
      </w:pPr>
      <w:r>
        <w:rPr>
          <w:rFonts w:cs="Times New Roman"/>
          <w:snapToGrid w:val="0"/>
          <w:szCs w:val="24"/>
        </w:rPr>
        <w:fldChar w:fldCharType="end"/>
      </w:r>
    </w:p>
    <w:p>
      <w:pPr>
        <w:pStyle w:val="2"/>
        <w:keepNext/>
        <w:keepLines/>
        <w:numPr>
          <w:ilvl w:val="0"/>
          <w:numId w:val="2"/>
        </w:numPr>
        <w:tabs>
          <w:tab w:val="left" w:pos="360"/>
        </w:tabs>
        <w:adjustRightInd w:val="0"/>
        <w:spacing w:before="163" w:beforeLines="50"/>
        <w:textAlignment w:val="baseline"/>
      </w:pPr>
      <w:bookmarkStart w:id="0" w:name="_Toc47711072"/>
      <w:bookmarkStart w:id="1" w:name="_Toc56520530"/>
      <w:bookmarkStart w:id="2" w:name="_Toc47710644"/>
      <w:bookmarkStart w:id="3" w:name="_Toc112742652"/>
      <w:bookmarkStart w:id="4" w:name="_Toc389652643"/>
      <w:bookmarkStart w:id="5" w:name="_Toc104345443"/>
      <w:r>
        <w:rPr>
          <w:rFonts w:hint="eastAsia"/>
        </w:rPr>
        <w:t xml:space="preserve"> </w:t>
      </w:r>
      <w:bookmarkStart w:id="6" w:name="_Toc148101338"/>
      <w:r>
        <w:t>项目概况及总体要求</w:t>
      </w:r>
      <w:bookmarkEnd w:id="0"/>
      <w:bookmarkEnd w:id="1"/>
      <w:bookmarkEnd w:id="2"/>
      <w:bookmarkEnd w:id="6"/>
    </w:p>
    <w:p>
      <w:pPr>
        <w:pStyle w:val="3"/>
        <w:numPr>
          <w:ilvl w:val="1"/>
          <w:numId w:val="2"/>
        </w:numPr>
        <w:tabs>
          <w:tab w:val="left" w:pos="360"/>
        </w:tabs>
        <w:rPr>
          <w:rFonts w:ascii="宋体" w:hAnsi="宋体"/>
        </w:rPr>
      </w:pPr>
      <w:bookmarkStart w:id="7" w:name="_Toc56520531"/>
      <w:bookmarkStart w:id="8" w:name="_Toc47711073"/>
      <w:bookmarkStart w:id="9" w:name="_Toc148101339"/>
      <w:bookmarkStart w:id="10" w:name="_Toc47710645"/>
      <w:r>
        <w:rPr>
          <w:rFonts w:ascii="宋体" w:hAnsi="宋体"/>
        </w:rPr>
        <w:t>项目基本信息</w:t>
      </w:r>
      <w:bookmarkEnd w:id="7"/>
      <w:bookmarkEnd w:id="8"/>
      <w:bookmarkEnd w:id="9"/>
      <w:bookmarkEnd w:id="10"/>
    </w:p>
    <w:p>
      <w:pPr>
        <w:pStyle w:val="58"/>
        <w:rPr>
          <w:rFonts w:ascii="宋体" w:hAnsi="宋体"/>
        </w:rPr>
      </w:pPr>
      <w:r>
        <w:rPr>
          <w:rFonts w:ascii="宋体" w:hAnsi="宋体"/>
        </w:rPr>
        <w:t>建设单位：</w:t>
      </w:r>
      <w:r>
        <w:rPr>
          <w:rFonts w:hint="eastAsia" w:ascii="宋体" w:hAnsi="宋体"/>
        </w:rPr>
        <w:t>大唐托克托发电有限责任公司</w:t>
      </w:r>
      <w:r>
        <w:rPr>
          <w:rFonts w:ascii="宋体" w:hAnsi="宋体"/>
        </w:rPr>
        <w:t>；</w:t>
      </w:r>
    </w:p>
    <w:p>
      <w:pPr>
        <w:pStyle w:val="58"/>
        <w:rPr>
          <w:rFonts w:ascii="宋体" w:hAnsi="宋体"/>
        </w:rPr>
      </w:pPr>
      <w:r>
        <w:rPr>
          <w:rFonts w:ascii="宋体" w:hAnsi="宋体"/>
        </w:rPr>
        <w:t>项目名称：</w:t>
      </w:r>
      <w:r>
        <w:rPr>
          <w:rFonts w:hint="eastAsia" w:ascii="宋体" w:hAnsi="宋体"/>
        </w:rPr>
        <w:t>#10机精修项目</w:t>
      </w:r>
      <w:r>
        <w:rPr>
          <w:rFonts w:ascii="宋体" w:hAnsi="宋体"/>
        </w:rPr>
        <w:t>；</w:t>
      </w:r>
    </w:p>
    <w:p>
      <w:pPr>
        <w:pStyle w:val="58"/>
        <w:rPr>
          <w:rFonts w:ascii="宋体" w:hAnsi="宋体"/>
        </w:rPr>
      </w:pPr>
      <w:r>
        <w:rPr>
          <w:rFonts w:ascii="宋体" w:hAnsi="宋体"/>
        </w:rPr>
        <w:t>建设地点：</w:t>
      </w:r>
      <w:r>
        <w:rPr>
          <w:rFonts w:hint="eastAsia" w:ascii="宋体" w:hAnsi="宋体"/>
        </w:rPr>
        <w:t>内蒙古呼和浩特市托克托县燕山营乡托克托发电有限责任公司</w:t>
      </w:r>
      <w:r>
        <w:rPr>
          <w:rFonts w:ascii="宋体" w:hAnsi="宋体"/>
        </w:rPr>
        <w:t>；</w:t>
      </w:r>
    </w:p>
    <w:p>
      <w:pPr>
        <w:pStyle w:val="3"/>
        <w:numPr>
          <w:ilvl w:val="1"/>
          <w:numId w:val="2"/>
        </w:numPr>
        <w:tabs>
          <w:tab w:val="left" w:pos="360"/>
        </w:tabs>
        <w:rPr>
          <w:rFonts w:ascii="宋体" w:hAnsi="宋体"/>
        </w:rPr>
      </w:pPr>
      <w:bookmarkStart w:id="11" w:name="_Toc148101340"/>
      <w:bookmarkStart w:id="12" w:name="_Toc47710646"/>
      <w:bookmarkStart w:id="13" w:name="_Toc56520532"/>
      <w:bookmarkStart w:id="14" w:name="_Toc47711074"/>
      <w:r>
        <w:rPr>
          <w:rFonts w:ascii="宋体" w:hAnsi="宋体"/>
        </w:rPr>
        <w:t>总则</w:t>
      </w:r>
      <w:bookmarkEnd w:id="11"/>
      <w:bookmarkEnd w:id="12"/>
      <w:bookmarkEnd w:id="13"/>
      <w:bookmarkEnd w:id="14"/>
    </w:p>
    <w:p>
      <w:pPr>
        <w:pStyle w:val="4"/>
        <w:numPr>
          <w:ilvl w:val="2"/>
          <w:numId w:val="2"/>
        </w:numPr>
        <w:tabs>
          <w:tab w:val="left" w:pos="360"/>
        </w:tabs>
        <w:snapToGrid/>
        <w:rPr>
          <w:rFonts w:ascii="宋体" w:hAnsi="宋体"/>
        </w:rPr>
      </w:pPr>
      <w:r>
        <w:rPr>
          <w:rFonts w:ascii="宋体" w:hAnsi="宋体"/>
        </w:rPr>
        <w:t>本技术协议仅适用于“</w:t>
      </w:r>
      <w:r>
        <w:rPr>
          <w:rFonts w:hint="eastAsia" w:ascii="宋体" w:hAnsi="宋体"/>
        </w:rPr>
        <w:t>大唐托克托发电有限责任公司#10机通精修项目外包部分</w:t>
      </w:r>
      <w:r>
        <w:rPr>
          <w:rFonts w:ascii="宋体" w:hAnsi="宋体"/>
        </w:rPr>
        <w:t>管道管件、支吊架及仪表阀门采购”的相关部件。它包括该设备的功能及性能、工艺制造、检验及实验、安装服务等方面的技术要求。</w:t>
      </w:r>
    </w:p>
    <w:p>
      <w:pPr>
        <w:pStyle w:val="4"/>
        <w:numPr>
          <w:ilvl w:val="2"/>
          <w:numId w:val="2"/>
        </w:numPr>
        <w:tabs>
          <w:tab w:val="left" w:pos="360"/>
        </w:tabs>
        <w:snapToGrid/>
        <w:rPr>
          <w:rFonts w:ascii="宋体" w:hAnsi="宋体"/>
        </w:rPr>
      </w:pPr>
      <w:r>
        <w:rPr>
          <w:rFonts w:ascii="宋体" w:hAnsi="宋体"/>
        </w:rPr>
        <w:t>本技术协议书提出的是最低限度的技术要求，并未对一切技术要求作出详细规定，也未充分引述有关标准和规范的条文，供方应保证提供符合本技术协议和相关的国际国内工业标准的优质产品。</w:t>
      </w:r>
    </w:p>
    <w:p>
      <w:pPr>
        <w:pStyle w:val="4"/>
        <w:numPr>
          <w:ilvl w:val="2"/>
          <w:numId w:val="2"/>
        </w:numPr>
        <w:tabs>
          <w:tab w:val="left" w:pos="360"/>
        </w:tabs>
        <w:snapToGrid/>
        <w:rPr>
          <w:rFonts w:ascii="宋体" w:hAnsi="宋体"/>
        </w:rPr>
      </w:pPr>
      <w:r>
        <w:rPr>
          <w:rFonts w:ascii="宋体" w:hAnsi="宋体"/>
        </w:rPr>
        <w:t>如供方有除本规范以外的其他要求，应以书面形式提出，经买卖双方讨论后附于本技术协议。</w:t>
      </w:r>
    </w:p>
    <w:p>
      <w:pPr>
        <w:pStyle w:val="4"/>
        <w:numPr>
          <w:ilvl w:val="2"/>
          <w:numId w:val="2"/>
        </w:numPr>
        <w:tabs>
          <w:tab w:val="left" w:pos="360"/>
        </w:tabs>
        <w:snapToGrid/>
        <w:rPr>
          <w:rFonts w:ascii="宋体" w:hAnsi="宋体"/>
        </w:rPr>
      </w:pPr>
      <w:r>
        <w:rPr>
          <w:rFonts w:ascii="宋体" w:hAnsi="宋体"/>
        </w:rPr>
        <w:t>供方应对提供的设备负有全责，即包括分包或采购的产品。分包或采购的重要产品制造商应事先征得需方的认可。</w:t>
      </w:r>
    </w:p>
    <w:p>
      <w:pPr>
        <w:pStyle w:val="4"/>
        <w:numPr>
          <w:ilvl w:val="2"/>
          <w:numId w:val="2"/>
        </w:numPr>
        <w:tabs>
          <w:tab w:val="left" w:pos="360"/>
        </w:tabs>
        <w:snapToGrid/>
        <w:rPr>
          <w:rFonts w:ascii="宋体" w:hAnsi="宋体"/>
        </w:rPr>
      </w:pPr>
      <w:r>
        <w:rPr>
          <w:rFonts w:ascii="宋体" w:hAnsi="宋体"/>
        </w:rPr>
        <w:t>本技术协议所使用的标准若与供方执行的标准发生矛盾时，按较严格的标准执行。</w:t>
      </w:r>
    </w:p>
    <w:p>
      <w:pPr>
        <w:pStyle w:val="4"/>
        <w:numPr>
          <w:ilvl w:val="2"/>
          <w:numId w:val="2"/>
        </w:numPr>
        <w:tabs>
          <w:tab w:val="left" w:pos="360"/>
        </w:tabs>
        <w:snapToGrid/>
        <w:rPr>
          <w:rFonts w:ascii="宋体" w:hAnsi="宋体"/>
        </w:rPr>
      </w:pPr>
      <w:r>
        <w:rPr>
          <w:rFonts w:ascii="宋体" w:hAnsi="宋体"/>
        </w:rPr>
        <w:t>如供方没有对本技术协议书提出书面异议，需方则可认为供方提供的产品完全满足本技术协议的要求。</w:t>
      </w:r>
    </w:p>
    <w:p>
      <w:pPr>
        <w:pStyle w:val="4"/>
        <w:numPr>
          <w:ilvl w:val="2"/>
          <w:numId w:val="2"/>
        </w:numPr>
        <w:tabs>
          <w:tab w:val="left" w:pos="360"/>
        </w:tabs>
        <w:snapToGrid/>
        <w:rPr>
          <w:rFonts w:ascii="宋体" w:hAnsi="宋体"/>
        </w:rPr>
      </w:pPr>
      <w:r>
        <w:rPr>
          <w:rFonts w:hint="eastAsia" w:ascii="宋体" w:hAnsi="宋体"/>
        </w:rPr>
        <w:t>大唐托克托#10机计划在</w:t>
      </w:r>
      <w:r>
        <w:rPr>
          <w:rFonts w:hint="eastAsia" w:ascii="宋体" w:hAnsi="宋体"/>
          <w:b/>
          <w:color w:val="FF0000"/>
        </w:rPr>
        <w:t>2023年10月20日到12月15日</w:t>
      </w:r>
      <w:r>
        <w:rPr>
          <w:rFonts w:hint="eastAsia" w:ascii="宋体" w:hAnsi="宋体"/>
        </w:rPr>
        <w:t>期间进行汽轮机精益检修，工期为55天。</w:t>
      </w:r>
      <w:r>
        <w:rPr>
          <w:rFonts w:hint="eastAsia" w:ascii="宋体" w:hAnsi="宋体"/>
          <w:b/>
          <w:color w:val="FF0000"/>
        </w:rPr>
        <w:t>卖方于2023年10月20日前发货。</w:t>
      </w:r>
    </w:p>
    <w:p>
      <w:pPr>
        <w:pStyle w:val="4"/>
        <w:numPr>
          <w:ilvl w:val="2"/>
          <w:numId w:val="2"/>
        </w:numPr>
        <w:tabs>
          <w:tab w:val="left" w:pos="360"/>
        </w:tabs>
        <w:snapToGrid/>
        <w:rPr>
          <w:rFonts w:ascii="宋体" w:hAnsi="宋体"/>
        </w:rPr>
      </w:pPr>
      <w:r>
        <w:rPr>
          <w:rFonts w:hint="eastAsia" w:ascii="宋体" w:hAnsi="宋体"/>
        </w:rPr>
        <w:t>卖方提供的资料应使用国家法定单位制即国际单位制，语言为中文，进口设备应在提供中文资料的基础上，再提供原文资料，并以中文版本为准。</w:t>
      </w:r>
    </w:p>
    <w:p>
      <w:pPr>
        <w:pStyle w:val="4"/>
        <w:numPr>
          <w:ilvl w:val="2"/>
          <w:numId w:val="2"/>
        </w:numPr>
        <w:tabs>
          <w:tab w:val="left" w:pos="360"/>
        </w:tabs>
        <w:snapToGrid/>
        <w:rPr>
          <w:rFonts w:ascii="宋体" w:hAnsi="宋体"/>
        </w:rPr>
      </w:pPr>
      <w:r>
        <w:rPr>
          <w:rFonts w:hint="eastAsia" w:ascii="宋体" w:hAnsi="宋体"/>
        </w:rPr>
        <w:t>本项目质保期为改造后性能试验验收后12个月。</w:t>
      </w:r>
    </w:p>
    <w:p>
      <w:pPr>
        <w:pStyle w:val="4"/>
        <w:numPr>
          <w:ilvl w:val="2"/>
          <w:numId w:val="2"/>
        </w:numPr>
        <w:tabs>
          <w:tab w:val="left" w:pos="360"/>
        </w:tabs>
        <w:snapToGrid/>
        <w:rPr>
          <w:rFonts w:ascii="宋体" w:hAnsi="宋体"/>
        </w:rPr>
      </w:pPr>
      <w:r>
        <w:rPr>
          <w:rFonts w:ascii="宋体" w:hAnsi="宋体"/>
        </w:rPr>
        <w:t>本技术协议经供需双方共同确认和签字后作为订货合同的附件，与订货合同正文具有同等效力。未尽事宜由双方协商解决。</w:t>
      </w:r>
    </w:p>
    <w:p>
      <w:pPr>
        <w:pStyle w:val="4"/>
        <w:numPr>
          <w:ilvl w:val="2"/>
          <w:numId w:val="2"/>
        </w:numPr>
        <w:tabs>
          <w:tab w:val="left" w:pos="360"/>
        </w:tabs>
        <w:snapToGrid/>
        <w:rPr>
          <w:rFonts w:ascii="宋体" w:hAnsi="宋体"/>
        </w:rPr>
        <w:sectPr>
          <w:pgSz w:w="11906" w:h="16838"/>
          <w:pgMar w:top="1474" w:right="1418" w:bottom="1134" w:left="1418" w:header="567" w:footer="567" w:gutter="0"/>
          <w:pgNumType w:start="1"/>
          <w:cols w:space="425" w:num="1"/>
          <w:docGrid w:type="lines" w:linePitch="326" w:charSpace="0"/>
        </w:sectPr>
      </w:pPr>
      <w:r>
        <w:rPr>
          <w:rFonts w:ascii="宋体" w:hAnsi="宋体"/>
        </w:rPr>
        <w:t>在合同签订后，需方有权因规范、标准、规程发生变化而提出一些补充要求，具体内容双方共同商定。</w:t>
      </w:r>
    </w:p>
    <w:bookmarkEnd w:id="3"/>
    <w:bookmarkEnd w:id="4"/>
    <w:bookmarkEnd w:id="5"/>
    <w:p>
      <w:pPr>
        <w:pStyle w:val="2"/>
        <w:keepNext/>
        <w:keepLines/>
        <w:numPr>
          <w:ilvl w:val="0"/>
          <w:numId w:val="2"/>
        </w:numPr>
        <w:tabs>
          <w:tab w:val="left" w:pos="360"/>
        </w:tabs>
        <w:adjustRightInd w:val="0"/>
        <w:spacing w:before="163" w:beforeLines="50"/>
        <w:textAlignment w:val="baseline"/>
      </w:pPr>
      <w:r>
        <w:rPr>
          <w:rFonts w:hint="eastAsia"/>
        </w:rPr>
        <w:t xml:space="preserve"> </w:t>
      </w:r>
      <w:bookmarkStart w:id="15" w:name="_Toc148101341"/>
      <w:r>
        <w:t>供货范围</w:t>
      </w:r>
      <w:bookmarkEnd w:id="15"/>
    </w:p>
    <w:p>
      <w:pPr>
        <w:pStyle w:val="3"/>
        <w:numPr>
          <w:ilvl w:val="1"/>
          <w:numId w:val="2"/>
        </w:numPr>
        <w:tabs>
          <w:tab w:val="left" w:pos="360"/>
        </w:tabs>
        <w:spacing w:before="120" w:after="120"/>
        <w:ind w:firstLine="482"/>
        <w:rPr>
          <w:rFonts w:ascii="宋体" w:hAnsi="宋体"/>
        </w:rPr>
      </w:pPr>
      <w:bookmarkStart w:id="16" w:name="_Toc148101342"/>
      <w:r>
        <w:rPr>
          <w:rFonts w:ascii="宋体" w:hAnsi="宋体"/>
        </w:rPr>
        <w:t>一般要求</w:t>
      </w:r>
      <w:bookmarkEnd w:id="16"/>
    </w:p>
    <w:p>
      <w:pPr>
        <w:spacing w:line="420" w:lineRule="auto"/>
        <w:ind w:firstLine="480"/>
        <w:rPr>
          <w:rFonts w:ascii="宋体" w:hAnsi="宋体"/>
        </w:rPr>
      </w:pPr>
      <w:r>
        <w:rPr>
          <w:rFonts w:hint="eastAsia" w:ascii="宋体" w:hAnsi="宋体"/>
        </w:rPr>
        <w:t>2.</w:t>
      </w:r>
      <w:r>
        <w:rPr>
          <w:rFonts w:ascii="宋体" w:hAnsi="宋体"/>
        </w:rPr>
        <w:t xml:space="preserve">1.1 供方保证提供设备为全新的、先进的、成熟的、完整的和安全可靠的，且设备的技术经济性能符合本规范书的要求。 </w:t>
      </w:r>
    </w:p>
    <w:p>
      <w:pPr>
        <w:spacing w:line="420" w:lineRule="auto"/>
        <w:ind w:firstLine="480"/>
        <w:rPr>
          <w:rFonts w:ascii="宋体" w:hAnsi="宋体"/>
        </w:rPr>
      </w:pPr>
      <w:r>
        <w:rPr>
          <w:rFonts w:hint="eastAsia" w:ascii="宋体" w:hAnsi="宋体"/>
        </w:rPr>
        <w:t>2.</w:t>
      </w:r>
      <w:r>
        <w:rPr>
          <w:rFonts w:ascii="宋体" w:hAnsi="宋体"/>
        </w:rPr>
        <w:t>1.</w:t>
      </w:r>
      <w:r>
        <w:rPr>
          <w:rFonts w:hint="eastAsia" w:ascii="宋体" w:hAnsi="宋体"/>
        </w:rPr>
        <w:t>2</w:t>
      </w:r>
      <w:r>
        <w:rPr>
          <w:rFonts w:ascii="宋体" w:hAnsi="宋体"/>
        </w:rPr>
        <w:t xml:space="preserve"> 供方应提供详细供货清单，清单中依次说明产品型号、数量等内容。对于属于整套设备运行和施工所必需的部件，即使本合同附件未列出和／或数目不足，供方仍须在执行合同时补足。</w:t>
      </w:r>
    </w:p>
    <w:p>
      <w:pPr>
        <w:spacing w:line="420" w:lineRule="auto"/>
        <w:ind w:firstLine="480"/>
        <w:rPr>
          <w:rFonts w:ascii="宋体" w:hAnsi="宋体"/>
        </w:rPr>
      </w:pPr>
      <w:r>
        <w:rPr>
          <w:rFonts w:hint="eastAsia" w:ascii="宋体" w:hAnsi="宋体"/>
        </w:rPr>
        <w:t>2.</w:t>
      </w:r>
      <w:r>
        <w:rPr>
          <w:rFonts w:ascii="宋体" w:hAnsi="宋体"/>
        </w:rPr>
        <w:t>1.</w:t>
      </w:r>
      <w:r>
        <w:rPr>
          <w:rFonts w:hint="eastAsia" w:ascii="宋体" w:hAnsi="宋体"/>
        </w:rPr>
        <w:t>3</w:t>
      </w:r>
      <w:r>
        <w:rPr>
          <w:rFonts w:ascii="宋体" w:hAnsi="宋体"/>
        </w:rPr>
        <w:t xml:space="preserve"> 供方应提供本供货范围内所有安装和检修所需专用工具和消耗材料等，并提供详细供货清单。</w:t>
      </w:r>
    </w:p>
    <w:p>
      <w:pPr>
        <w:spacing w:line="420" w:lineRule="auto"/>
        <w:ind w:firstLine="480"/>
        <w:rPr>
          <w:rFonts w:ascii="宋体" w:hAnsi="宋体"/>
        </w:rPr>
      </w:pPr>
      <w:r>
        <w:rPr>
          <w:rFonts w:hint="eastAsia" w:ascii="宋体" w:hAnsi="宋体"/>
        </w:rPr>
        <w:t>2.</w:t>
      </w:r>
      <w:r>
        <w:rPr>
          <w:rFonts w:ascii="宋体" w:hAnsi="宋体"/>
        </w:rPr>
        <w:t>1.</w:t>
      </w:r>
      <w:r>
        <w:rPr>
          <w:rFonts w:hint="eastAsia" w:ascii="宋体" w:hAnsi="宋体"/>
        </w:rPr>
        <w:t>4</w:t>
      </w:r>
      <w:r>
        <w:rPr>
          <w:rFonts w:ascii="宋体" w:hAnsi="宋体"/>
        </w:rPr>
        <w:t xml:space="preserve"> 供方应提供一个大修期所需的备品备件清单，需方对备品备件的采购在合同谈判时确定，供方对这部分供货的报价应单独列出。</w:t>
      </w:r>
    </w:p>
    <w:p>
      <w:pPr>
        <w:spacing w:line="420" w:lineRule="auto"/>
        <w:ind w:firstLine="480"/>
        <w:rPr>
          <w:rFonts w:ascii="宋体" w:hAnsi="宋体"/>
        </w:rPr>
      </w:pPr>
      <w:r>
        <w:rPr>
          <w:rFonts w:hint="eastAsia" w:ascii="宋体" w:hAnsi="宋体"/>
        </w:rPr>
        <w:t>2.</w:t>
      </w:r>
      <w:r>
        <w:rPr>
          <w:rFonts w:ascii="宋体" w:hAnsi="宋体"/>
        </w:rPr>
        <w:t>1.</w:t>
      </w:r>
      <w:r>
        <w:rPr>
          <w:rFonts w:hint="eastAsia" w:ascii="宋体" w:hAnsi="宋体"/>
        </w:rPr>
        <w:t>5</w:t>
      </w:r>
      <w:r>
        <w:rPr>
          <w:rFonts w:ascii="宋体" w:hAnsi="宋体"/>
        </w:rPr>
        <w:t xml:space="preserve"> 供方应提供随机备品备件清单（包括安装、调试、试运行及质保期内所需要的）</w:t>
      </w:r>
    </w:p>
    <w:p>
      <w:pPr>
        <w:spacing w:line="420" w:lineRule="auto"/>
        <w:ind w:firstLine="480"/>
        <w:rPr>
          <w:rFonts w:ascii="宋体" w:hAnsi="宋体"/>
        </w:rPr>
      </w:pPr>
      <w:r>
        <w:rPr>
          <w:rFonts w:hint="eastAsia" w:ascii="宋体" w:hAnsi="宋体"/>
        </w:rPr>
        <w:t>2.</w:t>
      </w:r>
      <w:r>
        <w:rPr>
          <w:rFonts w:ascii="宋体" w:hAnsi="宋体"/>
        </w:rPr>
        <w:t>1.</w:t>
      </w:r>
      <w:r>
        <w:rPr>
          <w:rFonts w:hint="eastAsia" w:ascii="宋体" w:hAnsi="宋体"/>
        </w:rPr>
        <w:t>6</w:t>
      </w:r>
      <w:r>
        <w:rPr>
          <w:rFonts w:ascii="宋体" w:hAnsi="宋体"/>
        </w:rPr>
        <w:t xml:space="preserve"> 供方应提供所供设备中的进口件清单。</w:t>
      </w:r>
    </w:p>
    <w:p>
      <w:pPr>
        <w:rPr>
          <w:snapToGrid w:val="0"/>
        </w:rPr>
      </w:pPr>
    </w:p>
    <w:p>
      <w:pPr>
        <w:jc w:val="center"/>
        <w:rPr>
          <w:rFonts w:cs="Times New Roman"/>
          <w:sz w:val="32"/>
          <w:szCs w:val="32"/>
        </w:rPr>
        <w:sectPr>
          <w:pgSz w:w="11906" w:h="16838"/>
          <w:pgMar w:top="1474" w:right="1418" w:bottom="1134" w:left="1418" w:header="567" w:footer="567" w:gutter="0"/>
          <w:cols w:space="425" w:num="1"/>
          <w:docGrid w:type="lines" w:linePitch="326" w:charSpace="0"/>
        </w:sectPr>
      </w:pPr>
    </w:p>
    <w:p>
      <w:pPr>
        <w:pStyle w:val="3"/>
        <w:numPr>
          <w:ilvl w:val="1"/>
          <w:numId w:val="2"/>
        </w:numPr>
        <w:tabs>
          <w:tab w:val="left" w:pos="360"/>
        </w:tabs>
        <w:spacing w:before="120" w:after="120"/>
        <w:ind w:firstLine="482"/>
        <w:rPr>
          <w:rFonts w:ascii="宋体" w:hAnsi="宋体"/>
        </w:rPr>
      </w:pPr>
      <w:bookmarkStart w:id="17" w:name="_Toc148101343"/>
      <w:r>
        <w:rPr>
          <w:rFonts w:hint="eastAsia" w:ascii="宋体" w:hAnsi="宋体"/>
        </w:rPr>
        <w:t>供货清单</w:t>
      </w:r>
      <w:bookmarkEnd w:id="17"/>
    </w:p>
    <w:tbl>
      <w:tblPr>
        <w:tblStyle w:val="25"/>
        <w:tblW w:w="14125"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106"/>
        <w:gridCol w:w="4108"/>
        <w:gridCol w:w="1476"/>
        <w:gridCol w:w="1056"/>
        <w:gridCol w:w="636"/>
        <w:gridCol w:w="636"/>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序号</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名称</w:t>
            </w:r>
          </w:p>
        </w:tc>
        <w:tc>
          <w:tcPr>
            <w:tcW w:w="4108"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规格</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材质</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公称通径</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单位</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数量</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F007VS-J3202-05</w:t>
            </w:r>
          </w:p>
        </w:tc>
        <w:tc>
          <w:tcPr>
            <w:tcW w:w="4108" w:type="dxa"/>
            <w:shd w:val="clear" w:color="auto" w:fill="auto"/>
            <w:noWrap/>
            <w:vAlign w:val="center"/>
          </w:tcPr>
          <w:p>
            <w:pPr>
              <w:widowControl/>
              <w:spacing w:line="240" w:lineRule="auto"/>
              <w:jc w:val="left"/>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汽轮机轴封供汽母管布置图</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管道</w:t>
            </w:r>
          </w:p>
        </w:tc>
        <w:tc>
          <w:tcPr>
            <w:tcW w:w="4108" w:type="dxa"/>
            <w:shd w:val="clear" w:color="auto" w:fill="auto"/>
            <w:noWrap/>
            <w:vAlign w:val="center"/>
          </w:tcPr>
          <w:p>
            <w:pPr>
              <w:widowControl/>
              <w:spacing w:line="240" w:lineRule="auto"/>
              <w:jc w:val="left"/>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5-1</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无缝钢管</w:t>
            </w:r>
          </w:p>
        </w:tc>
        <w:tc>
          <w:tcPr>
            <w:tcW w:w="4108"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Ф457.2×13.5</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ASTM A335P91</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450</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m</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w:t>
            </w:r>
          </w:p>
        </w:tc>
        <w:tc>
          <w:tcPr>
            <w:tcW w:w="336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喷水减温器前轴封母管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5-2</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无缝钢管</w:t>
            </w:r>
          </w:p>
        </w:tc>
        <w:tc>
          <w:tcPr>
            <w:tcW w:w="4108"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Ф457.2×13.5</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ASTM A335P91</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450</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m</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7</w:t>
            </w:r>
          </w:p>
        </w:tc>
        <w:tc>
          <w:tcPr>
            <w:tcW w:w="336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喷水减温器后轴封母管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标准零部件</w:t>
            </w:r>
          </w:p>
        </w:tc>
        <w:tc>
          <w:tcPr>
            <w:tcW w:w="4108"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336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5-3</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45°热压弯头</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PN10，DN450，R=686，</w:t>
            </w:r>
            <w:r>
              <w:rPr>
                <w:rFonts w:hint="eastAsia" w:cs="宋体" w:asciiTheme="minorEastAsia" w:hAnsiTheme="minorEastAsia" w:eastAsiaTheme="minorEastAsia"/>
                <w:color w:val="000000" w:themeColor="text1"/>
                <w:kern w:val="0"/>
                <w:sz w:val="21"/>
                <w:szCs w:val="21"/>
                <w14:textFill>
                  <w14:solidFill>
                    <w14:schemeClr w14:val="tx1"/>
                  </w14:solidFill>
                </w14:textFill>
              </w:rPr>
              <w:br w:type="textWrapping"/>
            </w:r>
            <w:r>
              <w:rPr>
                <w:rFonts w:hint="eastAsia" w:cs="宋体" w:asciiTheme="minorEastAsia" w:hAnsiTheme="minorEastAsia" w:eastAsiaTheme="minorEastAsia"/>
                <w:color w:val="000000" w:themeColor="text1"/>
                <w:kern w:val="0"/>
                <w:sz w:val="21"/>
                <w:szCs w:val="21"/>
                <w14:textFill>
                  <w14:solidFill>
                    <w14:schemeClr w14:val="tx1"/>
                  </w14:solidFill>
                </w14:textFill>
              </w:rPr>
              <w:t>接管规格：Ф457.2×13.5</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ASTM A335P91</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450</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件</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w:t>
            </w:r>
          </w:p>
        </w:tc>
        <w:tc>
          <w:tcPr>
            <w:tcW w:w="336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5-4</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热压三通</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PN10，DN450×450×250，</w:t>
            </w:r>
            <w:r>
              <w:rPr>
                <w:rFonts w:hint="eastAsia" w:cs="宋体" w:asciiTheme="minorEastAsia" w:hAnsiTheme="minorEastAsia" w:eastAsiaTheme="minorEastAsia"/>
                <w:color w:val="000000" w:themeColor="text1"/>
                <w:kern w:val="0"/>
                <w:sz w:val="21"/>
                <w:szCs w:val="21"/>
                <w14:textFill>
                  <w14:solidFill>
                    <w14:schemeClr w14:val="tx1"/>
                  </w14:solidFill>
                </w14:textFill>
              </w:rPr>
              <w:br w:type="textWrapping"/>
            </w:r>
            <w:r>
              <w:rPr>
                <w:rFonts w:hint="eastAsia" w:cs="宋体" w:asciiTheme="minorEastAsia" w:hAnsiTheme="minorEastAsia" w:eastAsiaTheme="minorEastAsia"/>
                <w:color w:val="000000" w:themeColor="text1"/>
                <w:kern w:val="0"/>
                <w:sz w:val="21"/>
                <w:szCs w:val="21"/>
                <w14:textFill>
                  <w14:solidFill>
                    <w14:schemeClr w14:val="tx1"/>
                  </w14:solidFill>
                </w14:textFill>
              </w:rPr>
              <w:t>接管规格：Ф457.2×13.5/Ф273×9</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ASTM A335P91</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450×250</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件</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w:t>
            </w:r>
          </w:p>
        </w:tc>
        <w:tc>
          <w:tcPr>
            <w:tcW w:w="336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喷水减温器后轴封母管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5-5</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对焊堵头</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PN10，DN450，</w:t>
            </w:r>
            <w:r>
              <w:rPr>
                <w:rFonts w:hint="eastAsia" w:cs="宋体" w:asciiTheme="minorEastAsia" w:hAnsiTheme="minorEastAsia" w:eastAsiaTheme="minorEastAsia"/>
                <w:color w:val="000000" w:themeColor="text1"/>
                <w:kern w:val="0"/>
                <w:sz w:val="21"/>
                <w:szCs w:val="21"/>
                <w14:textFill>
                  <w14:solidFill>
                    <w14:schemeClr w14:val="tx1"/>
                  </w14:solidFill>
                </w14:textFill>
              </w:rPr>
              <w:br w:type="textWrapping"/>
            </w:r>
            <w:r>
              <w:rPr>
                <w:rFonts w:hint="eastAsia" w:cs="宋体" w:asciiTheme="minorEastAsia" w:hAnsiTheme="minorEastAsia" w:eastAsiaTheme="minorEastAsia"/>
                <w:color w:val="000000" w:themeColor="text1"/>
                <w:kern w:val="0"/>
                <w:sz w:val="21"/>
                <w:szCs w:val="21"/>
                <w14:textFill>
                  <w14:solidFill>
                    <w14:schemeClr w14:val="tx1"/>
                  </w14:solidFill>
                </w14:textFill>
              </w:rPr>
              <w:t>接管规格：Ф457.2×13.5</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ASTM A335P91</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450</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件</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w:t>
            </w:r>
          </w:p>
        </w:tc>
        <w:tc>
          <w:tcPr>
            <w:tcW w:w="336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喷水减温器后轴封母管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5-6</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90°热压弯头</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PN10，DN450，R=686，</w:t>
            </w:r>
            <w:r>
              <w:rPr>
                <w:rFonts w:hint="eastAsia" w:cs="宋体" w:asciiTheme="minorEastAsia" w:hAnsiTheme="minorEastAsia" w:eastAsiaTheme="minorEastAsia"/>
                <w:color w:val="000000" w:themeColor="text1"/>
                <w:kern w:val="0"/>
                <w:sz w:val="21"/>
                <w:szCs w:val="21"/>
                <w14:textFill>
                  <w14:solidFill>
                    <w14:schemeClr w14:val="tx1"/>
                  </w14:solidFill>
                </w14:textFill>
              </w:rPr>
              <w:br w:type="textWrapping"/>
            </w:r>
            <w:r>
              <w:rPr>
                <w:rFonts w:hint="eastAsia" w:cs="宋体" w:asciiTheme="minorEastAsia" w:hAnsiTheme="minorEastAsia" w:eastAsiaTheme="minorEastAsia"/>
                <w:color w:val="000000" w:themeColor="text1"/>
                <w:kern w:val="0"/>
                <w:sz w:val="21"/>
                <w:szCs w:val="21"/>
                <w14:textFill>
                  <w14:solidFill>
                    <w14:schemeClr w14:val="tx1"/>
                  </w14:solidFill>
                </w14:textFill>
              </w:rPr>
              <w:t>接管规格：Ф457.2×13.5</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ASTM A335P91</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450</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件</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w:t>
            </w:r>
          </w:p>
        </w:tc>
        <w:tc>
          <w:tcPr>
            <w:tcW w:w="336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喷水减温器后轴封母管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4108"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F007VS-J3202-06</w:t>
            </w:r>
          </w:p>
        </w:tc>
        <w:tc>
          <w:tcPr>
            <w:tcW w:w="4108" w:type="dxa"/>
            <w:shd w:val="clear" w:color="auto" w:fill="auto"/>
            <w:noWrap/>
            <w:vAlign w:val="center"/>
          </w:tcPr>
          <w:p>
            <w:pPr>
              <w:widowControl/>
              <w:spacing w:line="240" w:lineRule="auto"/>
              <w:jc w:val="left"/>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汽轮机高压缸轴封供汽管道布置图</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管道</w:t>
            </w:r>
          </w:p>
        </w:tc>
        <w:tc>
          <w:tcPr>
            <w:tcW w:w="4108" w:type="dxa"/>
            <w:shd w:val="clear" w:color="auto" w:fill="auto"/>
            <w:noWrap/>
            <w:vAlign w:val="center"/>
          </w:tcPr>
          <w:p>
            <w:pPr>
              <w:widowControl/>
              <w:spacing w:line="240" w:lineRule="auto"/>
              <w:jc w:val="left"/>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6-1</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无缝钢管</w:t>
            </w:r>
          </w:p>
        </w:tc>
        <w:tc>
          <w:tcPr>
            <w:tcW w:w="4108"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Ф273×9</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ASTM A335P11</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250</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m</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6</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6-3</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无缝钢管</w:t>
            </w:r>
          </w:p>
        </w:tc>
        <w:tc>
          <w:tcPr>
            <w:tcW w:w="4108"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Ф273×9</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ASTM A335P91</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250</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m</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w:t>
            </w:r>
          </w:p>
        </w:tc>
        <w:tc>
          <w:tcPr>
            <w:tcW w:w="336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高压缸前轴封接口改材质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6-4</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无缝钢管</w:t>
            </w:r>
          </w:p>
        </w:tc>
        <w:tc>
          <w:tcPr>
            <w:tcW w:w="4108"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Ф219×8</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ASTM A335P91</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200</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m</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6</w:t>
            </w:r>
          </w:p>
        </w:tc>
        <w:tc>
          <w:tcPr>
            <w:tcW w:w="336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高压缸前轴封接口改材质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标准零部件</w:t>
            </w:r>
          </w:p>
        </w:tc>
        <w:tc>
          <w:tcPr>
            <w:tcW w:w="4108"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6-5</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对焊堵头</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PN10，DN250，</w:t>
            </w:r>
            <w:r>
              <w:rPr>
                <w:rFonts w:hint="eastAsia" w:cs="宋体" w:asciiTheme="minorEastAsia" w:hAnsiTheme="minorEastAsia" w:eastAsiaTheme="minorEastAsia"/>
                <w:color w:val="000000" w:themeColor="text1"/>
                <w:kern w:val="0"/>
                <w:sz w:val="21"/>
                <w:szCs w:val="21"/>
                <w14:textFill>
                  <w14:solidFill>
                    <w14:schemeClr w14:val="tx1"/>
                  </w14:solidFill>
                </w14:textFill>
              </w:rPr>
              <w:br w:type="textWrapping"/>
            </w:r>
            <w:r>
              <w:rPr>
                <w:rFonts w:hint="eastAsia" w:cs="宋体" w:asciiTheme="minorEastAsia" w:hAnsiTheme="minorEastAsia" w:eastAsiaTheme="minorEastAsia"/>
                <w:color w:val="000000" w:themeColor="text1"/>
                <w:kern w:val="0"/>
                <w:sz w:val="21"/>
                <w:szCs w:val="21"/>
                <w14:textFill>
                  <w14:solidFill>
                    <w14:schemeClr w14:val="tx1"/>
                  </w14:solidFill>
                </w14:textFill>
              </w:rPr>
              <w:t>接管规格：Ф273×9</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ASTM A335P11</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250</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件</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6-6</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热压三通</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PN10，DN450×450×250，</w:t>
            </w:r>
            <w:r>
              <w:rPr>
                <w:rFonts w:hint="eastAsia" w:cs="宋体" w:asciiTheme="minorEastAsia" w:hAnsiTheme="minorEastAsia" w:eastAsiaTheme="minorEastAsia"/>
                <w:color w:val="000000" w:themeColor="text1"/>
                <w:kern w:val="0"/>
                <w:sz w:val="21"/>
                <w:szCs w:val="21"/>
                <w14:textFill>
                  <w14:solidFill>
                    <w14:schemeClr w14:val="tx1"/>
                  </w14:solidFill>
                </w14:textFill>
              </w:rPr>
              <w:br w:type="textWrapping"/>
            </w:r>
            <w:r>
              <w:rPr>
                <w:rFonts w:hint="eastAsia" w:cs="宋体" w:asciiTheme="minorEastAsia" w:hAnsiTheme="minorEastAsia" w:eastAsiaTheme="minorEastAsia"/>
                <w:color w:val="000000" w:themeColor="text1"/>
                <w:kern w:val="0"/>
                <w:sz w:val="21"/>
                <w:szCs w:val="21"/>
                <w14:textFill>
                  <w14:solidFill>
                    <w14:schemeClr w14:val="tx1"/>
                  </w14:solidFill>
                </w14:textFill>
              </w:rPr>
              <w:t>接管规格：Ф457.2×13.5/Ф273×9</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ASTM A335P11</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450×250</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件</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6-7</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热压三通</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PN10，DN250×250×125，</w:t>
            </w:r>
            <w:r>
              <w:rPr>
                <w:rFonts w:hint="eastAsia" w:cs="宋体" w:asciiTheme="minorEastAsia" w:hAnsiTheme="minorEastAsia" w:eastAsiaTheme="minorEastAsia"/>
                <w:color w:val="000000" w:themeColor="text1"/>
                <w:kern w:val="0"/>
                <w:sz w:val="21"/>
                <w:szCs w:val="21"/>
                <w14:textFill>
                  <w14:solidFill>
                    <w14:schemeClr w14:val="tx1"/>
                  </w14:solidFill>
                </w14:textFill>
              </w:rPr>
              <w:br w:type="textWrapping"/>
            </w:r>
            <w:r>
              <w:rPr>
                <w:rFonts w:hint="eastAsia" w:cs="宋体" w:asciiTheme="minorEastAsia" w:hAnsiTheme="minorEastAsia" w:eastAsiaTheme="minorEastAsia"/>
                <w:color w:val="000000" w:themeColor="text1"/>
                <w:kern w:val="0"/>
                <w:sz w:val="21"/>
                <w:szCs w:val="21"/>
                <w14:textFill>
                  <w14:solidFill>
                    <w14:schemeClr w14:val="tx1"/>
                  </w14:solidFill>
                </w14:textFill>
              </w:rPr>
              <w:t>接管规格：Ф273×9/Ф133×6</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ASTM A335P11</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250×125</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件</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6-8</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90°热压弯头</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PN10，DN250，R=381，</w:t>
            </w:r>
            <w:r>
              <w:rPr>
                <w:rFonts w:hint="eastAsia" w:cs="宋体" w:asciiTheme="minorEastAsia" w:hAnsiTheme="minorEastAsia" w:eastAsiaTheme="minorEastAsia"/>
                <w:color w:val="000000" w:themeColor="text1"/>
                <w:kern w:val="0"/>
                <w:sz w:val="21"/>
                <w:szCs w:val="21"/>
                <w14:textFill>
                  <w14:solidFill>
                    <w14:schemeClr w14:val="tx1"/>
                  </w14:solidFill>
                </w14:textFill>
              </w:rPr>
              <w:br w:type="textWrapping"/>
            </w:r>
            <w:r>
              <w:rPr>
                <w:rFonts w:hint="eastAsia" w:cs="宋体" w:asciiTheme="minorEastAsia" w:hAnsiTheme="minorEastAsia" w:eastAsiaTheme="minorEastAsia"/>
                <w:color w:val="000000" w:themeColor="text1"/>
                <w:kern w:val="0"/>
                <w:sz w:val="21"/>
                <w:szCs w:val="21"/>
                <w14:textFill>
                  <w14:solidFill>
                    <w14:schemeClr w14:val="tx1"/>
                  </w14:solidFill>
                </w14:textFill>
              </w:rPr>
              <w:t>接管规格：Ф273×9</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ASTM A335P11</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250</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件</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4</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6-9</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热压三通</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PN10，DN250×250×200，</w:t>
            </w:r>
            <w:r>
              <w:rPr>
                <w:rFonts w:hint="eastAsia" w:cs="宋体" w:asciiTheme="minorEastAsia" w:hAnsiTheme="minorEastAsia" w:eastAsiaTheme="minorEastAsia"/>
                <w:color w:val="000000" w:themeColor="text1"/>
                <w:kern w:val="0"/>
                <w:sz w:val="21"/>
                <w:szCs w:val="21"/>
                <w14:textFill>
                  <w14:solidFill>
                    <w14:schemeClr w14:val="tx1"/>
                  </w14:solidFill>
                </w14:textFill>
              </w:rPr>
              <w:br w:type="textWrapping"/>
            </w:r>
            <w:r>
              <w:rPr>
                <w:rFonts w:hint="eastAsia" w:cs="宋体" w:asciiTheme="minorEastAsia" w:hAnsiTheme="minorEastAsia" w:eastAsiaTheme="minorEastAsia"/>
                <w:color w:val="000000" w:themeColor="text1"/>
                <w:kern w:val="0"/>
                <w:sz w:val="21"/>
                <w:szCs w:val="21"/>
                <w14:textFill>
                  <w14:solidFill>
                    <w14:schemeClr w14:val="tx1"/>
                  </w14:solidFill>
                </w14:textFill>
              </w:rPr>
              <w:t>接管规格：Ф273×9/Ф219×8 L=380mm</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ASTM A335P91</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250×200</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件</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6-10</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对焊堵头</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PN10，DN250，</w:t>
            </w:r>
            <w:r>
              <w:rPr>
                <w:rFonts w:hint="eastAsia" w:cs="宋体" w:asciiTheme="minorEastAsia" w:hAnsiTheme="minorEastAsia" w:eastAsiaTheme="minorEastAsia"/>
                <w:color w:val="000000" w:themeColor="text1"/>
                <w:kern w:val="0"/>
                <w:sz w:val="21"/>
                <w:szCs w:val="21"/>
                <w14:textFill>
                  <w14:solidFill>
                    <w14:schemeClr w14:val="tx1"/>
                  </w14:solidFill>
                </w14:textFill>
              </w:rPr>
              <w:br w:type="textWrapping"/>
            </w:r>
            <w:r>
              <w:rPr>
                <w:rFonts w:hint="eastAsia" w:cs="宋体" w:asciiTheme="minorEastAsia" w:hAnsiTheme="minorEastAsia" w:eastAsiaTheme="minorEastAsia"/>
                <w:color w:val="000000" w:themeColor="text1"/>
                <w:kern w:val="0"/>
                <w:sz w:val="21"/>
                <w:szCs w:val="21"/>
                <w14:textFill>
                  <w14:solidFill>
                    <w14:schemeClr w14:val="tx1"/>
                  </w14:solidFill>
                </w14:textFill>
              </w:rPr>
              <w:t>接管规格：Ф273×9</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ASTM A335P91</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250</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件</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4108"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F007VS-J3202-07</w:t>
            </w:r>
          </w:p>
        </w:tc>
        <w:tc>
          <w:tcPr>
            <w:tcW w:w="4108" w:type="dxa"/>
            <w:shd w:val="clear" w:color="auto" w:fill="auto"/>
            <w:noWrap/>
            <w:vAlign w:val="center"/>
          </w:tcPr>
          <w:p>
            <w:pPr>
              <w:widowControl/>
              <w:spacing w:line="240" w:lineRule="auto"/>
              <w:jc w:val="left"/>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汽轮机中压缸轴封供汽管道布置图</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管道</w:t>
            </w:r>
          </w:p>
        </w:tc>
        <w:tc>
          <w:tcPr>
            <w:tcW w:w="4108" w:type="dxa"/>
            <w:shd w:val="clear" w:color="auto" w:fill="auto"/>
            <w:noWrap/>
            <w:vAlign w:val="center"/>
          </w:tcPr>
          <w:p>
            <w:pPr>
              <w:widowControl/>
              <w:spacing w:line="240" w:lineRule="auto"/>
              <w:jc w:val="left"/>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7-1</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无缝钢管</w:t>
            </w:r>
          </w:p>
        </w:tc>
        <w:tc>
          <w:tcPr>
            <w:tcW w:w="4108"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Ф133×6</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ASTM A335P11</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125</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m</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8</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标准零部件</w:t>
            </w:r>
          </w:p>
        </w:tc>
        <w:tc>
          <w:tcPr>
            <w:tcW w:w="4108"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7-2</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对焊堵头</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PN10，DN125，</w:t>
            </w:r>
            <w:r>
              <w:rPr>
                <w:rFonts w:hint="eastAsia" w:cs="宋体" w:asciiTheme="minorEastAsia" w:hAnsiTheme="minorEastAsia" w:eastAsiaTheme="minorEastAsia"/>
                <w:color w:val="000000" w:themeColor="text1"/>
                <w:kern w:val="0"/>
                <w:sz w:val="21"/>
                <w:szCs w:val="21"/>
                <w14:textFill>
                  <w14:solidFill>
                    <w14:schemeClr w14:val="tx1"/>
                  </w14:solidFill>
                </w14:textFill>
              </w:rPr>
              <w:br w:type="textWrapping"/>
            </w:r>
            <w:r>
              <w:rPr>
                <w:rFonts w:hint="eastAsia" w:cs="宋体" w:asciiTheme="minorEastAsia" w:hAnsiTheme="minorEastAsia" w:eastAsiaTheme="minorEastAsia"/>
                <w:color w:val="000000" w:themeColor="text1"/>
                <w:kern w:val="0"/>
                <w:sz w:val="21"/>
                <w:szCs w:val="21"/>
                <w14:textFill>
                  <w14:solidFill>
                    <w14:schemeClr w14:val="tx1"/>
                  </w14:solidFill>
                </w14:textFill>
              </w:rPr>
              <w:t>接管规格：Ф133×6</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ASTM A335P11</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125</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件</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7-3</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90°热压弯头</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PN10，DN125，R=190，</w:t>
            </w:r>
            <w:r>
              <w:rPr>
                <w:rFonts w:hint="eastAsia" w:cs="宋体" w:asciiTheme="minorEastAsia" w:hAnsiTheme="minorEastAsia" w:eastAsiaTheme="minorEastAsia"/>
                <w:color w:val="000000" w:themeColor="text1"/>
                <w:kern w:val="0"/>
                <w:sz w:val="21"/>
                <w:szCs w:val="21"/>
                <w14:textFill>
                  <w14:solidFill>
                    <w14:schemeClr w14:val="tx1"/>
                  </w14:solidFill>
                </w14:textFill>
              </w:rPr>
              <w:br w:type="textWrapping"/>
            </w:r>
            <w:r>
              <w:rPr>
                <w:rFonts w:hint="eastAsia" w:cs="宋体" w:asciiTheme="minorEastAsia" w:hAnsiTheme="minorEastAsia" w:eastAsiaTheme="minorEastAsia"/>
                <w:color w:val="000000" w:themeColor="text1"/>
                <w:kern w:val="0"/>
                <w:sz w:val="21"/>
                <w:szCs w:val="21"/>
                <w14:textFill>
                  <w14:solidFill>
                    <w14:schemeClr w14:val="tx1"/>
                  </w14:solidFill>
                </w14:textFill>
              </w:rPr>
              <w:t>接管规格：Ф133×6</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ASTM A335P11</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125</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件</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7-4</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支吊架材料</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7-4.1</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钢板</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300×300×10</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Q235B</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件</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4</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7-4.2</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无缝钢管</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ascii="MS Gothic" w:hAnsi="MS Gothic" w:eastAsia="MS Gothic" w:cs="MS Gothic"/>
                <w:color w:val="000000" w:themeColor="text1"/>
                <w:kern w:val="0"/>
                <w:sz w:val="21"/>
                <w:szCs w:val="21"/>
                <w14:textFill>
                  <w14:solidFill>
                    <w14:schemeClr w14:val="tx1"/>
                  </w14:solidFill>
                </w14:textFill>
              </w:rPr>
              <w:t>∅</w:t>
            </w:r>
            <w:r>
              <w:rPr>
                <w:rFonts w:hint="eastAsia" w:cs="宋体" w:asciiTheme="minorEastAsia" w:hAnsiTheme="minorEastAsia" w:eastAsiaTheme="minorEastAsia"/>
                <w:color w:val="000000" w:themeColor="text1"/>
                <w:kern w:val="0"/>
                <w:sz w:val="21"/>
                <w:szCs w:val="21"/>
                <w14:textFill>
                  <w14:solidFill>
                    <w14:schemeClr w14:val="tx1"/>
                  </w14:solidFill>
                </w14:textFill>
              </w:rPr>
              <w:t>219×6.5,L=1206</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20</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200</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件</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GB/T 3087-2022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7-4.3</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无缝钢管</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ascii="MS Gothic" w:hAnsi="MS Gothic" w:eastAsia="MS Gothic" w:cs="MS Gothic"/>
                <w:color w:val="000000" w:themeColor="text1"/>
                <w:kern w:val="0"/>
                <w:sz w:val="21"/>
                <w:szCs w:val="21"/>
                <w14:textFill>
                  <w14:solidFill>
                    <w14:schemeClr w14:val="tx1"/>
                  </w14:solidFill>
                </w14:textFill>
              </w:rPr>
              <w:t>∅</w:t>
            </w:r>
            <w:r>
              <w:rPr>
                <w:rFonts w:hint="eastAsia" w:cs="宋体" w:asciiTheme="minorEastAsia" w:hAnsiTheme="minorEastAsia" w:eastAsiaTheme="minorEastAsia"/>
                <w:color w:val="000000" w:themeColor="text1"/>
                <w:kern w:val="0"/>
                <w:sz w:val="21"/>
                <w:szCs w:val="21"/>
                <w14:textFill>
                  <w14:solidFill>
                    <w14:schemeClr w14:val="tx1"/>
                  </w14:solidFill>
                </w14:textFill>
              </w:rPr>
              <w:t>219×6.5,L=1473</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20</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200</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件</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GB/T 3087-2022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7-4.4</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支架式变力弹簧组件</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561106000(+1/-3578)</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组件</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件</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7-4.5</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支架式变力弹簧组件</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561104000(-1/-1465)</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组件</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件</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7-4.6</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夹式管夹</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109210273F</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12Cr1MoVG</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200</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件</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GB/T 3087-2022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7-4.7</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夹式管夹</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109110133F</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12Cr1MoVG</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200</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件</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GB/T 3087-2022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7-4.8</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膨胀螺栓</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M12×185</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316L</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件</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20</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JB/ZQ 4763-2006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F007VS-J3202-11</w:t>
            </w:r>
          </w:p>
        </w:tc>
        <w:tc>
          <w:tcPr>
            <w:tcW w:w="4108" w:type="dxa"/>
            <w:shd w:val="clear" w:color="auto" w:fill="auto"/>
            <w:noWrap/>
            <w:vAlign w:val="center"/>
          </w:tcPr>
          <w:p>
            <w:pPr>
              <w:widowControl/>
              <w:spacing w:line="240" w:lineRule="auto"/>
              <w:jc w:val="left"/>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主汽阀阀杆漏汽管道布置图</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喷水减温增加</w:t>
            </w:r>
          </w:p>
        </w:tc>
        <w:tc>
          <w:tcPr>
            <w:tcW w:w="4108" w:type="dxa"/>
            <w:shd w:val="clear" w:color="auto" w:fill="auto"/>
            <w:noWrap/>
            <w:vAlign w:val="center"/>
          </w:tcPr>
          <w:p>
            <w:pPr>
              <w:widowControl/>
              <w:spacing w:line="240" w:lineRule="auto"/>
              <w:jc w:val="left"/>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管道</w:t>
            </w:r>
          </w:p>
        </w:tc>
        <w:tc>
          <w:tcPr>
            <w:tcW w:w="4108" w:type="dxa"/>
            <w:shd w:val="clear" w:color="auto" w:fill="auto"/>
            <w:noWrap/>
            <w:vAlign w:val="center"/>
          </w:tcPr>
          <w:p>
            <w:pPr>
              <w:widowControl/>
              <w:spacing w:line="240" w:lineRule="auto"/>
              <w:jc w:val="left"/>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9-1</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无缝钢管</w:t>
            </w:r>
          </w:p>
        </w:tc>
        <w:tc>
          <w:tcPr>
            <w:tcW w:w="4108"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Ф27×2</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20G</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20</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m</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50</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CMIE，喷水减温减温水管道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9-2</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无缝钢管</w:t>
            </w:r>
          </w:p>
        </w:tc>
        <w:tc>
          <w:tcPr>
            <w:tcW w:w="4108"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Ф32×2.8</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12Cr1MoVG</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25</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m</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50</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CMIE，疏水点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标准零部件</w:t>
            </w:r>
          </w:p>
        </w:tc>
        <w:tc>
          <w:tcPr>
            <w:tcW w:w="4108"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9-3</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90°热压弯头</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PN100，DN20，R=40，</w:t>
            </w:r>
            <w:r>
              <w:rPr>
                <w:rFonts w:hint="eastAsia" w:cs="宋体" w:asciiTheme="minorEastAsia" w:hAnsiTheme="minorEastAsia" w:eastAsiaTheme="minorEastAsia"/>
                <w:color w:val="000000" w:themeColor="text1"/>
                <w:kern w:val="0"/>
                <w:sz w:val="21"/>
                <w:szCs w:val="21"/>
                <w14:textFill>
                  <w14:solidFill>
                    <w14:schemeClr w14:val="tx1"/>
                  </w14:solidFill>
                </w14:textFill>
              </w:rPr>
              <w:br w:type="textWrapping"/>
            </w:r>
            <w:r>
              <w:rPr>
                <w:rFonts w:hint="eastAsia" w:cs="宋体" w:asciiTheme="minorEastAsia" w:hAnsiTheme="minorEastAsia" w:eastAsiaTheme="minorEastAsia"/>
                <w:color w:val="000000" w:themeColor="text1"/>
                <w:kern w:val="0"/>
                <w:sz w:val="21"/>
                <w:szCs w:val="21"/>
                <w14:textFill>
                  <w14:solidFill>
                    <w14:schemeClr w14:val="tx1"/>
                  </w14:solidFill>
                </w14:textFill>
              </w:rPr>
              <w:t>接管规格：Ф27×2</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20G</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20</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件</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10</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CMIE，喷水减温减温水管道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9-4</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45°热压弯头</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PN100，DN20，R=40，</w:t>
            </w:r>
            <w:r>
              <w:rPr>
                <w:rFonts w:hint="eastAsia" w:cs="宋体" w:asciiTheme="minorEastAsia" w:hAnsiTheme="minorEastAsia" w:eastAsiaTheme="minorEastAsia"/>
                <w:color w:val="000000" w:themeColor="text1"/>
                <w:kern w:val="0"/>
                <w:sz w:val="21"/>
                <w:szCs w:val="21"/>
                <w14:textFill>
                  <w14:solidFill>
                    <w14:schemeClr w14:val="tx1"/>
                  </w14:solidFill>
                </w14:textFill>
              </w:rPr>
              <w:br w:type="textWrapping"/>
            </w:r>
            <w:r>
              <w:rPr>
                <w:rFonts w:hint="eastAsia" w:cs="宋体" w:asciiTheme="minorEastAsia" w:hAnsiTheme="minorEastAsia" w:eastAsiaTheme="minorEastAsia"/>
                <w:color w:val="000000" w:themeColor="text1"/>
                <w:kern w:val="0"/>
                <w:sz w:val="21"/>
                <w:szCs w:val="21"/>
                <w14:textFill>
                  <w14:solidFill>
                    <w14:schemeClr w14:val="tx1"/>
                  </w14:solidFill>
                </w14:textFill>
              </w:rPr>
              <w:t>接管规格：Ф27×2</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20G</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20</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件</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4</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CMIE，喷水减温减温水管道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9-5</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接管座</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PN10, DN25, P=0.2MPa, t=500℃,</w:t>
            </w:r>
            <w:r>
              <w:rPr>
                <w:rFonts w:hint="eastAsia" w:cs="宋体" w:asciiTheme="minorEastAsia" w:hAnsiTheme="minorEastAsia" w:eastAsiaTheme="minorEastAsia"/>
                <w:color w:val="000000" w:themeColor="text1"/>
                <w:kern w:val="0"/>
                <w:sz w:val="21"/>
                <w:szCs w:val="21"/>
                <w14:textFill>
                  <w14:solidFill>
                    <w14:schemeClr w14:val="tx1"/>
                  </w14:solidFill>
                </w14:textFill>
              </w:rPr>
              <w:br w:type="textWrapping"/>
            </w:r>
            <w:r>
              <w:rPr>
                <w:rFonts w:hint="eastAsia" w:cs="宋体" w:asciiTheme="minorEastAsia" w:hAnsiTheme="minorEastAsia" w:eastAsiaTheme="minorEastAsia"/>
                <w:color w:val="000000" w:themeColor="text1"/>
                <w:kern w:val="0"/>
                <w:sz w:val="21"/>
                <w:szCs w:val="21"/>
                <w14:textFill>
                  <w14:solidFill>
                    <w14:schemeClr w14:val="tx1"/>
                  </w14:solidFill>
                </w14:textFill>
              </w:rPr>
              <w:t>接管Ф457.2×13.5 A335P22/Ф32×2.8</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12Cr1MoVG</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25</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件</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CMIE，疏水点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9-6</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热压等径三通</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xml:space="preserve">PN10, DN25, P=0.2MPa, t=500℃ </w:t>
            </w:r>
            <w:r>
              <w:rPr>
                <w:rFonts w:hint="eastAsia" w:cs="宋体" w:asciiTheme="minorEastAsia" w:hAnsiTheme="minorEastAsia" w:eastAsiaTheme="minorEastAsia"/>
                <w:color w:val="000000" w:themeColor="text1"/>
                <w:kern w:val="0"/>
                <w:sz w:val="21"/>
                <w:szCs w:val="21"/>
                <w14:textFill>
                  <w14:solidFill>
                    <w14:schemeClr w14:val="tx1"/>
                  </w14:solidFill>
                </w14:textFill>
              </w:rPr>
              <w:br w:type="textWrapping"/>
            </w:r>
            <w:r>
              <w:rPr>
                <w:rFonts w:hint="eastAsia" w:cs="宋体" w:asciiTheme="minorEastAsia" w:hAnsiTheme="minorEastAsia" w:eastAsiaTheme="minorEastAsia"/>
                <w:color w:val="000000" w:themeColor="text1"/>
                <w:kern w:val="0"/>
                <w:sz w:val="21"/>
                <w:szCs w:val="21"/>
                <w14:textFill>
                  <w14:solidFill>
                    <w14:schemeClr w14:val="tx1"/>
                  </w14:solidFill>
                </w14:textFill>
              </w:rPr>
              <w:t xml:space="preserve">接管Ф32×2.8 </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12Cr1MoVG</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25</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件</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CMIE，疏水点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9-7</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90°热压弯头</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PN10，DN25，</w:t>
            </w:r>
            <w:r>
              <w:rPr>
                <w:rFonts w:hint="eastAsia" w:cs="宋体" w:asciiTheme="minorEastAsia" w:hAnsiTheme="minorEastAsia" w:eastAsiaTheme="minorEastAsia"/>
                <w:color w:val="000000" w:themeColor="text1"/>
                <w:kern w:val="0"/>
                <w:sz w:val="21"/>
                <w:szCs w:val="21"/>
                <w14:textFill>
                  <w14:solidFill>
                    <w14:schemeClr w14:val="tx1"/>
                  </w14:solidFill>
                </w14:textFill>
              </w:rPr>
              <w:br w:type="textWrapping"/>
            </w:r>
            <w:r>
              <w:rPr>
                <w:rFonts w:hint="eastAsia" w:cs="宋体" w:asciiTheme="minorEastAsia" w:hAnsiTheme="minorEastAsia" w:eastAsiaTheme="minorEastAsia"/>
                <w:color w:val="000000" w:themeColor="text1"/>
                <w:kern w:val="0"/>
                <w:sz w:val="21"/>
                <w:szCs w:val="21"/>
                <w14:textFill>
                  <w14:solidFill>
                    <w14:schemeClr w14:val="tx1"/>
                  </w14:solidFill>
                </w14:textFill>
              </w:rPr>
              <w:t xml:space="preserve">接管规格：Ф32×2.8 </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12Cr1MoVG</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25</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件</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10</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CMIE，疏水点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9-8</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45°热压弯头</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PN10，DN25，</w:t>
            </w:r>
            <w:r>
              <w:rPr>
                <w:rFonts w:hint="eastAsia" w:cs="宋体" w:asciiTheme="minorEastAsia" w:hAnsiTheme="minorEastAsia" w:eastAsiaTheme="minorEastAsia"/>
                <w:color w:val="000000" w:themeColor="text1"/>
                <w:kern w:val="0"/>
                <w:sz w:val="21"/>
                <w:szCs w:val="21"/>
                <w14:textFill>
                  <w14:solidFill>
                    <w14:schemeClr w14:val="tx1"/>
                  </w14:solidFill>
                </w14:textFill>
              </w:rPr>
              <w:br w:type="textWrapping"/>
            </w:r>
            <w:r>
              <w:rPr>
                <w:rFonts w:hint="eastAsia" w:cs="宋体" w:asciiTheme="minorEastAsia" w:hAnsiTheme="minorEastAsia" w:eastAsiaTheme="minorEastAsia"/>
                <w:color w:val="000000" w:themeColor="text1"/>
                <w:kern w:val="0"/>
                <w:sz w:val="21"/>
                <w:szCs w:val="21"/>
                <w14:textFill>
                  <w14:solidFill>
                    <w14:schemeClr w14:val="tx1"/>
                  </w14:solidFill>
                </w14:textFill>
              </w:rPr>
              <w:t xml:space="preserve">接管规格：Ф32×2.8 </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12Cr1MoVG</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25</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件</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4</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CMIE，疏水点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9-9</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支吊架安装材料</w:t>
            </w:r>
          </w:p>
        </w:tc>
        <w:tc>
          <w:tcPr>
            <w:tcW w:w="4108"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9-9.1</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U型管卡</w:t>
            </w:r>
          </w:p>
        </w:tc>
        <w:tc>
          <w:tcPr>
            <w:tcW w:w="4108"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118150025，管道规格：Ф32×2.8</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20</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25</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件</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30</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CMIE，减温水支吊架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9-9.2</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U型管卡</w:t>
            </w:r>
          </w:p>
        </w:tc>
        <w:tc>
          <w:tcPr>
            <w:tcW w:w="4108"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118150020，管道规格：Ф27×2</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20</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20</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件</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30</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CMIE，疏水点支吊架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9-9.3</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螺母</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M8</w:t>
            </w:r>
          </w:p>
        </w:tc>
        <w:tc>
          <w:tcPr>
            <w:tcW w:w="147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Q235B</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件</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60</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估列，小管道支吊架用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9-9.4</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xml:space="preserve">圆钢 </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ascii="MS Gothic" w:hAnsi="MS Gothic" w:eastAsia="MS Gothic" w:cs="MS Gothic"/>
                <w:color w:val="000000" w:themeColor="text1"/>
                <w:kern w:val="0"/>
                <w:sz w:val="21"/>
                <w:szCs w:val="21"/>
                <w14:textFill>
                  <w14:solidFill>
                    <w14:schemeClr w14:val="tx1"/>
                  </w14:solidFill>
                </w14:textFill>
              </w:rPr>
              <w:t>∅</w:t>
            </w:r>
            <w:r>
              <w:rPr>
                <w:rFonts w:hint="eastAsia" w:cs="宋体" w:asciiTheme="minorEastAsia" w:hAnsiTheme="minorEastAsia" w:eastAsiaTheme="minorEastAsia"/>
                <w:color w:val="000000" w:themeColor="text1"/>
                <w:kern w:val="0"/>
                <w:sz w:val="21"/>
                <w:szCs w:val="21"/>
                <w14:textFill>
                  <w14:solidFill>
                    <w14:schemeClr w14:val="tx1"/>
                  </w14:solidFill>
                </w14:textFill>
              </w:rPr>
              <w:t>8</w:t>
            </w:r>
          </w:p>
        </w:tc>
        <w:tc>
          <w:tcPr>
            <w:tcW w:w="147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Q235B</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m</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15</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估列，小管道支吊架用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9-9.5</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xml:space="preserve">角钢 </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∠50×5</w:t>
            </w:r>
          </w:p>
        </w:tc>
        <w:tc>
          <w:tcPr>
            <w:tcW w:w="147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Q235B</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m</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15</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估列，小管道支吊架用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4108"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10</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仪表管道</w:t>
            </w:r>
          </w:p>
        </w:tc>
        <w:tc>
          <w:tcPr>
            <w:tcW w:w="4108"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10.1</w:t>
            </w:r>
          </w:p>
        </w:tc>
        <w:tc>
          <w:tcPr>
            <w:tcW w:w="210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引压管</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Φ22×6</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A335-P11</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米</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1.2</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1#、4#轴封压力表引压短管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10.2</w:t>
            </w:r>
          </w:p>
        </w:tc>
        <w:tc>
          <w:tcPr>
            <w:tcW w:w="210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引压管</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Φ14×2</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A335-P11</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米</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6</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1#、4#轴封压力表一次门后引压管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10.3</w:t>
            </w:r>
          </w:p>
        </w:tc>
        <w:tc>
          <w:tcPr>
            <w:tcW w:w="210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引压管</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Φ32×8</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A335-P22</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米</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0.6</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2#轴封压力表引压短管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10.4</w:t>
            </w:r>
          </w:p>
        </w:tc>
        <w:tc>
          <w:tcPr>
            <w:tcW w:w="210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引压管</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Φ18×4</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A335-P22</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米</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3</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2#轴封压力表一次门后引压管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10.5</w:t>
            </w:r>
          </w:p>
        </w:tc>
        <w:tc>
          <w:tcPr>
            <w:tcW w:w="210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引压管</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Φ32×8</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A335-P91</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米</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0.6</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3#轴封压力表引压短管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10.6</w:t>
            </w:r>
          </w:p>
        </w:tc>
        <w:tc>
          <w:tcPr>
            <w:tcW w:w="210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引压管</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Φ18×4</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A335-P91</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米</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3</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3#轴封压力表一次门后引压管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10.7</w:t>
            </w:r>
          </w:p>
        </w:tc>
        <w:tc>
          <w:tcPr>
            <w:tcW w:w="210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引压管</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Φ14×2</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06Cr19Ni10</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米</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60</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气源用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10.8</w:t>
            </w:r>
          </w:p>
        </w:tc>
        <w:tc>
          <w:tcPr>
            <w:tcW w:w="210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引压管</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Φ8×1</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06Cr19Ni10</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米</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10</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气源用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10.9</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镀锌钢管</w:t>
            </w:r>
          </w:p>
        </w:tc>
        <w:tc>
          <w:tcPr>
            <w:tcW w:w="4108"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G3/4"</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米</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100</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10.1</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镀锌角钢</w:t>
            </w:r>
          </w:p>
        </w:tc>
        <w:tc>
          <w:tcPr>
            <w:tcW w:w="4108"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40×4</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米</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24</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4108"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2106" w:type="dxa"/>
            <w:shd w:val="clear" w:color="auto" w:fill="auto"/>
            <w:noWrap/>
            <w:vAlign w:val="center"/>
          </w:tcPr>
          <w:p>
            <w:pPr>
              <w:widowControl/>
              <w:spacing w:line="240" w:lineRule="auto"/>
              <w:jc w:val="left"/>
              <w:rPr>
                <w:rFonts w:cs="宋体" w:asciiTheme="minorEastAsia" w:hAnsiTheme="minorEastAsia" w:eastAsiaTheme="minorEastAsia"/>
                <w:b/>
                <w:bCs/>
                <w:color w:val="000000" w:themeColor="text1"/>
                <w:kern w:val="0"/>
                <w:sz w:val="21"/>
                <w:szCs w:val="21"/>
                <w14:textFill>
                  <w14:solidFill>
                    <w14:schemeClr w14:val="tx1"/>
                  </w14:solidFill>
                </w14:textFill>
              </w:rPr>
            </w:pPr>
            <w:r>
              <w:rPr>
                <w:rFonts w:hint="eastAsia" w:cs="宋体" w:asciiTheme="minorEastAsia" w:hAnsiTheme="minorEastAsia" w:eastAsiaTheme="minorEastAsia"/>
                <w:b/>
                <w:bCs/>
                <w:color w:val="000000" w:themeColor="text1"/>
                <w:kern w:val="0"/>
                <w:sz w:val="21"/>
                <w:szCs w:val="21"/>
                <w14:textFill>
                  <w14:solidFill>
                    <w14:schemeClr w14:val="tx1"/>
                  </w14:solidFill>
                </w14:textFill>
              </w:rPr>
              <w:t>热工部分</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11.1</w:t>
            </w:r>
          </w:p>
        </w:tc>
        <w:tc>
          <w:tcPr>
            <w:tcW w:w="210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压力表</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设计压力：0.2MPa，量程：0-0.4MPa，设计温度：580℃.螺纹为M20×1.5 (内部三分格，分别为黄、绿、红），精度等级1.6</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块</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11.2</w:t>
            </w:r>
          </w:p>
        </w:tc>
        <w:tc>
          <w:tcPr>
            <w:tcW w:w="210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压力表</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设计压力：0.2MPa，量程：0-0.4MPa，设计温度：380℃.螺纹为M20×1.5 (内部三分格，分别为黄、绿、红），精度等级1.6</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块</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11.3</w:t>
            </w:r>
          </w:p>
        </w:tc>
        <w:tc>
          <w:tcPr>
            <w:tcW w:w="210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仪表阀门</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焊接型，J23Y-160P，16.0MPa，580℃，DN10，Φ18×4/A335-P91</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个</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4</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11.4</w:t>
            </w:r>
          </w:p>
        </w:tc>
        <w:tc>
          <w:tcPr>
            <w:tcW w:w="210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仪表阀门</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焊接型，J23Y-160P，16.0MPa，380℃，DN10，Φ14×2/A335-P11</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个</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4</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11.5</w:t>
            </w:r>
          </w:p>
        </w:tc>
        <w:tc>
          <w:tcPr>
            <w:tcW w:w="210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气源球阀</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QG.QY1 NPT1/2”（F）-Φ8</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个</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11.6</w:t>
            </w:r>
          </w:p>
        </w:tc>
        <w:tc>
          <w:tcPr>
            <w:tcW w:w="210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外螺纹管接头</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Φ14-NPT1/2”（M）</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个</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11.7</w:t>
            </w:r>
          </w:p>
        </w:tc>
        <w:tc>
          <w:tcPr>
            <w:tcW w:w="210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引压管</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Φ22×6</w:t>
            </w:r>
            <w:r>
              <w:rPr>
                <w:rFonts w:cs="Calibri Light" w:asciiTheme="minorEastAsia" w:hAnsiTheme="minorEastAsia" w:eastAsiaTheme="minorEastAsia"/>
                <w:color w:val="000000" w:themeColor="text1"/>
                <w:kern w:val="0"/>
                <w:sz w:val="21"/>
                <w:szCs w:val="21"/>
                <w14:textFill>
                  <w14:solidFill>
                    <w14:schemeClr w14:val="tx1"/>
                  </w14:solidFill>
                </w14:textFill>
              </w:rPr>
              <w:t>/A335-P11</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米</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1.2</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1#、4#轴封压力表引压短管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11.8</w:t>
            </w:r>
          </w:p>
        </w:tc>
        <w:tc>
          <w:tcPr>
            <w:tcW w:w="210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引压管</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Φ14×2</w:t>
            </w:r>
            <w:r>
              <w:rPr>
                <w:rFonts w:cs="Calibri Light" w:asciiTheme="minorEastAsia" w:hAnsiTheme="minorEastAsia" w:eastAsiaTheme="minorEastAsia"/>
                <w:color w:val="000000" w:themeColor="text1"/>
                <w:kern w:val="0"/>
                <w:sz w:val="21"/>
                <w:szCs w:val="21"/>
                <w14:textFill>
                  <w14:solidFill>
                    <w14:schemeClr w14:val="tx1"/>
                  </w14:solidFill>
                </w14:textFill>
              </w:rPr>
              <w:t>/A335-P11</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米</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6</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1#、4#轴封压力表一次门后引压管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11.9</w:t>
            </w:r>
          </w:p>
        </w:tc>
        <w:tc>
          <w:tcPr>
            <w:tcW w:w="210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引压管</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Φ32×8</w:t>
            </w:r>
            <w:r>
              <w:rPr>
                <w:rFonts w:cs="Calibri Light" w:asciiTheme="minorEastAsia" w:hAnsiTheme="minorEastAsia" w:eastAsiaTheme="minorEastAsia"/>
                <w:color w:val="000000" w:themeColor="text1"/>
                <w:kern w:val="0"/>
                <w:sz w:val="21"/>
                <w:szCs w:val="21"/>
                <w14:textFill>
                  <w14:solidFill>
                    <w14:schemeClr w14:val="tx1"/>
                  </w14:solidFill>
                </w14:textFill>
              </w:rPr>
              <w:t>/A335-P22</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米</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0.6</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2#轴封压力表引压短管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11.1</w:t>
            </w:r>
          </w:p>
        </w:tc>
        <w:tc>
          <w:tcPr>
            <w:tcW w:w="210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引压管</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Φ18×4</w:t>
            </w:r>
            <w:r>
              <w:rPr>
                <w:rFonts w:cs="Calibri Light" w:asciiTheme="minorEastAsia" w:hAnsiTheme="minorEastAsia" w:eastAsiaTheme="minorEastAsia"/>
                <w:color w:val="000000" w:themeColor="text1"/>
                <w:kern w:val="0"/>
                <w:sz w:val="21"/>
                <w:szCs w:val="21"/>
                <w14:textFill>
                  <w14:solidFill>
                    <w14:schemeClr w14:val="tx1"/>
                  </w14:solidFill>
                </w14:textFill>
              </w:rPr>
              <w:t>/A335-P22</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米</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3</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2#轴封压力表一次门后引压管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11.11</w:t>
            </w:r>
          </w:p>
        </w:tc>
        <w:tc>
          <w:tcPr>
            <w:tcW w:w="210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引压管</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Φ32×8</w:t>
            </w:r>
            <w:r>
              <w:rPr>
                <w:rFonts w:cs="Calibri Light" w:asciiTheme="minorEastAsia" w:hAnsiTheme="minorEastAsia" w:eastAsiaTheme="minorEastAsia"/>
                <w:color w:val="000000" w:themeColor="text1"/>
                <w:kern w:val="0"/>
                <w:sz w:val="21"/>
                <w:szCs w:val="21"/>
                <w14:textFill>
                  <w14:solidFill>
                    <w14:schemeClr w14:val="tx1"/>
                  </w14:solidFill>
                </w14:textFill>
              </w:rPr>
              <w:t>/A335-P91</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米</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0.6</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3#轴封压力表引压短管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11.12</w:t>
            </w:r>
          </w:p>
        </w:tc>
        <w:tc>
          <w:tcPr>
            <w:tcW w:w="210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引压管</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Φ18×4</w:t>
            </w:r>
            <w:r>
              <w:rPr>
                <w:rFonts w:cs="Calibri Light" w:asciiTheme="minorEastAsia" w:hAnsiTheme="minorEastAsia" w:eastAsiaTheme="minorEastAsia"/>
                <w:color w:val="000000" w:themeColor="text1"/>
                <w:kern w:val="0"/>
                <w:sz w:val="21"/>
                <w:szCs w:val="21"/>
                <w14:textFill>
                  <w14:solidFill>
                    <w14:schemeClr w14:val="tx1"/>
                  </w14:solidFill>
                </w14:textFill>
              </w:rPr>
              <w:t>/A335-P91</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米</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3</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3#轴封压力表一次门后引压管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11.13</w:t>
            </w:r>
          </w:p>
        </w:tc>
        <w:tc>
          <w:tcPr>
            <w:tcW w:w="210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引压管</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Φ</w:t>
            </w:r>
            <w:r>
              <w:rPr>
                <w:rFonts w:cs="Calibri Light" w:asciiTheme="minorEastAsia" w:hAnsiTheme="minorEastAsia" w:eastAsiaTheme="minorEastAsia"/>
                <w:color w:val="000000" w:themeColor="text1"/>
                <w:kern w:val="0"/>
                <w:sz w:val="21"/>
                <w:szCs w:val="21"/>
                <w14:textFill>
                  <w14:solidFill>
                    <w14:schemeClr w14:val="tx1"/>
                  </w14:solidFill>
                </w14:textFill>
              </w:rPr>
              <w:t>14</w:t>
            </w:r>
            <w:r>
              <w:rPr>
                <w:rFonts w:hint="eastAsia" w:cs="宋体" w:asciiTheme="minorEastAsia" w:hAnsiTheme="minorEastAsia" w:eastAsiaTheme="minorEastAsia"/>
                <w:color w:val="000000" w:themeColor="text1"/>
                <w:kern w:val="0"/>
                <w:sz w:val="21"/>
                <w:szCs w:val="21"/>
                <w14:textFill>
                  <w14:solidFill>
                    <w14:schemeClr w14:val="tx1"/>
                  </w14:solidFill>
                </w14:textFill>
              </w:rPr>
              <w:t>×</w:t>
            </w:r>
            <w:r>
              <w:rPr>
                <w:rFonts w:cs="Calibri Light" w:asciiTheme="minorEastAsia" w:hAnsiTheme="minorEastAsia" w:eastAsiaTheme="minorEastAsia"/>
                <w:color w:val="000000" w:themeColor="text1"/>
                <w:kern w:val="0"/>
                <w:sz w:val="21"/>
                <w:szCs w:val="21"/>
                <w14:textFill>
                  <w14:solidFill>
                    <w14:schemeClr w14:val="tx1"/>
                  </w14:solidFill>
                </w14:textFill>
              </w:rPr>
              <w:t>2/06Cr19Ni10</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米</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60</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气源用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11.14</w:t>
            </w:r>
          </w:p>
        </w:tc>
        <w:tc>
          <w:tcPr>
            <w:tcW w:w="210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引压管</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Φ8×1</w:t>
            </w:r>
            <w:r>
              <w:rPr>
                <w:rFonts w:cs="Calibri Light" w:asciiTheme="minorEastAsia" w:hAnsiTheme="minorEastAsia" w:eastAsiaTheme="minorEastAsia"/>
                <w:color w:val="000000" w:themeColor="text1"/>
                <w:kern w:val="0"/>
                <w:sz w:val="21"/>
                <w:szCs w:val="21"/>
                <w14:textFill>
                  <w14:solidFill>
                    <w14:schemeClr w14:val="tx1"/>
                  </w14:solidFill>
                </w14:textFill>
              </w:rPr>
              <w:t>/06Cr19Ni10</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米</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10</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气源用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11.15</w:t>
            </w:r>
          </w:p>
        </w:tc>
        <w:tc>
          <w:tcPr>
            <w:tcW w:w="210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计算机电缆</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ZRB-DJYVP-2</w:t>
            </w:r>
            <w:r>
              <w:rPr>
                <w:rFonts w:cs="Arial" w:asciiTheme="minorEastAsia" w:hAnsiTheme="minorEastAsia" w:eastAsiaTheme="minorEastAsia"/>
                <w:color w:val="000000" w:themeColor="text1"/>
                <w:kern w:val="0"/>
                <w:sz w:val="21"/>
                <w:szCs w:val="21"/>
                <w14:textFill>
                  <w14:solidFill>
                    <w14:schemeClr w14:val="tx1"/>
                  </w14:solidFill>
                </w14:textFill>
              </w:rPr>
              <w:t>×</w:t>
            </w:r>
            <w:r>
              <w:rPr>
                <w:rFonts w:cs="Calibri Light" w:asciiTheme="minorEastAsia" w:hAnsiTheme="minorEastAsia" w:eastAsiaTheme="minorEastAsia"/>
                <w:color w:val="000000" w:themeColor="text1"/>
                <w:kern w:val="0"/>
                <w:sz w:val="21"/>
                <w:szCs w:val="21"/>
                <w14:textFill>
                  <w14:solidFill>
                    <w14:schemeClr w14:val="tx1"/>
                  </w14:solidFill>
                </w14:textFill>
              </w:rPr>
              <w:t>1.5mm2</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米</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1500</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11.16</w:t>
            </w:r>
          </w:p>
        </w:tc>
        <w:tc>
          <w:tcPr>
            <w:tcW w:w="210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补偿电缆</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ZRB-KXP-1×</w:t>
            </w:r>
            <w:r>
              <w:rPr>
                <w:rFonts w:cs="Calibri Light" w:asciiTheme="minorEastAsia" w:hAnsiTheme="minorEastAsia" w:eastAsiaTheme="minorEastAsia"/>
                <w:color w:val="000000" w:themeColor="text1"/>
                <w:kern w:val="0"/>
                <w:sz w:val="21"/>
                <w:szCs w:val="21"/>
                <w14:textFill>
                  <w14:solidFill>
                    <w14:schemeClr w14:val="tx1"/>
                  </w14:solidFill>
                </w14:textFill>
              </w:rPr>
              <w:t>2</w:t>
            </w:r>
            <w:r>
              <w:rPr>
                <w:rFonts w:hint="eastAsia" w:cs="宋体" w:asciiTheme="minorEastAsia" w:hAnsiTheme="minorEastAsia" w:eastAsiaTheme="minorEastAsia"/>
                <w:color w:val="000000" w:themeColor="text1"/>
                <w:kern w:val="0"/>
                <w:sz w:val="21"/>
                <w:szCs w:val="21"/>
                <w14:textFill>
                  <w14:solidFill>
                    <w14:schemeClr w14:val="tx1"/>
                  </w14:solidFill>
                </w14:textFill>
              </w:rPr>
              <w:t>×</w:t>
            </w:r>
            <w:r>
              <w:rPr>
                <w:rFonts w:cs="Calibri Light" w:asciiTheme="minorEastAsia" w:hAnsiTheme="minorEastAsia" w:eastAsiaTheme="minorEastAsia"/>
                <w:color w:val="000000" w:themeColor="text1"/>
                <w:kern w:val="0"/>
                <w:sz w:val="21"/>
                <w:szCs w:val="21"/>
                <w14:textFill>
                  <w14:solidFill>
                    <w14:schemeClr w14:val="tx1"/>
                  </w14:solidFill>
                </w14:textFill>
              </w:rPr>
              <w:t>1.5mm2</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米</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500</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11.17</w:t>
            </w:r>
          </w:p>
        </w:tc>
        <w:tc>
          <w:tcPr>
            <w:tcW w:w="210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系统组态</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点</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4</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利旧现有通道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11.18</w:t>
            </w:r>
          </w:p>
        </w:tc>
        <w:tc>
          <w:tcPr>
            <w:tcW w:w="210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防火堵包</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720克/袋</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20</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袋</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11.19</w:t>
            </w:r>
          </w:p>
        </w:tc>
        <w:tc>
          <w:tcPr>
            <w:tcW w:w="210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防火堵料</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有机、无机</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100</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kg</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11.2</w:t>
            </w:r>
          </w:p>
        </w:tc>
        <w:tc>
          <w:tcPr>
            <w:tcW w:w="210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防火涂料</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10L/桶装</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桶</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11.21</w:t>
            </w:r>
          </w:p>
        </w:tc>
        <w:tc>
          <w:tcPr>
            <w:tcW w:w="210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镀锌钢管</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G3/4"</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100</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米</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11.22</w:t>
            </w:r>
          </w:p>
        </w:tc>
        <w:tc>
          <w:tcPr>
            <w:tcW w:w="210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防尘防腐金属软管</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3/4"</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40</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米</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11.23</w:t>
            </w:r>
          </w:p>
        </w:tc>
        <w:tc>
          <w:tcPr>
            <w:tcW w:w="210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电缆软管接头</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3/4"</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4</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对</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11.24</w:t>
            </w:r>
          </w:p>
        </w:tc>
        <w:tc>
          <w:tcPr>
            <w:tcW w:w="210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管接件</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弯通、中间接头、终端接头等</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20</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个</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741"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11.25</w:t>
            </w:r>
          </w:p>
        </w:tc>
        <w:tc>
          <w:tcPr>
            <w:tcW w:w="2106"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钢材</w:t>
            </w:r>
          </w:p>
        </w:tc>
        <w:tc>
          <w:tcPr>
            <w:tcW w:w="4108" w:type="dxa"/>
            <w:shd w:val="clear" w:color="auto" w:fill="auto"/>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角钢40</w:t>
            </w:r>
            <w:r>
              <w:rPr>
                <w:rFonts w:cs="Arial" w:asciiTheme="minorEastAsia" w:hAnsiTheme="minorEastAsia" w:eastAsiaTheme="minorEastAsia"/>
                <w:color w:val="000000" w:themeColor="text1"/>
                <w:kern w:val="0"/>
                <w:sz w:val="21"/>
                <w:szCs w:val="21"/>
                <w14:textFill>
                  <w14:solidFill>
                    <w14:schemeClr w14:val="tx1"/>
                  </w14:solidFill>
                </w14:textFill>
              </w:rPr>
              <w:t>×</w:t>
            </w:r>
            <w:r>
              <w:rPr>
                <w:rFonts w:hint="eastAsia" w:cs="宋体" w:asciiTheme="minorEastAsia" w:hAnsiTheme="minorEastAsia" w:eastAsiaTheme="minorEastAsia"/>
                <w:color w:val="000000" w:themeColor="text1"/>
                <w:kern w:val="0"/>
                <w:sz w:val="21"/>
                <w:szCs w:val="21"/>
                <w14:textFill>
                  <w14:solidFill>
                    <w14:schemeClr w14:val="tx1"/>
                  </w14:solidFill>
                </w14:textFill>
              </w:rPr>
              <w:t>4</w:t>
            </w:r>
          </w:p>
        </w:tc>
        <w:tc>
          <w:tcPr>
            <w:tcW w:w="147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105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c>
          <w:tcPr>
            <w:tcW w:w="636" w:type="dxa"/>
            <w:shd w:val="clear" w:color="auto" w:fill="auto"/>
            <w:noWrap/>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50</w:t>
            </w:r>
          </w:p>
        </w:tc>
        <w:tc>
          <w:tcPr>
            <w:tcW w:w="636" w:type="dxa"/>
            <w:shd w:val="clear" w:color="auto" w:fill="auto"/>
            <w:vAlign w:val="center"/>
          </w:tcPr>
          <w:p>
            <w:pPr>
              <w:widowControl/>
              <w:spacing w:line="240" w:lineRule="auto"/>
              <w:jc w:val="center"/>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kg</w:t>
            </w:r>
          </w:p>
        </w:tc>
        <w:tc>
          <w:tcPr>
            <w:tcW w:w="3366" w:type="dxa"/>
            <w:shd w:val="clear" w:color="auto" w:fill="auto"/>
            <w:noWrap/>
            <w:vAlign w:val="center"/>
          </w:tcPr>
          <w:p>
            <w:pPr>
              <w:widowControl/>
              <w:spacing w:line="240" w:lineRule="auto"/>
              <w:jc w:val="left"/>
              <w:rPr>
                <w:rFonts w:cs="宋体" w:asciiTheme="minorEastAsia" w:hAnsiTheme="minorEastAsia" w:eastAsiaTheme="minorEastAsia"/>
                <w:color w:val="000000" w:themeColor="text1"/>
                <w:kern w:val="0"/>
                <w:sz w:val="21"/>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14:textFill>
                  <w14:solidFill>
                    <w14:schemeClr w14:val="tx1"/>
                  </w14:solidFill>
                </w14:textFill>
              </w:rPr>
              <w:t>　</w:t>
            </w:r>
          </w:p>
        </w:tc>
      </w:tr>
    </w:tbl>
    <w:p>
      <w:pPr>
        <w:ind w:firstLine="424" w:firstLineChars="177"/>
        <w:rPr>
          <w:rFonts w:asciiTheme="minorEastAsia" w:hAnsiTheme="minorEastAsia" w:eastAsiaTheme="minorEastAsia"/>
        </w:rPr>
      </w:pPr>
      <w:r>
        <w:rPr>
          <w:rFonts w:hint="eastAsia" w:asciiTheme="minorEastAsia" w:hAnsiTheme="minorEastAsia" w:eastAsiaTheme="minorEastAsia"/>
        </w:rPr>
        <w:t>注：1.大于DN50的管道管件内部需喷砂处理，管道管件外侧刷防腐底漆</w:t>
      </w:r>
    </w:p>
    <w:p>
      <w:pPr>
        <w:ind w:firstLine="424" w:firstLineChars="177"/>
        <w:rPr>
          <w:rFonts w:asciiTheme="minorEastAsia" w:hAnsiTheme="minorEastAsia" w:eastAsiaTheme="minorEastAsia"/>
        </w:rPr>
      </w:pPr>
      <w:r>
        <w:rPr>
          <w:rFonts w:hint="eastAsia" w:asciiTheme="minorEastAsia" w:hAnsiTheme="minorEastAsia" w:eastAsiaTheme="minorEastAsia"/>
        </w:rPr>
        <w:t>2.弯头最薄处不应低于接管厚度</w:t>
      </w:r>
    </w:p>
    <w:p>
      <w:pPr>
        <w:ind w:firstLine="424" w:firstLineChars="177"/>
        <w:rPr>
          <w:rFonts w:asciiTheme="minorEastAsia" w:hAnsiTheme="minorEastAsia" w:eastAsiaTheme="minorEastAsia"/>
        </w:rPr>
      </w:pPr>
      <w:r>
        <w:rPr>
          <w:rFonts w:hint="eastAsia" w:asciiTheme="minorEastAsia" w:hAnsiTheme="minorEastAsia" w:eastAsiaTheme="minorEastAsia"/>
        </w:rPr>
        <w:t>3.管道壁厚应为上偏差</w:t>
      </w:r>
    </w:p>
    <w:p>
      <w:pPr>
        <w:ind w:firstLine="424" w:firstLineChars="177"/>
        <w:rPr>
          <w:rFonts w:asciiTheme="minorEastAsia" w:hAnsiTheme="minorEastAsia" w:eastAsiaTheme="minorEastAsia"/>
        </w:rPr>
      </w:pPr>
      <w:r>
        <w:rPr>
          <w:rFonts w:hint="eastAsia" w:asciiTheme="minorEastAsia" w:hAnsiTheme="minorEastAsia" w:eastAsiaTheme="minorEastAsia"/>
        </w:rPr>
        <w:t>4.管道管件椭圆度不应大于±1mm</w:t>
      </w:r>
    </w:p>
    <w:p>
      <w:pPr>
        <w:ind w:firstLine="424" w:firstLineChars="177"/>
        <w:rPr>
          <w:rFonts w:asciiTheme="minorEastAsia" w:hAnsiTheme="minorEastAsia" w:eastAsiaTheme="minorEastAsia"/>
        </w:rPr>
      </w:pPr>
      <w:r>
        <w:rPr>
          <w:rFonts w:hint="eastAsia" w:asciiTheme="minorEastAsia" w:hAnsiTheme="minorEastAsia" w:eastAsiaTheme="minorEastAsia"/>
        </w:rPr>
        <w:t>5.管道管件内径偏差应小于±1mm</w:t>
      </w:r>
    </w:p>
    <w:p>
      <w:pPr>
        <w:ind w:firstLine="424" w:firstLineChars="177"/>
        <w:rPr>
          <w:rFonts w:asciiTheme="minorEastAsia" w:hAnsiTheme="minorEastAsia" w:eastAsiaTheme="minorEastAsia"/>
        </w:rPr>
      </w:pPr>
      <w:r>
        <w:rPr>
          <w:rFonts w:hint="eastAsia" w:asciiTheme="minorEastAsia" w:hAnsiTheme="minorEastAsia" w:eastAsiaTheme="minorEastAsia"/>
        </w:rPr>
        <w:t>6. 支吊架表面油漆为灰色。</w:t>
      </w:r>
    </w:p>
    <w:p/>
    <w:p>
      <w:pPr>
        <w:sectPr>
          <w:headerReference r:id="rId6" w:type="default"/>
          <w:footerReference r:id="rId7" w:type="default"/>
          <w:pgSz w:w="16838" w:h="11906" w:orient="landscape"/>
          <w:pgMar w:top="1474" w:right="1418" w:bottom="1134" w:left="1418" w:header="567" w:footer="567" w:gutter="0"/>
          <w:cols w:space="425" w:num="1"/>
          <w:docGrid w:type="lines" w:linePitch="326" w:charSpace="0"/>
        </w:sectPr>
      </w:pPr>
    </w:p>
    <w:p>
      <w:pPr>
        <w:pStyle w:val="2"/>
        <w:keepNext/>
        <w:keepLines/>
        <w:numPr>
          <w:ilvl w:val="0"/>
          <w:numId w:val="2"/>
        </w:numPr>
        <w:tabs>
          <w:tab w:val="left" w:pos="360"/>
        </w:tabs>
        <w:adjustRightInd w:val="0"/>
        <w:spacing w:before="163" w:beforeLines="50"/>
        <w:textAlignment w:val="baseline"/>
      </w:pPr>
      <w:bookmarkStart w:id="18" w:name="_Toc148101344"/>
      <w:r>
        <w:t>标准及规范</w:t>
      </w:r>
      <w:bookmarkEnd w:id="18"/>
    </w:p>
    <w:p>
      <w:pPr>
        <w:spacing w:line="420" w:lineRule="auto"/>
        <w:ind w:firstLine="480"/>
      </w:pPr>
      <w:r>
        <w:t>供方应采取有效措施，保证产品符合本技术协议及有关标准、规范的要求，有关技术标准如下（不限于此，同时采用最新版本的相应标准）：</w:t>
      </w:r>
    </w:p>
    <w:p>
      <w:pPr>
        <w:spacing w:line="420" w:lineRule="auto"/>
        <w:ind w:left="480" w:leftChars="200"/>
        <w:jc w:val="left"/>
      </w:pPr>
      <w:r>
        <w:t>GB 713-2014《锅炉和压力容器用钢板》</w:t>
      </w:r>
    </w:p>
    <w:p>
      <w:pPr>
        <w:spacing w:line="420" w:lineRule="auto"/>
        <w:ind w:left="480" w:leftChars="200"/>
        <w:jc w:val="left"/>
      </w:pPr>
      <w:r>
        <w:t>GB 3087-2008《低中压锅炉用无缝钢管》</w:t>
      </w:r>
    </w:p>
    <w:p>
      <w:pPr>
        <w:spacing w:line="420" w:lineRule="auto"/>
        <w:ind w:left="480" w:leftChars="200"/>
        <w:jc w:val="left"/>
      </w:pPr>
      <w:r>
        <w:t>GB/T 17395-2008《无缝钢管尺寸、外形、重量及允许偏差》</w:t>
      </w:r>
    </w:p>
    <w:p>
      <w:pPr>
        <w:spacing w:line="420" w:lineRule="auto"/>
        <w:ind w:left="480" w:leftChars="200"/>
        <w:jc w:val="left"/>
      </w:pPr>
      <w:r>
        <w:t>GB/T 12459-2017《钢制对焊管件类型与参数》</w:t>
      </w:r>
    </w:p>
    <w:p>
      <w:pPr>
        <w:spacing w:line="420" w:lineRule="auto"/>
        <w:ind w:left="480" w:leftChars="200"/>
        <w:jc w:val="left"/>
      </w:pPr>
      <w:r>
        <w:t>GB/T 5777-2008《无缝钢管超声波探伤检验方法》</w:t>
      </w:r>
    </w:p>
    <w:p>
      <w:pPr>
        <w:spacing w:line="420" w:lineRule="auto"/>
        <w:ind w:left="480" w:leftChars="200"/>
        <w:jc w:val="left"/>
      </w:pPr>
      <w:r>
        <w:t>GB/T 13401-2017《钢板制对焊管件 技术规范》</w:t>
      </w:r>
    </w:p>
    <w:p>
      <w:pPr>
        <w:spacing w:line="420" w:lineRule="auto"/>
        <w:ind w:left="480" w:leftChars="200"/>
        <w:jc w:val="left"/>
      </w:pPr>
      <w:r>
        <w:t>GB/T 15822.1-2005《无损检测 磁粉检测 第1部分：总则》</w:t>
      </w:r>
    </w:p>
    <w:p>
      <w:pPr>
        <w:spacing w:line="420" w:lineRule="auto"/>
        <w:ind w:left="480" w:leftChars="200"/>
        <w:jc w:val="left"/>
      </w:pPr>
      <w:r>
        <w:t>GB/T 15822.2-2005《无损检测 磁粉检测 第2部分：检测介质》</w:t>
      </w:r>
    </w:p>
    <w:p>
      <w:pPr>
        <w:spacing w:line="420" w:lineRule="auto"/>
        <w:ind w:left="480" w:leftChars="200"/>
        <w:jc w:val="left"/>
      </w:pPr>
      <w:r>
        <w:t>GB/T 15822.3-2005《无损检测 磁粉检测 第3部分：设备》</w:t>
      </w:r>
    </w:p>
    <w:p>
      <w:pPr>
        <w:spacing w:line="420" w:lineRule="auto"/>
        <w:ind w:left="480" w:leftChars="200"/>
        <w:jc w:val="left"/>
      </w:pPr>
      <w:r>
        <w:t>GB/T 20801.1-2020《压力管道规范 工业管道 第1部分：总则》</w:t>
      </w:r>
    </w:p>
    <w:p>
      <w:pPr>
        <w:spacing w:line="420" w:lineRule="auto"/>
        <w:ind w:left="480" w:leftChars="200"/>
        <w:jc w:val="left"/>
      </w:pPr>
      <w:r>
        <w:t>GB/T 20801.4-2006《压力管道规范 工业管道 第4部分：制作与安装》</w:t>
      </w:r>
    </w:p>
    <w:p>
      <w:pPr>
        <w:spacing w:line="420" w:lineRule="auto"/>
        <w:ind w:left="480" w:leftChars="200"/>
        <w:jc w:val="left"/>
      </w:pPr>
      <w:r>
        <w:t>GB/T 20801.5-2006《压力管道规范 工业管道 第5部分：检验与试验》</w:t>
      </w:r>
    </w:p>
    <w:p>
      <w:pPr>
        <w:spacing w:line="420" w:lineRule="auto"/>
        <w:ind w:left="480" w:leftChars="200"/>
        <w:jc w:val="left"/>
      </w:pPr>
      <w:r>
        <w:t>GD 2016《火力发电厂――汽水管道零部件典型设计手册》</w:t>
      </w:r>
    </w:p>
    <w:p>
      <w:pPr>
        <w:spacing w:line="420" w:lineRule="auto"/>
        <w:ind w:left="480" w:leftChars="200"/>
        <w:jc w:val="left"/>
      </w:pPr>
      <w:r>
        <w:t>DL 438-2016《火力发电厂金属技术监督规程》</w:t>
      </w:r>
    </w:p>
    <w:p>
      <w:pPr>
        <w:spacing w:line="420" w:lineRule="auto"/>
        <w:ind w:left="480" w:leftChars="200"/>
        <w:jc w:val="left"/>
      </w:pPr>
      <w:r>
        <w:t>DL/T 820-2002《管道焊接接头超声波检验技术规程》</w:t>
      </w:r>
    </w:p>
    <w:p>
      <w:pPr>
        <w:spacing w:line="420" w:lineRule="auto"/>
        <w:ind w:left="480" w:leftChars="200"/>
        <w:jc w:val="left"/>
      </w:pPr>
      <w:r>
        <w:rPr>
          <w:rFonts w:hint="eastAsia"/>
        </w:rPr>
        <w:t>NB/T47044-2014 电站阀门</w:t>
      </w:r>
    </w:p>
    <w:p>
      <w:pPr>
        <w:spacing w:line="420" w:lineRule="auto"/>
        <w:ind w:left="480" w:leftChars="200"/>
        <w:jc w:val="left"/>
      </w:pPr>
      <w:r>
        <w:rPr>
          <w:rFonts w:hint="eastAsia"/>
        </w:rPr>
        <w:t>GB/T 12224-2015《钢制阀门一般要求》</w:t>
      </w:r>
    </w:p>
    <w:p>
      <w:pPr>
        <w:spacing w:line="420" w:lineRule="auto"/>
        <w:ind w:left="480" w:leftChars="200"/>
        <w:jc w:val="left"/>
      </w:pPr>
      <w:r>
        <w:t>NB/T 47037-2021</w:t>
      </w:r>
      <w:r>
        <w:rPr>
          <w:rFonts w:hint="eastAsia"/>
        </w:rPr>
        <w:t>《电站阀门型号编制方法》</w:t>
      </w:r>
    </w:p>
    <w:p>
      <w:pPr>
        <w:spacing w:line="420" w:lineRule="auto"/>
        <w:ind w:left="480" w:leftChars="200"/>
        <w:jc w:val="left"/>
      </w:pPr>
      <w:r>
        <w:rPr>
          <w:rFonts w:hint="eastAsia"/>
        </w:rPr>
        <w:t>JB/T 5263-2005《电站阀门铸钢件技术条件》</w:t>
      </w:r>
    </w:p>
    <w:p>
      <w:pPr>
        <w:spacing w:line="420" w:lineRule="auto"/>
        <w:ind w:left="480" w:leftChars="200"/>
        <w:jc w:val="left"/>
      </w:pPr>
      <w:r>
        <w:rPr>
          <w:rFonts w:hint="eastAsia"/>
        </w:rPr>
        <w:t>JB/T 5300-2008《工业用阀门材料选用导则》</w:t>
      </w:r>
    </w:p>
    <w:p>
      <w:pPr>
        <w:spacing w:line="420" w:lineRule="auto"/>
        <w:ind w:left="480" w:leftChars="200"/>
        <w:jc w:val="left"/>
      </w:pPr>
      <w:r>
        <w:t>GB/T 26480-2011</w:t>
      </w:r>
      <w:r>
        <w:rPr>
          <w:rFonts w:hint="eastAsia"/>
        </w:rPr>
        <w:t>《阀门的检验和试验》</w:t>
      </w:r>
    </w:p>
    <w:p>
      <w:pPr>
        <w:spacing w:line="420" w:lineRule="auto"/>
        <w:ind w:left="480" w:leftChars="200"/>
        <w:jc w:val="left"/>
      </w:pPr>
      <w:r>
        <w:t>GB/T 30832-2014</w:t>
      </w:r>
      <w:r>
        <w:rPr>
          <w:rFonts w:hint="eastAsia"/>
        </w:rPr>
        <w:t>《阀门流量系数和流阻系数试验方法》</w:t>
      </w:r>
    </w:p>
    <w:p>
      <w:pPr>
        <w:spacing w:line="420" w:lineRule="auto"/>
        <w:ind w:left="480" w:leftChars="200"/>
        <w:jc w:val="left"/>
      </w:pPr>
      <w:r>
        <w:t>DL/T 531-2016</w:t>
      </w:r>
      <w:r>
        <w:rPr>
          <w:rFonts w:hint="eastAsia"/>
        </w:rPr>
        <w:t>《电站高温高压截止阀闸阀技术条件》</w:t>
      </w:r>
    </w:p>
    <w:p>
      <w:pPr>
        <w:spacing w:line="420" w:lineRule="auto"/>
        <w:ind w:left="480" w:leftChars="200"/>
        <w:jc w:val="left"/>
      </w:pPr>
      <w:r>
        <w:rPr>
          <w:rFonts w:hint="eastAsia"/>
        </w:rPr>
        <w:t>GB/T 12228-2006《通用阀门碳素钢锻件技术条件》</w:t>
      </w:r>
    </w:p>
    <w:p>
      <w:pPr>
        <w:spacing w:line="420" w:lineRule="auto"/>
        <w:ind w:left="480" w:leftChars="200"/>
        <w:jc w:val="left"/>
      </w:pPr>
      <w:r>
        <w:rPr>
          <w:rFonts w:hint="eastAsia"/>
        </w:rPr>
        <w:t>GB/T 12229-2005《通用阀门碳素钢铸件技术条件》</w:t>
      </w:r>
    </w:p>
    <w:p>
      <w:pPr>
        <w:spacing w:line="420" w:lineRule="auto"/>
        <w:ind w:left="480" w:leftChars="200"/>
        <w:jc w:val="left"/>
      </w:pPr>
      <w:r>
        <w:rPr>
          <w:rFonts w:hint="eastAsia"/>
        </w:rPr>
        <w:t>GB/T12221金属阀门 结构长度</w:t>
      </w:r>
    </w:p>
    <w:p>
      <w:pPr>
        <w:spacing w:line="420" w:lineRule="auto"/>
        <w:ind w:left="480" w:leftChars="200"/>
        <w:jc w:val="left"/>
      </w:pPr>
      <w:r>
        <w:rPr>
          <w:rFonts w:hint="eastAsia"/>
        </w:rPr>
        <w:t>GB/T26480 阀门的检验和试验</w:t>
      </w:r>
    </w:p>
    <w:p>
      <w:pPr>
        <w:spacing w:line="420" w:lineRule="auto"/>
        <w:ind w:firstLine="480"/>
        <w:jc w:val="left"/>
      </w:pPr>
      <w:r>
        <w:t>上述标准和规定仅提出了基本的技术要求。如果供方提出了更经济合理的设计、材料、制造工艺等，同时又能使供方提供的设备性能达到本技术协议的要求，并确保安全﹑稳定﹑连续运行，在征得买方同意后，供方可以不全部使用上述标准和规定。</w:t>
      </w:r>
    </w:p>
    <w:p>
      <w:pPr>
        <w:pStyle w:val="2"/>
        <w:sectPr>
          <w:headerReference r:id="rId8" w:type="default"/>
          <w:pgSz w:w="11906" w:h="16838"/>
          <w:pgMar w:top="1474" w:right="1418" w:bottom="1134" w:left="1418" w:header="567" w:footer="567" w:gutter="0"/>
          <w:cols w:space="425" w:num="1"/>
          <w:docGrid w:type="lines" w:linePitch="326" w:charSpace="0"/>
        </w:sectPr>
      </w:pPr>
    </w:p>
    <w:p>
      <w:pPr>
        <w:pStyle w:val="2"/>
        <w:keepNext/>
        <w:keepLines/>
        <w:numPr>
          <w:ilvl w:val="0"/>
          <w:numId w:val="2"/>
        </w:numPr>
        <w:tabs>
          <w:tab w:val="left" w:pos="360"/>
        </w:tabs>
        <w:adjustRightInd w:val="0"/>
        <w:spacing w:before="163" w:beforeLines="50"/>
        <w:textAlignment w:val="baseline"/>
      </w:pPr>
      <w:bookmarkStart w:id="19" w:name="_Toc148101345"/>
      <w:r>
        <w:t>技术要求</w:t>
      </w:r>
      <w:bookmarkEnd w:id="19"/>
    </w:p>
    <w:p>
      <w:pPr>
        <w:pStyle w:val="3"/>
        <w:numPr>
          <w:ilvl w:val="0"/>
          <w:numId w:val="0"/>
        </w:numPr>
        <w:rPr>
          <w:b/>
        </w:rPr>
      </w:pPr>
      <w:bookmarkStart w:id="20" w:name="_Toc148101346"/>
      <w:r>
        <w:rPr>
          <w:rFonts w:hint="eastAsia"/>
          <w:b/>
        </w:rPr>
        <w:t>4.1</w:t>
      </w:r>
      <w:r>
        <w:rPr>
          <w:b/>
        </w:rPr>
        <w:t>管道管件要求</w:t>
      </w:r>
      <w:bookmarkEnd w:id="20"/>
    </w:p>
    <w:p>
      <w:pPr>
        <w:snapToGrid w:val="0"/>
        <w:spacing w:line="480" w:lineRule="auto"/>
        <w:rPr>
          <w:rFonts w:asciiTheme="minorEastAsia" w:hAnsiTheme="minorEastAsia" w:eastAsiaTheme="minorEastAsia"/>
        </w:rPr>
      </w:pPr>
      <w:r>
        <w:rPr>
          <w:rFonts w:hint="eastAsia" w:asciiTheme="minorEastAsia" w:hAnsiTheme="minorEastAsia" w:eastAsiaTheme="minorEastAsia"/>
        </w:rPr>
        <w:t>（1）管件部分的零部件，按照供货清单的规格型号进行制作，规格选型按照《火力发电厂汽水管道零件及部件典型设计》GD</w:t>
      </w:r>
      <w:r>
        <w:rPr>
          <w:rFonts w:asciiTheme="minorEastAsia" w:hAnsiTheme="minorEastAsia" w:eastAsiaTheme="minorEastAsia"/>
        </w:rPr>
        <w:t>2000</w:t>
      </w:r>
      <w:r>
        <w:rPr>
          <w:rFonts w:hint="eastAsia" w:asciiTheme="minorEastAsia" w:hAnsiTheme="minorEastAsia" w:eastAsiaTheme="minorEastAsia"/>
        </w:rPr>
        <w:t>执行。</w:t>
      </w:r>
    </w:p>
    <w:p>
      <w:pPr>
        <w:snapToGrid w:val="0"/>
        <w:spacing w:line="480" w:lineRule="auto"/>
        <w:rPr>
          <w:rFonts w:asciiTheme="minorEastAsia" w:hAnsiTheme="minorEastAsia" w:eastAsiaTheme="minorEastAsia"/>
        </w:rPr>
      </w:pPr>
      <w:r>
        <w:rPr>
          <w:rFonts w:hint="eastAsia" w:asciiTheme="minorEastAsia" w:hAnsiTheme="minorEastAsia" w:eastAsiaTheme="minorEastAsia"/>
        </w:rPr>
        <w:t>（2）支吊架部分的零部件按照供货清单的规格型号进行制作，规格选型按照《发电厂汽水管道支吊架设计手册》D</w:t>
      </w:r>
      <w:r>
        <w:rPr>
          <w:rFonts w:asciiTheme="minorEastAsia" w:hAnsiTheme="minorEastAsia" w:eastAsiaTheme="minorEastAsia"/>
        </w:rPr>
        <w:t>-</w:t>
      </w:r>
      <w:r>
        <w:rPr>
          <w:rFonts w:hint="eastAsia" w:asciiTheme="minorEastAsia" w:hAnsiTheme="minorEastAsia" w:eastAsiaTheme="minorEastAsia"/>
        </w:rPr>
        <w:t>ZD</w:t>
      </w:r>
      <w:r>
        <w:rPr>
          <w:rFonts w:asciiTheme="minorEastAsia" w:hAnsiTheme="minorEastAsia" w:eastAsiaTheme="minorEastAsia"/>
        </w:rPr>
        <w:t>2010</w:t>
      </w:r>
      <w:r>
        <w:rPr>
          <w:rFonts w:hint="eastAsia" w:asciiTheme="minorEastAsia" w:hAnsiTheme="minorEastAsia" w:eastAsiaTheme="minorEastAsia"/>
        </w:rPr>
        <w:t>执行。</w:t>
      </w:r>
    </w:p>
    <w:p>
      <w:pPr>
        <w:snapToGrid w:val="0"/>
        <w:spacing w:line="480" w:lineRule="auto"/>
        <w:rPr>
          <w:rFonts w:asciiTheme="minorEastAsia" w:hAnsiTheme="minorEastAsia" w:eastAsiaTheme="minorEastAsia"/>
        </w:rPr>
      </w:pPr>
      <w:r>
        <w:rPr>
          <w:rFonts w:hint="eastAsia" w:asciiTheme="minorEastAsia" w:hAnsiTheme="minorEastAsia" w:eastAsiaTheme="minorEastAsia"/>
        </w:rPr>
        <w:t>（3）零部件的制造标准，需按照相应电力行业标准执行；制造质量不得低于国标及行业相关标准。</w:t>
      </w:r>
    </w:p>
    <w:p>
      <w:pPr>
        <w:snapToGrid w:val="0"/>
        <w:spacing w:line="480" w:lineRule="auto"/>
        <w:rPr>
          <w:rFonts w:asciiTheme="minorEastAsia" w:hAnsiTheme="minorEastAsia" w:eastAsiaTheme="minorEastAsia"/>
        </w:rPr>
      </w:pPr>
      <w:r>
        <w:rPr>
          <w:rFonts w:hint="eastAsia" w:asciiTheme="minorEastAsia" w:hAnsiTheme="minorEastAsia" w:eastAsiaTheme="minorEastAsia"/>
        </w:rPr>
        <w:t>（4）管件及附件的尺寸，必须保证满足供货清单要求的内径及厚度。</w:t>
      </w:r>
    </w:p>
    <w:p>
      <w:pPr>
        <w:snapToGrid w:val="0"/>
        <w:spacing w:line="480" w:lineRule="auto"/>
        <w:rPr>
          <w:rFonts w:asciiTheme="minorEastAsia" w:hAnsiTheme="minorEastAsia" w:eastAsiaTheme="minorEastAsia"/>
        </w:rPr>
      </w:pPr>
      <w:r>
        <w:rPr>
          <w:rFonts w:hint="eastAsia" w:asciiTheme="minorEastAsia" w:hAnsiTheme="minorEastAsia" w:eastAsiaTheme="minorEastAsia"/>
        </w:rPr>
        <w:t>（5）管道管件内部需喷砂处理，管道管件外侧刷防腐底漆二层以上。</w:t>
      </w:r>
    </w:p>
    <w:p>
      <w:pPr>
        <w:snapToGrid w:val="0"/>
        <w:spacing w:line="480" w:lineRule="auto"/>
        <w:rPr>
          <w:rFonts w:asciiTheme="minorEastAsia" w:hAnsiTheme="minorEastAsia" w:eastAsiaTheme="minorEastAsia"/>
        </w:rPr>
      </w:pPr>
      <w:r>
        <w:rPr>
          <w:rFonts w:hint="eastAsia" w:asciiTheme="minorEastAsia" w:hAnsiTheme="minorEastAsia" w:eastAsiaTheme="minorEastAsia"/>
        </w:rPr>
        <w:t>（6）弯头最薄处不应低于接管厚度，管道壁厚应为上偏差，管道管件椭圆度不应大于±1mm，管道管件内径偏差应小于±1mm。</w:t>
      </w:r>
    </w:p>
    <w:p>
      <w:pPr>
        <w:snapToGrid w:val="0"/>
        <w:spacing w:line="480" w:lineRule="auto"/>
        <w:rPr>
          <w:rFonts w:asciiTheme="minorEastAsia" w:hAnsiTheme="minorEastAsia" w:eastAsiaTheme="minorEastAsia"/>
        </w:rPr>
      </w:pPr>
      <w:r>
        <w:rPr>
          <w:rFonts w:hint="eastAsia" w:asciiTheme="minorEastAsia" w:hAnsiTheme="minorEastAsia" w:eastAsiaTheme="minorEastAsia"/>
        </w:rPr>
        <w:t>（7）支吊架表面刷环氧富锌底漆、环氧云铁中间漆、脂肪族聚氨酯面漆；面漆颜色为灰色。</w:t>
      </w:r>
    </w:p>
    <w:p>
      <w:pPr>
        <w:snapToGrid w:val="0"/>
        <w:spacing w:line="480" w:lineRule="auto"/>
        <w:rPr>
          <w:rFonts w:asciiTheme="minorEastAsia" w:hAnsiTheme="minorEastAsia" w:eastAsiaTheme="minorEastAsia"/>
        </w:rPr>
      </w:pPr>
      <w:r>
        <w:rPr>
          <w:rFonts w:hint="eastAsia" w:asciiTheme="minorEastAsia" w:hAnsiTheme="minorEastAsia" w:eastAsiaTheme="minorEastAsia"/>
        </w:rPr>
        <w:t>（8）未注零部件的制造标准，需按照相应电力行业标准执行；制造质量不得低于国标及行业相关标准。</w:t>
      </w:r>
    </w:p>
    <w:p>
      <w:pPr>
        <w:snapToGrid w:val="0"/>
        <w:spacing w:line="480" w:lineRule="auto"/>
        <w:rPr>
          <w:rFonts w:asciiTheme="minorEastAsia" w:hAnsiTheme="minorEastAsia" w:eastAsiaTheme="minorEastAsia"/>
        </w:rPr>
      </w:pPr>
      <w:r>
        <w:rPr>
          <w:rFonts w:hint="eastAsia" w:asciiTheme="minorEastAsia" w:hAnsiTheme="minorEastAsia" w:eastAsiaTheme="minorEastAsia"/>
        </w:rPr>
        <w:t>（9）管件及附件的尺寸，必须保证满足供货清单中要求的内径及厚度。</w:t>
      </w:r>
    </w:p>
    <w:p>
      <w:pPr>
        <w:snapToGrid w:val="0"/>
        <w:spacing w:line="480" w:lineRule="auto"/>
        <w:rPr>
          <w:rFonts w:asciiTheme="minorEastAsia" w:hAnsiTheme="minorEastAsia" w:eastAsiaTheme="minorEastAsia"/>
        </w:rPr>
      </w:pPr>
      <w:r>
        <w:rPr>
          <w:rFonts w:hint="eastAsia" w:asciiTheme="minorEastAsia" w:hAnsiTheme="minorEastAsia" w:eastAsiaTheme="minorEastAsia"/>
        </w:rPr>
        <w:t>（10）乙方</w:t>
      </w:r>
      <w:r>
        <w:rPr>
          <w:rFonts w:asciiTheme="minorEastAsia" w:hAnsiTheme="minorEastAsia" w:eastAsiaTheme="minorEastAsia"/>
        </w:rPr>
        <w:t>必须对钢管</w:t>
      </w:r>
      <w:r>
        <w:rPr>
          <w:rFonts w:hint="eastAsia" w:asciiTheme="minorEastAsia" w:hAnsiTheme="minorEastAsia" w:eastAsiaTheme="minorEastAsia"/>
        </w:rPr>
        <w:t>、三通等</w:t>
      </w:r>
      <w:r>
        <w:rPr>
          <w:rFonts w:asciiTheme="minorEastAsia" w:hAnsiTheme="minorEastAsia" w:eastAsiaTheme="minorEastAsia"/>
        </w:rPr>
        <w:t>焊缝进行超声波连续探伤或X射线探伤</w:t>
      </w:r>
      <w:r>
        <w:rPr>
          <w:rFonts w:hint="eastAsia" w:asciiTheme="minorEastAsia" w:hAnsiTheme="minorEastAsia" w:eastAsiaTheme="minorEastAsia"/>
        </w:rPr>
        <w:t>，</w:t>
      </w:r>
      <w:r>
        <w:rPr>
          <w:rFonts w:asciiTheme="minorEastAsia" w:hAnsiTheme="minorEastAsia" w:eastAsiaTheme="minorEastAsia"/>
        </w:rPr>
        <w:t>并提供检测报告。</w:t>
      </w:r>
    </w:p>
    <w:p>
      <w:pPr>
        <w:snapToGrid w:val="0"/>
        <w:spacing w:line="480" w:lineRule="auto"/>
        <w:rPr>
          <w:rFonts w:asciiTheme="minorEastAsia" w:hAnsiTheme="minorEastAsia" w:eastAsiaTheme="minorEastAsia"/>
        </w:rPr>
      </w:pPr>
      <w:r>
        <w:rPr>
          <w:rFonts w:hint="eastAsia" w:asciiTheme="minorEastAsia" w:hAnsiTheme="minorEastAsia" w:eastAsiaTheme="minorEastAsia"/>
        </w:rPr>
        <w:t>（11）管道部件</w:t>
      </w:r>
      <w:r>
        <w:rPr>
          <w:rFonts w:asciiTheme="minorEastAsia" w:hAnsiTheme="minorEastAsia" w:eastAsiaTheme="minorEastAsia"/>
        </w:rPr>
        <w:t>质量及要求：钢管的径向错边不大于1mm。钢管焊缝内外焊道熔透深度不得小于1.5mm，内外焊道中心偏差不大于3.0mm。焊缝附近100mm范围内，钢管圆弧的径向偏差不得大于1mm允许的尺寸误差：钢管外径：供货钢管管端100mm长度范围外径极限偏差为±1mm，其余部分圆度最大偏差为</w:t>
      </w:r>
      <w:r>
        <w:rPr>
          <w:rFonts w:hint="eastAsia" w:asciiTheme="minorEastAsia" w:hAnsiTheme="minorEastAsia" w:eastAsiaTheme="minorEastAsia"/>
        </w:rPr>
        <w:t>0.5</w:t>
      </w:r>
      <w:r>
        <w:rPr>
          <w:rFonts w:asciiTheme="minorEastAsia" w:hAnsiTheme="minorEastAsia" w:eastAsiaTheme="minorEastAsia"/>
        </w:rPr>
        <w:t>%D。钢管外径用周长法测量。钢管壁厚：钢管的壁厚偏差为-2.5%/+5%。</w:t>
      </w:r>
    </w:p>
    <w:p>
      <w:pPr>
        <w:snapToGrid w:val="0"/>
        <w:spacing w:line="480" w:lineRule="auto"/>
        <w:rPr>
          <w:rFonts w:asciiTheme="minorEastAsia" w:hAnsiTheme="minorEastAsia" w:eastAsiaTheme="minorEastAsia"/>
        </w:rPr>
      </w:pPr>
      <w:r>
        <w:rPr>
          <w:rFonts w:hint="eastAsia" w:asciiTheme="minorEastAsia" w:hAnsiTheme="minorEastAsia" w:eastAsiaTheme="minorEastAsia"/>
        </w:rPr>
        <w:t>（12）支吊架及附件(尤其是弹簧)的性能及尺寸，必须保证满足需方提供的技术要求。</w:t>
      </w:r>
    </w:p>
    <w:p>
      <w:pPr>
        <w:snapToGrid w:val="0"/>
        <w:spacing w:line="480" w:lineRule="auto"/>
        <w:rPr>
          <w:rFonts w:asciiTheme="minorEastAsia" w:hAnsiTheme="minorEastAsia" w:eastAsiaTheme="minorEastAsia"/>
        </w:rPr>
      </w:pPr>
      <w:r>
        <w:rPr>
          <w:rFonts w:hint="eastAsia" w:asciiTheme="minorEastAsia" w:hAnsiTheme="minorEastAsia" w:eastAsiaTheme="minorEastAsia"/>
        </w:rPr>
        <w:t>（13）所有支吊架表面醇酸漆2道，总厚度≥80微米;带螺纹部位，电镀锌或涂防锈油。</w:t>
      </w:r>
    </w:p>
    <w:p>
      <w:pPr>
        <w:snapToGrid w:val="0"/>
        <w:spacing w:line="480" w:lineRule="auto"/>
        <w:rPr>
          <w:rFonts w:asciiTheme="minorEastAsia" w:hAnsiTheme="minorEastAsia" w:eastAsiaTheme="minorEastAsia"/>
        </w:rPr>
      </w:pPr>
      <w:r>
        <w:rPr>
          <w:rFonts w:hint="eastAsia" w:asciiTheme="minorEastAsia" w:hAnsiTheme="minorEastAsia" w:eastAsiaTheme="minorEastAsia"/>
        </w:rPr>
        <w:t>（14）清洁</w:t>
      </w:r>
      <w:r>
        <w:rPr>
          <w:rFonts w:asciiTheme="minorEastAsia" w:hAnsiTheme="minorEastAsia" w:eastAsiaTheme="minorEastAsia"/>
        </w:rPr>
        <w:t>、包装和运输</w:t>
      </w:r>
    </w:p>
    <w:p>
      <w:pPr>
        <w:snapToGrid w:val="0"/>
        <w:spacing w:line="480" w:lineRule="auto"/>
        <w:rPr>
          <w:rFonts w:asciiTheme="minorEastAsia" w:hAnsiTheme="minorEastAsia" w:eastAsiaTheme="minorEastAsia"/>
        </w:rPr>
      </w:pPr>
      <w:r>
        <w:rPr>
          <w:rFonts w:hint="eastAsia" w:asciiTheme="minorEastAsia" w:hAnsiTheme="minorEastAsia" w:eastAsiaTheme="minorEastAsia"/>
        </w:rPr>
        <w:t>（15）</w:t>
      </w:r>
      <w:r>
        <w:rPr>
          <w:rFonts w:asciiTheme="minorEastAsia" w:hAnsiTheme="minorEastAsia" w:eastAsiaTheme="minorEastAsia"/>
        </w:rPr>
        <w:t>清洁</w:t>
      </w:r>
      <w:r>
        <w:rPr>
          <w:rFonts w:hint="eastAsia" w:asciiTheme="minorEastAsia" w:hAnsiTheme="minorEastAsia" w:eastAsiaTheme="minorEastAsia"/>
        </w:rPr>
        <w:t>：</w:t>
      </w:r>
      <w:r>
        <w:rPr>
          <w:rFonts w:asciiTheme="minorEastAsia" w:hAnsiTheme="minorEastAsia" w:eastAsiaTheme="minorEastAsia"/>
        </w:rPr>
        <w:t>管道及管件出厂前清除全部加工垃圾，如金属切削、填充物等,应从内外表面清除所有轧屑、锈皮油脂等。</w:t>
      </w:r>
    </w:p>
    <w:p>
      <w:pPr>
        <w:snapToGrid w:val="0"/>
        <w:spacing w:line="480" w:lineRule="auto"/>
        <w:rPr>
          <w:rFonts w:asciiTheme="minorEastAsia" w:hAnsiTheme="minorEastAsia" w:eastAsiaTheme="minorEastAsia"/>
        </w:rPr>
      </w:pPr>
      <w:r>
        <w:rPr>
          <w:rFonts w:hint="eastAsia" w:asciiTheme="minorEastAsia" w:hAnsiTheme="minorEastAsia" w:eastAsiaTheme="minorEastAsia"/>
        </w:rPr>
        <w:t>（16）</w:t>
      </w:r>
      <w:r>
        <w:rPr>
          <w:rFonts w:asciiTheme="minorEastAsia" w:hAnsiTheme="minorEastAsia" w:eastAsiaTheme="minorEastAsia"/>
        </w:rPr>
        <w:t>包装﹑运输</w:t>
      </w:r>
      <w:r>
        <w:rPr>
          <w:rFonts w:hint="eastAsia" w:asciiTheme="minorEastAsia" w:hAnsiTheme="minorEastAsia" w:eastAsiaTheme="minorEastAsia"/>
        </w:rPr>
        <w:t>：</w:t>
      </w:r>
      <w:r>
        <w:rPr>
          <w:rFonts w:asciiTheme="minorEastAsia" w:hAnsiTheme="minorEastAsia" w:eastAsiaTheme="minorEastAsia"/>
        </w:rPr>
        <w:t>管道及管件的包装、运输、贮存按国标规定。卖方所供管道及管件部件，均遵照国家标准和有关技术条件进行包装。备品备件、专用工具应单独包装和发运，并特别注明。</w:t>
      </w:r>
    </w:p>
    <w:p>
      <w:r>
        <w:rPr>
          <w:rFonts w:hint="eastAsia" w:asciiTheme="minorEastAsia" w:hAnsiTheme="minorEastAsia" w:eastAsiaTheme="minorEastAsia"/>
        </w:rPr>
        <w:t>（17）</w:t>
      </w:r>
      <w:r>
        <w:rPr>
          <w:rFonts w:asciiTheme="minorEastAsia" w:hAnsiTheme="minorEastAsia" w:eastAsiaTheme="minorEastAsia"/>
        </w:rPr>
        <w:t>管道</w:t>
      </w:r>
      <w:r>
        <w:rPr>
          <w:rFonts w:hint="eastAsia" w:asciiTheme="minorEastAsia" w:hAnsiTheme="minorEastAsia" w:eastAsiaTheme="minorEastAsia"/>
        </w:rPr>
        <w:t>部件及支吊架</w:t>
      </w:r>
      <w:r>
        <w:rPr>
          <w:rFonts w:asciiTheme="minorEastAsia" w:hAnsiTheme="minorEastAsia" w:eastAsiaTheme="minorEastAsia"/>
        </w:rPr>
        <w:t>的标志按有关标准规定的要求。</w:t>
      </w:r>
    </w:p>
    <w:p>
      <w:pPr>
        <w:pStyle w:val="3"/>
        <w:numPr>
          <w:ilvl w:val="0"/>
          <w:numId w:val="0"/>
        </w:numPr>
        <w:rPr>
          <w:b/>
        </w:rPr>
      </w:pPr>
      <w:bookmarkStart w:id="21" w:name="_Toc148101347"/>
      <w:r>
        <w:rPr>
          <w:rFonts w:hint="eastAsia"/>
          <w:b/>
        </w:rPr>
        <w:t>4.2</w:t>
      </w:r>
      <w:r>
        <w:rPr>
          <w:b/>
        </w:rPr>
        <w:t>支吊架要求</w:t>
      </w:r>
      <w:bookmarkEnd w:id="21"/>
    </w:p>
    <w:p>
      <w:pPr>
        <w:pStyle w:val="12"/>
        <w:numPr>
          <w:ilvl w:val="0"/>
          <w:numId w:val="3"/>
        </w:numPr>
        <w:spacing w:after="0"/>
        <w:ind w:left="0" w:firstLine="0"/>
      </w:pPr>
      <w:r>
        <w:rPr>
          <w:rFonts w:hint="eastAsia"/>
        </w:rPr>
        <w:t>本工程支吊架的设计参考《火力发电厂汽水管道支吊架设计手册（D-ZD2010）》，不足部分参考相关厂家标准。</w:t>
      </w:r>
    </w:p>
    <w:p>
      <w:pPr>
        <w:pStyle w:val="12"/>
        <w:numPr>
          <w:ilvl w:val="0"/>
          <w:numId w:val="3"/>
        </w:numPr>
        <w:spacing w:after="0"/>
        <w:ind w:left="0" w:firstLine="0"/>
      </w:pPr>
      <w:r>
        <w:rPr>
          <w:rFonts w:hint="eastAsia"/>
        </w:rPr>
        <w:t>管道支吊架的设计应能保证不仅在承受静荷载（包括水压试验荷载），而且在振动、水击及其它动力冲击的情况下有足够的强度。</w:t>
      </w:r>
    </w:p>
    <w:p>
      <w:pPr>
        <w:pStyle w:val="12"/>
        <w:numPr>
          <w:ilvl w:val="0"/>
          <w:numId w:val="3"/>
        </w:numPr>
        <w:spacing w:after="0"/>
        <w:ind w:left="0" w:firstLine="0"/>
      </w:pPr>
      <w:r>
        <w:rPr>
          <w:rFonts w:hint="eastAsia"/>
        </w:rPr>
        <w:t>管道支架具体要求如下：</w:t>
      </w:r>
    </w:p>
    <w:tbl>
      <w:tblPr>
        <w:tblStyle w:val="25"/>
        <w:tblW w:w="9286" w:type="dxa"/>
        <w:tblInd w:w="0" w:type="dxa"/>
        <w:tblLayout w:type="fixed"/>
        <w:tblCellMar>
          <w:top w:w="0" w:type="dxa"/>
          <w:left w:w="108" w:type="dxa"/>
          <w:bottom w:w="0" w:type="dxa"/>
          <w:right w:w="108" w:type="dxa"/>
        </w:tblCellMar>
      </w:tblPr>
      <w:tblGrid>
        <w:gridCol w:w="440"/>
        <w:gridCol w:w="3118"/>
        <w:gridCol w:w="890"/>
        <w:gridCol w:w="1515"/>
        <w:gridCol w:w="1517"/>
        <w:gridCol w:w="1806"/>
      </w:tblGrid>
      <w:tr>
        <w:tblPrEx>
          <w:tblLayout w:type="fixed"/>
          <w:tblCellMar>
            <w:top w:w="0" w:type="dxa"/>
            <w:left w:w="108" w:type="dxa"/>
            <w:bottom w:w="0" w:type="dxa"/>
            <w:right w:w="108" w:type="dxa"/>
          </w:tblCellMar>
        </w:tblPrEx>
        <w:trPr>
          <w:cantSplit/>
          <w:trHeight w:val="247" w:hRule="atLeast"/>
        </w:trPr>
        <w:tc>
          <w:tcPr>
            <w:tcW w:w="440" w:type="dxa"/>
            <w:vMerge w:val="restart"/>
            <w:tcBorders>
              <w:top w:val="single" w:color="auto" w:sz="6" w:space="0"/>
              <w:left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项 次</w:t>
            </w:r>
          </w:p>
        </w:tc>
        <w:tc>
          <w:tcPr>
            <w:tcW w:w="3118" w:type="dxa"/>
            <w:vMerge w:val="restart"/>
            <w:tcBorders>
              <w:top w:val="single" w:color="auto" w:sz="6" w:space="0"/>
              <w:left w:val="single" w:color="auto" w:sz="6" w:space="0"/>
              <w:bottom w:val="nil"/>
              <w:right w:val="single" w:color="auto" w:sz="6" w:space="0"/>
            </w:tcBorders>
            <w:vAlign w:val="center"/>
          </w:tcPr>
          <w:p>
            <w:pPr>
              <w:ind w:left="-90"/>
              <w:jc w:val="center"/>
              <w:rPr>
                <w:rFonts w:cs="Times New Roman"/>
                <w:sz w:val="21"/>
                <w:szCs w:val="21"/>
              </w:rPr>
            </w:pPr>
            <w:r>
              <w:rPr>
                <w:rFonts w:cs="Times New Roman"/>
                <w:spacing w:val="5"/>
                <w:kern w:val="0"/>
                <w:sz w:val="21"/>
                <w:szCs w:val="21"/>
              </w:rPr>
              <w:t>检验项目</w:t>
            </w:r>
          </w:p>
        </w:tc>
        <w:tc>
          <w:tcPr>
            <w:tcW w:w="890" w:type="dxa"/>
            <w:vMerge w:val="restart"/>
            <w:tcBorders>
              <w:top w:val="single" w:color="auto" w:sz="6" w:space="0"/>
              <w:left w:val="single" w:color="auto" w:sz="6" w:space="0"/>
              <w:bottom w:val="nil"/>
              <w:right w:val="single" w:color="auto" w:sz="6" w:space="0"/>
            </w:tcBorders>
            <w:vAlign w:val="center"/>
          </w:tcPr>
          <w:p>
            <w:pPr>
              <w:ind w:left="-90"/>
              <w:jc w:val="center"/>
              <w:rPr>
                <w:rFonts w:cs="Times New Roman"/>
                <w:sz w:val="21"/>
                <w:szCs w:val="21"/>
              </w:rPr>
            </w:pPr>
            <w:r>
              <w:rPr>
                <w:rFonts w:cs="Times New Roman"/>
                <w:spacing w:val="5"/>
                <w:kern w:val="0"/>
                <w:sz w:val="21"/>
                <w:szCs w:val="21"/>
              </w:rPr>
              <w:t>性质</w:t>
            </w: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质量标准</w:t>
            </w:r>
          </w:p>
        </w:tc>
        <w:tc>
          <w:tcPr>
            <w:tcW w:w="1806" w:type="dxa"/>
            <w:vMerge w:val="restart"/>
            <w:tcBorders>
              <w:top w:val="single" w:color="auto" w:sz="6" w:space="0"/>
              <w:left w:val="single" w:color="auto" w:sz="6" w:space="0"/>
              <w:bottom w:val="nil"/>
              <w:right w:val="single" w:color="auto" w:sz="6" w:space="0"/>
            </w:tcBorders>
            <w:vAlign w:val="center"/>
          </w:tcPr>
          <w:p>
            <w:pPr>
              <w:ind w:left="-90"/>
              <w:jc w:val="center"/>
              <w:rPr>
                <w:rFonts w:cs="Times New Roman"/>
                <w:sz w:val="21"/>
                <w:szCs w:val="21"/>
              </w:rPr>
            </w:pPr>
            <w:r>
              <w:rPr>
                <w:rFonts w:cs="Times New Roman"/>
                <w:spacing w:val="5"/>
                <w:kern w:val="0"/>
                <w:sz w:val="21"/>
                <w:szCs w:val="21"/>
              </w:rPr>
              <w:t>检验方法和器具</w:t>
            </w:r>
          </w:p>
        </w:tc>
      </w:tr>
      <w:tr>
        <w:tblPrEx>
          <w:tblLayout w:type="fixed"/>
          <w:tblCellMar>
            <w:top w:w="0" w:type="dxa"/>
            <w:left w:w="108" w:type="dxa"/>
            <w:bottom w:w="0" w:type="dxa"/>
            <w:right w:w="108" w:type="dxa"/>
          </w:tblCellMar>
        </w:tblPrEx>
        <w:trPr>
          <w:cantSplit/>
          <w:trHeight w:val="253" w:hRule="atLeast"/>
        </w:trPr>
        <w:tc>
          <w:tcPr>
            <w:tcW w:w="440" w:type="dxa"/>
            <w:vMerge w:val="continue"/>
            <w:tcBorders>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118" w:type="dxa"/>
            <w:vMerge w:val="continue"/>
            <w:tcBorders>
              <w:top w:val="nil"/>
              <w:left w:val="single" w:color="auto" w:sz="6" w:space="0"/>
              <w:bottom w:val="single" w:color="auto" w:sz="6" w:space="0"/>
              <w:right w:val="single" w:color="auto" w:sz="6" w:space="0"/>
            </w:tcBorders>
            <w:vAlign w:val="center"/>
          </w:tcPr>
          <w:p>
            <w:pPr>
              <w:ind w:left="-90"/>
              <w:rPr>
                <w:rFonts w:cs="Times New Roman"/>
                <w:sz w:val="21"/>
                <w:szCs w:val="21"/>
              </w:rPr>
            </w:pPr>
          </w:p>
        </w:tc>
        <w:tc>
          <w:tcPr>
            <w:tcW w:w="890" w:type="dxa"/>
            <w:vMerge w:val="continue"/>
            <w:tcBorders>
              <w:top w:val="nil"/>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1515"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合格</w:t>
            </w:r>
          </w:p>
        </w:tc>
        <w:tc>
          <w:tcPr>
            <w:tcW w:w="1517"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优良</w:t>
            </w:r>
          </w:p>
        </w:tc>
        <w:tc>
          <w:tcPr>
            <w:tcW w:w="1806" w:type="dxa"/>
            <w:vMerge w:val="continue"/>
            <w:tcBorders>
              <w:top w:val="nil"/>
              <w:left w:val="single" w:color="auto" w:sz="6" w:space="0"/>
              <w:bottom w:val="single" w:color="auto" w:sz="6" w:space="0"/>
              <w:right w:val="single" w:color="auto" w:sz="6" w:space="0"/>
            </w:tcBorders>
            <w:vAlign w:val="center"/>
          </w:tcPr>
          <w:p>
            <w:pPr>
              <w:ind w:left="-90"/>
              <w:jc w:val="center"/>
              <w:rPr>
                <w:rFonts w:cs="Times New Roman"/>
                <w:sz w:val="21"/>
                <w:szCs w:val="21"/>
              </w:rPr>
            </w:pPr>
          </w:p>
        </w:tc>
      </w:tr>
      <w:tr>
        <w:tblPrEx>
          <w:tblLayout w:type="fixed"/>
          <w:tblCellMar>
            <w:top w:w="0" w:type="dxa"/>
            <w:left w:w="108" w:type="dxa"/>
            <w:bottom w:w="0" w:type="dxa"/>
            <w:right w:w="108" w:type="dxa"/>
          </w:tblCellMar>
        </w:tblPrEx>
        <w:trPr>
          <w:trHeight w:val="195"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l</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构件长度允许偏差</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十3mm</w:t>
            </w:r>
          </w:p>
        </w:tc>
        <w:tc>
          <w:tcPr>
            <w:tcW w:w="1806"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用尺检查</w:t>
            </w:r>
          </w:p>
        </w:tc>
      </w:tr>
      <w:tr>
        <w:tblPrEx>
          <w:tblLayout w:type="fixed"/>
          <w:tblCellMar>
            <w:top w:w="0" w:type="dxa"/>
            <w:left w:w="108" w:type="dxa"/>
            <w:bottom w:w="0" w:type="dxa"/>
            <w:right w:w="108" w:type="dxa"/>
          </w:tblCellMar>
        </w:tblPrEx>
        <w:trPr>
          <w:trHeight w:val="190"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1</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构件宽度允许偏差</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十3mm</w:t>
            </w:r>
          </w:p>
        </w:tc>
        <w:tc>
          <w:tcPr>
            <w:tcW w:w="1806"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用尺检查</w:t>
            </w:r>
          </w:p>
        </w:tc>
      </w:tr>
      <w:tr>
        <w:tblPrEx>
          <w:tblLayout w:type="fixed"/>
          <w:tblCellMar>
            <w:top w:w="0" w:type="dxa"/>
            <w:left w:w="108" w:type="dxa"/>
            <w:bottom w:w="0" w:type="dxa"/>
            <w:right w:w="108" w:type="dxa"/>
          </w:tblCellMar>
        </w:tblPrEx>
        <w:trPr>
          <w:trHeight w:val="190"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3</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构件垂直允许偏差</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2mm</w:t>
            </w:r>
          </w:p>
        </w:tc>
        <w:tc>
          <w:tcPr>
            <w:tcW w:w="1806"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用尺检查</w:t>
            </w:r>
          </w:p>
        </w:tc>
      </w:tr>
      <w:tr>
        <w:tblPrEx>
          <w:tblLayout w:type="fixed"/>
          <w:tblCellMar>
            <w:top w:w="0" w:type="dxa"/>
            <w:left w:w="108" w:type="dxa"/>
            <w:bottom w:w="0" w:type="dxa"/>
            <w:right w:w="108" w:type="dxa"/>
          </w:tblCellMar>
        </w:tblPrEx>
        <w:trPr>
          <w:trHeight w:val="506"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4</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型钢直线度</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主要</w:t>
            </w: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pacing w:val="5"/>
                <w:kern w:val="0"/>
                <w:sz w:val="21"/>
                <w:szCs w:val="21"/>
              </w:rPr>
            </w:pPr>
            <w:r>
              <w:rPr>
                <w:rFonts w:cs="Times New Roman"/>
                <w:spacing w:val="5"/>
                <w:kern w:val="0"/>
                <w:position w:val="-24"/>
                <w:sz w:val="21"/>
                <w:szCs w:val="21"/>
              </w:rPr>
              <w:object>
                <v:shape id="_x0000_i1025" o:spt="75" type="#_x0000_t75" style="height:31pt;width:28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rFonts w:cs="Times New Roman"/>
                <w:spacing w:val="5"/>
                <w:kern w:val="0"/>
                <w:sz w:val="21"/>
                <w:szCs w:val="21"/>
              </w:rPr>
              <w:t xml:space="preserve">≤8mm  </w:t>
            </w:r>
            <w:r>
              <w:rPr>
                <w:rFonts w:cs="Times New Roman"/>
                <w:spacing w:val="5"/>
                <w:kern w:val="0"/>
                <w:position w:val="-24"/>
                <w:sz w:val="21"/>
                <w:szCs w:val="21"/>
              </w:rPr>
              <w:object>
                <v:shape id="_x0000_i1026" o:spt="75" type="#_x0000_t75" style="height:31pt;width:28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r>
              <w:rPr>
                <w:rFonts w:cs="Times New Roman"/>
                <w:spacing w:val="5"/>
                <w:kern w:val="0"/>
                <w:sz w:val="21"/>
                <w:szCs w:val="21"/>
              </w:rPr>
              <w:t>≤6mm</w:t>
            </w:r>
          </w:p>
          <w:p>
            <w:pPr>
              <w:ind w:left="-90"/>
              <w:jc w:val="center"/>
              <w:rPr>
                <w:rFonts w:cs="Times New Roman"/>
                <w:sz w:val="21"/>
                <w:szCs w:val="21"/>
              </w:rPr>
            </w:pPr>
            <w:r>
              <w:rPr>
                <w:rFonts w:cs="Times New Roman"/>
                <w:spacing w:val="5"/>
                <w:kern w:val="0"/>
                <w:sz w:val="21"/>
                <w:szCs w:val="21"/>
              </w:rPr>
              <w:t>(L—型钢长度)</w:t>
            </w:r>
          </w:p>
        </w:tc>
        <w:tc>
          <w:tcPr>
            <w:tcW w:w="1806"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拉线和用尺检查</w:t>
            </w:r>
          </w:p>
        </w:tc>
      </w:tr>
      <w:tr>
        <w:tblPrEx>
          <w:tblLayout w:type="fixed"/>
          <w:tblCellMar>
            <w:top w:w="0" w:type="dxa"/>
            <w:left w:w="108" w:type="dxa"/>
            <w:bottom w:w="0" w:type="dxa"/>
            <w:right w:w="108" w:type="dxa"/>
          </w:tblCellMar>
        </w:tblPrEx>
        <w:trPr>
          <w:trHeight w:val="512"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5</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弧形板半径允许偏差</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主要</w:t>
            </w: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pacing w:val="5"/>
                <w:kern w:val="0"/>
                <w:sz w:val="21"/>
                <w:szCs w:val="21"/>
              </w:rPr>
            </w:pPr>
            <w:r>
              <w:rPr>
                <w:rFonts w:cs="Times New Roman"/>
                <w:spacing w:val="5"/>
                <w:kern w:val="0"/>
                <w:sz w:val="21"/>
                <w:szCs w:val="21"/>
              </w:rPr>
              <w:t>+</w:t>
            </w:r>
            <w:r>
              <w:rPr>
                <w:rFonts w:cs="Times New Roman"/>
                <w:spacing w:val="5"/>
                <w:kern w:val="0"/>
                <w:position w:val="-24"/>
                <w:sz w:val="21"/>
                <w:szCs w:val="21"/>
              </w:rPr>
              <w:object>
                <v:shape id="_x0000_i1027" o:spt="75" type="#_x0000_t75" style="height:31pt;width:28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5">
                  <o:LockedField>false</o:LockedField>
                </o:OLEObject>
              </w:object>
            </w:r>
            <w:r>
              <w:rPr>
                <w:rFonts w:cs="Times New Roman"/>
                <w:spacing w:val="5"/>
                <w:kern w:val="0"/>
                <w:sz w:val="21"/>
                <w:szCs w:val="21"/>
              </w:rPr>
              <w:t xml:space="preserve">         +</w:t>
            </w:r>
            <w:r>
              <w:rPr>
                <w:rFonts w:cs="Times New Roman"/>
                <w:spacing w:val="5"/>
                <w:kern w:val="0"/>
                <w:position w:val="-24"/>
                <w:sz w:val="21"/>
                <w:szCs w:val="21"/>
              </w:rPr>
              <w:object>
                <v:shape id="_x0000_i1028" o:spt="75" type="#_x0000_t75" style="height:31pt;width:28pt;" o:ole="t" filled="f" o:preferrelative="t" stroked="f" coordsize="21600,21600">
                  <v:path/>
                  <v:fill on="f" focussize="0,0"/>
                  <v:stroke on="f" joinstyle="miter"/>
                  <v:imagedata r:id="rId18" o:title=""/>
                  <o:lock v:ext="edit" aspectratio="t"/>
                  <w10:wrap type="none"/>
                  <w10:anchorlock/>
                </v:shape>
                <o:OLEObject Type="Embed" ProgID="Equation.3" ShapeID="_x0000_i1028" DrawAspect="Content" ObjectID="_1468075728" r:id="rId17">
                  <o:LockedField>false</o:LockedField>
                </o:OLEObject>
              </w:object>
            </w:r>
          </w:p>
          <w:p>
            <w:pPr>
              <w:ind w:left="-90"/>
              <w:jc w:val="center"/>
              <w:rPr>
                <w:rFonts w:cs="Times New Roman"/>
                <w:sz w:val="21"/>
                <w:szCs w:val="21"/>
              </w:rPr>
            </w:pPr>
            <w:r>
              <w:rPr>
                <w:rFonts w:cs="Times New Roman"/>
                <w:spacing w:val="5"/>
                <w:kern w:val="0"/>
                <w:sz w:val="21"/>
                <w:szCs w:val="21"/>
              </w:rPr>
              <w:t>(R—设计半径)</w:t>
            </w:r>
          </w:p>
        </w:tc>
        <w:tc>
          <w:tcPr>
            <w:tcW w:w="1806"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用弦长D／4样板检查</w:t>
            </w:r>
          </w:p>
        </w:tc>
      </w:tr>
      <w:tr>
        <w:tblPrEx>
          <w:tblLayout w:type="fixed"/>
          <w:tblCellMar>
            <w:top w:w="0" w:type="dxa"/>
            <w:left w:w="108" w:type="dxa"/>
            <w:bottom w:w="0" w:type="dxa"/>
            <w:right w:w="108" w:type="dxa"/>
          </w:tblCellMar>
        </w:tblPrEx>
        <w:trPr>
          <w:trHeight w:val="190"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6</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枕垫平面度</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2mm</w:t>
            </w:r>
          </w:p>
        </w:tc>
        <w:tc>
          <w:tcPr>
            <w:tcW w:w="1806"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用尺检查</w:t>
            </w:r>
          </w:p>
        </w:tc>
      </w:tr>
      <w:tr>
        <w:tblPrEx>
          <w:tblLayout w:type="fixed"/>
          <w:tblCellMar>
            <w:top w:w="0" w:type="dxa"/>
            <w:left w:w="108" w:type="dxa"/>
            <w:bottom w:w="0" w:type="dxa"/>
            <w:right w:w="108" w:type="dxa"/>
          </w:tblCellMar>
        </w:tblPrEx>
        <w:trPr>
          <w:trHeight w:val="190"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7</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枕垫长度允许偏差</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十3mm</w:t>
            </w:r>
          </w:p>
        </w:tc>
        <w:tc>
          <w:tcPr>
            <w:tcW w:w="1806"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用尺检查</w:t>
            </w:r>
          </w:p>
        </w:tc>
      </w:tr>
      <w:tr>
        <w:tblPrEx>
          <w:tblLayout w:type="fixed"/>
          <w:tblCellMar>
            <w:top w:w="0" w:type="dxa"/>
            <w:left w:w="108" w:type="dxa"/>
            <w:bottom w:w="0" w:type="dxa"/>
            <w:right w:w="108" w:type="dxa"/>
          </w:tblCellMar>
        </w:tblPrEx>
        <w:trPr>
          <w:trHeight w:val="190"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8</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底板平面度</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2mm</w:t>
            </w:r>
          </w:p>
        </w:tc>
        <w:tc>
          <w:tcPr>
            <w:tcW w:w="1806"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用平尺和尺检查</w:t>
            </w:r>
          </w:p>
        </w:tc>
      </w:tr>
      <w:tr>
        <w:tblPrEx>
          <w:tblLayout w:type="fixed"/>
          <w:tblCellMar>
            <w:top w:w="0" w:type="dxa"/>
            <w:left w:w="108" w:type="dxa"/>
            <w:bottom w:w="0" w:type="dxa"/>
            <w:right w:w="108" w:type="dxa"/>
          </w:tblCellMar>
        </w:tblPrEx>
        <w:trPr>
          <w:trHeight w:val="195"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9</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切割面子面度</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1mm</w:t>
            </w:r>
          </w:p>
        </w:tc>
        <w:tc>
          <w:tcPr>
            <w:tcW w:w="1806"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观查检查</w:t>
            </w:r>
          </w:p>
        </w:tc>
      </w:tr>
      <w:tr>
        <w:tblPrEx>
          <w:tblLayout w:type="fixed"/>
          <w:tblCellMar>
            <w:top w:w="0" w:type="dxa"/>
            <w:left w:w="108" w:type="dxa"/>
            <w:bottom w:w="0" w:type="dxa"/>
            <w:right w:w="108" w:type="dxa"/>
          </w:tblCellMar>
        </w:tblPrEx>
        <w:trPr>
          <w:trHeight w:val="190"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10</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焊接</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主要</w:t>
            </w: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按&lt;验标)焊接篇</w:t>
            </w:r>
          </w:p>
        </w:tc>
        <w:tc>
          <w:tcPr>
            <w:tcW w:w="1806"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r>
      <w:tr>
        <w:tblPrEx>
          <w:tblLayout w:type="fixed"/>
          <w:tblCellMar>
            <w:top w:w="0" w:type="dxa"/>
            <w:left w:w="108" w:type="dxa"/>
            <w:bottom w:w="0" w:type="dxa"/>
            <w:right w:w="108" w:type="dxa"/>
          </w:tblCellMar>
        </w:tblPrEx>
        <w:trPr>
          <w:cantSplit/>
          <w:trHeight w:val="190" w:hRule="atLeast"/>
        </w:trPr>
        <w:tc>
          <w:tcPr>
            <w:tcW w:w="44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1l</w:t>
            </w:r>
          </w:p>
        </w:tc>
        <w:tc>
          <w:tcPr>
            <w:tcW w:w="3118" w:type="dxa"/>
            <w:tcBorders>
              <w:top w:val="single" w:color="auto" w:sz="6" w:space="0"/>
              <w:left w:val="single" w:color="auto" w:sz="6" w:space="0"/>
              <w:bottom w:val="single" w:color="auto" w:sz="6" w:space="0"/>
              <w:right w:val="single" w:color="auto" w:sz="6" w:space="0"/>
            </w:tcBorders>
            <w:vAlign w:val="center"/>
          </w:tcPr>
          <w:p>
            <w:pPr>
              <w:ind w:left="-90"/>
              <w:rPr>
                <w:rFonts w:cs="Times New Roman"/>
                <w:sz w:val="21"/>
                <w:szCs w:val="21"/>
              </w:rPr>
            </w:pPr>
            <w:r>
              <w:rPr>
                <w:rFonts w:cs="Times New Roman"/>
                <w:spacing w:val="5"/>
                <w:kern w:val="0"/>
                <w:sz w:val="21"/>
                <w:szCs w:val="21"/>
              </w:rPr>
              <w:t>涂漆</w:t>
            </w:r>
          </w:p>
        </w:tc>
        <w:tc>
          <w:tcPr>
            <w:tcW w:w="890"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c>
          <w:tcPr>
            <w:tcW w:w="3032" w:type="dxa"/>
            <w:gridSpan w:val="2"/>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r>
              <w:rPr>
                <w:rFonts w:cs="Times New Roman"/>
                <w:spacing w:val="5"/>
                <w:kern w:val="0"/>
                <w:sz w:val="21"/>
                <w:szCs w:val="21"/>
              </w:rPr>
              <w:t>按(验标)锅炉篇</w:t>
            </w:r>
          </w:p>
        </w:tc>
        <w:tc>
          <w:tcPr>
            <w:tcW w:w="1806" w:type="dxa"/>
            <w:tcBorders>
              <w:top w:val="single" w:color="auto" w:sz="6" w:space="0"/>
              <w:left w:val="single" w:color="auto" w:sz="6" w:space="0"/>
              <w:bottom w:val="single" w:color="auto" w:sz="6" w:space="0"/>
              <w:right w:val="single" w:color="auto" w:sz="6" w:space="0"/>
            </w:tcBorders>
            <w:vAlign w:val="center"/>
          </w:tcPr>
          <w:p>
            <w:pPr>
              <w:ind w:left="-90"/>
              <w:jc w:val="center"/>
              <w:rPr>
                <w:rFonts w:cs="Times New Roman"/>
                <w:sz w:val="21"/>
                <w:szCs w:val="21"/>
              </w:rPr>
            </w:pPr>
          </w:p>
        </w:tc>
      </w:tr>
    </w:tbl>
    <w:p>
      <w:pPr>
        <w:pStyle w:val="43"/>
        <w:numPr>
          <w:ilvl w:val="0"/>
          <w:numId w:val="3"/>
        </w:numPr>
        <w:ind w:firstLineChars="0"/>
      </w:pPr>
      <w:r>
        <w:rPr>
          <w:rFonts w:hint="eastAsia"/>
        </w:rPr>
        <w:t>弹簧支吊架</w:t>
      </w:r>
    </w:p>
    <w:p>
      <w:pPr>
        <w:ind w:firstLine="480" w:firstLineChars="200"/>
      </w:pPr>
      <w:r>
        <w:rPr>
          <w:rFonts w:hint="eastAsia"/>
        </w:rPr>
        <w:t>弹簧支吊架无论是单个部件或两个以上部件组成，每个部件不可拼接，必须拼接时，应该用连接板过渡，连接板的尺寸应能保证焊缝长度≥100mm。</w:t>
      </w:r>
    </w:p>
    <w:p>
      <w:pPr>
        <w:ind w:firstLine="480" w:firstLineChars="200"/>
        <w:sectPr>
          <w:headerReference r:id="rId9" w:type="default"/>
          <w:pgSz w:w="11906" w:h="16838"/>
          <w:pgMar w:top="1474" w:right="1418" w:bottom="1134" w:left="1418" w:header="567" w:footer="567" w:gutter="0"/>
          <w:cols w:space="425" w:num="1"/>
          <w:docGrid w:type="lines" w:linePitch="326" w:charSpace="0"/>
        </w:sectPr>
      </w:pPr>
      <w:r>
        <w:rPr>
          <w:rFonts w:hint="eastAsia"/>
        </w:rPr>
        <w:t>弹簧支吊架的根部构件应留有调节余量，该余量应有标志，以便在安装现场按需要进行切割调整。</w:t>
      </w:r>
    </w:p>
    <w:p>
      <w:pPr>
        <w:pStyle w:val="2"/>
        <w:keepNext/>
        <w:keepLines/>
        <w:numPr>
          <w:ilvl w:val="0"/>
          <w:numId w:val="2"/>
        </w:numPr>
        <w:tabs>
          <w:tab w:val="left" w:pos="360"/>
        </w:tabs>
        <w:adjustRightInd w:val="0"/>
        <w:spacing w:before="163" w:beforeLines="50"/>
        <w:textAlignment w:val="baseline"/>
        <w:rPr>
          <w:rFonts w:cs="宋体"/>
          <w:szCs w:val="24"/>
        </w:rPr>
      </w:pPr>
      <w:bookmarkStart w:id="22" w:name="_Toc148101348"/>
      <w:r>
        <w:rPr>
          <w:rFonts w:hint="eastAsia"/>
        </w:rPr>
        <w:t>包装、标志、运输、验收和保管</w:t>
      </w:r>
      <w:bookmarkEnd w:id="22"/>
    </w:p>
    <w:p>
      <w:pPr>
        <w:pStyle w:val="4"/>
        <w:numPr>
          <w:ilvl w:val="0"/>
          <w:numId w:val="0"/>
        </w:numPr>
        <w:spacing w:line="500" w:lineRule="atLeast"/>
        <w:ind w:left="764"/>
        <w:rPr>
          <w:rFonts w:ascii="宋体" w:hAnsi="宋体" w:cs="宋体"/>
          <w:bCs w:val="0"/>
          <w:szCs w:val="24"/>
        </w:rPr>
      </w:pPr>
      <w:bookmarkStart w:id="23" w:name="_Toc107820330"/>
      <w:bookmarkStart w:id="24" w:name="_Toc39113634"/>
      <w:bookmarkStart w:id="25" w:name="_Toc521760815"/>
      <w:r>
        <w:rPr>
          <w:rFonts w:hint="eastAsia" w:ascii="宋体" w:hAnsi="宋体" w:cs="宋体"/>
          <w:szCs w:val="24"/>
        </w:rPr>
        <w:t>5.1  包装</w:t>
      </w:r>
      <w:bookmarkEnd w:id="23"/>
      <w:bookmarkEnd w:id="24"/>
      <w:bookmarkEnd w:id="25"/>
    </w:p>
    <w:p>
      <w:pPr>
        <w:spacing w:line="500" w:lineRule="atLeast"/>
        <w:ind w:firstLine="464" w:firstLineChars="200"/>
        <w:rPr>
          <w:rFonts w:ascii="宋体" w:hAnsi="宋体" w:cs="宋体"/>
          <w:spacing w:val="-4"/>
          <w:szCs w:val="24"/>
        </w:rPr>
      </w:pPr>
      <w:r>
        <w:rPr>
          <w:rFonts w:hint="eastAsia" w:ascii="宋体" w:hAnsi="宋体" w:cs="宋体"/>
          <w:spacing w:val="-4"/>
          <w:szCs w:val="24"/>
        </w:rPr>
        <w:t>5.1.1  管道及其附件包装前必须做到内部清洁，特别是管道内应彻底清洗干净，并采取妥善防锈措施。</w:t>
      </w:r>
    </w:p>
    <w:p>
      <w:pPr>
        <w:spacing w:line="500" w:lineRule="atLeast"/>
        <w:ind w:firstLine="480" w:firstLineChars="200"/>
        <w:rPr>
          <w:rFonts w:ascii="宋体" w:hAnsi="宋体" w:cs="宋体"/>
          <w:szCs w:val="24"/>
        </w:rPr>
      </w:pPr>
      <w:r>
        <w:rPr>
          <w:rFonts w:hint="eastAsia" w:ascii="宋体" w:hAnsi="宋体" w:cs="宋体"/>
          <w:szCs w:val="24"/>
        </w:rPr>
        <w:t>5.1.2  卖方所供设备部件，除特殊部件外，均应遵守国家标准和有关包装的技术条件进行，或按最好的商业惯例，使用坚固的箱子包装。并应根据不同货物特性和要求，采取措施，如对设备进行妥善的油漆或其它有效的防锈防腐处理，以适应远途海上、陆上运输条件和大量的吊装、卸货以及露天堆放的需要，防止雨雪、海浪造成受潮、生锈、腐蚀、振动以及机械和化学引起的损坏。</w:t>
      </w:r>
    </w:p>
    <w:p>
      <w:pPr>
        <w:spacing w:line="500" w:lineRule="atLeast"/>
        <w:ind w:firstLine="480" w:firstLineChars="200"/>
        <w:rPr>
          <w:rFonts w:ascii="宋体" w:hAnsi="宋体" w:cs="宋体"/>
          <w:szCs w:val="24"/>
        </w:rPr>
      </w:pPr>
      <w:r>
        <w:rPr>
          <w:rFonts w:hint="eastAsia" w:ascii="宋体" w:hAnsi="宋体" w:cs="宋体"/>
          <w:szCs w:val="24"/>
        </w:rPr>
        <w:t>5.1.3  卖方所供随机装箱技术文件应妥善地包装，能承受远洋运输和多次搬运，并应防止受潮和雨水的侵蚀。每个技术文件邮包应装有详细的目录清单。</w:t>
      </w:r>
    </w:p>
    <w:p>
      <w:pPr>
        <w:spacing w:line="500" w:lineRule="atLeast"/>
        <w:ind w:firstLine="480" w:firstLineChars="200"/>
        <w:rPr>
          <w:rFonts w:ascii="宋体" w:hAnsi="宋体" w:cs="宋体"/>
          <w:szCs w:val="24"/>
        </w:rPr>
      </w:pPr>
      <w:r>
        <w:rPr>
          <w:rFonts w:hint="eastAsia" w:ascii="宋体" w:hAnsi="宋体" w:cs="宋体"/>
          <w:szCs w:val="24"/>
        </w:rPr>
        <w:t>5.1.4  为防止设备器材被窃或受腐蚀元素、海水的损坏，如未征得买方同意，不得采用敞开的板条箱和类似包装。</w:t>
      </w:r>
    </w:p>
    <w:p>
      <w:pPr>
        <w:pStyle w:val="4"/>
        <w:numPr>
          <w:ilvl w:val="0"/>
          <w:numId w:val="0"/>
        </w:numPr>
        <w:spacing w:line="500" w:lineRule="atLeast"/>
        <w:ind w:left="764"/>
        <w:rPr>
          <w:rFonts w:ascii="宋体" w:hAnsi="宋体" w:cs="宋体"/>
          <w:bCs w:val="0"/>
          <w:szCs w:val="24"/>
        </w:rPr>
      </w:pPr>
      <w:bookmarkStart w:id="26" w:name="_Toc107820331"/>
      <w:bookmarkStart w:id="27" w:name="_Toc39113635"/>
      <w:bookmarkStart w:id="28" w:name="_Toc521760816"/>
      <w:r>
        <w:rPr>
          <w:rFonts w:hint="eastAsia" w:ascii="宋体" w:hAnsi="宋体" w:cs="宋体"/>
          <w:szCs w:val="24"/>
        </w:rPr>
        <w:t>5.2  标志</w:t>
      </w:r>
      <w:bookmarkEnd w:id="26"/>
      <w:bookmarkEnd w:id="27"/>
      <w:bookmarkEnd w:id="28"/>
    </w:p>
    <w:p>
      <w:pPr>
        <w:spacing w:line="500" w:lineRule="atLeast"/>
        <w:ind w:firstLine="480" w:firstLineChars="200"/>
        <w:rPr>
          <w:rFonts w:ascii="宋体" w:hAnsi="宋体" w:cs="宋体"/>
          <w:szCs w:val="24"/>
        </w:rPr>
      </w:pPr>
      <w:r>
        <w:rPr>
          <w:rFonts w:hint="eastAsia" w:ascii="宋体" w:hAnsi="宋体" w:cs="宋体"/>
          <w:szCs w:val="24"/>
        </w:rPr>
        <w:t>5.2.1  设备标志</w:t>
      </w:r>
    </w:p>
    <w:p>
      <w:pPr>
        <w:spacing w:line="500" w:lineRule="atLeast"/>
        <w:ind w:firstLine="480" w:firstLineChars="200"/>
        <w:rPr>
          <w:rFonts w:ascii="宋体" w:hAnsi="宋体" w:cs="宋体"/>
          <w:szCs w:val="24"/>
        </w:rPr>
      </w:pPr>
      <w:r>
        <w:rPr>
          <w:rFonts w:hint="eastAsia" w:ascii="宋体" w:hAnsi="宋体" w:cs="宋体"/>
          <w:szCs w:val="24"/>
        </w:rPr>
        <w:t>5.2.1.1  每套阀门等设备都应有固定铭牌。铭牌应不易损坏。标志应醒目、整齐、美观，符合国家及行业相关规定。</w:t>
      </w:r>
    </w:p>
    <w:p>
      <w:pPr>
        <w:spacing w:line="500" w:lineRule="atLeast"/>
        <w:ind w:firstLine="480" w:firstLineChars="200"/>
        <w:rPr>
          <w:rFonts w:ascii="宋体" w:hAnsi="宋体" w:cs="宋体"/>
          <w:szCs w:val="24"/>
        </w:rPr>
      </w:pPr>
      <w:r>
        <w:rPr>
          <w:rFonts w:hint="eastAsia" w:ascii="宋体" w:hAnsi="宋体" w:cs="宋体"/>
          <w:szCs w:val="24"/>
        </w:rPr>
        <w:t>5.2.1.2  设备的重要阀门、调节保安部套等均应有其行程、转角、介质流向、操作方法等明显易辨的标志。</w:t>
      </w:r>
    </w:p>
    <w:p>
      <w:pPr>
        <w:spacing w:line="500" w:lineRule="atLeast"/>
        <w:ind w:firstLine="480" w:firstLineChars="200"/>
        <w:rPr>
          <w:rFonts w:ascii="宋体" w:hAnsi="宋体" w:cs="宋体"/>
          <w:szCs w:val="24"/>
        </w:rPr>
      </w:pPr>
      <w:r>
        <w:rPr>
          <w:rFonts w:hint="eastAsia" w:ascii="宋体" w:hAnsi="宋体" w:cs="宋体"/>
          <w:szCs w:val="24"/>
        </w:rPr>
        <w:t>5.2.1.3  重要部件应根据图纸规定，在一定位置上标有装配编号，使用材料和检验合格的标志。</w:t>
      </w:r>
    </w:p>
    <w:p>
      <w:pPr>
        <w:spacing w:line="500" w:lineRule="atLeast"/>
        <w:ind w:firstLine="480" w:firstLineChars="200"/>
        <w:rPr>
          <w:rFonts w:ascii="宋体" w:hAnsi="宋体" w:cs="宋体"/>
          <w:szCs w:val="24"/>
        </w:rPr>
      </w:pPr>
      <w:r>
        <w:rPr>
          <w:rFonts w:hint="eastAsia" w:ascii="宋体" w:hAnsi="宋体" w:cs="宋体"/>
          <w:szCs w:val="24"/>
        </w:rPr>
        <w:t>5.2.2  包装标志</w:t>
      </w:r>
    </w:p>
    <w:p>
      <w:pPr>
        <w:spacing w:line="500" w:lineRule="atLeast"/>
        <w:ind w:firstLine="480" w:firstLineChars="200"/>
        <w:rPr>
          <w:rFonts w:ascii="宋体" w:hAnsi="宋体" w:cs="宋体"/>
          <w:szCs w:val="24"/>
        </w:rPr>
      </w:pPr>
      <w:r>
        <w:rPr>
          <w:rFonts w:hint="eastAsia" w:ascii="宋体" w:hAnsi="宋体" w:cs="宋体"/>
          <w:szCs w:val="24"/>
        </w:rPr>
        <w:t>（1）卖方供给设备(无论装在箱内或成捆的散件)的包装，都应贴有标明合同号，主要设备名称、部件名称和组装图上部件位置的标签。</w:t>
      </w:r>
    </w:p>
    <w:p>
      <w:pPr>
        <w:pStyle w:val="19"/>
        <w:ind w:firstLine="480" w:firstLineChars="200"/>
        <w:rPr>
          <w:rFonts w:cs="宋体"/>
        </w:rPr>
      </w:pPr>
      <w:r>
        <w:rPr>
          <w:rFonts w:hint="eastAsia" w:cs="宋体"/>
        </w:rPr>
        <w:t>（2）对装箱供给的设备，卖方应在每个箱子的两面用油漆写上如下内容：</w:t>
      </w:r>
    </w:p>
    <w:p>
      <w:pPr>
        <w:spacing w:line="500" w:lineRule="atLeast"/>
        <w:ind w:firstLine="480" w:firstLineChars="200"/>
        <w:rPr>
          <w:rFonts w:ascii="宋体" w:hAnsi="宋体" w:cs="宋体"/>
          <w:szCs w:val="24"/>
        </w:rPr>
      </w:pPr>
      <w:r>
        <w:rPr>
          <w:rFonts w:hint="eastAsia" w:ascii="宋体" w:hAnsi="宋体" w:cs="宋体"/>
          <w:szCs w:val="24"/>
        </w:rPr>
        <w:t>1）合同号，装运标志、目的港，受货人代码、设备名称、机组号、项目号(箱号、箱的序号、设备总件数)，毛/净重，外形尺寸(长</w:t>
      </w:r>
      <w:r>
        <w:rPr>
          <w:rFonts w:ascii="Symbol" w:hAnsi="Symbol" w:cs="宋体"/>
          <w:szCs w:val="24"/>
        </w:rPr>
        <w:sym w:font="Symbol" w:char="F0B4"/>
      </w:r>
      <w:r>
        <w:rPr>
          <w:rFonts w:hint="eastAsia" w:ascii="宋体" w:hAnsi="宋体" w:cs="宋体"/>
          <w:szCs w:val="24"/>
        </w:rPr>
        <w:t>宽</w:t>
      </w:r>
      <w:r>
        <w:rPr>
          <w:rFonts w:ascii="Symbol" w:hAnsi="Symbol" w:cs="宋体"/>
          <w:szCs w:val="24"/>
        </w:rPr>
        <w:sym w:font="Symbol" w:char="F0B4"/>
      </w:r>
      <w:r>
        <w:rPr>
          <w:rFonts w:hint="eastAsia" w:ascii="宋体" w:hAnsi="宋体" w:cs="宋体"/>
          <w:szCs w:val="24"/>
        </w:rPr>
        <w:t>高)；</w:t>
      </w:r>
    </w:p>
    <w:p>
      <w:pPr>
        <w:spacing w:line="500" w:lineRule="atLeast"/>
        <w:ind w:firstLine="480" w:firstLineChars="200"/>
        <w:rPr>
          <w:rFonts w:ascii="宋体" w:hAnsi="宋体" w:cs="宋体"/>
          <w:szCs w:val="24"/>
        </w:rPr>
      </w:pPr>
      <w:r>
        <w:rPr>
          <w:rFonts w:hint="eastAsia" w:ascii="宋体" w:hAnsi="宋体" w:cs="宋体"/>
          <w:szCs w:val="24"/>
        </w:rPr>
        <w:t>2）应按照设备特性和不同的运输及装卸要求，在箱上明显标上“小心”“向上”、“向下”、“防潮”、“勿倒”和吊装位置等通用标志，并应符合GB191和GB6388的规定；</w:t>
      </w:r>
    </w:p>
    <w:p>
      <w:pPr>
        <w:spacing w:line="500" w:lineRule="atLeast"/>
        <w:ind w:firstLine="480" w:firstLineChars="200"/>
        <w:rPr>
          <w:rFonts w:ascii="宋体" w:hAnsi="宋体" w:cs="宋体"/>
          <w:szCs w:val="24"/>
        </w:rPr>
      </w:pPr>
      <w:r>
        <w:rPr>
          <w:rFonts w:hint="eastAsia" w:ascii="宋体" w:hAnsi="宋体" w:cs="宋体"/>
          <w:szCs w:val="24"/>
        </w:rPr>
        <w:t>3）包装箱应连续编号，而且在整个装运过程中，装箱编号的顺序始终是连贯的；</w:t>
      </w:r>
    </w:p>
    <w:p>
      <w:pPr>
        <w:spacing w:line="500" w:lineRule="atLeast"/>
        <w:ind w:firstLine="480" w:firstLineChars="200"/>
        <w:rPr>
          <w:rFonts w:ascii="宋体" w:hAnsi="宋体" w:cs="宋体"/>
          <w:szCs w:val="24"/>
        </w:rPr>
      </w:pPr>
      <w:r>
        <w:rPr>
          <w:rFonts w:hint="eastAsia" w:ascii="宋体" w:hAnsi="宋体" w:cs="宋体"/>
          <w:szCs w:val="24"/>
        </w:rPr>
        <w:t>（3）对超大、超重货物应标注吊钩、重心和支点的位置。</w:t>
      </w:r>
    </w:p>
    <w:p>
      <w:pPr>
        <w:spacing w:line="500" w:lineRule="atLeast"/>
        <w:ind w:firstLine="480" w:firstLineChars="200"/>
        <w:rPr>
          <w:rFonts w:ascii="宋体" w:hAnsi="宋体" w:cs="宋体"/>
          <w:szCs w:val="24"/>
        </w:rPr>
      </w:pPr>
      <w:r>
        <w:rPr>
          <w:rFonts w:hint="eastAsia" w:ascii="宋体" w:hAnsi="宋体" w:cs="宋体"/>
          <w:szCs w:val="24"/>
        </w:rPr>
        <w:t>（4）货运标志应符合国际物运协定规定。</w:t>
      </w:r>
    </w:p>
    <w:p>
      <w:pPr>
        <w:pStyle w:val="4"/>
        <w:numPr>
          <w:ilvl w:val="0"/>
          <w:numId w:val="0"/>
        </w:numPr>
        <w:spacing w:line="500" w:lineRule="atLeast"/>
        <w:ind w:left="764"/>
        <w:rPr>
          <w:rFonts w:ascii="宋体" w:hAnsi="宋体" w:cs="宋体"/>
          <w:bCs w:val="0"/>
          <w:szCs w:val="24"/>
        </w:rPr>
      </w:pPr>
      <w:bookmarkStart w:id="29" w:name="_Toc39113636"/>
      <w:bookmarkStart w:id="30" w:name="_Toc521760817"/>
      <w:bookmarkStart w:id="31" w:name="_Toc107820332"/>
      <w:r>
        <w:rPr>
          <w:rFonts w:hint="eastAsia" w:ascii="宋体" w:hAnsi="宋体" w:cs="宋体"/>
          <w:szCs w:val="24"/>
        </w:rPr>
        <w:t>5.3  运输</w:t>
      </w:r>
      <w:bookmarkEnd w:id="29"/>
      <w:bookmarkEnd w:id="30"/>
      <w:bookmarkEnd w:id="31"/>
    </w:p>
    <w:p>
      <w:pPr>
        <w:ind w:firstLine="480" w:firstLineChars="200"/>
        <w:rPr>
          <w:rFonts w:ascii="宋体" w:hAnsi="宋体" w:cs="宋体"/>
          <w:szCs w:val="24"/>
        </w:rPr>
      </w:pPr>
      <w:r>
        <w:rPr>
          <w:rFonts w:hint="eastAsia" w:ascii="宋体" w:hAnsi="宋体" w:cs="宋体"/>
          <w:bCs/>
          <w:szCs w:val="24"/>
        </w:rPr>
        <w:t>5. 3.</w:t>
      </w:r>
      <w:r>
        <w:rPr>
          <w:rFonts w:hint="eastAsia" w:ascii="宋体" w:hAnsi="宋体" w:cs="宋体"/>
          <w:szCs w:val="24"/>
        </w:rPr>
        <w:t>1  经由铁路运输的部件，设备运输参数应符合《中华人民共和国铁道部铁路超限货物运输规则》的有关规定；当设备经由公路、水路、或空运时，其运输参数，应遵守公路、水路及空运的有关规定。</w:t>
      </w:r>
    </w:p>
    <w:p>
      <w:pPr>
        <w:ind w:firstLine="480" w:firstLineChars="200"/>
        <w:rPr>
          <w:rFonts w:ascii="宋体" w:hAnsi="宋体" w:cs="宋体"/>
          <w:szCs w:val="24"/>
        </w:rPr>
      </w:pPr>
      <w:r>
        <w:rPr>
          <w:rFonts w:hint="eastAsia" w:ascii="宋体" w:hAnsi="宋体" w:cs="宋体"/>
          <w:szCs w:val="24"/>
        </w:rPr>
        <w:t xml:space="preserve">5.3.2 </w:t>
      </w:r>
      <w:r>
        <w:rPr>
          <w:rFonts w:hint="eastAsia" w:ascii="宋体" w:hAnsi="宋体" w:cs="宋体"/>
          <w:b/>
          <w:i/>
          <w:szCs w:val="24"/>
        </w:rPr>
        <w:t xml:space="preserve"> </w:t>
      </w:r>
      <w:r>
        <w:rPr>
          <w:rFonts w:hint="eastAsia" w:ascii="宋体" w:hAnsi="宋体" w:cs="宋体"/>
          <w:szCs w:val="24"/>
        </w:rPr>
        <w:t>经由货轮远洋运输的部件，其尺寸不应超过国家对非标准外形体的规定，当部件经由船运以外的其他方式运输时，其重量和体积的限制应遵守有关运输单位的规定。</w:t>
      </w:r>
    </w:p>
    <w:p>
      <w:pPr>
        <w:ind w:firstLine="480" w:firstLineChars="200"/>
        <w:rPr>
          <w:rFonts w:ascii="宋体" w:hAnsi="宋体" w:cs="宋体"/>
          <w:szCs w:val="24"/>
        </w:rPr>
      </w:pPr>
      <w:r>
        <w:rPr>
          <w:rFonts w:hint="eastAsia" w:ascii="宋体" w:hAnsi="宋体" w:cs="宋体"/>
          <w:szCs w:val="24"/>
        </w:rPr>
        <w:t>5.3.3 每批货物备妥及装运车辆发出24小时内，卖方用传真或邮件通知买方，通知中指明设备名称、件数、件号、重量、货运单号、设备发出日期。</w:t>
      </w:r>
    </w:p>
    <w:p>
      <w:pPr>
        <w:ind w:firstLine="480" w:firstLineChars="200"/>
        <w:rPr>
          <w:rFonts w:ascii="宋体" w:hAnsi="宋体" w:cs="宋体"/>
          <w:szCs w:val="24"/>
        </w:rPr>
      </w:pPr>
      <w:r>
        <w:rPr>
          <w:rFonts w:hint="eastAsia" w:ascii="宋体" w:hAnsi="宋体" w:cs="宋体"/>
          <w:szCs w:val="24"/>
        </w:rPr>
        <w:t>5.4  检验与验收</w:t>
      </w:r>
    </w:p>
    <w:p>
      <w:pPr>
        <w:ind w:firstLine="480" w:firstLineChars="200"/>
        <w:rPr>
          <w:rFonts w:ascii="宋体" w:hAnsi="宋体" w:cs="宋体"/>
          <w:szCs w:val="24"/>
        </w:rPr>
      </w:pPr>
      <w:r>
        <w:rPr>
          <w:rFonts w:hint="eastAsia" w:ascii="宋体" w:hAnsi="宋体" w:cs="宋体"/>
          <w:szCs w:val="24"/>
        </w:rPr>
        <w:t>5.4.1  所有设备验收必须附有下列文件：</w:t>
      </w:r>
    </w:p>
    <w:p>
      <w:pPr>
        <w:ind w:firstLine="480" w:firstLineChars="200"/>
        <w:rPr>
          <w:rFonts w:ascii="宋体" w:hAnsi="宋体" w:cs="宋体"/>
          <w:szCs w:val="24"/>
        </w:rPr>
      </w:pPr>
      <w:r>
        <w:rPr>
          <w:rFonts w:hint="eastAsia" w:ascii="宋体" w:hAnsi="宋体" w:cs="宋体"/>
          <w:szCs w:val="24"/>
        </w:rPr>
        <w:t>（1）装箱单，其上应注明：</w:t>
      </w:r>
    </w:p>
    <w:p>
      <w:pPr>
        <w:ind w:firstLine="480" w:firstLineChars="200"/>
        <w:rPr>
          <w:rFonts w:ascii="宋体" w:hAnsi="宋体" w:cs="宋体"/>
          <w:szCs w:val="24"/>
        </w:rPr>
      </w:pPr>
      <w:r>
        <w:rPr>
          <w:rFonts w:hint="eastAsia" w:ascii="宋体" w:hAnsi="宋体" w:cs="宋体"/>
          <w:szCs w:val="24"/>
        </w:rPr>
        <w:t>1)  产品名称、型号、规格、KKS编码和制造厂；</w:t>
      </w:r>
    </w:p>
    <w:p>
      <w:pPr>
        <w:tabs>
          <w:tab w:val="left" w:pos="2625"/>
        </w:tabs>
        <w:ind w:firstLine="480" w:firstLineChars="200"/>
        <w:rPr>
          <w:rFonts w:ascii="宋体" w:hAnsi="宋体" w:cs="宋体"/>
          <w:szCs w:val="24"/>
        </w:rPr>
      </w:pPr>
      <w:r>
        <w:rPr>
          <w:rFonts w:hint="eastAsia" w:ascii="宋体" w:hAnsi="宋体" w:cs="宋体"/>
          <w:szCs w:val="24"/>
        </w:rPr>
        <w:t>2)  装箱数量；</w:t>
      </w:r>
      <w:r>
        <w:rPr>
          <w:rFonts w:hint="eastAsia" w:ascii="宋体" w:hAnsi="宋体" w:cs="宋体"/>
          <w:szCs w:val="24"/>
        </w:rPr>
        <w:tab/>
      </w:r>
    </w:p>
    <w:p>
      <w:pPr>
        <w:ind w:firstLine="480" w:firstLineChars="200"/>
        <w:rPr>
          <w:rFonts w:ascii="宋体" w:hAnsi="宋体" w:cs="宋体"/>
          <w:szCs w:val="24"/>
        </w:rPr>
      </w:pPr>
      <w:r>
        <w:rPr>
          <w:rFonts w:hint="eastAsia" w:ascii="宋体" w:hAnsi="宋体" w:cs="宋体"/>
          <w:szCs w:val="24"/>
        </w:rPr>
        <w:t>3)  附件、备件名称及数量；</w:t>
      </w:r>
    </w:p>
    <w:p>
      <w:pPr>
        <w:ind w:firstLine="480" w:firstLineChars="200"/>
        <w:rPr>
          <w:rFonts w:ascii="宋体" w:hAnsi="宋体" w:cs="宋体"/>
          <w:szCs w:val="24"/>
        </w:rPr>
      </w:pPr>
      <w:r>
        <w:rPr>
          <w:rFonts w:hint="eastAsia" w:ascii="宋体" w:hAnsi="宋体" w:cs="宋体"/>
          <w:szCs w:val="24"/>
        </w:rPr>
        <w:t>4)  装箱日期。</w:t>
      </w:r>
    </w:p>
    <w:p>
      <w:pPr>
        <w:ind w:firstLine="480" w:firstLineChars="200"/>
        <w:rPr>
          <w:rFonts w:ascii="宋体" w:hAnsi="宋体" w:cs="宋体"/>
          <w:szCs w:val="24"/>
        </w:rPr>
      </w:pPr>
      <w:r>
        <w:rPr>
          <w:rFonts w:hint="eastAsia" w:ascii="宋体" w:hAnsi="宋体" w:cs="宋体"/>
          <w:szCs w:val="24"/>
        </w:rPr>
        <w:t>（2） 原制造厂的产品出厂合格说明书、出厂试验数据、安装使用说明书。</w:t>
      </w:r>
    </w:p>
    <w:p>
      <w:pPr>
        <w:ind w:firstLine="480" w:firstLineChars="200"/>
        <w:rPr>
          <w:rFonts w:ascii="宋体" w:hAnsi="宋体" w:cs="宋体"/>
          <w:szCs w:val="24"/>
        </w:rPr>
      </w:pPr>
      <w:r>
        <w:rPr>
          <w:rFonts w:hint="eastAsia" w:ascii="宋体" w:hAnsi="宋体" w:cs="宋体"/>
          <w:szCs w:val="24"/>
        </w:rPr>
        <w:t>5.4.2  设备到达现场后，买卖双方按商定的开箱检验办法，对照装箱单逐件清点，进行检查和验收。</w:t>
      </w:r>
    </w:p>
    <w:p>
      <w:pPr>
        <w:ind w:firstLine="480" w:firstLineChars="200"/>
        <w:rPr>
          <w:rFonts w:ascii="宋体" w:hAnsi="宋体" w:cs="宋体"/>
          <w:szCs w:val="24"/>
        </w:rPr>
      </w:pPr>
      <w:r>
        <w:rPr>
          <w:rFonts w:hint="eastAsia" w:ascii="宋体" w:hAnsi="宋体" w:cs="宋体"/>
          <w:szCs w:val="24"/>
        </w:rPr>
        <w:t>卖方扩散联营或外包生产的设备(部件)将生产厂家写明，必须经买方确认，但并不意味有任何减轻卖方的责任，即卖方对分包厂家的资质和产品质量、交货进度负责。设备到达现场后，仍由卖方会同买方进行检查和验收。</w:t>
      </w:r>
    </w:p>
    <w:p>
      <w:pPr>
        <w:ind w:firstLine="480" w:firstLineChars="200"/>
        <w:rPr>
          <w:rFonts w:ascii="宋体" w:hAnsi="宋体" w:cs="宋体"/>
          <w:szCs w:val="24"/>
        </w:rPr>
      </w:pPr>
      <w:r>
        <w:rPr>
          <w:rFonts w:hint="eastAsia" w:ascii="宋体" w:hAnsi="宋体" w:cs="宋体"/>
          <w:szCs w:val="24"/>
        </w:rPr>
        <w:t>5.4.3  对于进口产品卖方应提供报关单等复印件。</w:t>
      </w:r>
    </w:p>
    <w:p>
      <w:pPr>
        <w:ind w:firstLine="480" w:firstLineChars="200"/>
        <w:rPr>
          <w:rFonts w:ascii="宋体" w:hAnsi="宋体" w:cs="宋体"/>
          <w:szCs w:val="24"/>
        </w:rPr>
      </w:pPr>
      <w:r>
        <w:rPr>
          <w:rFonts w:hint="eastAsia" w:ascii="宋体" w:hAnsi="宋体" w:cs="宋体"/>
          <w:szCs w:val="24"/>
        </w:rPr>
        <w:t>5.5保管</w:t>
      </w:r>
    </w:p>
    <w:p>
      <w:pPr>
        <w:ind w:firstLine="480" w:firstLineChars="200"/>
        <w:rPr>
          <w:rFonts w:ascii="宋体" w:hAnsi="宋体" w:cs="宋体"/>
          <w:szCs w:val="24"/>
        </w:rPr>
      </w:pPr>
      <w:r>
        <w:rPr>
          <w:rFonts w:hint="eastAsia" w:ascii="宋体" w:hAnsi="宋体" w:cs="宋体"/>
          <w:szCs w:val="24"/>
        </w:rPr>
        <w:t>5.5.1  卖方应提供所有设备、部件、材料等保管方法的说明。</w:t>
      </w:r>
    </w:p>
    <w:p>
      <w:pPr>
        <w:ind w:firstLine="480" w:firstLineChars="200"/>
        <w:rPr>
          <w:rFonts w:ascii="宋体" w:hAnsi="宋体" w:cs="宋体"/>
          <w:szCs w:val="24"/>
        </w:rPr>
      </w:pPr>
      <w:r>
        <w:rPr>
          <w:rFonts w:hint="eastAsia" w:ascii="宋体" w:hAnsi="宋体" w:cs="宋体"/>
          <w:szCs w:val="24"/>
        </w:rPr>
        <w:t>5.5.2  卖方所用的每种防腐剂的质量、预期寿命和型号一致，卖方向买方提交各种防腐剂清除步骤的完整资料。</w:t>
      </w:r>
    </w:p>
    <w:p>
      <w:pPr>
        <w:ind w:firstLine="480" w:firstLineChars="200"/>
        <w:rPr>
          <w:rFonts w:ascii="宋体" w:hAnsi="宋体" w:cs="宋体"/>
          <w:szCs w:val="24"/>
        </w:rPr>
      </w:pPr>
      <w:r>
        <w:rPr>
          <w:rFonts w:hint="eastAsia" w:ascii="宋体" w:hAnsi="宋体" w:cs="宋体"/>
          <w:szCs w:val="24"/>
        </w:rPr>
        <w:t>5.5.3  因卖方原因引起包装、标志、运输、及保管不当而造成的损失，由卖方负责赔偿。</w:t>
      </w:r>
      <w:bookmarkStart w:id="32" w:name="_Toc39113637"/>
      <w:bookmarkStart w:id="33" w:name="_Toc521760818"/>
      <w:bookmarkStart w:id="34" w:name="_Toc107820333"/>
    </w:p>
    <w:bookmarkEnd w:id="32"/>
    <w:bookmarkEnd w:id="33"/>
    <w:bookmarkEnd w:id="34"/>
    <w:p>
      <w:pPr>
        <w:ind w:firstLine="480" w:firstLineChars="200"/>
        <w:sectPr>
          <w:pgSz w:w="11906" w:h="16838"/>
          <w:pgMar w:top="1474" w:right="1418" w:bottom="1134" w:left="1418" w:header="567" w:footer="567" w:gutter="0"/>
          <w:cols w:space="425" w:num="1"/>
          <w:docGrid w:type="lines" w:linePitch="326" w:charSpace="0"/>
        </w:sectPr>
      </w:pPr>
    </w:p>
    <w:p>
      <w:pPr>
        <w:pStyle w:val="2"/>
        <w:keepNext/>
        <w:keepLines/>
        <w:numPr>
          <w:ilvl w:val="0"/>
          <w:numId w:val="2"/>
        </w:numPr>
        <w:tabs>
          <w:tab w:val="left" w:pos="360"/>
        </w:tabs>
        <w:adjustRightInd w:val="0"/>
        <w:spacing w:before="120" w:beforeLines="50" w:after="156"/>
        <w:textAlignment w:val="baseline"/>
      </w:pPr>
      <w:bookmarkStart w:id="35" w:name="_Toc148101349"/>
      <w:bookmarkStart w:id="36" w:name="_Toc515697900"/>
      <w:bookmarkStart w:id="37" w:name="_Toc515705621"/>
      <w:r>
        <w:t>技术资料及交付进度</w:t>
      </w:r>
      <w:bookmarkEnd w:id="35"/>
    </w:p>
    <w:bookmarkEnd w:id="36"/>
    <w:bookmarkEnd w:id="37"/>
    <w:p>
      <w:r>
        <w:t>6.1 一般要求</w:t>
      </w:r>
    </w:p>
    <w:p>
      <w:pPr>
        <w:ind w:firstLine="480"/>
      </w:pPr>
      <w:r>
        <w:t xml:space="preserve">6.1.1.1  供方提供的资料应使用中国法定计量单位制。技术资料和图纸的文种为中文。外方提供的图纸和资料应翻译成中文后随同原文一并提交采购方，图纸资料以中文为准，图纸资料除提供书面文件外还应提供光盘，文字文件当为word/pdf文件，图形文件版本为AUTOCAD 2004/pdf。 </w:t>
      </w:r>
    </w:p>
    <w:p>
      <w:pPr>
        <w:ind w:firstLine="480"/>
      </w:pPr>
      <w:r>
        <w:t>6.1.1.2  资料的组织结构清晰、逻辑性强。资料内容要正确、准确、一致、清晰完整，满足工程要求。</w:t>
      </w:r>
    </w:p>
    <w:p>
      <w:pPr>
        <w:ind w:firstLine="480"/>
      </w:pPr>
      <w:r>
        <w:t>6.1.1.3 供方资料的提交及时充分，满足工程进度要求。</w:t>
      </w:r>
    </w:p>
    <w:p>
      <w:pPr>
        <w:ind w:firstLine="480"/>
      </w:pPr>
      <w:r>
        <w:t>6.1.1.4 供方提供适用于本工程实际情况的，为本工程专用的技术资料。</w:t>
      </w:r>
    </w:p>
    <w:p>
      <w:pPr>
        <w:ind w:firstLine="480"/>
      </w:pPr>
      <w:r>
        <w:t>6.1.1.5 对于其它没有列入合同技术资料清单、却是工程所必需的文件和资料，一经发现，供方也应及时免费提供。</w:t>
      </w:r>
    </w:p>
    <w:p>
      <w:pPr>
        <w:ind w:firstLine="480"/>
      </w:pPr>
      <w:r>
        <w:t>6.1.1.6 供方要及时提供与合同设备设计制造有关的资料。</w:t>
      </w:r>
    </w:p>
    <w:p>
      <w:r>
        <w:t>6.2 技术文件和图纸</w:t>
      </w:r>
    </w:p>
    <w:p>
      <w:pPr>
        <w:ind w:firstLine="480"/>
      </w:pPr>
      <w:r>
        <w:t>6.2.1 供方在技术协议签订后10日内及时提供满足工程施工图设计的正式资料和图纸，包括但不限于此：</w:t>
      </w:r>
    </w:p>
    <w:p>
      <w:pPr>
        <w:ind w:firstLine="480"/>
      </w:pPr>
      <w:r>
        <w:t>1) 提供设备材料的安装说明书、主要设备型号、主要部件材料，以及组装、拆卸时所需用的技术资料。</w:t>
      </w:r>
    </w:p>
    <w:p>
      <w:pPr>
        <w:ind w:firstLine="480"/>
      </w:pPr>
      <w:r>
        <w:t>2) 设备接口资料、设备的尺寸</w:t>
      </w:r>
    </w:p>
    <w:p>
      <w:pPr>
        <w:ind w:firstLine="480"/>
      </w:pPr>
      <w:r>
        <w:t>3) 安装、运行、维护、检修所需的详尽图纸和技术文件和必要的零件图、计算资料等。</w:t>
      </w:r>
    </w:p>
    <w:p>
      <w:pPr>
        <w:ind w:firstLine="480"/>
      </w:pPr>
      <w:r>
        <w:t>4) 材料的安装、维护、检修说明书,包括材料结构特点、安装程序和工艺要求。控制数据、定期校验和维护说明等。</w:t>
      </w:r>
    </w:p>
    <w:p>
      <w:pPr>
        <w:ind w:firstLine="480"/>
      </w:pPr>
      <w:r>
        <w:t>5) 供方应提供备品、配件总清单和易损零件图。</w:t>
      </w:r>
    </w:p>
    <w:p>
      <w:pPr>
        <w:ind w:firstLine="480"/>
      </w:pPr>
      <w:r>
        <w:t>6.2.2 供方须提供的其它技术资料包括以下但不限于此：</w:t>
      </w:r>
    </w:p>
    <w:p>
      <w:pPr>
        <w:ind w:firstLine="480"/>
      </w:pPr>
      <w:r>
        <w:t>6.2.2.1 检验记录、试验报告及质量合格证等出厂报告。</w:t>
      </w:r>
    </w:p>
    <w:p>
      <w:pPr>
        <w:ind w:firstLine="480"/>
      </w:pPr>
      <w:r>
        <w:t>6.2.2.2 供方提供在设计、制造时所遵循的规范、标准和规定清单。</w:t>
      </w:r>
    </w:p>
    <w:p>
      <w:pPr>
        <w:ind w:firstLine="480"/>
      </w:pPr>
      <w:r>
        <w:t>6.2.2.3 设备和备品管理资料文件，包括设备和备品发运和装箱的详细资料(各种清单)，设备和备品存放与保管技术要求、运输超重和超大件的明细表。</w:t>
      </w:r>
    </w:p>
    <w:p>
      <w:pPr>
        <w:ind w:firstLine="480"/>
      </w:pPr>
      <w:r>
        <w:t>6.2.2.4 详细的产品质量文件，包括材质、材质检验、加工质量、外形尺寸、性能检验等的证明。</w:t>
      </w:r>
    </w:p>
    <w:p>
      <w:pPr>
        <w:ind w:firstLine="480"/>
      </w:pPr>
      <w:r>
        <w:t>6.2.2.5 所有主要设备应用金属标签，每个设备的标识号码是唯一的，这些标识号码应包含在提供给需方的最后的图纸中。</w:t>
      </w:r>
    </w:p>
    <w:p>
      <w:pPr>
        <w:ind w:firstLine="480"/>
      </w:pPr>
      <w:r>
        <w:t>6.2.2.6 供方所提交的技术资料内容至少应包括本规范中所要求的。如需方在工程设计中需要本附件以外的资料，供方应及时无偿地提供。</w:t>
      </w:r>
    </w:p>
    <w:p>
      <w:pPr>
        <w:pStyle w:val="2"/>
        <w:keepNext/>
        <w:keepLines/>
        <w:numPr>
          <w:ilvl w:val="0"/>
          <w:numId w:val="2"/>
        </w:numPr>
        <w:tabs>
          <w:tab w:val="left" w:pos="360"/>
        </w:tabs>
        <w:adjustRightInd w:val="0"/>
        <w:spacing w:before="120" w:beforeLines="50"/>
        <w:textAlignment w:val="baseline"/>
      </w:pPr>
      <w:r>
        <w:br w:type="page"/>
      </w:r>
      <w:bookmarkStart w:id="38" w:name="_Toc81906769"/>
      <w:bookmarkStart w:id="39" w:name="_Toc148101350"/>
      <w:r>
        <w:t>设备监造、检验和性能验收试验</w:t>
      </w:r>
      <w:bookmarkEnd w:id="38"/>
      <w:bookmarkEnd w:id="39"/>
    </w:p>
    <w:p>
      <w:pPr>
        <w:pStyle w:val="3"/>
        <w:numPr>
          <w:ilvl w:val="1"/>
          <w:numId w:val="2"/>
        </w:numPr>
        <w:tabs>
          <w:tab w:val="left" w:pos="360"/>
        </w:tabs>
      </w:pPr>
      <w:bookmarkStart w:id="40" w:name="_Toc148101351"/>
      <w:r>
        <w:t>工厂检验</w:t>
      </w:r>
      <w:bookmarkEnd w:id="40"/>
    </w:p>
    <w:p>
      <w:pPr>
        <w:ind w:firstLine="480"/>
      </w:pPr>
      <w:r>
        <w:t>7.1.1 工厂检验是质量控制的一个重要组成部分。投标人需严格进行厂内各生产环节的检验和试验。投标人提供的合同设备须签发质量证明、检验记录和测试报告，并且作为交货时质量证明文件的组成部分。</w:t>
      </w:r>
    </w:p>
    <w:p>
      <w:pPr>
        <w:numPr>
          <w:ilvl w:val="2"/>
          <w:numId w:val="4"/>
        </w:numPr>
        <w:ind w:firstLine="480" w:firstLineChars="200"/>
      </w:pPr>
      <w:r>
        <w:t>检查的范围包括原材料的进厂，材料的加工、组装、试验和出厂试验。</w:t>
      </w:r>
    </w:p>
    <w:p>
      <w:pPr>
        <w:ind w:firstLine="480"/>
      </w:pPr>
      <w:r>
        <w:t>7.1.3 投标人检验的结果要满足技术规范书中参数的要求，如有不符之处或达不到标准要求，投标人要采取措施直至满足要求，同时向招标人提交不一致性报告。投标人发生重大质量问题时应将情况及时通知招标人。</w:t>
      </w:r>
    </w:p>
    <w:p>
      <w:pPr>
        <w:numPr>
          <w:ilvl w:val="2"/>
          <w:numId w:val="4"/>
        </w:numPr>
        <w:ind w:firstLine="480" w:firstLineChars="200"/>
      </w:pPr>
      <w:r>
        <w:t>工厂检查的所有费用包括在合同设备总价中。</w:t>
      </w:r>
    </w:p>
    <w:p>
      <w:pPr>
        <w:pStyle w:val="3"/>
        <w:numPr>
          <w:ilvl w:val="1"/>
          <w:numId w:val="2"/>
        </w:numPr>
        <w:tabs>
          <w:tab w:val="left" w:pos="360"/>
        </w:tabs>
      </w:pPr>
      <w:bookmarkStart w:id="41" w:name="_Toc70261428"/>
      <w:bookmarkStart w:id="42" w:name="_Toc148101352"/>
      <w:bookmarkStart w:id="43" w:name="_Toc515729398"/>
      <w:r>
        <w:t>设备监造</w:t>
      </w:r>
      <w:bookmarkEnd w:id="41"/>
      <w:bookmarkEnd w:id="42"/>
      <w:bookmarkEnd w:id="43"/>
    </w:p>
    <w:p>
      <w:r>
        <w:t>7.2.1 监造依据</w:t>
      </w:r>
    </w:p>
    <w:p>
      <w:pPr>
        <w:ind w:firstLine="480"/>
      </w:pPr>
      <w:r>
        <w:t>根据本合同的规定，以及国家有关规定。</w:t>
      </w:r>
    </w:p>
    <w:p>
      <w:r>
        <w:t>7.2.2 监造方式</w:t>
      </w:r>
    </w:p>
    <w:p>
      <w:pPr>
        <w:ind w:firstLine="480"/>
      </w:pPr>
      <w:r>
        <w:t>文件见证、现场见证和停工待检，即 R点、W点、H点。每次监造内容完成后，供方和监造代表均须在见证表上履行签字手续。供方复印3份，交监造代表1份。</w:t>
      </w:r>
    </w:p>
    <w:p>
      <w:r>
        <w:t>7.2.3 监造内容（具体内容供方填写，供方在投标时应在标书中列出，原则上不少于3项，否则视为不合格标，最终内容由需方确定）</w:t>
      </w:r>
    </w:p>
    <w:p>
      <w:pPr>
        <w:tabs>
          <w:tab w:val="left" w:pos="525"/>
        </w:tabs>
        <w:jc w:val="center"/>
      </w:pPr>
      <w:r>
        <w:t>监造项目表</w:t>
      </w:r>
    </w:p>
    <w:tbl>
      <w:tblPr>
        <w:tblStyle w:val="25"/>
        <w:tblW w:w="7912"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9"/>
        <w:gridCol w:w="1455"/>
        <w:gridCol w:w="3577"/>
        <w:gridCol w:w="394"/>
        <w:gridCol w:w="394"/>
        <w:gridCol w:w="394"/>
        <w:gridCol w:w="8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7" w:hRule="atLeast"/>
          <w:jc w:val="center"/>
        </w:trPr>
        <w:tc>
          <w:tcPr>
            <w:tcW w:w="849" w:type="dxa"/>
            <w:vMerge w:val="restart"/>
            <w:tcBorders>
              <w:top w:val="single" w:color="auto" w:sz="4" w:space="0"/>
              <w:left w:val="single" w:color="auto" w:sz="4" w:space="0"/>
            </w:tcBorders>
          </w:tcPr>
          <w:p>
            <w:pPr>
              <w:tabs>
                <w:tab w:val="left" w:pos="567"/>
              </w:tabs>
              <w:spacing w:line="240" w:lineRule="auto"/>
              <w:jc w:val="center"/>
              <w:rPr>
                <w:sz w:val="21"/>
                <w:szCs w:val="21"/>
              </w:rPr>
            </w:pPr>
            <w:r>
              <w:rPr>
                <w:sz w:val="21"/>
                <w:szCs w:val="21"/>
              </w:rPr>
              <w:t>序号</w:t>
            </w:r>
          </w:p>
        </w:tc>
        <w:tc>
          <w:tcPr>
            <w:tcW w:w="1455" w:type="dxa"/>
            <w:vMerge w:val="restart"/>
            <w:tcBorders>
              <w:top w:val="single" w:color="auto" w:sz="4" w:space="0"/>
            </w:tcBorders>
          </w:tcPr>
          <w:p>
            <w:pPr>
              <w:tabs>
                <w:tab w:val="left" w:pos="567"/>
              </w:tabs>
              <w:spacing w:line="240" w:lineRule="auto"/>
              <w:jc w:val="center"/>
              <w:rPr>
                <w:sz w:val="21"/>
                <w:szCs w:val="21"/>
              </w:rPr>
            </w:pPr>
            <w:r>
              <w:rPr>
                <w:sz w:val="21"/>
                <w:szCs w:val="21"/>
              </w:rPr>
              <w:t>监造部套</w:t>
            </w:r>
          </w:p>
        </w:tc>
        <w:tc>
          <w:tcPr>
            <w:tcW w:w="3577" w:type="dxa"/>
            <w:vMerge w:val="restart"/>
            <w:tcBorders>
              <w:top w:val="single" w:color="auto" w:sz="4" w:space="0"/>
              <w:bottom w:val="single" w:color="auto" w:sz="4" w:space="0"/>
            </w:tcBorders>
          </w:tcPr>
          <w:p>
            <w:pPr>
              <w:tabs>
                <w:tab w:val="left" w:pos="567"/>
              </w:tabs>
              <w:spacing w:line="240" w:lineRule="auto"/>
              <w:jc w:val="center"/>
              <w:rPr>
                <w:sz w:val="21"/>
                <w:szCs w:val="21"/>
              </w:rPr>
            </w:pPr>
            <w:r>
              <w:rPr>
                <w:sz w:val="21"/>
                <w:szCs w:val="21"/>
              </w:rPr>
              <w:t>监 造 内 容</w:t>
            </w:r>
          </w:p>
        </w:tc>
        <w:tc>
          <w:tcPr>
            <w:tcW w:w="2031" w:type="dxa"/>
            <w:gridSpan w:val="4"/>
            <w:tcBorders>
              <w:top w:val="single" w:color="auto" w:sz="4" w:space="0"/>
              <w:bottom w:val="single" w:color="auto" w:sz="4" w:space="0"/>
              <w:right w:val="single" w:color="auto" w:sz="4" w:space="0"/>
            </w:tcBorders>
          </w:tcPr>
          <w:p>
            <w:pPr>
              <w:tabs>
                <w:tab w:val="left" w:pos="567"/>
              </w:tabs>
              <w:spacing w:line="240" w:lineRule="auto"/>
              <w:jc w:val="center"/>
              <w:rPr>
                <w:sz w:val="21"/>
                <w:szCs w:val="21"/>
              </w:rPr>
            </w:pPr>
            <w:r>
              <w:rPr>
                <w:sz w:val="21"/>
                <w:szCs w:val="21"/>
              </w:rPr>
              <w:t>监 造 方 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46" w:hRule="atLeast"/>
          <w:jc w:val="center"/>
        </w:trPr>
        <w:tc>
          <w:tcPr>
            <w:tcW w:w="849" w:type="dxa"/>
            <w:vMerge w:val="continue"/>
            <w:tcBorders>
              <w:left w:val="single" w:color="auto" w:sz="4" w:space="0"/>
            </w:tcBorders>
          </w:tcPr>
          <w:p>
            <w:pPr>
              <w:tabs>
                <w:tab w:val="left" w:pos="567"/>
              </w:tabs>
              <w:spacing w:line="240" w:lineRule="auto"/>
              <w:jc w:val="center"/>
              <w:rPr>
                <w:sz w:val="21"/>
                <w:szCs w:val="21"/>
              </w:rPr>
            </w:pPr>
          </w:p>
        </w:tc>
        <w:tc>
          <w:tcPr>
            <w:tcW w:w="1455" w:type="dxa"/>
            <w:vMerge w:val="continue"/>
          </w:tcPr>
          <w:p>
            <w:pPr>
              <w:tabs>
                <w:tab w:val="left" w:pos="567"/>
              </w:tabs>
              <w:spacing w:line="240" w:lineRule="auto"/>
              <w:jc w:val="center"/>
              <w:rPr>
                <w:sz w:val="21"/>
                <w:szCs w:val="21"/>
              </w:rPr>
            </w:pPr>
          </w:p>
        </w:tc>
        <w:tc>
          <w:tcPr>
            <w:tcW w:w="3577" w:type="dxa"/>
            <w:vMerge w:val="continue"/>
          </w:tcPr>
          <w:p>
            <w:pPr>
              <w:tabs>
                <w:tab w:val="left" w:pos="567"/>
              </w:tabs>
              <w:spacing w:line="240" w:lineRule="auto"/>
              <w:jc w:val="center"/>
              <w:rPr>
                <w:sz w:val="21"/>
                <w:szCs w:val="21"/>
              </w:rPr>
            </w:pPr>
          </w:p>
        </w:tc>
        <w:tc>
          <w:tcPr>
            <w:tcW w:w="394" w:type="dxa"/>
          </w:tcPr>
          <w:p>
            <w:pPr>
              <w:tabs>
                <w:tab w:val="left" w:pos="567"/>
              </w:tabs>
              <w:spacing w:line="240" w:lineRule="auto"/>
              <w:jc w:val="center"/>
              <w:rPr>
                <w:sz w:val="21"/>
                <w:szCs w:val="21"/>
              </w:rPr>
            </w:pPr>
            <w:r>
              <w:rPr>
                <w:sz w:val="21"/>
                <w:szCs w:val="21"/>
              </w:rPr>
              <w:t>H</w:t>
            </w:r>
          </w:p>
        </w:tc>
        <w:tc>
          <w:tcPr>
            <w:tcW w:w="394" w:type="dxa"/>
          </w:tcPr>
          <w:p>
            <w:pPr>
              <w:tabs>
                <w:tab w:val="left" w:pos="567"/>
              </w:tabs>
              <w:spacing w:line="240" w:lineRule="auto"/>
              <w:jc w:val="center"/>
              <w:rPr>
                <w:sz w:val="21"/>
                <w:szCs w:val="21"/>
              </w:rPr>
            </w:pPr>
            <w:r>
              <w:rPr>
                <w:sz w:val="21"/>
                <w:szCs w:val="21"/>
              </w:rPr>
              <w:t>W</w:t>
            </w:r>
          </w:p>
        </w:tc>
        <w:tc>
          <w:tcPr>
            <w:tcW w:w="394" w:type="dxa"/>
            <w:tcBorders>
              <w:right w:val="single" w:color="auto" w:sz="4" w:space="0"/>
            </w:tcBorders>
          </w:tcPr>
          <w:p>
            <w:pPr>
              <w:tabs>
                <w:tab w:val="left" w:pos="567"/>
              </w:tabs>
              <w:spacing w:line="240" w:lineRule="auto"/>
              <w:jc w:val="center"/>
              <w:rPr>
                <w:sz w:val="21"/>
                <w:szCs w:val="21"/>
              </w:rPr>
            </w:pPr>
            <w:r>
              <w:rPr>
                <w:sz w:val="21"/>
                <w:szCs w:val="21"/>
              </w:rPr>
              <w:t>R</w:t>
            </w:r>
          </w:p>
        </w:tc>
        <w:tc>
          <w:tcPr>
            <w:tcW w:w="849" w:type="dxa"/>
            <w:tcBorders>
              <w:top w:val="single" w:color="auto" w:sz="4" w:space="0"/>
              <w:left w:val="single" w:color="auto" w:sz="4" w:space="0"/>
              <w:right w:val="single" w:color="auto" w:sz="4" w:space="0"/>
            </w:tcBorders>
          </w:tcPr>
          <w:p>
            <w:pPr>
              <w:pStyle w:val="61"/>
              <w:tabs>
                <w:tab w:val="left" w:pos="567"/>
              </w:tabs>
              <w:spacing w:line="240" w:lineRule="auto"/>
              <w:ind w:firstLine="540"/>
              <w:jc w:val="center"/>
              <w:rPr>
                <w:rFonts w:ascii="Times New Roman"/>
                <w:bCs/>
                <w:snapToGrid w:val="0"/>
                <w:spacing w:val="30"/>
                <w:sz w:val="21"/>
                <w:szCs w:val="21"/>
              </w:rPr>
            </w:pPr>
            <w:r>
              <w:rPr>
                <w:rFonts w:ascii="Times New Roman"/>
                <w:bCs/>
                <w:snapToGrid w:val="0"/>
                <w:spacing w:val="30"/>
                <w:sz w:val="21"/>
                <w:szCs w:val="21"/>
              </w:rPr>
              <w:t>数量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6" w:hRule="atLeast"/>
          <w:jc w:val="center"/>
        </w:trPr>
        <w:tc>
          <w:tcPr>
            <w:tcW w:w="849" w:type="dxa"/>
            <w:tcBorders>
              <w:left w:val="single" w:color="auto" w:sz="4" w:space="0"/>
            </w:tcBorders>
          </w:tcPr>
          <w:p>
            <w:pPr>
              <w:tabs>
                <w:tab w:val="left" w:pos="567"/>
              </w:tabs>
              <w:spacing w:line="240" w:lineRule="auto"/>
              <w:jc w:val="center"/>
              <w:rPr>
                <w:sz w:val="21"/>
                <w:szCs w:val="21"/>
              </w:rPr>
            </w:pPr>
            <w:r>
              <w:rPr>
                <w:sz w:val="21"/>
                <w:szCs w:val="21"/>
              </w:rPr>
              <w:t>1</w:t>
            </w:r>
          </w:p>
        </w:tc>
        <w:tc>
          <w:tcPr>
            <w:tcW w:w="1455" w:type="dxa"/>
          </w:tcPr>
          <w:p>
            <w:pPr>
              <w:pStyle w:val="20"/>
              <w:tabs>
                <w:tab w:val="left" w:pos="567"/>
              </w:tabs>
              <w:spacing w:line="240" w:lineRule="auto"/>
              <w:ind w:firstLine="0"/>
              <w:jc w:val="center"/>
              <w:rPr>
                <w:bCs/>
                <w:snapToGrid w:val="0"/>
                <w:spacing w:val="30"/>
                <w:kern w:val="0"/>
                <w:sz w:val="21"/>
                <w:szCs w:val="21"/>
              </w:rPr>
            </w:pPr>
            <w:r>
              <w:rPr>
                <w:bCs/>
                <w:snapToGrid w:val="0"/>
                <w:spacing w:val="30"/>
                <w:kern w:val="0"/>
                <w:sz w:val="21"/>
                <w:szCs w:val="21"/>
              </w:rPr>
              <w:t>原材料</w:t>
            </w:r>
          </w:p>
        </w:tc>
        <w:tc>
          <w:tcPr>
            <w:tcW w:w="3577" w:type="dxa"/>
          </w:tcPr>
          <w:p>
            <w:pPr>
              <w:tabs>
                <w:tab w:val="left" w:pos="567"/>
              </w:tabs>
              <w:spacing w:line="240" w:lineRule="auto"/>
              <w:jc w:val="center"/>
              <w:rPr>
                <w:sz w:val="21"/>
                <w:szCs w:val="21"/>
              </w:rPr>
            </w:pPr>
            <w:r>
              <w:rPr>
                <w:sz w:val="21"/>
                <w:szCs w:val="21"/>
              </w:rPr>
              <w:t>检查原材料质保书及实物</w:t>
            </w:r>
          </w:p>
        </w:tc>
        <w:tc>
          <w:tcPr>
            <w:tcW w:w="394" w:type="dxa"/>
          </w:tcPr>
          <w:p>
            <w:pPr>
              <w:tabs>
                <w:tab w:val="left" w:pos="567"/>
              </w:tabs>
              <w:spacing w:line="240" w:lineRule="auto"/>
              <w:jc w:val="center"/>
              <w:rPr>
                <w:sz w:val="21"/>
                <w:szCs w:val="21"/>
              </w:rPr>
            </w:pPr>
          </w:p>
        </w:tc>
        <w:tc>
          <w:tcPr>
            <w:tcW w:w="394" w:type="dxa"/>
          </w:tcPr>
          <w:p>
            <w:pPr>
              <w:tabs>
                <w:tab w:val="left" w:pos="567"/>
              </w:tabs>
              <w:spacing w:line="240" w:lineRule="auto"/>
              <w:jc w:val="center"/>
              <w:rPr>
                <w:sz w:val="21"/>
                <w:szCs w:val="21"/>
              </w:rPr>
            </w:pPr>
          </w:p>
        </w:tc>
        <w:tc>
          <w:tcPr>
            <w:tcW w:w="394" w:type="dxa"/>
          </w:tcPr>
          <w:p>
            <w:pPr>
              <w:tabs>
                <w:tab w:val="left" w:pos="567"/>
              </w:tabs>
              <w:spacing w:line="240" w:lineRule="auto"/>
              <w:jc w:val="center"/>
              <w:rPr>
                <w:sz w:val="21"/>
                <w:szCs w:val="21"/>
              </w:rPr>
            </w:pPr>
          </w:p>
        </w:tc>
        <w:tc>
          <w:tcPr>
            <w:tcW w:w="849" w:type="dxa"/>
            <w:tcBorders>
              <w:right w:val="single" w:color="auto" w:sz="4" w:space="0"/>
            </w:tcBorders>
          </w:tcPr>
          <w:p>
            <w:pPr>
              <w:tabs>
                <w:tab w:val="left" w:pos="567"/>
              </w:tabs>
              <w:spacing w:line="240" w:lineRule="auto"/>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0" w:hRule="atLeast"/>
          <w:jc w:val="center"/>
        </w:trPr>
        <w:tc>
          <w:tcPr>
            <w:tcW w:w="849" w:type="dxa"/>
            <w:tcBorders>
              <w:left w:val="single" w:color="auto" w:sz="4" w:space="0"/>
            </w:tcBorders>
          </w:tcPr>
          <w:p>
            <w:pPr>
              <w:tabs>
                <w:tab w:val="left" w:pos="567"/>
              </w:tabs>
              <w:spacing w:line="240" w:lineRule="auto"/>
              <w:jc w:val="center"/>
              <w:rPr>
                <w:sz w:val="21"/>
                <w:szCs w:val="21"/>
              </w:rPr>
            </w:pPr>
            <w:r>
              <w:rPr>
                <w:sz w:val="21"/>
                <w:szCs w:val="21"/>
              </w:rPr>
              <w:t>2</w:t>
            </w:r>
          </w:p>
        </w:tc>
        <w:tc>
          <w:tcPr>
            <w:tcW w:w="1455" w:type="dxa"/>
          </w:tcPr>
          <w:p>
            <w:pPr>
              <w:tabs>
                <w:tab w:val="left" w:pos="567"/>
              </w:tabs>
              <w:spacing w:line="240" w:lineRule="auto"/>
              <w:jc w:val="center"/>
              <w:rPr>
                <w:sz w:val="21"/>
                <w:szCs w:val="21"/>
              </w:rPr>
            </w:pPr>
            <w:r>
              <w:rPr>
                <w:sz w:val="21"/>
                <w:szCs w:val="21"/>
              </w:rPr>
              <w:t>部件装配</w:t>
            </w:r>
          </w:p>
        </w:tc>
        <w:tc>
          <w:tcPr>
            <w:tcW w:w="3577" w:type="dxa"/>
          </w:tcPr>
          <w:p>
            <w:pPr>
              <w:tabs>
                <w:tab w:val="left" w:pos="567"/>
              </w:tabs>
              <w:spacing w:line="240" w:lineRule="auto"/>
              <w:jc w:val="center"/>
              <w:rPr>
                <w:sz w:val="21"/>
                <w:szCs w:val="21"/>
              </w:rPr>
            </w:pPr>
            <w:r>
              <w:rPr>
                <w:sz w:val="21"/>
                <w:szCs w:val="21"/>
              </w:rPr>
              <w:t>检查装配间隙</w:t>
            </w:r>
          </w:p>
        </w:tc>
        <w:tc>
          <w:tcPr>
            <w:tcW w:w="394" w:type="dxa"/>
          </w:tcPr>
          <w:p>
            <w:pPr>
              <w:tabs>
                <w:tab w:val="left" w:pos="567"/>
              </w:tabs>
              <w:spacing w:line="240" w:lineRule="auto"/>
              <w:jc w:val="center"/>
              <w:rPr>
                <w:sz w:val="21"/>
                <w:szCs w:val="21"/>
              </w:rPr>
            </w:pPr>
          </w:p>
        </w:tc>
        <w:tc>
          <w:tcPr>
            <w:tcW w:w="394" w:type="dxa"/>
          </w:tcPr>
          <w:p>
            <w:pPr>
              <w:tabs>
                <w:tab w:val="left" w:pos="567"/>
              </w:tabs>
              <w:spacing w:line="240" w:lineRule="auto"/>
              <w:jc w:val="center"/>
              <w:rPr>
                <w:sz w:val="21"/>
                <w:szCs w:val="21"/>
              </w:rPr>
            </w:pPr>
          </w:p>
        </w:tc>
        <w:tc>
          <w:tcPr>
            <w:tcW w:w="394" w:type="dxa"/>
          </w:tcPr>
          <w:p>
            <w:pPr>
              <w:tabs>
                <w:tab w:val="left" w:pos="567"/>
              </w:tabs>
              <w:spacing w:line="240" w:lineRule="auto"/>
              <w:jc w:val="center"/>
              <w:rPr>
                <w:sz w:val="21"/>
                <w:szCs w:val="21"/>
              </w:rPr>
            </w:pPr>
          </w:p>
        </w:tc>
        <w:tc>
          <w:tcPr>
            <w:tcW w:w="849" w:type="dxa"/>
            <w:tcBorders>
              <w:right w:val="single" w:color="auto" w:sz="4" w:space="0"/>
            </w:tcBorders>
          </w:tcPr>
          <w:p>
            <w:pPr>
              <w:tabs>
                <w:tab w:val="left" w:pos="567"/>
              </w:tabs>
              <w:spacing w:line="240" w:lineRule="auto"/>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34" w:hRule="atLeast"/>
          <w:jc w:val="center"/>
        </w:trPr>
        <w:tc>
          <w:tcPr>
            <w:tcW w:w="849" w:type="dxa"/>
            <w:tcBorders>
              <w:left w:val="single" w:color="auto" w:sz="4" w:space="0"/>
            </w:tcBorders>
          </w:tcPr>
          <w:p>
            <w:pPr>
              <w:tabs>
                <w:tab w:val="left" w:pos="567"/>
              </w:tabs>
              <w:spacing w:line="240" w:lineRule="auto"/>
              <w:jc w:val="center"/>
              <w:rPr>
                <w:sz w:val="21"/>
                <w:szCs w:val="21"/>
              </w:rPr>
            </w:pPr>
            <w:r>
              <w:rPr>
                <w:sz w:val="21"/>
                <w:szCs w:val="21"/>
              </w:rPr>
              <w:t>3</w:t>
            </w:r>
          </w:p>
        </w:tc>
        <w:tc>
          <w:tcPr>
            <w:tcW w:w="1455" w:type="dxa"/>
          </w:tcPr>
          <w:p>
            <w:pPr>
              <w:tabs>
                <w:tab w:val="left" w:pos="567"/>
              </w:tabs>
              <w:spacing w:line="240" w:lineRule="auto"/>
              <w:jc w:val="center"/>
              <w:rPr>
                <w:sz w:val="21"/>
                <w:szCs w:val="21"/>
              </w:rPr>
            </w:pPr>
            <w:r>
              <w:rPr>
                <w:sz w:val="21"/>
                <w:szCs w:val="21"/>
              </w:rPr>
              <w:t>焊接</w:t>
            </w:r>
          </w:p>
        </w:tc>
        <w:tc>
          <w:tcPr>
            <w:tcW w:w="3577" w:type="dxa"/>
          </w:tcPr>
          <w:p>
            <w:pPr>
              <w:tabs>
                <w:tab w:val="left" w:pos="567"/>
              </w:tabs>
              <w:spacing w:line="240" w:lineRule="auto"/>
              <w:jc w:val="center"/>
              <w:rPr>
                <w:sz w:val="21"/>
                <w:szCs w:val="21"/>
              </w:rPr>
            </w:pPr>
            <w:r>
              <w:rPr>
                <w:sz w:val="21"/>
                <w:szCs w:val="21"/>
              </w:rPr>
              <w:t>检查是否按工艺要求操作</w:t>
            </w:r>
          </w:p>
        </w:tc>
        <w:tc>
          <w:tcPr>
            <w:tcW w:w="394" w:type="dxa"/>
          </w:tcPr>
          <w:p>
            <w:pPr>
              <w:tabs>
                <w:tab w:val="left" w:pos="567"/>
              </w:tabs>
              <w:spacing w:line="240" w:lineRule="auto"/>
              <w:jc w:val="center"/>
              <w:rPr>
                <w:sz w:val="21"/>
                <w:szCs w:val="21"/>
              </w:rPr>
            </w:pPr>
          </w:p>
        </w:tc>
        <w:tc>
          <w:tcPr>
            <w:tcW w:w="394" w:type="dxa"/>
          </w:tcPr>
          <w:p>
            <w:pPr>
              <w:tabs>
                <w:tab w:val="left" w:pos="567"/>
              </w:tabs>
              <w:spacing w:line="240" w:lineRule="auto"/>
              <w:jc w:val="center"/>
              <w:rPr>
                <w:sz w:val="21"/>
                <w:szCs w:val="21"/>
              </w:rPr>
            </w:pPr>
          </w:p>
        </w:tc>
        <w:tc>
          <w:tcPr>
            <w:tcW w:w="394" w:type="dxa"/>
          </w:tcPr>
          <w:p>
            <w:pPr>
              <w:tabs>
                <w:tab w:val="left" w:pos="567"/>
              </w:tabs>
              <w:spacing w:line="240" w:lineRule="auto"/>
              <w:jc w:val="center"/>
              <w:rPr>
                <w:sz w:val="21"/>
                <w:szCs w:val="21"/>
              </w:rPr>
            </w:pPr>
          </w:p>
        </w:tc>
        <w:tc>
          <w:tcPr>
            <w:tcW w:w="849" w:type="dxa"/>
            <w:tcBorders>
              <w:right w:val="single" w:color="auto" w:sz="4" w:space="0"/>
            </w:tcBorders>
          </w:tcPr>
          <w:p>
            <w:pPr>
              <w:tabs>
                <w:tab w:val="left" w:pos="567"/>
              </w:tabs>
              <w:spacing w:line="240" w:lineRule="auto"/>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66" w:hRule="atLeast"/>
          <w:jc w:val="center"/>
        </w:trPr>
        <w:tc>
          <w:tcPr>
            <w:tcW w:w="849" w:type="dxa"/>
            <w:tcBorders>
              <w:left w:val="single" w:color="auto" w:sz="4" w:space="0"/>
            </w:tcBorders>
          </w:tcPr>
          <w:p>
            <w:pPr>
              <w:tabs>
                <w:tab w:val="left" w:pos="567"/>
              </w:tabs>
              <w:spacing w:line="240" w:lineRule="auto"/>
              <w:jc w:val="center"/>
              <w:rPr>
                <w:sz w:val="21"/>
                <w:szCs w:val="21"/>
              </w:rPr>
            </w:pPr>
            <w:r>
              <w:rPr>
                <w:sz w:val="21"/>
                <w:szCs w:val="21"/>
              </w:rPr>
              <w:t>4</w:t>
            </w:r>
          </w:p>
        </w:tc>
        <w:tc>
          <w:tcPr>
            <w:tcW w:w="1455" w:type="dxa"/>
          </w:tcPr>
          <w:p>
            <w:pPr>
              <w:tabs>
                <w:tab w:val="left" w:pos="567"/>
              </w:tabs>
              <w:spacing w:line="240" w:lineRule="auto"/>
              <w:jc w:val="center"/>
              <w:rPr>
                <w:sz w:val="21"/>
                <w:szCs w:val="21"/>
              </w:rPr>
            </w:pPr>
            <w:r>
              <w:rPr>
                <w:sz w:val="21"/>
                <w:szCs w:val="21"/>
              </w:rPr>
              <w:t>检测</w:t>
            </w:r>
          </w:p>
        </w:tc>
        <w:tc>
          <w:tcPr>
            <w:tcW w:w="3577" w:type="dxa"/>
          </w:tcPr>
          <w:p>
            <w:pPr>
              <w:tabs>
                <w:tab w:val="left" w:pos="567"/>
              </w:tabs>
              <w:spacing w:line="240" w:lineRule="auto"/>
              <w:jc w:val="center"/>
              <w:rPr>
                <w:sz w:val="21"/>
                <w:szCs w:val="21"/>
              </w:rPr>
            </w:pPr>
            <w:r>
              <w:rPr>
                <w:sz w:val="21"/>
                <w:szCs w:val="21"/>
              </w:rPr>
              <w:t>是否按标准要求检查</w:t>
            </w:r>
          </w:p>
        </w:tc>
        <w:tc>
          <w:tcPr>
            <w:tcW w:w="394" w:type="dxa"/>
          </w:tcPr>
          <w:p>
            <w:pPr>
              <w:tabs>
                <w:tab w:val="left" w:pos="567"/>
              </w:tabs>
              <w:spacing w:line="240" w:lineRule="auto"/>
              <w:jc w:val="center"/>
              <w:rPr>
                <w:sz w:val="21"/>
                <w:szCs w:val="21"/>
              </w:rPr>
            </w:pPr>
          </w:p>
        </w:tc>
        <w:tc>
          <w:tcPr>
            <w:tcW w:w="394" w:type="dxa"/>
          </w:tcPr>
          <w:p>
            <w:pPr>
              <w:tabs>
                <w:tab w:val="left" w:pos="567"/>
              </w:tabs>
              <w:spacing w:line="240" w:lineRule="auto"/>
              <w:jc w:val="center"/>
              <w:rPr>
                <w:sz w:val="21"/>
                <w:szCs w:val="21"/>
              </w:rPr>
            </w:pPr>
          </w:p>
        </w:tc>
        <w:tc>
          <w:tcPr>
            <w:tcW w:w="394" w:type="dxa"/>
          </w:tcPr>
          <w:p>
            <w:pPr>
              <w:pStyle w:val="21"/>
              <w:tabs>
                <w:tab w:val="left" w:pos="567"/>
              </w:tabs>
              <w:spacing w:line="240" w:lineRule="auto"/>
              <w:ind w:left="480"/>
              <w:jc w:val="center"/>
              <w:rPr>
                <w:snapToGrid w:val="0"/>
                <w:spacing w:val="30"/>
                <w:sz w:val="21"/>
                <w:szCs w:val="21"/>
              </w:rPr>
            </w:pPr>
          </w:p>
        </w:tc>
        <w:tc>
          <w:tcPr>
            <w:tcW w:w="849" w:type="dxa"/>
            <w:tcBorders>
              <w:right w:val="single" w:color="auto" w:sz="4" w:space="0"/>
            </w:tcBorders>
          </w:tcPr>
          <w:p>
            <w:pPr>
              <w:tabs>
                <w:tab w:val="left" w:pos="567"/>
              </w:tabs>
              <w:spacing w:line="240" w:lineRule="auto"/>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66" w:hRule="atLeast"/>
          <w:jc w:val="center"/>
        </w:trPr>
        <w:tc>
          <w:tcPr>
            <w:tcW w:w="849" w:type="dxa"/>
            <w:tcBorders>
              <w:left w:val="single" w:color="auto" w:sz="4" w:space="0"/>
            </w:tcBorders>
          </w:tcPr>
          <w:p>
            <w:pPr>
              <w:tabs>
                <w:tab w:val="left" w:pos="567"/>
              </w:tabs>
              <w:spacing w:line="240" w:lineRule="auto"/>
              <w:jc w:val="center"/>
              <w:rPr>
                <w:sz w:val="21"/>
                <w:szCs w:val="21"/>
              </w:rPr>
            </w:pPr>
            <w:r>
              <w:rPr>
                <w:sz w:val="21"/>
                <w:szCs w:val="21"/>
              </w:rPr>
              <w:t>5</w:t>
            </w:r>
          </w:p>
        </w:tc>
        <w:tc>
          <w:tcPr>
            <w:tcW w:w="1455" w:type="dxa"/>
          </w:tcPr>
          <w:p>
            <w:pPr>
              <w:tabs>
                <w:tab w:val="left" w:pos="567"/>
              </w:tabs>
              <w:spacing w:line="240" w:lineRule="auto"/>
              <w:jc w:val="center"/>
              <w:rPr>
                <w:sz w:val="21"/>
                <w:szCs w:val="21"/>
              </w:rPr>
            </w:pPr>
            <w:r>
              <w:rPr>
                <w:sz w:val="21"/>
                <w:szCs w:val="21"/>
              </w:rPr>
              <w:t>减温器</w:t>
            </w:r>
          </w:p>
        </w:tc>
        <w:tc>
          <w:tcPr>
            <w:tcW w:w="3577" w:type="dxa"/>
          </w:tcPr>
          <w:p>
            <w:pPr>
              <w:tabs>
                <w:tab w:val="left" w:pos="567"/>
              </w:tabs>
              <w:spacing w:line="240" w:lineRule="auto"/>
              <w:jc w:val="center"/>
              <w:rPr>
                <w:sz w:val="21"/>
                <w:szCs w:val="21"/>
              </w:rPr>
            </w:pPr>
            <w:r>
              <w:rPr>
                <w:sz w:val="21"/>
                <w:szCs w:val="21"/>
              </w:rPr>
              <w:t>水压试验</w:t>
            </w:r>
          </w:p>
        </w:tc>
        <w:tc>
          <w:tcPr>
            <w:tcW w:w="394" w:type="dxa"/>
          </w:tcPr>
          <w:p>
            <w:pPr>
              <w:tabs>
                <w:tab w:val="left" w:pos="567"/>
              </w:tabs>
              <w:spacing w:line="240" w:lineRule="auto"/>
              <w:jc w:val="center"/>
              <w:rPr>
                <w:sz w:val="21"/>
                <w:szCs w:val="21"/>
              </w:rPr>
            </w:pPr>
          </w:p>
        </w:tc>
        <w:tc>
          <w:tcPr>
            <w:tcW w:w="394" w:type="dxa"/>
          </w:tcPr>
          <w:p>
            <w:pPr>
              <w:tabs>
                <w:tab w:val="left" w:pos="567"/>
              </w:tabs>
              <w:spacing w:line="240" w:lineRule="auto"/>
              <w:jc w:val="center"/>
              <w:rPr>
                <w:sz w:val="21"/>
                <w:szCs w:val="21"/>
              </w:rPr>
            </w:pPr>
          </w:p>
        </w:tc>
        <w:tc>
          <w:tcPr>
            <w:tcW w:w="394" w:type="dxa"/>
          </w:tcPr>
          <w:p>
            <w:pPr>
              <w:pStyle w:val="21"/>
              <w:tabs>
                <w:tab w:val="left" w:pos="567"/>
              </w:tabs>
              <w:spacing w:line="240" w:lineRule="auto"/>
              <w:ind w:left="480"/>
              <w:jc w:val="center"/>
              <w:rPr>
                <w:snapToGrid w:val="0"/>
                <w:spacing w:val="30"/>
                <w:sz w:val="21"/>
                <w:szCs w:val="21"/>
              </w:rPr>
            </w:pPr>
          </w:p>
        </w:tc>
        <w:tc>
          <w:tcPr>
            <w:tcW w:w="849" w:type="dxa"/>
            <w:tcBorders>
              <w:right w:val="single" w:color="auto" w:sz="4" w:space="0"/>
            </w:tcBorders>
          </w:tcPr>
          <w:p>
            <w:pPr>
              <w:tabs>
                <w:tab w:val="left" w:pos="567"/>
              </w:tabs>
              <w:spacing w:line="240" w:lineRule="auto"/>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15" w:hRule="atLeast"/>
          <w:jc w:val="center"/>
        </w:trPr>
        <w:tc>
          <w:tcPr>
            <w:tcW w:w="7912" w:type="dxa"/>
            <w:gridSpan w:val="7"/>
            <w:tcBorders>
              <w:left w:val="single" w:color="auto" w:sz="4" w:space="0"/>
              <w:bottom w:val="single" w:color="auto" w:sz="4" w:space="0"/>
              <w:right w:val="single" w:color="auto" w:sz="4" w:space="0"/>
            </w:tcBorders>
          </w:tcPr>
          <w:p>
            <w:pPr>
              <w:tabs>
                <w:tab w:val="left" w:pos="567"/>
              </w:tabs>
              <w:spacing w:line="240" w:lineRule="auto"/>
              <w:jc w:val="center"/>
              <w:rPr>
                <w:sz w:val="21"/>
                <w:szCs w:val="21"/>
              </w:rPr>
            </w:pPr>
            <w:r>
              <w:rPr>
                <w:sz w:val="21"/>
                <w:szCs w:val="21"/>
              </w:rPr>
              <w:t>注：H—停工待检，W—现场见证，R—文件见证，数量—检验数量</w:t>
            </w:r>
          </w:p>
        </w:tc>
      </w:tr>
    </w:tbl>
    <w:p>
      <w:pPr>
        <w:numPr>
          <w:ilvl w:val="2"/>
          <w:numId w:val="5"/>
        </w:numPr>
      </w:pPr>
      <w:r>
        <w:t>对供方配合监造的要求</w:t>
      </w:r>
    </w:p>
    <w:p>
      <w:pPr>
        <w:numPr>
          <w:ilvl w:val="3"/>
          <w:numId w:val="5"/>
        </w:numPr>
      </w:pPr>
      <w:r>
        <w:t>供方为现场监造人员提供配合。</w:t>
      </w:r>
    </w:p>
    <w:p>
      <w:r>
        <w:t>7.2.4.2 需方监造代表和采购方有权通过供方有关部门查（借）阅合同与本合同设备有关的标准、图纸、资料、工艺及检验记录（包括之间检验记录），如采购方认为有必要复印，供方应提方便。</w:t>
      </w:r>
    </w:p>
    <w:p>
      <w:r>
        <w:t>7.2.4.3需方监造人员在监造过程中如发现设备和材料缺陷或不符合规定的标准要求时，有权提出意见，供方应采取相应改进措施，以保证设备质量。无论需方是否要求和知道，供方均应主动及时向需方提供合同设备制造过程中出现的较大的质量缺陷和问题，不得隐瞒。在需方不知道的情况下供方不得擅自处理。</w:t>
      </w:r>
    </w:p>
    <w:p>
      <w:bookmarkStart w:id="44" w:name="_Toc16686232"/>
      <w:bookmarkStart w:id="45" w:name="_Toc70261429"/>
      <w:bookmarkStart w:id="46" w:name="_Toc447820238"/>
      <w:bookmarkStart w:id="47" w:name="_Toc447811364"/>
      <w:r>
        <w:t>7.3性能验收试验</w:t>
      </w:r>
      <w:bookmarkEnd w:id="44"/>
      <w:bookmarkEnd w:id="45"/>
      <w:bookmarkEnd w:id="46"/>
      <w:bookmarkEnd w:id="47"/>
    </w:p>
    <w:p>
      <w:r>
        <w:t>7.3.1性能验收试验的目的为了检验合同设备的所有性能是否符合技术规范中有关条款内容的要求。</w:t>
      </w:r>
    </w:p>
    <w:p>
      <w:r>
        <w:t>7.3.2性能验收试验的地点由合同确定，一般为需方现场。</w:t>
      </w:r>
    </w:p>
    <w:p>
      <w:r>
        <w:t>7.3.3性能试验的时间：投汽生产试运之后3个月内进行，具体试验时间由买供方协商确定。</w:t>
      </w:r>
    </w:p>
    <w:p>
      <w:r>
        <w:t>7.3.4 性能验收试验所需的测点、一次元件和就地仪表的装设应由组织方提供，参加方配合； 并应符合有关规程、规范和标准的规定，并经需方确认。供方也要提供试验所需的技术配合和人员配合。</w:t>
      </w:r>
    </w:p>
    <w:p>
      <w:pPr>
        <w:pStyle w:val="3"/>
        <w:numPr>
          <w:ilvl w:val="1"/>
          <w:numId w:val="6"/>
        </w:numPr>
        <w:tabs>
          <w:tab w:val="left" w:pos="360"/>
        </w:tabs>
      </w:pPr>
      <w:bookmarkStart w:id="48" w:name="_Toc148101353"/>
      <w:r>
        <w:t>制造、安装和性能验收试验的内容:</w:t>
      </w:r>
      <w:bookmarkEnd w:id="48"/>
    </w:p>
    <w:p>
      <w:pPr>
        <w:numPr>
          <w:ilvl w:val="2"/>
          <w:numId w:val="6"/>
        </w:numPr>
      </w:pPr>
      <w:r>
        <w:t>材料试验</w:t>
      </w:r>
    </w:p>
    <w:p>
      <w:pPr>
        <w:ind w:firstLine="360" w:firstLineChars="150"/>
      </w:pPr>
      <w:r>
        <w:t>设备材料应进行理化性能试验。</w:t>
      </w:r>
    </w:p>
    <w:p>
      <w:pPr>
        <w:numPr>
          <w:ilvl w:val="2"/>
          <w:numId w:val="6"/>
        </w:numPr>
      </w:pPr>
      <w:r>
        <w:t>工厂试验</w:t>
      </w:r>
    </w:p>
    <w:p>
      <w:pPr>
        <w:ind w:firstLine="360" w:firstLineChars="150"/>
      </w:pPr>
      <w:r>
        <w:t>供方应进行所有必要的工厂试验。</w:t>
      </w:r>
    </w:p>
    <w:p>
      <w:pPr>
        <w:numPr>
          <w:ilvl w:val="2"/>
          <w:numId w:val="6"/>
        </w:numPr>
      </w:pPr>
      <w:r>
        <w:t>现场试验</w:t>
      </w:r>
    </w:p>
    <w:p>
      <w:r>
        <w:t>（1）供方应满足需方提出的设计要求，并能在设计条件下长期安全运行。</w:t>
      </w:r>
    </w:p>
    <w:p>
      <w:pPr>
        <w:numPr>
          <w:ilvl w:val="0"/>
          <w:numId w:val="7"/>
        </w:numPr>
      </w:pPr>
      <w:r>
        <w:t>在进行这些试验的时候，供方派人到现场帮助，指导解决试验暴露的缺陷。</w:t>
      </w:r>
    </w:p>
    <w:p>
      <w:r>
        <w:t>7.5 性能验收试验由需方主持，供方参加。试验大纲由需方提供，与供方讨论后确定。具体试验由双方认可的测试部门完成。如试验在现场进行，需方负责组织和实施，供方进行配合；如试验在工厂进行，试验所需的人力和财力等由供方提供。</w:t>
      </w:r>
    </w:p>
    <w:p>
      <w:pPr>
        <w:pStyle w:val="3"/>
        <w:numPr>
          <w:ilvl w:val="0"/>
          <w:numId w:val="0"/>
        </w:numPr>
      </w:pPr>
      <w:bookmarkStart w:id="49" w:name="_Toc148101354"/>
      <w:r>
        <w:t>7.6性能验收试验结果的确认</w:t>
      </w:r>
      <w:bookmarkEnd w:id="49"/>
    </w:p>
    <w:p>
      <w:pPr>
        <w:ind w:firstLine="360" w:firstLineChars="150"/>
      </w:pPr>
      <w:r>
        <w:t>性能验收试验报告由测试单位编写，报告结论招投标双方均应承认。如双方对试验的结果有不一致意见，双方协商解决；如仍不能达成一致，则提交双方上级部门协商。</w:t>
      </w:r>
    </w:p>
    <w:p>
      <w:pPr>
        <w:ind w:firstLine="360" w:firstLineChars="150"/>
      </w:pPr>
      <w:r>
        <w:t>进行性能验收试验时，一方接到另一方试验通知而不派人参加试验，则被视为对验收试验结果的同意。</w:t>
      </w:r>
    </w:p>
    <w:p>
      <w:r>
        <w:t>7.7 如果由于供方责任，在经第二次性能验收试验后，合同设备仍不能达到本技术规范书所规定的一项或多项保证指标时，供方应按下述规定向需方支付性能保证违约金。</w:t>
      </w:r>
    </w:p>
    <w:p>
      <w:pPr>
        <w:pStyle w:val="2"/>
        <w:keepNext/>
        <w:keepLines/>
        <w:numPr>
          <w:ilvl w:val="0"/>
          <w:numId w:val="2"/>
        </w:numPr>
        <w:tabs>
          <w:tab w:val="left" w:pos="360"/>
        </w:tabs>
        <w:adjustRightInd w:val="0"/>
        <w:spacing w:before="120" w:beforeLines="50" w:after="156"/>
        <w:textAlignment w:val="baseline"/>
      </w:pPr>
      <w:bookmarkStart w:id="50" w:name="_Toc148101355"/>
      <w:r>
        <w:t>供方现场技术服务</w:t>
      </w:r>
      <w:bookmarkEnd w:id="50"/>
    </w:p>
    <w:p>
      <w:r>
        <w:rPr>
          <w:sz w:val="21"/>
          <w:szCs w:val="21"/>
        </w:rPr>
        <w:t xml:space="preserve">8.1 </w:t>
      </w:r>
      <w:r>
        <w:t>为保证所供设备的正确安装、启动、安全运行和性能指标，以及相互的工作联系，供方应按需方和现场实际要求及时派遣技术人员到现场进行技术服务。</w:t>
      </w:r>
    </w:p>
    <w:p>
      <w:r>
        <w:t>8.2服务人员计划表：</w:t>
      </w:r>
    </w:p>
    <w:tbl>
      <w:tblPr>
        <w:tblStyle w:val="25"/>
        <w:tblW w:w="836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773"/>
        <w:gridCol w:w="2173"/>
        <w:gridCol w:w="1823"/>
        <w:gridCol w:w="1200"/>
        <w:gridCol w:w="1200"/>
        <w:gridCol w:w="120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trHeight w:val="397" w:hRule="atLeast"/>
          <w:jc w:val="center"/>
        </w:trPr>
        <w:tc>
          <w:tcPr>
            <w:tcW w:w="773" w:type="dxa"/>
            <w:vMerge w:val="restart"/>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sz w:val="21"/>
                <w:szCs w:val="21"/>
              </w:rPr>
              <w:t>序号</w:t>
            </w:r>
          </w:p>
        </w:tc>
        <w:tc>
          <w:tcPr>
            <w:tcW w:w="2173" w:type="dxa"/>
            <w:vMerge w:val="restart"/>
            <w:tcBorders>
              <w:top w:val="single" w:color="auto" w:sz="6" w:space="0"/>
              <w:left w:val="nil"/>
              <w:bottom w:val="single" w:color="auto" w:sz="6" w:space="0"/>
              <w:right w:val="single" w:color="auto" w:sz="6" w:space="0"/>
            </w:tcBorders>
            <w:vAlign w:val="center"/>
          </w:tcPr>
          <w:p>
            <w:pPr>
              <w:jc w:val="center"/>
              <w:rPr>
                <w:sz w:val="21"/>
                <w:szCs w:val="21"/>
              </w:rPr>
            </w:pPr>
            <w:r>
              <w:rPr>
                <w:sz w:val="21"/>
                <w:szCs w:val="21"/>
              </w:rPr>
              <w:t>技术服务内容</w:t>
            </w:r>
          </w:p>
        </w:tc>
        <w:tc>
          <w:tcPr>
            <w:tcW w:w="1823" w:type="dxa"/>
            <w:vMerge w:val="restart"/>
            <w:tcBorders>
              <w:top w:val="single" w:color="auto" w:sz="6" w:space="0"/>
              <w:left w:val="nil"/>
              <w:bottom w:val="single" w:color="auto" w:sz="6" w:space="0"/>
              <w:right w:val="single" w:color="auto" w:sz="6" w:space="0"/>
            </w:tcBorders>
            <w:vAlign w:val="center"/>
          </w:tcPr>
          <w:p>
            <w:pPr>
              <w:jc w:val="center"/>
              <w:rPr>
                <w:sz w:val="21"/>
                <w:szCs w:val="21"/>
              </w:rPr>
            </w:pPr>
            <w:r>
              <w:rPr>
                <w:sz w:val="21"/>
                <w:szCs w:val="21"/>
              </w:rPr>
              <w:t>计划人月数</w:t>
            </w:r>
          </w:p>
        </w:tc>
        <w:tc>
          <w:tcPr>
            <w:tcW w:w="2400" w:type="dxa"/>
            <w:gridSpan w:val="2"/>
            <w:tcBorders>
              <w:top w:val="single" w:color="auto" w:sz="6" w:space="0"/>
              <w:left w:val="nil"/>
              <w:bottom w:val="single" w:color="auto" w:sz="6" w:space="0"/>
              <w:right w:val="nil"/>
            </w:tcBorders>
            <w:vAlign w:val="center"/>
          </w:tcPr>
          <w:p>
            <w:pPr>
              <w:jc w:val="center"/>
              <w:rPr>
                <w:sz w:val="21"/>
                <w:szCs w:val="21"/>
              </w:rPr>
            </w:pPr>
            <w:r>
              <w:rPr>
                <w:sz w:val="21"/>
                <w:szCs w:val="21"/>
              </w:rPr>
              <w:t>派出人员构成</w:t>
            </w:r>
          </w:p>
        </w:tc>
        <w:tc>
          <w:tcPr>
            <w:tcW w:w="1200" w:type="dxa"/>
            <w:vMerge w:val="restart"/>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sz w:val="21"/>
                <w:szCs w:val="21"/>
              </w:rPr>
              <w:t>备  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cantSplit/>
          <w:jc w:val="center"/>
        </w:trPr>
        <w:tc>
          <w:tcPr>
            <w:tcW w:w="773" w:type="dxa"/>
            <w:vMerge w:val="continue"/>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2173" w:type="dxa"/>
            <w:vMerge w:val="continue"/>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1823" w:type="dxa"/>
            <w:vMerge w:val="continue"/>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sz w:val="21"/>
                <w:szCs w:val="21"/>
              </w:rPr>
              <w:t>职  称</w:t>
            </w:r>
          </w:p>
        </w:tc>
        <w:tc>
          <w:tcPr>
            <w:tcW w:w="1200"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sz w:val="21"/>
                <w:szCs w:val="21"/>
              </w:rPr>
              <w:t>人  数</w:t>
            </w:r>
          </w:p>
        </w:tc>
        <w:tc>
          <w:tcPr>
            <w:tcW w:w="1200" w:type="dxa"/>
            <w:vMerge w:val="continue"/>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73"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sz w:val="21"/>
                <w:szCs w:val="21"/>
              </w:rPr>
              <w:t>1</w:t>
            </w:r>
          </w:p>
        </w:tc>
        <w:tc>
          <w:tcPr>
            <w:tcW w:w="2173"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1823"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73"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r>
              <w:rPr>
                <w:sz w:val="21"/>
                <w:szCs w:val="21"/>
              </w:rPr>
              <w:t>2</w:t>
            </w:r>
          </w:p>
        </w:tc>
        <w:tc>
          <w:tcPr>
            <w:tcW w:w="2173"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1823"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Ex>
        <w:trPr>
          <w:jc w:val="center"/>
        </w:trPr>
        <w:tc>
          <w:tcPr>
            <w:tcW w:w="773"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2173"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1823"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c>
          <w:tcPr>
            <w:tcW w:w="1200" w:type="dxa"/>
            <w:tcBorders>
              <w:top w:val="single" w:color="auto" w:sz="6" w:space="0"/>
              <w:left w:val="single" w:color="auto" w:sz="6" w:space="0"/>
              <w:bottom w:val="single" w:color="auto" w:sz="6" w:space="0"/>
              <w:right w:val="single" w:color="auto" w:sz="6" w:space="0"/>
            </w:tcBorders>
            <w:vAlign w:val="center"/>
          </w:tcPr>
          <w:p>
            <w:pPr>
              <w:jc w:val="center"/>
              <w:rPr>
                <w:sz w:val="21"/>
                <w:szCs w:val="21"/>
              </w:rPr>
            </w:pPr>
          </w:p>
        </w:tc>
      </w:tr>
    </w:tbl>
    <w:p>
      <w:pPr>
        <w:pStyle w:val="3"/>
        <w:numPr>
          <w:ilvl w:val="1"/>
          <w:numId w:val="8"/>
        </w:numPr>
        <w:tabs>
          <w:tab w:val="left" w:pos="360"/>
        </w:tabs>
      </w:pPr>
      <w:bookmarkStart w:id="51" w:name="_Toc128393201"/>
      <w:bookmarkStart w:id="52" w:name="_Toc148101356"/>
      <w:r>
        <w:t>供方现场技术服务人员所发生的一切费用包括工资、差旅费、住宿、办公及通讯联络等均包括在合同报价内。</w:t>
      </w:r>
      <w:bookmarkEnd w:id="51"/>
      <w:bookmarkEnd w:id="52"/>
    </w:p>
    <w:p>
      <w:pPr>
        <w:pStyle w:val="3"/>
        <w:numPr>
          <w:ilvl w:val="1"/>
          <w:numId w:val="8"/>
        </w:numPr>
        <w:tabs>
          <w:tab w:val="left" w:pos="360"/>
        </w:tabs>
      </w:pPr>
      <w:r>
        <w:t xml:space="preserve"> </w:t>
      </w:r>
      <w:bookmarkStart w:id="53" w:name="_Toc148101357"/>
      <w:bookmarkStart w:id="54" w:name="_Toc128393202"/>
      <w:r>
        <w:t>供方现场服务人员的条件：</w:t>
      </w:r>
      <w:bookmarkEnd w:id="53"/>
      <w:bookmarkEnd w:id="54"/>
    </w:p>
    <w:p>
      <w:pPr>
        <w:numPr>
          <w:ilvl w:val="2"/>
          <w:numId w:val="8"/>
        </w:numPr>
      </w:pPr>
      <w:r>
        <w:t>遵纪守法，遵守现场的各项规章和制度，熟悉并掌握现场和电厂有关安全方面的规章制度。</w:t>
      </w:r>
    </w:p>
    <w:p>
      <w:pPr>
        <w:numPr>
          <w:ilvl w:val="2"/>
          <w:numId w:val="8"/>
        </w:numPr>
      </w:pPr>
      <w:r>
        <w:t>工作责任心强，身体健康，适应现场工作条件。</w:t>
      </w:r>
    </w:p>
    <w:p>
      <w:pPr>
        <w:numPr>
          <w:ilvl w:val="2"/>
          <w:numId w:val="8"/>
        </w:numPr>
      </w:pPr>
      <w:r>
        <w:t>了解合同设备的设计，熟悉其结构，有三年以上相同或相近的现场工作经验，能够正确地进行现场指导。</w:t>
      </w:r>
    </w:p>
    <w:p>
      <w:pPr>
        <w:numPr>
          <w:ilvl w:val="2"/>
          <w:numId w:val="8"/>
        </w:numPr>
      </w:pPr>
      <w:r>
        <w:t xml:space="preserve"> 需方有权要求更换不称职的供方现场技术服务人员，供方应及时更换。</w:t>
      </w:r>
    </w:p>
    <w:p>
      <w:pPr>
        <w:numPr>
          <w:ilvl w:val="2"/>
          <w:numId w:val="8"/>
        </w:numPr>
      </w:pPr>
      <w:r>
        <w:t>国外技术人员到现场的语言交流翻译应由供方配备，外国专家在现场期间的管理由供方负责。</w:t>
      </w:r>
    </w:p>
    <w:p>
      <w:pPr>
        <w:numPr>
          <w:ilvl w:val="2"/>
          <w:numId w:val="8"/>
        </w:numPr>
      </w:pPr>
      <w:r>
        <w:t>在投标阶段，投标人须按下表提供现场服务人员的情况，由招标人确认。</w:t>
      </w:r>
    </w:p>
    <w:p>
      <w:pPr>
        <w:pStyle w:val="3"/>
        <w:numPr>
          <w:ilvl w:val="1"/>
          <w:numId w:val="8"/>
        </w:numPr>
        <w:tabs>
          <w:tab w:val="left" w:pos="360"/>
        </w:tabs>
      </w:pPr>
      <w:bookmarkStart w:id="55" w:name="_Toc148101358"/>
      <w:bookmarkStart w:id="56" w:name="_Toc128393203"/>
      <w:r>
        <w:t>供方现场服务人员的职责</w:t>
      </w:r>
      <w:bookmarkEnd w:id="55"/>
      <w:bookmarkEnd w:id="56"/>
    </w:p>
    <w:p>
      <w:r>
        <w:t>8.5.1  供方现场服务人员的任务主要包括设备催交、货物的开箱检验及买卖双方的日常技术联络。在设备开始安装后的任务为指导安装和调试工作，监督工程质量及调试质量，并符合工厂设计要求，处理设备缺陷及设计变更等，后期要参加试运行和性能考核试验。</w:t>
      </w:r>
    </w:p>
    <w:p>
      <w:r>
        <w:t xml:space="preserve">8.5.2  在安装和调试前，供方技术服务人员应向需方进行设计意图和安装程序及安装要点的技术交底和解释，必要时进行示范操作。对重要工作项目应实行每个工序的检查指导和监督，实行工序签证制度，否则，需方不能进行下一道工序。经供方签证的工序如因供方技术服务人员的指导错误而发生的问题，由供方负全部责任。供方对重要工作项目的认定，填写下表： </w:t>
      </w:r>
    </w:p>
    <w:p>
      <w:pPr>
        <w:ind w:left="2248" w:firstLine="281"/>
      </w:pPr>
      <w:r>
        <w:t>供方提供的安装、调试重要工序表</w:t>
      </w:r>
    </w:p>
    <w:tbl>
      <w:tblPr>
        <w:tblStyle w:val="25"/>
        <w:tblW w:w="82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625"/>
        <w:gridCol w:w="5010"/>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48" w:type="dxa"/>
            <w:vAlign w:val="center"/>
          </w:tcPr>
          <w:p>
            <w:pPr>
              <w:pStyle w:val="15"/>
              <w:ind w:left="0" w:leftChars="0"/>
              <w:jc w:val="center"/>
              <w:rPr>
                <w:rFonts w:asciiTheme="minorEastAsia" w:hAnsiTheme="minorEastAsia" w:eastAsiaTheme="minorEastAsia"/>
                <w:sz w:val="21"/>
                <w:szCs w:val="21"/>
              </w:rPr>
            </w:pPr>
            <w:r>
              <w:rPr>
                <w:rFonts w:asciiTheme="minorEastAsia" w:hAnsiTheme="minorEastAsia" w:eastAsiaTheme="minorEastAsia"/>
                <w:sz w:val="21"/>
                <w:szCs w:val="21"/>
              </w:rPr>
              <w:t>序号</w:t>
            </w:r>
          </w:p>
        </w:tc>
        <w:tc>
          <w:tcPr>
            <w:tcW w:w="1625" w:type="dxa"/>
            <w:vAlign w:val="center"/>
          </w:tcPr>
          <w:p>
            <w:pPr>
              <w:pStyle w:val="15"/>
              <w:ind w:left="0" w:leftChars="0"/>
              <w:jc w:val="left"/>
              <w:rPr>
                <w:rFonts w:asciiTheme="minorEastAsia" w:hAnsiTheme="minorEastAsia" w:eastAsiaTheme="minorEastAsia"/>
                <w:sz w:val="21"/>
                <w:szCs w:val="21"/>
              </w:rPr>
            </w:pPr>
            <w:r>
              <w:rPr>
                <w:rFonts w:asciiTheme="minorEastAsia" w:hAnsiTheme="minorEastAsia" w:eastAsiaTheme="minorEastAsia"/>
                <w:sz w:val="21"/>
                <w:szCs w:val="21"/>
              </w:rPr>
              <w:t>工序名称</w:t>
            </w:r>
          </w:p>
        </w:tc>
        <w:tc>
          <w:tcPr>
            <w:tcW w:w="5010" w:type="dxa"/>
            <w:vAlign w:val="center"/>
          </w:tcPr>
          <w:p>
            <w:pPr>
              <w:pStyle w:val="15"/>
              <w:ind w:left="0" w:leftChars="0"/>
              <w:jc w:val="left"/>
              <w:rPr>
                <w:rFonts w:asciiTheme="minorEastAsia" w:hAnsiTheme="minorEastAsia" w:eastAsiaTheme="minorEastAsia"/>
                <w:sz w:val="21"/>
                <w:szCs w:val="21"/>
              </w:rPr>
            </w:pPr>
            <w:r>
              <w:rPr>
                <w:rFonts w:asciiTheme="minorEastAsia" w:hAnsiTheme="minorEastAsia" w:eastAsiaTheme="minorEastAsia"/>
                <w:sz w:val="21"/>
                <w:szCs w:val="21"/>
              </w:rPr>
              <w:t>工序主要内容</w:t>
            </w:r>
          </w:p>
        </w:tc>
        <w:tc>
          <w:tcPr>
            <w:tcW w:w="765" w:type="dxa"/>
          </w:tcPr>
          <w:p>
            <w:pPr>
              <w:pStyle w:val="24"/>
              <w:spacing w:after="0"/>
              <w:ind w:firstLine="0" w:firstLineChars="0"/>
              <w:jc w:val="left"/>
              <w:rPr>
                <w:rFonts w:asciiTheme="minorEastAsia" w:hAnsiTheme="minorEastAsia" w:eastAsiaTheme="minorEastAsia"/>
                <w:sz w:val="21"/>
                <w:szCs w:val="21"/>
              </w:rPr>
            </w:pPr>
            <w:r>
              <w:rPr>
                <w:rFonts w:asciiTheme="minorEastAsia" w:hAnsiTheme="minorEastAsia" w:eastAsia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848"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1625" w:type="dxa"/>
            <w:vAlign w:val="center"/>
          </w:tcPr>
          <w:p>
            <w:pPr>
              <w:pStyle w:val="15"/>
              <w:ind w:left="0" w:leftChars="0"/>
              <w:jc w:val="left"/>
              <w:rPr>
                <w:rFonts w:asciiTheme="minorEastAsia" w:hAnsiTheme="minorEastAsia" w:eastAsiaTheme="minorEastAsia"/>
                <w:sz w:val="21"/>
                <w:szCs w:val="21"/>
              </w:rPr>
            </w:pPr>
            <w:r>
              <w:rPr>
                <w:rFonts w:asciiTheme="minorEastAsia" w:hAnsiTheme="minorEastAsia" w:eastAsiaTheme="minorEastAsia"/>
                <w:sz w:val="21"/>
                <w:szCs w:val="21"/>
              </w:rPr>
              <w:t>设备安装</w:t>
            </w:r>
          </w:p>
        </w:tc>
        <w:tc>
          <w:tcPr>
            <w:tcW w:w="5010" w:type="dxa"/>
            <w:vAlign w:val="center"/>
          </w:tcPr>
          <w:p>
            <w:pPr>
              <w:jc w:val="left"/>
              <w:rPr>
                <w:rFonts w:asciiTheme="minorEastAsia" w:hAnsiTheme="minorEastAsia" w:eastAsiaTheme="minorEastAsia"/>
                <w:sz w:val="21"/>
                <w:szCs w:val="21"/>
              </w:rPr>
            </w:pPr>
            <w:r>
              <w:rPr>
                <w:rFonts w:asciiTheme="minorEastAsia" w:hAnsiTheme="minorEastAsia" w:eastAsiaTheme="minorEastAsia"/>
                <w:sz w:val="21"/>
                <w:szCs w:val="21"/>
              </w:rPr>
              <w:t>指导安装、协助解决安装过程出</w:t>
            </w:r>
          </w:p>
          <w:p>
            <w:pPr>
              <w:jc w:val="left"/>
              <w:rPr>
                <w:rFonts w:asciiTheme="minorEastAsia" w:hAnsiTheme="minorEastAsia" w:eastAsiaTheme="minorEastAsia"/>
                <w:sz w:val="21"/>
                <w:szCs w:val="21"/>
              </w:rPr>
            </w:pPr>
            <w:r>
              <w:rPr>
                <w:rFonts w:asciiTheme="minorEastAsia" w:hAnsiTheme="minorEastAsia" w:eastAsiaTheme="minorEastAsia"/>
                <w:sz w:val="21"/>
                <w:szCs w:val="21"/>
              </w:rPr>
              <w:t>现的设计修改、碰撞等问题</w:t>
            </w:r>
          </w:p>
        </w:tc>
        <w:tc>
          <w:tcPr>
            <w:tcW w:w="765" w:type="dxa"/>
          </w:tcPr>
          <w:p>
            <w:pPr>
              <w:pStyle w:val="24"/>
              <w:spacing w:after="0"/>
              <w:ind w:firstLine="0" w:firstLineChars="0"/>
              <w:jc w:val="lef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48"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1625" w:type="dxa"/>
            <w:vAlign w:val="center"/>
          </w:tcPr>
          <w:p>
            <w:pPr>
              <w:jc w:val="left"/>
              <w:rPr>
                <w:rFonts w:asciiTheme="minorEastAsia" w:hAnsiTheme="minorEastAsia" w:eastAsiaTheme="minorEastAsia"/>
                <w:sz w:val="21"/>
                <w:szCs w:val="21"/>
              </w:rPr>
            </w:pPr>
            <w:r>
              <w:rPr>
                <w:rFonts w:asciiTheme="minorEastAsia" w:hAnsiTheme="minorEastAsia" w:eastAsiaTheme="minorEastAsia"/>
                <w:sz w:val="21"/>
                <w:szCs w:val="21"/>
              </w:rPr>
              <w:t>试运行</w:t>
            </w:r>
          </w:p>
        </w:tc>
        <w:tc>
          <w:tcPr>
            <w:tcW w:w="5010" w:type="dxa"/>
            <w:vAlign w:val="center"/>
          </w:tcPr>
          <w:p>
            <w:pPr>
              <w:jc w:val="left"/>
              <w:rPr>
                <w:rFonts w:asciiTheme="minorEastAsia" w:hAnsiTheme="minorEastAsia" w:eastAsiaTheme="minorEastAsia"/>
                <w:sz w:val="21"/>
                <w:szCs w:val="21"/>
              </w:rPr>
            </w:pPr>
            <w:r>
              <w:rPr>
                <w:rFonts w:asciiTheme="minorEastAsia" w:hAnsiTheme="minorEastAsia" w:eastAsiaTheme="minorEastAsia"/>
                <w:sz w:val="21"/>
                <w:szCs w:val="21"/>
              </w:rPr>
              <w:t>装置全面工作，进行初始运行</w:t>
            </w:r>
          </w:p>
        </w:tc>
        <w:tc>
          <w:tcPr>
            <w:tcW w:w="765" w:type="dxa"/>
          </w:tcPr>
          <w:p>
            <w:pPr>
              <w:pStyle w:val="24"/>
              <w:spacing w:after="0"/>
              <w:ind w:firstLine="0" w:firstLineChars="0"/>
              <w:jc w:val="left"/>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48" w:type="dxa"/>
            <w:vAlign w:val="center"/>
          </w:tcPr>
          <w:p>
            <w:pPr>
              <w:jc w:val="center"/>
              <w:rPr>
                <w:rFonts w:asciiTheme="minorEastAsia" w:hAnsiTheme="minorEastAsia" w:eastAsiaTheme="minorEastAsia"/>
                <w:sz w:val="21"/>
                <w:szCs w:val="21"/>
              </w:rPr>
            </w:pPr>
            <w:r>
              <w:rPr>
                <w:rFonts w:asciiTheme="minorEastAsia" w:hAnsiTheme="minorEastAsia" w:eastAsiaTheme="minorEastAsia"/>
                <w:sz w:val="21"/>
                <w:szCs w:val="21"/>
              </w:rPr>
              <w:t>3</w:t>
            </w:r>
          </w:p>
        </w:tc>
        <w:tc>
          <w:tcPr>
            <w:tcW w:w="1625" w:type="dxa"/>
            <w:vAlign w:val="center"/>
          </w:tcPr>
          <w:p>
            <w:pPr>
              <w:pStyle w:val="15"/>
              <w:ind w:left="0" w:leftChars="0"/>
              <w:jc w:val="left"/>
              <w:rPr>
                <w:rFonts w:asciiTheme="minorEastAsia" w:hAnsiTheme="minorEastAsia" w:eastAsiaTheme="minorEastAsia"/>
                <w:sz w:val="21"/>
                <w:szCs w:val="21"/>
              </w:rPr>
            </w:pPr>
            <w:r>
              <w:rPr>
                <w:rFonts w:asciiTheme="minorEastAsia" w:hAnsiTheme="minorEastAsia" w:eastAsiaTheme="minorEastAsia"/>
                <w:sz w:val="21"/>
                <w:szCs w:val="21"/>
              </w:rPr>
              <w:t>性能试验</w:t>
            </w:r>
          </w:p>
        </w:tc>
        <w:tc>
          <w:tcPr>
            <w:tcW w:w="5010" w:type="dxa"/>
            <w:vAlign w:val="center"/>
          </w:tcPr>
          <w:p>
            <w:pPr>
              <w:jc w:val="left"/>
              <w:rPr>
                <w:rFonts w:asciiTheme="minorEastAsia" w:hAnsiTheme="minorEastAsia" w:eastAsiaTheme="minorEastAsia"/>
                <w:sz w:val="21"/>
                <w:szCs w:val="21"/>
              </w:rPr>
            </w:pPr>
            <w:r>
              <w:rPr>
                <w:rFonts w:asciiTheme="minorEastAsia" w:hAnsiTheme="minorEastAsia" w:eastAsiaTheme="minorEastAsia"/>
                <w:sz w:val="21"/>
                <w:szCs w:val="21"/>
              </w:rPr>
              <w:t>对系统进行综合检验，判断是</w:t>
            </w:r>
          </w:p>
          <w:p>
            <w:pPr>
              <w:jc w:val="left"/>
              <w:rPr>
                <w:rFonts w:asciiTheme="minorEastAsia" w:hAnsiTheme="minorEastAsia" w:eastAsiaTheme="minorEastAsia"/>
                <w:sz w:val="21"/>
                <w:szCs w:val="21"/>
              </w:rPr>
            </w:pPr>
            <w:r>
              <w:rPr>
                <w:rFonts w:asciiTheme="minorEastAsia" w:hAnsiTheme="minorEastAsia" w:eastAsiaTheme="minorEastAsia"/>
                <w:sz w:val="21"/>
                <w:szCs w:val="21"/>
              </w:rPr>
              <w:t>否符合要求</w:t>
            </w:r>
          </w:p>
        </w:tc>
        <w:tc>
          <w:tcPr>
            <w:tcW w:w="765" w:type="dxa"/>
          </w:tcPr>
          <w:p>
            <w:pPr>
              <w:pStyle w:val="24"/>
              <w:spacing w:after="0"/>
              <w:ind w:firstLine="0" w:firstLineChars="0"/>
              <w:jc w:val="left"/>
              <w:rPr>
                <w:rFonts w:asciiTheme="minorEastAsia" w:hAnsiTheme="minorEastAsia" w:eastAsiaTheme="minorEastAsia"/>
                <w:sz w:val="21"/>
                <w:szCs w:val="21"/>
              </w:rPr>
            </w:pPr>
          </w:p>
        </w:tc>
      </w:tr>
    </w:tbl>
    <w:p>
      <w:r>
        <w:t>8.5.3 供方现场服务人员应有权全权处理现场出现的一切技术和商务问题。如现场发生质量问题或有重大设计变更，供方现场人员要在需方规定的时间内予以解决。如供方委托需方进行处理，要出具委托书并承担相应的经济责任。</w:t>
      </w:r>
    </w:p>
    <w:p>
      <w:r>
        <w:t>8.5.4供方现场服务人员的正常来去和更换应事先与需方协商。</w:t>
      </w:r>
    </w:p>
    <w:p>
      <w:r>
        <w:t>8.5.5供方对其现场服务人员的一切行为负全部责任。</w:t>
      </w:r>
    </w:p>
    <w:p>
      <w:r>
        <w:t>8.5.6 供方现场技术服务应保证所供设备的正确安装、单体调试、整套启动及安全运行的需要，供方在接到需方书面通知的48h之内，技术服务人员必须到达现场进行服务。</w:t>
      </w:r>
    </w:p>
    <w:p>
      <w:pPr>
        <w:pStyle w:val="3"/>
        <w:numPr>
          <w:ilvl w:val="0"/>
          <w:numId w:val="0"/>
        </w:numPr>
      </w:pPr>
      <w:bookmarkStart w:id="57" w:name="_Toc148101359"/>
      <w:bookmarkStart w:id="58" w:name="_Toc128393204"/>
      <w:r>
        <w:t>8.6 需方的义务</w:t>
      </w:r>
      <w:bookmarkEnd w:id="57"/>
      <w:bookmarkEnd w:id="58"/>
    </w:p>
    <w:p>
      <w:pPr>
        <w:ind w:firstLine="120" w:firstLineChars="50"/>
      </w:pPr>
      <w:r>
        <w:t>需方要配合供方现场服务人员的工作，并在生活、交通和通讯上提供方便，费用自理。</w:t>
      </w:r>
    </w:p>
    <w:p>
      <w:pPr>
        <w:ind w:firstLine="480"/>
      </w:pPr>
    </w:p>
    <w:p>
      <w:pPr>
        <w:ind w:firstLine="480"/>
      </w:pPr>
      <w:r>
        <w:br w:type="page"/>
      </w:r>
    </w:p>
    <w:p>
      <w:pPr>
        <w:ind w:firstLine="480"/>
      </w:pPr>
      <w:r>
        <w:t>（签字页，本页无正文）</w:t>
      </w:r>
    </w:p>
    <w:p>
      <w:pPr>
        <w:spacing w:after="120" w:afterLines="50"/>
        <w:ind w:firstLine="562"/>
        <w:jc w:val="left"/>
        <w:rPr>
          <w:b/>
          <w:sz w:val="28"/>
          <w:szCs w:val="28"/>
        </w:rPr>
      </w:pPr>
    </w:p>
    <w:p>
      <w:pPr>
        <w:spacing w:after="120" w:afterLines="50" w:line="400" w:lineRule="exact"/>
        <w:ind w:firstLine="562"/>
        <w:jc w:val="left"/>
        <w:rPr>
          <w:b/>
          <w:sz w:val="28"/>
          <w:szCs w:val="28"/>
        </w:rPr>
      </w:pPr>
      <w:r>
        <w:rPr>
          <w:b/>
          <w:sz w:val="28"/>
          <w:szCs w:val="28"/>
        </w:rPr>
        <w:t>需  方：中机国际工程设计研究院有限责任公司</w:t>
      </w:r>
    </w:p>
    <w:p>
      <w:pPr>
        <w:spacing w:after="120" w:afterLines="50" w:line="400" w:lineRule="exact"/>
        <w:ind w:firstLine="562"/>
        <w:jc w:val="left"/>
        <w:rPr>
          <w:b/>
          <w:sz w:val="28"/>
          <w:szCs w:val="28"/>
        </w:rPr>
      </w:pPr>
      <w:r>
        <w:rPr>
          <w:b/>
          <w:sz w:val="28"/>
          <w:szCs w:val="28"/>
        </w:rPr>
        <w:t>授权代表：</w:t>
      </w:r>
    </w:p>
    <w:p>
      <w:pPr>
        <w:spacing w:after="120" w:afterLines="50" w:line="400" w:lineRule="exact"/>
        <w:ind w:firstLine="562"/>
        <w:jc w:val="left"/>
        <w:rPr>
          <w:b/>
          <w:sz w:val="28"/>
          <w:szCs w:val="28"/>
        </w:rPr>
      </w:pPr>
      <w:r>
        <w:rPr>
          <w:b/>
          <w:sz w:val="28"/>
          <w:szCs w:val="28"/>
        </w:rPr>
        <w:t>地址：长沙市韶山中路18号</w:t>
      </w:r>
    </w:p>
    <w:p>
      <w:pPr>
        <w:spacing w:after="120" w:afterLines="50" w:line="400" w:lineRule="exact"/>
        <w:ind w:firstLine="562"/>
        <w:jc w:val="left"/>
        <w:rPr>
          <w:b/>
          <w:sz w:val="28"/>
          <w:szCs w:val="28"/>
        </w:rPr>
      </w:pPr>
      <w:r>
        <w:rPr>
          <w:b/>
          <w:sz w:val="28"/>
          <w:szCs w:val="28"/>
        </w:rPr>
        <w:t>电话：</w:t>
      </w:r>
      <w:r>
        <w:rPr>
          <w:rFonts w:hint="eastAsia"/>
          <w:b/>
          <w:sz w:val="28"/>
          <w:szCs w:val="28"/>
        </w:rPr>
        <w:t>0731-</w:t>
      </w:r>
      <w:r>
        <w:rPr>
          <w:b/>
          <w:sz w:val="28"/>
          <w:szCs w:val="28"/>
        </w:rPr>
        <w:t xml:space="preserve"> 85383534</w:t>
      </w:r>
    </w:p>
    <w:p>
      <w:pPr>
        <w:spacing w:after="120" w:afterLines="50" w:line="400" w:lineRule="exact"/>
        <w:ind w:firstLine="562"/>
        <w:jc w:val="left"/>
        <w:rPr>
          <w:b/>
          <w:sz w:val="28"/>
          <w:szCs w:val="28"/>
        </w:rPr>
      </w:pPr>
      <w:r>
        <w:rPr>
          <w:b/>
          <w:sz w:val="28"/>
          <w:szCs w:val="28"/>
        </w:rPr>
        <w:t>邮箱：luozhelin@</w:t>
      </w:r>
      <w:r>
        <w:rPr>
          <w:rFonts w:hint="eastAsia"/>
          <w:b/>
          <w:sz w:val="28"/>
          <w:szCs w:val="28"/>
        </w:rPr>
        <w:t>qq</w:t>
      </w:r>
      <w:r>
        <w:rPr>
          <w:b/>
          <w:sz w:val="28"/>
          <w:szCs w:val="28"/>
        </w:rPr>
        <w:t>.com</w:t>
      </w:r>
    </w:p>
    <w:p>
      <w:pPr>
        <w:spacing w:after="120" w:afterLines="50"/>
        <w:ind w:firstLine="562"/>
        <w:jc w:val="left"/>
        <w:rPr>
          <w:b/>
          <w:sz w:val="28"/>
          <w:szCs w:val="28"/>
        </w:rPr>
      </w:pPr>
    </w:p>
    <w:p>
      <w:pPr>
        <w:spacing w:after="120" w:afterLines="50"/>
        <w:ind w:firstLine="562"/>
        <w:jc w:val="left"/>
        <w:rPr>
          <w:b/>
          <w:sz w:val="28"/>
          <w:szCs w:val="28"/>
        </w:rPr>
      </w:pPr>
    </w:p>
    <w:p>
      <w:pPr>
        <w:spacing w:after="120" w:afterLines="50" w:line="400" w:lineRule="exact"/>
        <w:ind w:firstLine="562"/>
        <w:jc w:val="left"/>
        <w:rPr>
          <w:b/>
          <w:sz w:val="28"/>
          <w:szCs w:val="28"/>
        </w:rPr>
      </w:pPr>
      <w:r>
        <w:rPr>
          <w:b/>
          <w:sz w:val="28"/>
          <w:szCs w:val="28"/>
        </w:rPr>
        <w:t xml:space="preserve">供  方： </w:t>
      </w:r>
    </w:p>
    <w:p>
      <w:pPr>
        <w:spacing w:after="120" w:afterLines="50" w:line="400" w:lineRule="exact"/>
        <w:ind w:firstLine="562"/>
        <w:jc w:val="left"/>
        <w:rPr>
          <w:b/>
          <w:sz w:val="28"/>
          <w:szCs w:val="28"/>
        </w:rPr>
      </w:pPr>
      <w:r>
        <w:rPr>
          <w:b/>
          <w:sz w:val="28"/>
          <w:szCs w:val="28"/>
        </w:rPr>
        <w:t>授权代表：</w:t>
      </w:r>
    </w:p>
    <w:p>
      <w:pPr>
        <w:spacing w:after="120" w:afterLines="50" w:line="400" w:lineRule="exact"/>
        <w:ind w:firstLine="562"/>
        <w:jc w:val="left"/>
        <w:rPr>
          <w:rFonts w:hint="eastAsia"/>
          <w:b/>
          <w:sz w:val="28"/>
          <w:szCs w:val="28"/>
        </w:rPr>
      </w:pPr>
      <w:r>
        <w:rPr>
          <w:b/>
          <w:sz w:val="28"/>
          <w:szCs w:val="28"/>
        </w:rPr>
        <w:t>地址：</w:t>
      </w:r>
    </w:p>
    <w:p>
      <w:pPr>
        <w:spacing w:after="120" w:afterLines="50" w:line="400" w:lineRule="exact"/>
        <w:ind w:firstLine="562"/>
        <w:jc w:val="left"/>
        <w:rPr>
          <w:b/>
          <w:sz w:val="28"/>
          <w:szCs w:val="28"/>
        </w:rPr>
      </w:pPr>
      <w:r>
        <w:rPr>
          <w:b/>
          <w:sz w:val="28"/>
          <w:szCs w:val="28"/>
        </w:rPr>
        <w:t>电话：</w:t>
      </w:r>
    </w:p>
    <w:p>
      <w:pPr>
        <w:spacing w:after="120" w:afterLines="50" w:line="400" w:lineRule="exact"/>
        <w:ind w:firstLine="562"/>
        <w:jc w:val="left"/>
        <w:rPr>
          <w:b/>
          <w:sz w:val="28"/>
          <w:szCs w:val="28"/>
        </w:rPr>
      </w:pPr>
      <w:r>
        <w:rPr>
          <w:b/>
          <w:sz w:val="28"/>
          <w:szCs w:val="28"/>
        </w:rPr>
        <w:t>邮箱：</w:t>
      </w:r>
    </w:p>
    <w:p>
      <w:pPr>
        <w:spacing w:after="120" w:afterLines="50" w:line="400" w:lineRule="exact"/>
        <w:ind w:firstLine="562"/>
        <w:jc w:val="left"/>
        <w:rPr>
          <w:b/>
          <w:color w:val="000000" w:themeColor="text1"/>
          <w:sz w:val="28"/>
          <w:szCs w:val="28"/>
          <w14:textFill>
            <w14:solidFill>
              <w14:schemeClr w14:val="tx1"/>
            </w14:solidFill>
          </w14:textFill>
        </w:rPr>
      </w:pPr>
    </w:p>
    <w:p>
      <w:pPr>
        <w:spacing w:after="120" w:afterLines="50" w:line="400" w:lineRule="exact"/>
        <w:ind w:firstLine="562"/>
        <w:jc w:val="left"/>
        <w:rPr>
          <w:b/>
          <w:color w:val="000000" w:themeColor="text1"/>
          <w14:textFill>
            <w14:solidFill>
              <w14:schemeClr w14:val="tx1"/>
            </w14:solidFill>
          </w14:textFill>
        </w:rPr>
      </w:pPr>
      <w:r>
        <w:rPr>
          <w:b/>
          <w:color w:val="000000" w:themeColor="text1"/>
          <w:sz w:val="28"/>
          <w:szCs w:val="28"/>
          <w14:textFill>
            <w14:solidFill>
              <w14:schemeClr w14:val="tx1"/>
            </w14:solidFill>
          </w14:textFill>
        </w:rPr>
        <w:t>签字日期：     年   月   日</w:t>
      </w:r>
    </w:p>
    <w:p>
      <w:pPr>
        <w:ind w:firstLine="480" w:firstLineChars="200"/>
      </w:pPr>
    </w:p>
    <w:sectPr>
      <w:pgSz w:w="11907" w:h="16839"/>
      <w:pgMar w:top="1474" w:right="1418" w:bottom="1134" w:left="1418" w:header="850" w:footer="737" w:gutter="0"/>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7264666"/>
      <w:docPartObj>
        <w:docPartGallery w:val="AutoText"/>
      </w:docPartObj>
    </w:sdtPr>
    <w:sdtContent>
      <w:p>
        <w:pPr>
          <w:pStyle w:val="17"/>
          <w:jc w:val="center"/>
        </w:pPr>
        <w:r>
          <w:fldChar w:fldCharType="begin"/>
        </w:r>
        <w:r>
          <w:instrText xml:space="preserve">PAGE   \* MERGEFORMAT</w:instrText>
        </w:r>
        <w:r>
          <w:fldChar w:fldCharType="separate"/>
        </w:r>
        <w:r>
          <w:rPr>
            <w:lang w:val="zh-CN"/>
          </w:rPr>
          <w:t>I</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2046777"/>
    </w:sdtPr>
    <w:sdtContent>
      <w:p>
        <w:pPr>
          <w:pStyle w:val="17"/>
          <w:jc w:val="center"/>
        </w:pPr>
        <w:r>
          <w:rPr>
            <w:rFonts w:cs="Times New Roman"/>
            <w:sz w:val="21"/>
            <w:szCs w:val="21"/>
          </w:rPr>
          <w:fldChar w:fldCharType="begin"/>
        </w:r>
        <w:r>
          <w:rPr>
            <w:rFonts w:cs="Times New Roman"/>
            <w:sz w:val="21"/>
            <w:szCs w:val="21"/>
          </w:rPr>
          <w:instrText xml:space="preserve">PAGE   \* MERGEFORMAT</w:instrText>
        </w:r>
        <w:r>
          <w:rPr>
            <w:rFonts w:cs="Times New Roman"/>
            <w:sz w:val="21"/>
            <w:szCs w:val="21"/>
          </w:rPr>
          <w:fldChar w:fldCharType="separate"/>
        </w:r>
        <w:r>
          <w:rPr>
            <w:rFonts w:cs="Times New Roman"/>
            <w:sz w:val="21"/>
            <w:szCs w:val="21"/>
            <w:lang w:val="zh-CN"/>
          </w:rPr>
          <w:t>22</w:t>
        </w:r>
        <w:r>
          <w:rPr>
            <w:rFonts w:cs="Times New Roman"/>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3C48"/>
    <w:multiLevelType w:val="multilevel"/>
    <w:tmpl w:val="0CF53C48"/>
    <w:lvl w:ilvl="0" w:tentative="0">
      <w:start w:val="2"/>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80D285A"/>
    <w:multiLevelType w:val="multilevel"/>
    <w:tmpl w:val="280D285A"/>
    <w:lvl w:ilvl="0" w:tentative="0">
      <w:start w:val="1"/>
      <w:numFmt w:val="decimal"/>
      <w:pStyle w:val="2"/>
      <w:suff w:val="space"/>
      <w:lvlText w:val="%1."/>
      <w:lvlJc w:val="left"/>
      <w:pPr>
        <w:ind w:left="420" w:hanging="420"/>
      </w:pPr>
      <w:rPr>
        <w:rFonts w:hint="eastAsia"/>
      </w:rPr>
    </w:lvl>
    <w:lvl w:ilvl="1" w:tentative="0">
      <w:start w:val="1"/>
      <w:numFmt w:val="decimal"/>
      <w:pStyle w:val="3"/>
      <w:suff w:val="space"/>
      <w:lvlText w:val="%1.%2"/>
      <w:lvlJc w:val="left"/>
      <w:pPr>
        <w:ind w:left="0" w:firstLine="0"/>
      </w:pPr>
      <w:rPr>
        <w:rFonts w:hint="eastAsia" w:ascii="Times New Roman" w:hAnsi="Times New Roman" w:cs="Times New Roman"/>
        <w:b/>
        <w:bCs w:val="0"/>
        <w:i w:val="0"/>
        <w:iCs w:val="0"/>
        <w:caps w:val="0"/>
        <w:smallCaps w:val="0"/>
        <w:strike w:val="0"/>
        <w:dstrike w:val="0"/>
        <w:snapToGrid w:val="0"/>
        <w:vanish w:val="0"/>
        <w:color w:val="000000"/>
        <w:spacing w:val="0"/>
        <w:w w:val="0"/>
        <w:kern w:val="0"/>
        <w:position w:val="0"/>
        <w:szCs w:val="0"/>
        <w:u w:val="none"/>
        <w:vertAlign w:val="baseline"/>
      </w:rPr>
    </w:lvl>
    <w:lvl w:ilvl="2" w:tentative="0">
      <w:start w:val="1"/>
      <w:numFmt w:val="decimal"/>
      <w:pStyle w:val="4"/>
      <w:suff w:val="space"/>
      <w:lvlText w:val="%1.%2.%3"/>
      <w:lvlJc w:val="left"/>
      <w:pPr>
        <w:ind w:left="426" w:firstLine="0"/>
      </w:pPr>
      <w:rPr>
        <w:rFonts w:hint="default" w:ascii="Times New Roman" w:hAnsi="Times New Roman" w:cs="Times New Roman"/>
        <w:sz w:val="24"/>
        <w:szCs w:val="24"/>
        <w:lang w:val="en-US"/>
      </w:rPr>
    </w:lvl>
    <w:lvl w:ilvl="3" w:tentative="0">
      <w:start w:val="1"/>
      <w:numFmt w:val="decimal"/>
      <w:pStyle w:val="5"/>
      <w:suff w:val="space"/>
      <w:lvlText w:val="%1.%2.%3.%4"/>
      <w:lvlJc w:val="left"/>
      <w:pPr>
        <w:ind w:left="0" w:firstLine="0"/>
      </w:pPr>
      <w:rPr>
        <w:rFonts w:ascii="Times New Roman" w:hAnsi="Times New Roman"/>
        <w:b w:val="0"/>
        <w:bCs w:val="0"/>
        <w:i w:val="0"/>
        <w:iCs w:val="0"/>
        <w:caps w:val="0"/>
        <w:smallCaps w:val="0"/>
        <w:strike w:val="0"/>
        <w:dstrike w:val="0"/>
        <w:vanish w:val="0"/>
        <w:color w:val="000000"/>
        <w:spacing w:val="0"/>
        <w:position w:val="0"/>
        <w:u w:val="none"/>
        <w:vertAlign w:val="baseline"/>
      </w:rPr>
    </w:lvl>
    <w:lvl w:ilvl="4" w:tentative="0">
      <w:start w:val="1"/>
      <w:numFmt w:val="decimal"/>
      <w:pStyle w:val="6"/>
      <w:suff w:val="space"/>
      <w:lvlText w:val="%1.%2.%3.%4.%5"/>
      <w:lvlJc w:val="left"/>
      <w:pPr>
        <w:ind w:left="0" w:firstLine="0"/>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rPr>
    </w:lvl>
    <w:lvl w:ilvl="5" w:tentative="0">
      <w:start w:val="1"/>
      <w:numFmt w:val="decimal"/>
      <w:pStyle w:val="7"/>
      <w:lvlText w:val="%1.%2.%3.%4.%5.%6"/>
      <w:lvlJc w:val="left"/>
      <w:pPr>
        <w:ind w:left="1152" w:hanging="1152"/>
      </w:pPr>
      <w:rPr>
        <w:rFonts w:hint="eastAsia"/>
      </w:rPr>
    </w:lvl>
    <w:lvl w:ilvl="6" w:tentative="0">
      <w:start w:val="1"/>
      <w:numFmt w:val="decimal"/>
      <w:pStyle w:val="8"/>
      <w:lvlText w:val="%1.%2.%3.%4.%5.%6.%7"/>
      <w:lvlJc w:val="left"/>
      <w:pPr>
        <w:ind w:left="1296" w:hanging="1296"/>
      </w:pPr>
      <w:rPr>
        <w:rFonts w:hint="eastAsia"/>
      </w:rPr>
    </w:lvl>
    <w:lvl w:ilvl="7" w:tentative="0">
      <w:start w:val="1"/>
      <w:numFmt w:val="decimal"/>
      <w:pStyle w:val="9"/>
      <w:lvlText w:val="%1.%2.%3.%4.%5.%6.%7.%8"/>
      <w:lvlJc w:val="left"/>
      <w:pPr>
        <w:ind w:left="1440" w:hanging="1440"/>
      </w:pPr>
      <w:rPr>
        <w:rFonts w:hint="eastAsia"/>
      </w:rPr>
    </w:lvl>
    <w:lvl w:ilvl="8" w:tentative="0">
      <w:start w:val="1"/>
      <w:numFmt w:val="decimal"/>
      <w:pStyle w:val="10"/>
      <w:lvlText w:val="%1.%2.%3.%4.%5.%6.%7.%8.%9"/>
      <w:lvlJc w:val="left"/>
      <w:pPr>
        <w:ind w:left="1584" w:hanging="1584"/>
      </w:pPr>
      <w:rPr>
        <w:rFonts w:hint="eastAsia"/>
      </w:rPr>
    </w:lvl>
  </w:abstractNum>
  <w:abstractNum w:abstractNumId="2">
    <w:nsid w:val="52C17264"/>
    <w:multiLevelType w:val="multilevel"/>
    <w:tmpl w:val="52C1726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576141C"/>
    <w:multiLevelType w:val="multilevel"/>
    <w:tmpl w:val="7576141C"/>
    <w:lvl w:ilvl="0" w:tentative="0">
      <w:start w:val="1"/>
      <w:numFmt w:val="decimal"/>
      <w:suff w:val="space"/>
      <w:lvlText w:val="%1"/>
      <w:lvlJc w:val="left"/>
      <w:pPr>
        <w:ind w:left="0" w:firstLine="0"/>
      </w:pPr>
    </w:lvl>
    <w:lvl w:ilvl="1" w:tentative="0">
      <w:start w:val="1"/>
      <w:numFmt w:val="decimal"/>
      <w:suff w:val="space"/>
      <w:lvlText w:val="%1.%2"/>
      <w:lvlJc w:val="left"/>
      <w:pPr>
        <w:ind w:left="0" w:firstLine="0"/>
      </w:pPr>
      <w:rPr>
        <w:rFonts w:hint="eastAsia" w:ascii="Times New Roman" w:hAnsi="Times New Roman" w:eastAsia="宋体"/>
        <w:b w:val="0"/>
        <w:sz w:val="24"/>
        <w:szCs w:val="24"/>
      </w:rPr>
    </w:lvl>
    <w:lvl w:ilvl="2" w:tentative="0">
      <w:start w:val="1"/>
      <w:numFmt w:val="decimal"/>
      <w:suff w:val="space"/>
      <w:lvlText w:val="%1.%2.%3"/>
      <w:lvlJc w:val="left"/>
      <w:pPr>
        <w:ind w:left="0" w:firstLine="0"/>
      </w:pPr>
      <w:rPr>
        <w:rFonts w:hint="default" w:ascii="Times New Roman" w:hAnsi="Times New Roman" w:eastAsia="宋体"/>
      </w:rPr>
    </w:lvl>
    <w:lvl w:ilvl="3" w:tentative="0">
      <w:start w:val="1"/>
      <w:numFmt w:val="decimal"/>
      <w:suff w:val="space"/>
      <w:lvlText w:val="%1.%2.%3.%4"/>
      <w:lvlJc w:val="left"/>
      <w:pPr>
        <w:ind w:left="0" w:firstLine="0"/>
      </w:pPr>
      <w:rPr>
        <w:rFonts w:hint="eastAsia"/>
      </w:rPr>
    </w:lvl>
    <w:lvl w:ilvl="4" w:tentative="0">
      <w:start w:val="1"/>
      <w:numFmt w:val="decimal"/>
      <w:suff w:val="space"/>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num w:numId="1">
    <w:abstractNumId w:val="1"/>
  </w:num>
  <w:num w:numId="2">
    <w:abstractNumId w:val="3"/>
  </w:num>
  <w:num w:numId="3">
    <w:abstractNumId w:val="2"/>
  </w:num>
  <w:num w:numId="4">
    <w:abstractNumId w:val="3"/>
    <w:lvlOverride w:ilvl="0">
      <w:startOverride w:val="6"/>
    </w:lvlOverride>
    <w:lvlOverride w:ilvl="1">
      <w:startOverride w:val="1"/>
    </w:lvlOverride>
    <w:lvlOverride w:ilvl="2">
      <w:startOverride w:val="2"/>
    </w:lvlOverride>
  </w:num>
  <w:num w:numId="5">
    <w:abstractNumId w:val="3"/>
    <w:lvlOverride w:ilvl="0">
      <w:startOverride w:val="6"/>
    </w:lvlOverride>
    <w:lvlOverride w:ilvl="1">
      <w:startOverride w:val="2"/>
    </w:lvlOverride>
    <w:lvlOverride w:ilvl="2">
      <w:startOverride w:val="4"/>
    </w:lvlOverride>
  </w:num>
  <w:num w:numId="6">
    <w:abstractNumId w:val="3"/>
    <w:lvlOverride w:ilvl="0">
      <w:startOverride w:val="6"/>
    </w:lvlOverride>
    <w:lvlOverride w:ilvl="1">
      <w:startOverride w:val="4"/>
    </w:lvlOverride>
  </w:num>
  <w:num w:numId="7">
    <w:abstractNumId w:val="0"/>
  </w:num>
  <w:num w:numId="8">
    <w:abstractNumId w:val="3"/>
    <w:lvlOverride w:ilvl="0">
      <w:startOverride w:val="6"/>
    </w:lvlOverride>
    <w:lvlOverride w:ilvl="1">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5D9"/>
    <w:rsid w:val="000015CC"/>
    <w:rsid w:val="00001C57"/>
    <w:rsid w:val="00002A7D"/>
    <w:rsid w:val="00002C4C"/>
    <w:rsid w:val="00005354"/>
    <w:rsid w:val="00024BA8"/>
    <w:rsid w:val="000330C4"/>
    <w:rsid w:val="00034151"/>
    <w:rsid w:val="000348FB"/>
    <w:rsid w:val="00034C17"/>
    <w:rsid w:val="000358C7"/>
    <w:rsid w:val="00040714"/>
    <w:rsid w:val="00040B96"/>
    <w:rsid w:val="00046F58"/>
    <w:rsid w:val="000548BC"/>
    <w:rsid w:val="00054A89"/>
    <w:rsid w:val="00054C5F"/>
    <w:rsid w:val="000574AA"/>
    <w:rsid w:val="00057B19"/>
    <w:rsid w:val="00060453"/>
    <w:rsid w:val="00066E20"/>
    <w:rsid w:val="000671E9"/>
    <w:rsid w:val="00071959"/>
    <w:rsid w:val="00071BCD"/>
    <w:rsid w:val="00071F12"/>
    <w:rsid w:val="00072D5A"/>
    <w:rsid w:val="000742DD"/>
    <w:rsid w:val="00075B37"/>
    <w:rsid w:val="00076E6C"/>
    <w:rsid w:val="00077DC4"/>
    <w:rsid w:val="00093B12"/>
    <w:rsid w:val="00093CA5"/>
    <w:rsid w:val="0009729C"/>
    <w:rsid w:val="000974C6"/>
    <w:rsid w:val="000A019B"/>
    <w:rsid w:val="000A0FD7"/>
    <w:rsid w:val="000A3574"/>
    <w:rsid w:val="000A61DE"/>
    <w:rsid w:val="000B7C5A"/>
    <w:rsid w:val="000C233A"/>
    <w:rsid w:val="000C60B2"/>
    <w:rsid w:val="000D0F15"/>
    <w:rsid w:val="000D4A0A"/>
    <w:rsid w:val="000E527D"/>
    <w:rsid w:val="000F56DF"/>
    <w:rsid w:val="000F7F1C"/>
    <w:rsid w:val="0010000F"/>
    <w:rsid w:val="001033A0"/>
    <w:rsid w:val="0010404C"/>
    <w:rsid w:val="00105F92"/>
    <w:rsid w:val="0011118E"/>
    <w:rsid w:val="00112EA9"/>
    <w:rsid w:val="0011790A"/>
    <w:rsid w:val="00120929"/>
    <w:rsid w:val="00120CF9"/>
    <w:rsid w:val="001309C7"/>
    <w:rsid w:val="00150381"/>
    <w:rsid w:val="00150713"/>
    <w:rsid w:val="001509FC"/>
    <w:rsid w:val="00152718"/>
    <w:rsid w:val="001649B7"/>
    <w:rsid w:val="00164FEC"/>
    <w:rsid w:val="00172DC2"/>
    <w:rsid w:val="00174C13"/>
    <w:rsid w:val="0018490C"/>
    <w:rsid w:val="00187016"/>
    <w:rsid w:val="001A18A8"/>
    <w:rsid w:val="001A52C8"/>
    <w:rsid w:val="001A65F4"/>
    <w:rsid w:val="001A6DD6"/>
    <w:rsid w:val="001A78ED"/>
    <w:rsid w:val="001B1102"/>
    <w:rsid w:val="001B1FCA"/>
    <w:rsid w:val="001B34E1"/>
    <w:rsid w:val="001B6231"/>
    <w:rsid w:val="001C0891"/>
    <w:rsid w:val="001C60C0"/>
    <w:rsid w:val="001D2F15"/>
    <w:rsid w:val="001D3097"/>
    <w:rsid w:val="001D66E1"/>
    <w:rsid w:val="001F598D"/>
    <w:rsid w:val="0020304D"/>
    <w:rsid w:val="00213499"/>
    <w:rsid w:val="00216013"/>
    <w:rsid w:val="00216578"/>
    <w:rsid w:val="00222452"/>
    <w:rsid w:val="00226DFB"/>
    <w:rsid w:val="00234372"/>
    <w:rsid w:val="002343A6"/>
    <w:rsid w:val="002352C1"/>
    <w:rsid w:val="0023596F"/>
    <w:rsid w:val="002363C1"/>
    <w:rsid w:val="00245098"/>
    <w:rsid w:val="00250B9A"/>
    <w:rsid w:val="00250F69"/>
    <w:rsid w:val="00251975"/>
    <w:rsid w:val="00257179"/>
    <w:rsid w:val="00257E28"/>
    <w:rsid w:val="00264BA4"/>
    <w:rsid w:val="00271B0B"/>
    <w:rsid w:val="00275A17"/>
    <w:rsid w:val="00281B8E"/>
    <w:rsid w:val="00287104"/>
    <w:rsid w:val="00296846"/>
    <w:rsid w:val="002A07D9"/>
    <w:rsid w:val="002A13B4"/>
    <w:rsid w:val="002A3F8B"/>
    <w:rsid w:val="002A4630"/>
    <w:rsid w:val="002B312B"/>
    <w:rsid w:val="002B34D0"/>
    <w:rsid w:val="002C140F"/>
    <w:rsid w:val="002D5B14"/>
    <w:rsid w:val="002D6E15"/>
    <w:rsid w:val="002E18D6"/>
    <w:rsid w:val="00301D80"/>
    <w:rsid w:val="0030639D"/>
    <w:rsid w:val="00312E4A"/>
    <w:rsid w:val="00320360"/>
    <w:rsid w:val="00321146"/>
    <w:rsid w:val="00344349"/>
    <w:rsid w:val="00344A08"/>
    <w:rsid w:val="003529E4"/>
    <w:rsid w:val="00356B87"/>
    <w:rsid w:val="003708BC"/>
    <w:rsid w:val="00371492"/>
    <w:rsid w:val="003725F3"/>
    <w:rsid w:val="00374FCD"/>
    <w:rsid w:val="003764D8"/>
    <w:rsid w:val="0038065A"/>
    <w:rsid w:val="00391DCD"/>
    <w:rsid w:val="00394631"/>
    <w:rsid w:val="003A1895"/>
    <w:rsid w:val="003A2FF4"/>
    <w:rsid w:val="003A3348"/>
    <w:rsid w:val="003A7430"/>
    <w:rsid w:val="003B0753"/>
    <w:rsid w:val="003B7040"/>
    <w:rsid w:val="003C052D"/>
    <w:rsid w:val="003C2DA5"/>
    <w:rsid w:val="003D1854"/>
    <w:rsid w:val="003D5B29"/>
    <w:rsid w:val="003E316C"/>
    <w:rsid w:val="003E3C3F"/>
    <w:rsid w:val="003E41F8"/>
    <w:rsid w:val="003F4426"/>
    <w:rsid w:val="003F518F"/>
    <w:rsid w:val="00400C3A"/>
    <w:rsid w:val="00404953"/>
    <w:rsid w:val="00411009"/>
    <w:rsid w:val="0041116D"/>
    <w:rsid w:val="00411235"/>
    <w:rsid w:val="00415F0F"/>
    <w:rsid w:val="00423129"/>
    <w:rsid w:val="00433F67"/>
    <w:rsid w:val="00436B15"/>
    <w:rsid w:val="00441745"/>
    <w:rsid w:val="00442705"/>
    <w:rsid w:val="004466F8"/>
    <w:rsid w:val="00447658"/>
    <w:rsid w:val="00447B17"/>
    <w:rsid w:val="00451E07"/>
    <w:rsid w:val="00456A09"/>
    <w:rsid w:val="0046006C"/>
    <w:rsid w:val="0046397C"/>
    <w:rsid w:val="00465CAD"/>
    <w:rsid w:val="00472085"/>
    <w:rsid w:val="00476AA2"/>
    <w:rsid w:val="00482F8C"/>
    <w:rsid w:val="004929D9"/>
    <w:rsid w:val="00496564"/>
    <w:rsid w:val="004A6953"/>
    <w:rsid w:val="004C3975"/>
    <w:rsid w:val="004C5BFC"/>
    <w:rsid w:val="004D0193"/>
    <w:rsid w:val="004D050C"/>
    <w:rsid w:val="004D2D85"/>
    <w:rsid w:val="004D3BFA"/>
    <w:rsid w:val="004E2AA9"/>
    <w:rsid w:val="004E5E4C"/>
    <w:rsid w:val="004E7965"/>
    <w:rsid w:val="004F2CED"/>
    <w:rsid w:val="004F4E5B"/>
    <w:rsid w:val="005076B4"/>
    <w:rsid w:val="00511760"/>
    <w:rsid w:val="00535D19"/>
    <w:rsid w:val="005424ED"/>
    <w:rsid w:val="00543B59"/>
    <w:rsid w:val="00544782"/>
    <w:rsid w:val="005473C0"/>
    <w:rsid w:val="0055303E"/>
    <w:rsid w:val="00553B75"/>
    <w:rsid w:val="0056293B"/>
    <w:rsid w:val="00580506"/>
    <w:rsid w:val="00581504"/>
    <w:rsid w:val="00582DD2"/>
    <w:rsid w:val="00585C6E"/>
    <w:rsid w:val="005926BF"/>
    <w:rsid w:val="00593FEB"/>
    <w:rsid w:val="005961E7"/>
    <w:rsid w:val="005965A9"/>
    <w:rsid w:val="005A3933"/>
    <w:rsid w:val="005B2FD0"/>
    <w:rsid w:val="005C10B1"/>
    <w:rsid w:val="005C5B03"/>
    <w:rsid w:val="005C6054"/>
    <w:rsid w:val="005C6AD9"/>
    <w:rsid w:val="005D0C8E"/>
    <w:rsid w:val="005D2E5D"/>
    <w:rsid w:val="005D5744"/>
    <w:rsid w:val="005D720E"/>
    <w:rsid w:val="005E2675"/>
    <w:rsid w:val="005E2805"/>
    <w:rsid w:val="005F0D29"/>
    <w:rsid w:val="005F2AB4"/>
    <w:rsid w:val="0060393D"/>
    <w:rsid w:val="00604CA5"/>
    <w:rsid w:val="00605167"/>
    <w:rsid w:val="0061588A"/>
    <w:rsid w:val="006200B0"/>
    <w:rsid w:val="00624B3F"/>
    <w:rsid w:val="006255D9"/>
    <w:rsid w:val="00626CBC"/>
    <w:rsid w:val="00634EF4"/>
    <w:rsid w:val="00636B3B"/>
    <w:rsid w:val="0064246B"/>
    <w:rsid w:val="00646002"/>
    <w:rsid w:val="00661FD8"/>
    <w:rsid w:val="00661FF1"/>
    <w:rsid w:val="006655FB"/>
    <w:rsid w:val="006659B1"/>
    <w:rsid w:val="00666BCC"/>
    <w:rsid w:val="00672B82"/>
    <w:rsid w:val="006748BC"/>
    <w:rsid w:val="0067585D"/>
    <w:rsid w:val="00680F9E"/>
    <w:rsid w:val="00691DC5"/>
    <w:rsid w:val="00693FC5"/>
    <w:rsid w:val="006968B5"/>
    <w:rsid w:val="006A1F8A"/>
    <w:rsid w:val="006A613C"/>
    <w:rsid w:val="006A6951"/>
    <w:rsid w:val="006C0205"/>
    <w:rsid w:val="006D15D3"/>
    <w:rsid w:val="006D3A5A"/>
    <w:rsid w:val="006D3D3A"/>
    <w:rsid w:val="006D45B0"/>
    <w:rsid w:val="006E1269"/>
    <w:rsid w:val="006E3C3B"/>
    <w:rsid w:val="006E5303"/>
    <w:rsid w:val="00700884"/>
    <w:rsid w:val="0070107D"/>
    <w:rsid w:val="00705914"/>
    <w:rsid w:val="00705FA7"/>
    <w:rsid w:val="007071BC"/>
    <w:rsid w:val="00711448"/>
    <w:rsid w:val="00715B60"/>
    <w:rsid w:val="00724AAC"/>
    <w:rsid w:val="00733C8D"/>
    <w:rsid w:val="00735427"/>
    <w:rsid w:val="0075560C"/>
    <w:rsid w:val="00763193"/>
    <w:rsid w:val="0076400A"/>
    <w:rsid w:val="00765800"/>
    <w:rsid w:val="00774B06"/>
    <w:rsid w:val="00777216"/>
    <w:rsid w:val="00777370"/>
    <w:rsid w:val="007818AF"/>
    <w:rsid w:val="00784FDD"/>
    <w:rsid w:val="00792404"/>
    <w:rsid w:val="0079431C"/>
    <w:rsid w:val="00797BEE"/>
    <w:rsid w:val="007A373D"/>
    <w:rsid w:val="007B77CD"/>
    <w:rsid w:val="007B7BB0"/>
    <w:rsid w:val="007C25B1"/>
    <w:rsid w:val="007D66B1"/>
    <w:rsid w:val="007E1A48"/>
    <w:rsid w:val="007E1EF2"/>
    <w:rsid w:val="007E6085"/>
    <w:rsid w:val="007E6820"/>
    <w:rsid w:val="007F182C"/>
    <w:rsid w:val="007F343D"/>
    <w:rsid w:val="007F3876"/>
    <w:rsid w:val="007F5034"/>
    <w:rsid w:val="00800B64"/>
    <w:rsid w:val="0080774C"/>
    <w:rsid w:val="008111F9"/>
    <w:rsid w:val="00815916"/>
    <w:rsid w:val="00820051"/>
    <w:rsid w:val="0082090D"/>
    <w:rsid w:val="00822335"/>
    <w:rsid w:val="00824EC3"/>
    <w:rsid w:val="00834C5C"/>
    <w:rsid w:val="00840531"/>
    <w:rsid w:val="008409AE"/>
    <w:rsid w:val="008457F3"/>
    <w:rsid w:val="00852124"/>
    <w:rsid w:val="008524E7"/>
    <w:rsid w:val="00854AD0"/>
    <w:rsid w:val="00855931"/>
    <w:rsid w:val="008609D2"/>
    <w:rsid w:val="00863E22"/>
    <w:rsid w:val="00867D75"/>
    <w:rsid w:val="00867F3E"/>
    <w:rsid w:val="008703CB"/>
    <w:rsid w:val="00872318"/>
    <w:rsid w:val="008738A4"/>
    <w:rsid w:val="008753A2"/>
    <w:rsid w:val="00875E3F"/>
    <w:rsid w:val="00877341"/>
    <w:rsid w:val="0088259A"/>
    <w:rsid w:val="00883A49"/>
    <w:rsid w:val="008840E9"/>
    <w:rsid w:val="00884BA4"/>
    <w:rsid w:val="008868FB"/>
    <w:rsid w:val="00895DDA"/>
    <w:rsid w:val="00897338"/>
    <w:rsid w:val="008979EC"/>
    <w:rsid w:val="008A162B"/>
    <w:rsid w:val="008A218E"/>
    <w:rsid w:val="008A507A"/>
    <w:rsid w:val="008A670B"/>
    <w:rsid w:val="008A7ED1"/>
    <w:rsid w:val="008B3FBA"/>
    <w:rsid w:val="008C3C50"/>
    <w:rsid w:val="008C621A"/>
    <w:rsid w:val="008D01A8"/>
    <w:rsid w:val="008E4443"/>
    <w:rsid w:val="008E4468"/>
    <w:rsid w:val="008E7026"/>
    <w:rsid w:val="008F1557"/>
    <w:rsid w:val="008F6A83"/>
    <w:rsid w:val="00901232"/>
    <w:rsid w:val="00904ADF"/>
    <w:rsid w:val="009067B4"/>
    <w:rsid w:val="00907E8B"/>
    <w:rsid w:val="0091066B"/>
    <w:rsid w:val="00914FE8"/>
    <w:rsid w:val="009176AE"/>
    <w:rsid w:val="009206C3"/>
    <w:rsid w:val="00923D5C"/>
    <w:rsid w:val="00930C7C"/>
    <w:rsid w:val="00931299"/>
    <w:rsid w:val="00934CD5"/>
    <w:rsid w:val="00937F8B"/>
    <w:rsid w:val="009477BB"/>
    <w:rsid w:val="00947D3D"/>
    <w:rsid w:val="00954E25"/>
    <w:rsid w:val="00962A95"/>
    <w:rsid w:val="009665A1"/>
    <w:rsid w:val="0096755F"/>
    <w:rsid w:val="00971A88"/>
    <w:rsid w:val="009827C6"/>
    <w:rsid w:val="00982990"/>
    <w:rsid w:val="00982F54"/>
    <w:rsid w:val="00984208"/>
    <w:rsid w:val="009900DD"/>
    <w:rsid w:val="009912C4"/>
    <w:rsid w:val="009A0086"/>
    <w:rsid w:val="009A45F4"/>
    <w:rsid w:val="009B2CCC"/>
    <w:rsid w:val="009C5F39"/>
    <w:rsid w:val="009C7AD5"/>
    <w:rsid w:val="009D078D"/>
    <w:rsid w:val="009D14FE"/>
    <w:rsid w:val="009D275F"/>
    <w:rsid w:val="009D6EFF"/>
    <w:rsid w:val="009E2C76"/>
    <w:rsid w:val="009E4DC6"/>
    <w:rsid w:val="009E54F9"/>
    <w:rsid w:val="009F31B6"/>
    <w:rsid w:val="00A04E5B"/>
    <w:rsid w:val="00A05670"/>
    <w:rsid w:val="00A05DE3"/>
    <w:rsid w:val="00A10825"/>
    <w:rsid w:val="00A11F60"/>
    <w:rsid w:val="00A174C3"/>
    <w:rsid w:val="00A20BC3"/>
    <w:rsid w:val="00A21B96"/>
    <w:rsid w:val="00A23139"/>
    <w:rsid w:val="00A32947"/>
    <w:rsid w:val="00A33662"/>
    <w:rsid w:val="00A3408A"/>
    <w:rsid w:val="00A35932"/>
    <w:rsid w:val="00A40075"/>
    <w:rsid w:val="00A4350C"/>
    <w:rsid w:val="00A50386"/>
    <w:rsid w:val="00A57846"/>
    <w:rsid w:val="00A6097C"/>
    <w:rsid w:val="00A60BAB"/>
    <w:rsid w:val="00A63DBE"/>
    <w:rsid w:val="00A67792"/>
    <w:rsid w:val="00A67B78"/>
    <w:rsid w:val="00A7062C"/>
    <w:rsid w:val="00A80437"/>
    <w:rsid w:val="00A84644"/>
    <w:rsid w:val="00A86322"/>
    <w:rsid w:val="00A90B30"/>
    <w:rsid w:val="00A94C05"/>
    <w:rsid w:val="00A958DD"/>
    <w:rsid w:val="00AA0D5D"/>
    <w:rsid w:val="00AA329B"/>
    <w:rsid w:val="00AA6D2D"/>
    <w:rsid w:val="00AB1798"/>
    <w:rsid w:val="00AB20F0"/>
    <w:rsid w:val="00AB3CDE"/>
    <w:rsid w:val="00AB4A49"/>
    <w:rsid w:val="00AB7966"/>
    <w:rsid w:val="00AC377D"/>
    <w:rsid w:val="00AC3C40"/>
    <w:rsid w:val="00AD386C"/>
    <w:rsid w:val="00AD6C86"/>
    <w:rsid w:val="00AD7A46"/>
    <w:rsid w:val="00AE070D"/>
    <w:rsid w:val="00AE0A69"/>
    <w:rsid w:val="00AE2CB7"/>
    <w:rsid w:val="00AE3658"/>
    <w:rsid w:val="00AE554F"/>
    <w:rsid w:val="00AE7515"/>
    <w:rsid w:val="00AF0C54"/>
    <w:rsid w:val="00AF41FA"/>
    <w:rsid w:val="00AF47CA"/>
    <w:rsid w:val="00AF6855"/>
    <w:rsid w:val="00B00EBF"/>
    <w:rsid w:val="00B017DA"/>
    <w:rsid w:val="00B07ED5"/>
    <w:rsid w:val="00B20916"/>
    <w:rsid w:val="00B24051"/>
    <w:rsid w:val="00B26C42"/>
    <w:rsid w:val="00B27FD2"/>
    <w:rsid w:val="00B30507"/>
    <w:rsid w:val="00B30FAB"/>
    <w:rsid w:val="00B33380"/>
    <w:rsid w:val="00B333BB"/>
    <w:rsid w:val="00B44BA8"/>
    <w:rsid w:val="00B56321"/>
    <w:rsid w:val="00B568E1"/>
    <w:rsid w:val="00B574E6"/>
    <w:rsid w:val="00B6109E"/>
    <w:rsid w:val="00B62D6C"/>
    <w:rsid w:val="00B6460F"/>
    <w:rsid w:val="00B64CE4"/>
    <w:rsid w:val="00B67467"/>
    <w:rsid w:val="00B72F00"/>
    <w:rsid w:val="00B90DC1"/>
    <w:rsid w:val="00B91168"/>
    <w:rsid w:val="00B91580"/>
    <w:rsid w:val="00B92E5D"/>
    <w:rsid w:val="00B934E4"/>
    <w:rsid w:val="00B940DB"/>
    <w:rsid w:val="00BA0BBB"/>
    <w:rsid w:val="00BA21A7"/>
    <w:rsid w:val="00BA5591"/>
    <w:rsid w:val="00BA6244"/>
    <w:rsid w:val="00BB27E9"/>
    <w:rsid w:val="00BB2EFD"/>
    <w:rsid w:val="00BB4A94"/>
    <w:rsid w:val="00BB5FCE"/>
    <w:rsid w:val="00BB6B76"/>
    <w:rsid w:val="00BD5091"/>
    <w:rsid w:val="00BD7CBE"/>
    <w:rsid w:val="00BE1499"/>
    <w:rsid w:val="00BE3EEE"/>
    <w:rsid w:val="00BE4FA8"/>
    <w:rsid w:val="00BE5A33"/>
    <w:rsid w:val="00BF154D"/>
    <w:rsid w:val="00C009BE"/>
    <w:rsid w:val="00C02061"/>
    <w:rsid w:val="00C024EE"/>
    <w:rsid w:val="00C23765"/>
    <w:rsid w:val="00C26F5F"/>
    <w:rsid w:val="00C378E1"/>
    <w:rsid w:val="00C4230A"/>
    <w:rsid w:val="00C43883"/>
    <w:rsid w:val="00C76B6D"/>
    <w:rsid w:val="00C87690"/>
    <w:rsid w:val="00C93376"/>
    <w:rsid w:val="00C93922"/>
    <w:rsid w:val="00CA3918"/>
    <w:rsid w:val="00CA70D8"/>
    <w:rsid w:val="00CA75CB"/>
    <w:rsid w:val="00CB0B7E"/>
    <w:rsid w:val="00CB5C5F"/>
    <w:rsid w:val="00CB6942"/>
    <w:rsid w:val="00CC0419"/>
    <w:rsid w:val="00CC1A5B"/>
    <w:rsid w:val="00CD3234"/>
    <w:rsid w:val="00CD5E38"/>
    <w:rsid w:val="00CE51E0"/>
    <w:rsid w:val="00CE6C99"/>
    <w:rsid w:val="00CF13EC"/>
    <w:rsid w:val="00CF38BE"/>
    <w:rsid w:val="00CF410F"/>
    <w:rsid w:val="00D152C0"/>
    <w:rsid w:val="00D177A6"/>
    <w:rsid w:val="00D202AD"/>
    <w:rsid w:val="00D237A7"/>
    <w:rsid w:val="00D26AAC"/>
    <w:rsid w:val="00D303B3"/>
    <w:rsid w:val="00D313B1"/>
    <w:rsid w:val="00D318D4"/>
    <w:rsid w:val="00D45E41"/>
    <w:rsid w:val="00D46861"/>
    <w:rsid w:val="00D46EBA"/>
    <w:rsid w:val="00D50B50"/>
    <w:rsid w:val="00D527AD"/>
    <w:rsid w:val="00D52995"/>
    <w:rsid w:val="00D539A1"/>
    <w:rsid w:val="00D60B2E"/>
    <w:rsid w:val="00D63FBC"/>
    <w:rsid w:val="00D6435A"/>
    <w:rsid w:val="00D70E34"/>
    <w:rsid w:val="00D72E36"/>
    <w:rsid w:val="00D73B7E"/>
    <w:rsid w:val="00D73F75"/>
    <w:rsid w:val="00D73FD0"/>
    <w:rsid w:val="00D740F2"/>
    <w:rsid w:val="00D812BB"/>
    <w:rsid w:val="00D81B77"/>
    <w:rsid w:val="00D84D03"/>
    <w:rsid w:val="00D87D0B"/>
    <w:rsid w:val="00D94996"/>
    <w:rsid w:val="00D95B75"/>
    <w:rsid w:val="00DA3D8B"/>
    <w:rsid w:val="00DA6468"/>
    <w:rsid w:val="00DB0150"/>
    <w:rsid w:val="00DB52A9"/>
    <w:rsid w:val="00DC67BE"/>
    <w:rsid w:val="00DD1299"/>
    <w:rsid w:val="00DD2A87"/>
    <w:rsid w:val="00DD381D"/>
    <w:rsid w:val="00DD5BF6"/>
    <w:rsid w:val="00DE6550"/>
    <w:rsid w:val="00DE7B10"/>
    <w:rsid w:val="00DF0CBE"/>
    <w:rsid w:val="00DF25B0"/>
    <w:rsid w:val="00E019AB"/>
    <w:rsid w:val="00E02320"/>
    <w:rsid w:val="00E02BDC"/>
    <w:rsid w:val="00E079A0"/>
    <w:rsid w:val="00E11481"/>
    <w:rsid w:val="00E12482"/>
    <w:rsid w:val="00E14961"/>
    <w:rsid w:val="00E21E7D"/>
    <w:rsid w:val="00E37CE0"/>
    <w:rsid w:val="00E429FB"/>
    <w:rsid w:val="00E4798B"/>
    <w:rsid w:val="00E56E0B"/>
    <w:rsid w:val="00E63528"/>
    <w:rsid w:val="00E63541"/>
    <w:rsid w:val="00E67643"/>
    <w:rsid w:val="00E71275"/>
    <w:rsid w:val="00E71576"/>
    <w:rsid w:val="00E76D51"/>
    <w:rsid w:val="00E82B41"/>
    <w:rsid w:val="00E90D45"/>
    <w:rsid w:val="00EA1523"/>
    <w:rsid w:val="00EA5ECA"/>
    <w:rsid w:val="00EB0392"/>
    <w:rsid w:val="00EB08BC"/>
    <w:rsid w:val="00EC0DE4"/>
    <w:rsid w:val="00EE73FD"/>
    <w:rsid w:val="00EE7569"/>
    <w:rsid w:val="00EF0528"/>
    <w:rsid w:val="00F0261C"/>
    <w:rsid w:val="00F02734"/>
    <w:rsid w:val="00F03FE2"/>
    <w:rsid w:val="00F05B75"/>
    <w:rsid w:val="00F153C8"/>
    <w:rsid w:val="00F17927"/>
    <w:rsid w:val="00F22077"/>
    <w:rsid w:val="00F259CD"/>
    <w:rsid w:val="00F27B17"/>
    <w:rsid w:val="00F3203A"/>
    <w:rsid w:val="00F335CF"/>
    <w:rsid w:val="00F453C8"/>
    <w:rsid w:val="00F603E9"/>
    <w:rsid w:val="00F7420E"/>
    <w:rsid w:val="00F8029F"/>
    <w:rsid w:val="00F84DA3"/>
    <w:rsid w:val="00F97AE1"/>
    <w:rsid w:val="00FA135B"/>
    <w:rsid w:val="00FA2367"/>
    <w:rsid w:val="00FA23FD"/>
    <w:rsid w:val="00FA3330"/>
    <w:rsid w:val="00FA526F"/>
    <w:rsid w:val="00FB0179"/>
    <w:rsid w:val="00FB2215"/>
    <w:rsid w:val="00FC60DD"/>
    <w:rsid w:val="00FC691F"/>
    <w:rsid w:val="00FD1B31"/>
    <w:rsid w:val="00FD4DAA"/>
    <w:rsid w:val="00FD58E1"/>
    <w:rsid w:val="00FD72BE"/>
    <w:rsid w:val="00FE0495"/>
    <w:rsid w:val="00FF350A"/>
    <w:rsid w:val="00FF35F3"/>
    <w:rsid w:val="00FF6A38"/>
    <w:rsid w:val="0FD74E06"/>
    <w:rsid w:val="10E96937"/>
    <w:rsid w:val="1B507FEC"/>
    <w:rsid w:val="25726251"/>
    <w:rsid w:val="26D90B8A"/>
    <w:rsid w:val="2C8449A2"/>
    <w:rsid w:val="4B310AF5"/>
    <w:rsid w:val="6A406013"/>
    <w:rsid w:val="70B97F85"/>
    <w:rsid w:val="7F1C05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semiHidden="0" w:name="heading 7"/>
    <w:lsdException w:qFormat="1" w:uiPriority="0" w:semiHidden="0" w:name="heading 8"/>
    <w:lsdException w:qFormat="1" w:uiPriority="0" w:semiHidden="0" w:name="heading 9"/>
    <w:lsdException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33"/>
    <w:qFormat/>
    <w:uiPriority w:val="0"/>
    <w:pPr>
      <w:numPr>
        <w:ilvl w:val="0"/>
        <w:numId w:val="1"/>
      </w:numPr>
      <w:jc w:val="left"/>
      <w:outlineLvl w:val="0"/>
    </w:pPr>
    <w:rPr>
      <w:rFonts w:eastAsia="黑体" w:cs="Times New Roman"/>
      <w:bCs/>
      <w:kern w:val="44"/>
      <w:sz w:val="28"/>
      <w:szCs w:val="44"/>
    </w:rPr>
  </w:style>
  <w:style w:type="paragraph" w:styleId="3">
    <w:name w:val="heading 2"/>
    <w:basedOn w:val="1"/>
    <w:next w:val="1"/>
    <w:link w:val="32"/>
    <w:qFormat/>
    <w:uiPriority w:val="0"/>
    <w:pPr>
      <w:numPr>
        <w:ilvl w:val="1"/>
        <w:numId w:val="1"/>
      </w:numPr>
      <w:outlineLvl w:val="1"/>
    </w:pPr>
    <w:rPr>
      <w:rFonts w:cs="Times New Roman"/>
      <w:bCs/>
      <w:szCs w:val="24"/>
    </w:rPr>
  </w:style>
  <w:style w:type="paragraph" w:styleId="4">
    <w:name w:val="heading 3"/>
    <w:basedOn w:val="1"/>
    <w:next w:val="1"/>
    <w:link w:val="36"/>
    <w:qFormat/>
    <w:uiPriority w:val="0"/>
    <w:pPr>
      <w:numPr>
        <w:ilvl w:val="2"/>
        <w:numId w:val="1"/>
      </w:numPr>
      <w:snapToGrid w:val="0"/>
      <w:ind w:left="284"/>
      <w:outlineLvl w:val="2"/>
    </w:pPr>
    <w:rPr>
      <w:rFonts w:cs="Times New Roman"/>
      <w:bCs/>
      <w:szCs w:val="28"/>
    </w:rPr>
  </w:style>
  <w:style w:type="paragraph" w:styleId="5">
    <w:name w:val="heading 4"/>
    <w:basedOn w:val="1"/>
    <w:next w:val="1"/>
    <w:link w:val="37"/>
    <w:qFormat/>
    <w:uiPriority w:val="0"/>
    <w:pPr>
      <w:numPr>
        <w:ilvl w:val="3"/>
        <w:numId w:val="1"/>
      </w:numPr>
      <w:jc w:val="left"/>
      <w:outlineLvl w:val="3"/>
    </w:pPr>
    <w:rPr>
      <w:rFonts w:cs="Times New Roman"/>
      <w:bCs/>
      <w:szCs w:val="28"/>
    </w:rPr>
  </w:style>
  <w:style w:type="paragraph" w:styleId="6">
    <w:name w:val="heading 5"/>
    <w:basedOn w:val="1"/>
    <w:next w:val="1"/>
    <w:link w:val="38"/>
    <w:qFormat/>
    <w:uiPriority w:val="0"/>
    <w:pPr>
      <w:keepNext/>
      <w:keepLines/>
      <w:numPr>
        <w:ilvl w:val="4"/>
        <w:numId w:val="1"/>
      </w:numPr>
      <w:jc w:val="left"/>
      <w:outlineLvl w:val="4"/>
    </w:pPr>
    <w:rPr>
      <w:rFonts w:cs="宋体"/>
      <w:bCs/>
      <w:szCs w:val="28"/>
    </w:rPr>
  </w:style>
  <w:style w:type="paragraph" w:styleId="7">
    <w:name w:val="heading 6"/>
    <w:basedOn w:val="1"/>
    <w:next w:val="1"/>
    <w:link w:val="39"/>
    <w:qFormat/>
    <w:uiPriority w:val="0"/>
    <w:pPr>
      <w:keepNext/>
      <w:keepLines/>
      <w:numPr>
        <w:ilvl w:val="5"/>
        <w:numId w:val="1"/>
      </w:numPr>
      <w:spacing w:before="240" w:after="64" w:line="320" w:lineRule="auto"/>
      <w:outlineLvl w:val="5"/>
    </w:pPr>
    <w:rPr>
      <w:rFonts w:ascii="Cambria" w:hAnsi="Cambria" w:cs="Times New Roman"/>
      <w:b/>
      <w:bCs/>
      <w:szCs w:val="24"/>
    </w:rPr>
  </w:style>
  <w:style w:type="paragraph" w:styleId="8">
    <w:name w:val="heading 7"/>
    <w:basedOn w:val="1"/>
    <w:next w:val="1"/>
    <w:link w:val="40"/>
    <w:unhideWhenUsed/>
    <w:qFormat/>
    <w:uiPriority w:val="0"/>
    <w:pPr>
      <w:keepNext/>
      <w:keepLines/>
      <w:numPr>
        <w:ilvl w:val="6"/>
        <w:numId w:val="1"/>
      </w:numPr>
      <w:spacing w:before="240" w:after="64" w:line="320" w:lineRule="auto"/>
      <w:outlineLvl w:val="6"/>
    </w:pPr>
    <w:rPr>
      <w:rFonts w:cs="宋体"/>
      <w:b/>
      <w:bCs/>
      <w:szCs w:val="24"/>
    </w:rPr>
  </w:style>
  <w:style w:type="paragraph" w:styleId="9">
    <w:name w:val="heading 8"/>
    <w:basedOn w:val="1"/>
    <w:next w:val="1"/>
    <w:link w:val="41"/>
    <w:unhideWhenUsed/>
    <w:qFormat/>
    <w:uiPriority w:val="0"/>
    <w:pPr>
      <w:keepNext/>
      <w:keepLines/>
      <w:numPr>
        <w:ilvl w:val="7"/>
        <w:numId w:val="1"/>
      </w:numPr>
      <w:spacing w:before="240" w:after="64" w:line="320" w:lineRule="auto"/>
      <w:outlineLvl w:val="7"/>
    </w:pPr>
    <w:rPr>
      <w:rFonts w:ascii="Cambria" w:hAnsi="Cambria" w:cs="Times New Roman"/>
      <w:szCs w:val="24"/>
    </w:rPr>
  </w:style>
  <w:style w:type="paragraph" w:styleId="10">
    <w:name w:val="heading 9"/>
    <w:basedOn w:val="1"/>
    <w:next w:val="1"/>
    <w:link w:val="42"/>
    <w:unhideWhenUsed/>
    <w:qFormat/>
    <w:uiPriority w:val="0"/>
    <w:pPr>
      <w:keepNext/>
      <w:keepLines/>
      <w:numPr>
        <w:ilvl w:val="8"/>
        <w:numId w:val="1"/>
      </w:numPr>
      <w:spacing w:before="240" w:after="64" w:line="320" w:lineRule="auto"/>
      <w:outlineLvl w:val="8"/>
    </w:pPr>
    <w:rPr>
      <w:rFonts w:ascii="Cambria" w:hAnsi="Cambria" w:cs="Times New Roman"/>
      <w:szCs w:val="21"/>
    </w:rPr>
  </w:style>
  <w:style w:type="character" w:default="1" w:styleId="27">
    <w:name w:val="Default Paragraph Font"/>
    <w:semiHidden/>
    <w:unhideWhenUsed/>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styleId="11">
    <w:name w:val="annotation text"/>
    <w:basedOn w:val="1"/>
    <w:link w:val="51"/>
    <w:semiHidden/>
    <w:unhideWhenUsed/>
    <w:qFormat/>
    <w:uiPriority w:val="99"/>
    <w:pPr>
      <w:jc w:val="left"/>
    </w:pPr>
  </w:style>
  <w:style w:type="paragraph" w:styleId="12">
    <w:name w:val="Body Text"/>
    <w:basedOn w:val="1"/>
    <w:link w:val="47"/>
    <w:unhideWhenUsed/>
    <w:qFormat/>
    <w:uiPriority w:val="99"/>
    <w:pPr>
      <w:spacing w:after="120"/>
    </w:pPr>
  </w:style>
  <w:style w:type="paragraph" w:styleId="13">
    <w:name w:val="Body Text Indent"/>
    <w:basedOn w:val="1"/>
    <w:link w:val="54"/>
    <w:semiHidden/>
    <w:unhideWhenUsed/>
    <w:qFormat/>
    <w:uiPriority w:val="99"/>
    <w:pPr>
      <w:spacing w:after="120"/>
      <w:ind w:left="420" w:leftChars="200"/>
    </w:pPr>
  </w:style>
  <w:style w:type="paragraph" w:styleId="14">
    <w:name w:val="toc 3"/>
    <w:basedOn w:val="1"/>
    <w:next w:val="1"/>
    <w:unhideWhenUsed/>
    <w:qFormat/>
    <w:uiPriority w:val="39"/>
    <w:pPr>
      <w:ind w:left="840" w:leftChars="400"/>
    </w:pPr>
  </w:style>
  <w:style w:type="paragraph" w:styleId="15">
    <w:name w:val="Date"/>
    <w:basedOn w:val="1"/>
    <w:next w:val="1"/>
    <w:link w:val="48"/>
    <w:unhideWhenUsed/>
    <w:qFormat/>
    <w:uiPriority w:val="0"/>
    <w:pPr>
      <w:ind w:left="100" w:leftChars="2500"/>
    </w:pPr>
  </w:style>
  <w:style w:type="paragraph" w:styleId="16">
    <w:name w:val="Balloon Text"/>
    <w:basedOn w:val="1"/>
    <w:link w:val="50"/>
    <w:unhideWhenUsed/>
    <w:qFormat/>
    <w:uiPriority w:val="0"/>
    <w:rPr>
      <w:sz w:val="18"/>
      <w:szCs w:val="18"/>
    </w:rPr>
  </w:style>
  <w:style w:type="paragraph" w:styleId="17">
    <w:name w:val="footer"/>
    <w:basedOn w:val="1"/>
    <w:link w:val="35"/>
    <w:unhideWhenUsed/>
    <w:qFormat/>
    <w:uiPriority w:val="99"/>
    <w:pPr>
      <w:tabs>
        <w:tab w:val="center" w:pos="4153"/>
        <w:tab w:val="right" w:pos="8306"/>
      </w:tabs>
      <w:snapToGrid w:val="0"/>
      <w:jc w:val="left"/>
    </w:pPr>
    <w:rPr>
      <w:sz w:val="18"/>
      <w:szCs w:val="18"/>
    </w:rPr>
  </w:style>
  <w:style w:type="paragraph" w:styleId="18">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style>
  <w:style w:type="paragraph" w:styleId="20">
    <w:name w:val="index heading"/>
    <w:basedOn w:val="1"/>
    <w:next w:val="21"/>
    <w:uiPriority w:val="0"/>
    <w:pPr>
      <w:ind w:firstLine="113"/>
      <w:jc w:val="left"/>
    </w:pPr>
    <w:rPr>
      <w:rFonts w:cs="Times New Roman"/>
      <w:szCs w:val="20"/>
    </w:rPr>
  </w:style>
  <w:style w:type="paragraph" w:styleId="21">
    <w:name w:val="index 1"/>
    <w:basedOn w:val="1"/>
    <w:next w:val="1"/>
    <w:unhideWhenUsed/>
    <w:uiPriority w:val="0"/>
  </w:style>
  <w:style w:type="paragraph" w:styleId="22">
    <w:name w:val="toc 2"/>
    <w:basedOn w:val="1"/>
    <w:next w:val="1"/>
    <w:unhideWhenUsed/>
    <w:qFormat/>
    <w:uiPriority w:val="39"/>
    <w:pPr>
      <w:ind w:left="420" w:leftChars="200"/>
    </w:pPr>
  </w:style>
  <w:style w:type="paragraph" w:styleId="23">
    <w:name w:val="annotation subject"/>
    <w:basedOn w:val="11"/>
    <w:next w:val="11"/>
    <w:link w:val="52"/>
    <w:semiHidden/>
    <w:unhideWhenUsed/>
    <w:qFormat/>
    <w:uiPriority w:val="99"/>
    <w:rPr>
      <w:b/>
      <w:bCs/>
    </w:rPr>
  </w:style>
  <w:style w:type="paragraph" w:styleId="24">
    <w:name w:val="Body Text First Indent"/>
    <w:basedOn w:val="12"/>
    <w:link w:val="59"/>
    <w:uiPriority w:val="0"/>
    <w:pPr>
      <w:ind w:firstLine="420" w:firstLineChars="100"/>
    </w:pPr>
    <w:rPr>
      <w:rFonts w:cs="Times New Roman"/>
      <w:szCs w:val="24"/>
    </w:rPr>
  </w:style>
  <w:style w:type="table" w:styleId="26">
    <w:name w:val="Table Grid"/>
    <w:basedOn w:val="2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8">
    <w:name w:val="FollowedHyperlink"/>
    <w:basedOn w:val="27"/>
    <w:semiHidden/>
    <w:unhideWhenUsed/>
    <w:uiPriority w:val="99"/>
    <w:rPr>
      <w:color w:val="954F72"/>
      <w:u w:val="single"/>
    </w:rPr>
  </w:style>
  <w:style w:type="character" w:styleId="29">
    <w:name w:val="Hyperlink"/>
    <w:basedOn w:val="27"/>
    <w:unhideWhenUsed/>
    <w:qFormat/>
    <w:uiPriority w:val="99"/>
    <w:rPr>
      <w:color w:val="0000FF" w:themeColor="hyperlink"/>
      <w:u w:val="single"/>
      <w14:textFill>
        <w14:solidFill>
          <w14:schemeClr w14:val="hlink"/>
        </w14:solidFill>
      </w14:textFill>
    </w:rPr>
  </w:style>
  <w:style w:type="character" w:styleId="30">
    <w:name w:val="annotation reference"/>
    <w:basedOn w:val="27"/>
    <w:semiHidden/>
    <w:unhideWhenUsed/>
    <w:qFormat/>
    <w:uiPriority w:val="99"/>
    <w:rPr>
      <w:sz w:val="21"/>
      <w:szCs w:val="21"/>
    </w:rPr>
  </w:style>
  <w:style w:type="character" w:styleId="31">
    <w:name w:val="HTML Sample"/>
    <w:qFormat/>
    <w:uiPriority w:val="0"/>
    <w:rPr>
      <w:rFonts w:ascii="Courier New" w:hAnsi="Courier New" w:cs="Courier New"/>
    </w:rPr>
  </w:style>
  <w:style w:type="character" w:customStyle="1" w:styleId="32">
    <w:name w:val="标题 2 Char"/>
    <w:basedOn w:val="27"/>
    <w:link w:val="3"/>
    <w:qFormat/>
    <w:uiPriority w:val="0"/>
    <w:rPr>
      <w:bCs/>
      <w:kern w:val="2"/>
      <w:sz w:val="24"/>
      <w:szCs w:val="24"/>
    </w:rPr>
  </w:style>
  <w:style w:type="character" w:customStyle="1" w:styleId="33">
    <w:name w:val="标题 1 Char"/>
    <w:basedOn w:val="27"/>
    <w:link w:val="2"/>
    <w:qFormat/>
    <w:uiPriority w:val="0"/>
    <w:rPr>
      <w:rFonts w:eastAsia="黑体"/>
      <w:bCs/>
      <w:kern w:val="44"/>
      <w:sz w:val="28"/>
      <w:szCs w:val="44"/>
    </w:rPr>
  </w:style>
  <w:style w:type="character" w:customStyle="1" w:styleId="34">
    <w:name w:val="页眉 Char"/>
    <w:basedOn w:val="27"/>
    <w:link w:val="18"/>
    <w:qFormat/>
    <w:uiPriority w:val="99"/>
    <w:rPr>
      <w:sz w:val="18"/>
      <w:szCs w:val="18"/>
    </w:rPr>
  </w:style>
  <w:style w:type="character" w:customStyle="1" w:styleId="35">
    <w:name w:val="页脚 Char"/>
    <w:basedOn w:val="27"/>
    <w:link w:val="17"/>
    <w:qFormat/>
    <w:uiPriority w:val="99"/>
    <w:rPr>
      <w:sz w:val="18"/>
      <w:szCs w:val="18"/>
    </w:rPr>
  </w:style>
  <w:style w:type="character" w:customStyle="1" w:styleId="36">
    <w:name w:val="标题 3 Char"/>
    <w:basedOn w:val="27"/>
    <w:link w:val="4"/>
    <w:qFormat/>
    <w:uiPriority w:val="0"/>
    <w:rPr>
      <w:bCs/>
      <w:kern w:val="2"/>
      <w:sz w:val="24"/>
      <w:szCs w:val="28"/>
    </w:rPr>
  </w:style>
  <w:style w:type="character" w:customStyle="1" w:styleId="37">
    <w:name w:val="标题 4 Char"/>
    <w:basedOn w:val="27"/>
    <w:link w:val="5"/>
    <w:qFormat/>
    <w:uiPriority w:val="0"/>
    <w:rPr>
      <w:rFonts w:ascii="Times New Roman" w:hAnsi="Times New Roman" w:eastAsia="宋体" w:cs="Times New Roman"/>
      <w:bCs/>
      <w:sz w:val="24"/>
      <w:szCs w:val="28"/>
    </w:rPr>
  </w:style>
  <w:style w:type="character" w:customStyle="1" w:styleId="38">
    <w:name w:val="标题 5 Char"/>
    <w:basedOn w:val="27"/>
    <w:link w:val="6"/>
    <w:qFormat/>
    <w:uiPriority w:val="0"/>
    <w:rPr>
      <w:rFonts w:ascii="Times New Roman" w:hAnsi="Times New Roman" w:eastAsia="宋体" w:cs="宋体"/>
      <w:bCs/>
      <w:sz w:val="24"/>
      <w:szCs w:val="28"/>
    </w:rPr>
  </w:style>
  <w:style w:type="character" w:customStyle="1" w:styleId="39">
    <w:name w:val="标题 6 Char"/>
    <w:basedOn w:val="27"/>
    <w:link w:val="7"/>
    <w:qFormat/>
    <w:uiPriority w:val="0"/>
    <w:rPr>
      <w:rFonts w:ascii="Cambria" w:hAnsi="Cambria" w:eastAsia="宋体" w:cs="Times New Roman"/>
      <w:b/>
      <w:bCs/>
      <w:sz w:val="24"/>
      <w:szCs w:val="24"/>
    </w:rPr>
  </w:style>
  <w:style w:type="character" w:customStyle="1" w:styleId="40">
    <w:name w:val="标题 7 Char"/>
    <w:basedOn w:val="27"/>
    <w:link w:val="8"/>
    <w:qFormat/>
    <w:uiPriority w:val="0"/>
    <w:rPr>
      <w:rFonts w:ascii="Times New Roman" w:hAnsi="Times New Roman" w:eastAsia="宋体" w:cs="宋体"/>
      <w:b/>
      <w:bCs/>
      <w:sz w:val="24"/>
      <w:szCs w:val="24"/>
    </w:rPr>
  </w:style>
  <w:style w:type="character" w:customStyle="1" w:styleId="41">
    <w:name w:val="标题 8 Char"/>
    <w:basedOn w:val="27"/>
    <w:link w:val="9"/>
    <w:qFormat/>
    <w:uiPriority w:val="0"/>
    <w:rPr>
      <w:rFonts w:ascii="Cambria" w:hAnsi="Cambria" w:eastAsia="宋体" w:cs="Times New Roman"/>
      <w:sz w:val="24"/>
      <w:szCs w:val="24"/>
    </w:rPr>
  </w:style>
  <w:style w:type="character" w:customStyle="1" w:styleId="42">
    <w:name w:val="标题 9 Char"/>
    <w:basedOn w:val="27"/>
    <w:link w:val="10"/>
    <w:qFormat/>
    <w:uiPriority w:val="0"/>
    <w:rPr>
      <w:rFonts w:ascii="Cambria" w:hAnsi="Cambria" w:eastAsia="宋体" w:cs="Times New Roman"/>
      <w:szCs w:val="21"/>
    </w:rPr>
  </w:style>
  <w:style w:type="paragraph" w:styleId="43">
    <w:name w:val="List Paragraph"/>
    <w:basedOn w:val="1"/>
    <w:qFormat/>
    <w:uiPriority w:val="0"/>
    <w:pPr>
      <w:ind w:firstLine="420" w:firstLineChars="200"/>
    </w:pPr>
    <w:rPr>
      <w:rFonts w:cs="宋体"/>
      <w:szCs w:val="21"/>
    </w:rPr>
  </w:style>
  <w:style w:type="paragraph" w:customStyle="1" w:styleId="44">
    <w:name w:val="我的正文"/>
    <w:basedOn w:val="1"/>
    <w:qFormat/>
    <w:uiPriority w:val="0"/>
    <w:pPr>
      <w:adjustRightInd w:val="0"/>
      <w:snapToGrid w:val="0"/>
      <w:jc w:val="left"/>
    </w:pPr>
    <w:rPr>
      <w:rFonts w:cs="Times New Roman"/>
      <w:snapToGrid w:val="0"/>
      <w:szCs w:val="24"/>
    </w:rPr>
  </w:style>
  <w:style w:type="character" w:customStyle="1" w:styleId="45">
    <w:name w:val="标题 2 Char1"/>
    <w:qFormat/>
    <w:uiPriority w:val="9"/>
    <w:rPr>
      <w:rFonts w:ascii="Times New Roman" w:hAnsi="Times New Roman" w:eastAsia="黑体" w:cs="Times New Roman"/>
      <w:bCs/>
      <w:sz w:val="36"/>
      <w:szCs w:val="32"/>
    </w:rPr>
  </w:style>
  <w:style w:type="paragraph" w:customStyle="1" w:styleId="46">
    <w:name w:val="样式1"/>
    <w:basedOn w:val="12"/>
    <w:qFormat/>
    <w:uiPriority w:val="0"/>
    <w:pPr>
      <w:widowControl/>
      <w:jc w:val="center"/>
    </w:pPr>
    <w:rPr>
      <w:rFonts w:ascii="Arial" w:hAnsi="Arial" w:eastAsia="楷体_GB2312" w:cs="Arial"/>
      <w:b/>
      <w:bCs/>
      <w:kern w:val="0"/>
      <w:sz w:val="32"/>
      <w:szCs w:val="28"/>
    </w:rPr>
  </w:style>
  <w:style w:type="character" w:customStyle="1" w:styleId="47">
    <w:name w:val="正文文本 Char"/>
    <w:basedOn w:val="27"/>
    <w:link w:val="12"/>
    <w:semiHidden/>
    <w:qFormat/>
    <w:uiPriority w:val="99"/>
  </w:style>
  <w:style w:type="character" w:customStyle="1" w:styleId="48">
    <w:name w:val="日期 Char"/>
    <w:link w:val="15"/>
    <w:qFormat/>
    <w:uiPriority w:val="0"/>
    <w:rPr>
      <w:rFonts w:ascii="Times New Roman" w:hAnsi="Times New Roman"/>
      <w:sz w:val="24"/>
    </w:rPr>
  </w:style>
  <w:style w:type="character" w:customStyle="1" w:styleId="49">
    <w:name w:val="日期 Char1"/>
    <w:basedOn w:val="27"/>
    <w:semiHidden/>
    <w:qFormat/>
    <w:uiPriority w:val="99"/>
  </w:style>
  <w:style w:type="character" w:customStyle="1" w:styleId="50">
    <w:name w:val="批注框文本 Char"/>
    <w:basedOn w:val="27"/>
    <w:link w:val="16"/>
    <w:semiHidden/>
    <w:qFormat/>
    <w:uiPriority w:val="99"/>
    <w:rPr>
      <w:sz w:val="18"/>
      <w:szCs w:val="18"/>
    </w:rPr>
  </w:style>
  <w:style w:type="character" w:customStyle="1" w:styleId="51">
    <w:name w:val="批注文字 Char"/>
    <w:basedOn w:val="27"/>
    <w:link w:val="11"/>
    <w:semiHidden/>
    <w:qFormat/>
    <w:uiPriority w:val="99"/>
    <w:rPr>
      <w:rFonts w:asciiTheme="minorHAnsi" w:hAnsiTheme="minorHAnsi" w:eastAsiaTheme="minorEastAsia" w:cstheme="minorBidi"/>
      <w:kern w:val="2"/>
      <w:sz w:val="21"/>
      <w:szCs w:val="22"/>
    </w:rPr>
  </w:style>
  <w:style w:type="character" w:customStyle="1" w:styleId="52">
    <w:name w:val="批注主题 Char"/>
    <w:basedOn w:val="51"/>
    <w:link w:val="23"/>
    <w:semiHidden/>
    <w:qFormat/>
    <w:uiPriority w:val="99"/>
    <w:rPr>
      <w:rFonts w:asciiTheme="minorHAnsi" w:hAnsiTheme="minorHAnsi" w:eastAsiaTheme="minorEastAsia" w:cstheme="minorBidi"/>
      <w:b/>
      <w:bCs/>
      <w:kern w:val="2"/>
      <w:sz w:val="21"/>
      <w:szCs w:val="22"/>
    </w:rPr>
  </w:style>
  <w:style w:type="paragraph" w:customStyle="1" w:styleId="53">
    <w:name w:val="图表文字"/>
    <w:basedOn w:val="1"/>
    <w:qFormat/>
    <w:uiPriority w:val="0"/>
    <w:pPr>
      <w:adjustRightInd w:val="0"/>
      <w:snapToGrid w:val="0"/>
      <w:spacing w:line="300" w:lineRule="auto"/>
      <w:jc w:val="center"/>
    </w:pPr>
    <w:rPr>
      <w:rFonts w:cs="宋体"/>
      <w:sz w:val="21"/>
      <w:szCs w:val="21"/>
    </w:rPr>
  </w:style>
  <w:style w:type="character" w:customStyle="1" w:styleId="54">
    <w:name w:val="正文文本缩进 Char"/>
    <w:basedOn w:val="27"/>
    <w:link w:val="13"/>
    <w:semiHidden/>
    <w:qFormat/>
    <w:uiPriority w:val="99"/>
    <w:rPr>
      <w:rFonts w:cstheme="minorBidi"/>
      <w:kern w:val="2"/>
      <w:sz w:val="24"/>
      <w:szCs w:val="22"/>
    </w:rPr>
  </w:style>
  <w:style w:type="paragraph" w:customStyle="1" w:styleId="55">
    <w:name w:val="正文报告"/>
    <w:basedOn w:val="1"/>
    <w:qFormat/>
    <w:uiPriority w:val="0"/>
    <w:pPr>
      <w:tabs>
        <w:tab w:val="left" w:pos="510"/>
      </w:tabs>
      <w:adjustRightInd w:val="0"/>
      <w:spacing w:line="460" w:lineRule="exact"/>
      <w:ind w:firstLine="482"/>
      <w:textAlignment w:val="baseline"/>
    </w:pPr>
    <w:rPr>
      <w:rFonts w:cs="Times New Roman"/>
      <w:kern w:val="0"/>
      <w:szCs w:val="20"/>
    </w:rPr>
  </w:style>
  <w:style w:type="paragraph" w:customStyle="1" w:styleId="56">
    <w:name w:val="默认段落字体 Para Char Char Char Char"/>
    <w:basedOn w:val="1"/>
    <w:qFormat/>
    <w:uiPriority w:val="0"/>
    <w:pPr>
      <w:spacing w:line="240" w:lineRule="auto"/>
    </w:pPr>
    <w:rPr>
      <w:rFonts w:cs="Times New Roman"/>
      <w:sz w:val="21"/>
      <w:szCs w:val="24"/>
    </w:rPr>
  </w:style>
  <w:style w:type="character" w:customStyle="1" w:styleId="57">
    <w:name w:val="0正文 Char"/>
    <w:link w:val="58"/>
    <w:uiPriority w:val="0"/>
    <w:rPr>
      <w:kern w:val="2"/>
      <w:sz w:val="24"/>
    </w:rPr>
  </w:style>
  <w:style w:type="paragraph" w:customStyle="1" w:styleId="58">
    <w:name w:val="0正文"/>
    <w:basedOn w:val="1"/>
    <w:link w:val="57"/>
    <w:qFormat/>
    <w:uiPriority w:val="0"/>
    <w:pPr>
      <w:ind w:firstLine="480"/>
    </w:pPr>
    <w:rPr>
      <w:rFonts w:cs="Times New Roman"/>
      <w:szCs w:val="20"/>
    </w:rPr>
  </w:style>
  <w:style w:type="character" w:customStyle="1" w:styleId="59">
    <w:name w:val="正文首行缩进 Char"/>
    <w:link w:val="24"/>
    <w:uiPriority w:val="0"/>
    <w:rPr>
      <w:kern w:val="2"/>
      <w:sz w:val="24"/>
      <w:szCs w:val="24"/>
    </w:rPr>
  </w:style>
  <w:style w:type="character" w:customStyle="1" w:styleId="60">
    <w:name w:val="正文首行缩进 Char1"/>
    <w:basedOn w:val="47"/>
    <w:semiHidden/>
    <w:uiPriority w:val="99"/>
    <w:rPr>
      <w:rFonts w:cstheme="minorBidi"/>
      <w:kern w:val="2"/>
      <w:sz w:val="24"/>
      <w:szCs w:val="22"/>
    </w:rPr>
  </w:style>
  <w:style w:type="paragraph" w:customStyle="1" w:styleId="61">
    <w:name w:val="正文1"/>
    <w:basedOn w:val="1"/>
    <w:qFormat/>
    <w:uiPriority w:val="0"/>
    <w:pPr>
      <w:adjustRightInd w:val="0"/>
      <w:spacing w:line="360" w:lineRule="atLeast"/>
      <w:jc w:val="left"/>
      <w:textAlignment w:val="baseline"/>
    </w:pPr>
    <w:rPr>
      <w:rFonts w:ascii="宋体" w:cs="Times New Roman"/>
      <w:kern w:val="0"/>
      <w:szCs w:val="20"/>
    </w:rPr>
  </w:style>
  <w:style w:type="paragraph" w:customStyle="1" w:styleId="62">
    <w:name w:val="font5"/>
    <w:basedOn w:val="1"/>
    <w:uiPriority w:val="0"/>
    <w:pPr>
      <w:widowControl/>
      <w:spacing w:before="100" w:beforeAutospacing="1" w:after="100" w:afterAutospacing="1" w:line="240" w:lineRule="auto"/>
      <w:jc w:val="left"/>
    </w:pPr>
    <w:rPr>
      <w:rFonts w:ascii="等线" w:hAnsi="等线" w:eastAsia="等线" w:cs="宋体"/>
      <w:color w:val="000000"/>
      <w:kern w:val="0"/>
      <w:sz w:val="22"/>
    </w:rPr>
  </w:style>
  <w:style w:type="paragraph" w:customStyle="1" w:styleId="63">
    <w:name w:val="font6"/>
    <w:basedOn w:val="1"/>
    <w:uiPriority w:val="0"/>
    <w:pPr>
      <w:widowControl/>
      <w:spacing w:before="100" w:beforeAutospacing="1" w:after="100" w:afterAutospacing="1" w:line="240" w:lineRule="auto"/>
      <w:jc w:val="left"/>
    </w:pPr>
    <w:rPr>
      <w:rFonts w:ascii="宋体" w:hAnsi="宋体" w:cs="宋体"/>
      <w:color w:val="000000"/>
      <w:kern w:val="0"/>
      <w:szCs w:val="24"/>
    </w:rPr>
  </w:style>
  <w:style w:type="paragraph" w:customStyle="1" w:styleId="64">
    <w:name w:val="font7"/>
    <w:basedOn w:val="1"/>
    <w:uiPriority w:val="0"/>
    <w:pPr>
      <w:widowControl/>
      <w:spacing w:before="100" w:beforeAutospacing="1" w:after="100" w:afterAutospacing="1" w:line="240" w:lineRule="auto"/>
      <w:jc w:val="left"/>
    </w:pPr>
    <w:rPr>
      <w:rFonts w:ascii="Calibri Light" w:hAnsi="Calibri Light" w:cs="Calibri Light"/>
      <w:color w:val="000000"/>
      <w:kern w:val="0"/>
      <w:szCs w:val="24"/>
    </w:rPr>
  </w:style>
  <w:style w:type="paragraph" w:customStyle="1" w:styleId="65">
    <w:name w:val="font8"/>
    <w:basedOn w:val="1"/>
    <w:uiPriority w:val="0"/>
    <w:pPr>
      <w:widowControl/>
      <w:spacing w:before="100" w:beforeAutospacing="1" w:after="100" w:afterAutospacing="1" w:line="240" w:lineRule="auto"/>
      <w:jc w:val="left"/>
    </w:pPr>
    <w:rPr>
      <w:rFonts w:ascii="等线" w:hAnsi="等线" w:eastAsia="等线" w:cs="宋体"/>
      <w:kern w:val="0"/>
      <w:sz w:val="18"/>
      <w:szCs w:val="18"/>
    </w:rPr>
  </w:style>
  <w:style w:type="paragraph" w:customStyle="1" w:styleId="66">
    <w:name w:val="font9"/>
    <w:basedOn w:val="1"/>
    <w:uiPriority w:val="0"/>
    <w:pPr>
      <w:widowControl/>
      <w:spacing w:before="100" w:beforeAutospacing="1" w:after="100" w:afterAutospacing="1" w:line="240" w:lineRule="auto"/>
      <w:jc w:val="left"/>
    </w:pPr>
    <w:rPr>
      <w:rFonts w:ascii="Arial" w:hAnsi="Arial" w:cs="Arial"/>
      <w:color w:val="000000"/>
      <w:kern w:val="0"/>
      <w:szCs w:val="24"/>
    </w:rPr>
  </w:style>
  <w:style w:type="paragraph" w:customStyle="1" w:styleId="67">
    <w:name w:val="font10"/>
    <w:basedOn w:val="1"/>
    <w:uiPriority w:val="0"/>
    <w:pPr>
      <w:widowControl/>
      <w:spacing w:before="100" w:beforeAutospacing="1" w:after="100" w:afterAutospacing="1" w:line="240" w:lineRule="auto"/>
      <w:jc w:val="left"/>
    </w:pPr>
    <w:rPr>
      <w:rFonts w:ascii="Arial" w:hAnsi="Arial" w:cs="Arial"/>
      <w:color w:val="000000"/>
      <w:kern w:val="0"/>
      <w:sz w:val="22"/>
    </w:rPr>
  </w:style>
  <w:style w:type="paragraph" w:customStyle="1" w:styleId="68">
    <w:name w:val="xl67"/>
    <w:basedOn w:val="1"/>
    <w:uiPriority w:val="0"/>
    <w:pPr>
      <w:widowControl/>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69">
    <w:name w:val="xl6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70">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0"/>
      <w:szCs w:val="20"/>
    </w:rPr>
  </w:style>
  <w:style w:type="paragraph" w:customStyle="1" w:styleId="71">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72">
    <w:name w:val="xl7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b/>
      <w:bCs/>
      <w:kern w:val="0"/>
      <w:sz w:val="20"/>
      <w:szCs w:val="20"/>
    </w:rPr>
  </w:style>
  <w:style w:type="paragraph" w:customStyle="1" w:styleId="73">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74">
    <w:name w:val="xl73"/>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75">
    <w:name w:val="xl74"/>
    <w:basedOn w:val="1"/>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76">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77">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78">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0"/>
      <w:szCs w:val="20"/>
    </w:rPr>
  </w:style>
  <w:style w:type="paragraph" w:customStyle="1" w:styleId="79">
    <w:name w:val="xl78"/>
    <w:basedOn w:val="1"/>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80">
    <w:name w:val="xl79"/>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81">
    <w:name w:val="xl80"/>
    <w:basedOn w:val="1"/>
    <w:uiPriority w:val="0"/>
    <w:pPr>
      <w:widowControl/>
      <w:pBdr>
        <w:top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b/>
      <w:bCs/>
      <w:kern w:val="0"/>
      <w:sz w:val="20"/>
      <w:szCs w:val="20"/>
    </w:rPr>
  </w:style>
  <w:style w:type="paragraph" w:customStyle="1" w:styleId="82">
    <w:name w:val="xl8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0"/>
      <w:szCs w:val="20"/>
    </w:rPr>
  </w:style>
  <w:style w:type="paragraph" w:customStyle="1" w:styleId="83">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84">
    <w:name w:val="xl83"/>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kern w:val="0"/>
      <w:sz w:val="20"/>
      <w:szCs w:val="20"/>
    </w:rPr>
  </w:style>
  <w:style w:type="paragraph" w:customStyle="1" w:styleId="85">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color w:val="FF0000"/>
      <w:kern w:val="0"/>
      <w:sz w:val="20"/>
      <w:szCs w:val="20"/>
    </w:rPr>
  </w:style>
  <w:style w:type="paragraph" w:customStyle="1" w:styleId="86">
    <w:name w:val="xl8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FF0000"/>
      <w:kern w:val="0"/>
      <w:sz w:val="20"/>
      <w:szCs w:val="20"/>
    </w:rPr>
  </w:style>
  <w:style w:type="paragraph" w:customStyle="1" w:styleId="87">
    <w:name w:val="xl86"/>
    <w:basedOn w:val="1"/>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textAlignment w:val="center"/>
    </w:pPr>
    <w:rPr>
      <w:rFonts w:ascii="宋体" w:hAnsi="宋体" w:cs="宋体"/>
      <w:color w:val="FF0000"/>
      <w:kern w:val="0"/>
      <w:sz w:val="20"/>
      <w:szCs w:val="20"/>
    </w:rPr>
  </w:style>
  <w:style w:type="paragraph" w:customStyle="1" w:styleId="88">
    <w:name w:val="xl87"/>
    <w:basedOn w:val="1"/>
    <w:uiPriority w:val="0"/>
    <w:pPr>
      <w:widowControl/>
      <w:spacing w:before="100" w:beforeAutospacing="1" w:after="100" w:afterAutospacing="1" w:line="240" w:lineRule="auto"/>
      <w:jc w:val="center"/>
      <w:textAlignment w:val="center"/>
    </w:pPr>
    <w:rPr>
      <w:rFonts w:cs="Times New Roman"/>
      <w:kern w:val="0"/>
      <w:szCs w:val="24"/>
    </w:rPr>
  </w:style>
  <w:style w:type="paragraph" w:customStyle="1" w:styleId="89">
    <w:name w:val="xl88"/>
    <w:basedOn w:val="1"/>
    <w:uiPriority w:val="0"/>
    <w:pPr>
      <w:widowControl/>
      <w:spacing w:before="100" w:beforeAutospacing="1" w:after="100" w:afterAutospacing="1" w:line="240" w:lineRule="auto"/>
      <w:jc w:val="left"/>
      <w:textAlignment w:val="center"/>
    </w:pPr>
    <w:rPr>
      <w:rFonts w:cs="Times New Roman"/>
      <w:kern w:val="0"/>
      <w:szCs w:val="24"/>
    </w:rPr>
  </w:style>
  <w:style w:type="paragraph" w:customStyle="1" w:styleId="90">
    <w:name w:val="xl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cs="宋体"/>
      <w:color w:val="FF0000"/>
      <w:kern w:val="0"/>
      <w:sz w:val="20"/>
      <w:szCs w:val="20"/>
    </w:rPr>
  </w:style>
  <w:style w:type="paragraph" w:customStyle="1" w:styleId="91">
    <w:name w:val="xl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0"/>
      <w:szCs w:val="20"/>
    </w:rPr>
  </w:style>
  <w:style w:type="paragraph" w:customStyle="1" w:styleId="92">
    <w:name w:val="xl9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b/>
      <w:bCs/>
      <w:kern w:val="0"/>
      <w:sz w:val="20"/>
      <w:szCs w:val="20"/>
    </w:rPr>
  </w:style>
  <w:style w:type="paragraph" w:customStyle="1" w:styleId="93">
    <w:name w:val="xl9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0"/>
      <w:szCs w:val="20"/>
    </w:rPr>
  </w:style>
  <w:style w:type="paragraph" w:customStyle="1" w:styleId="94">
    <w:name w:val="xl9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center"/>
    </w:pPr>
    <w:rPr>
      <w:rFonts w:ascii="宋体" w:hAnsi="宋体" w:cs="宋体"/>
      <w:kern w:val="0"/>
      <w:sz w:val="20"/>
      <w:szCs w:val="20"/>
    </w:rPr>
  </w:style>
  <w:style w:type="paragraph" w:customStyle="1" w:styleId="95">
    <w:name w:val="xl94"/>
    <w:basedOn w:val="1"/>
    <w:uiPriority w:val="0"/>
    <w:pPr>
      <w:widowControl/>
      <w:spacing w:before="100" w:beforeAutospacing="1" w:after="100" w:afterAutospacing="1" w:line="240" w:lineRule="auto"/>
      <w:jc w:val="left"/>
      <w:textAlignment w:val="center"/>
    </w:pPr>
    <w:rPr>
      <w:rFonts w:cs="Times New Roman"/>
      <w:kern w:val="0"/>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ECD566-EDDD-486E-8480-0B01C734E64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2248</Words>
  <Characters>12818</Characters>
  <Lines>106</Lines>
  <Paragraphs>30</Paragraphs>
  <TotalTime>8</TotalTime>
  <ScaleCrop>false</ScaleCrop>
  <LinksUpToDate>false</LinksUpToDate>
  <CharactersWithSpaces>15036</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2023-10-13T06:47:00Z</dcterms:created>
  <dc:creator>Lenovo-pc</dc:creator>
  <cp:lastModifiedBy>Judy</cp:lastModifiedBy>
  <dcterms:modified xsi:type="dcterms:W3CDTF">2023-10-16T00:45:56Z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