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Cs w:val="24"/>
        </w:rPr>
      </w:pPr>
    </w:p>
    <w:p>
      <w:pPr>
        <w:spacing w:line="720" w:lineRule="auto"/>
        <w:jc w:val="center"/>
        <w:rPr>
          <w:rFonts w:cs="Times New Roman" w:asciiTheme="minorEastAsia" w:hAnsiTheme="minorEastAsia" w:eastAsiaTheme="minorEastAsia"/>
          <w:sz w:val="44"/>
          <w:szCs w:val="44"/>
        </w:rPr>
      </w:pPr>
      <w:r>
        <w:rPr>
          <w:rFonts w:hint="eastAsia" w:cs="Times New Roman" w:asciiTheme="minorEastAsia" w:hAnsiTheme="minorEastAsia" w:eastAsiaTheme="minorEastAsia"/>
          <w:sz w:val="44"/>
          <w:szCs w:val="44"/>
        </w:rPr>
        <w:t>东汽电站服务事业部</w:t>
      </w:r>
    </w:p>
    <w:p>
      <w:pPr>
        <w:spacing w:line="720" w:lineRule="auto"/>
        <w:jc w:val="center"/>
        <w:rPr>
          <w:rFonts w:cs="Times New Roman" w:asciiTheme="minorEastAsia" w:hAnsiTheme="minorEastAsia" w:eastAsiaTheme="minorEastAsia"/>
          <w:sz w:val="44"/>
          <w:szCs w:val="44"/>
        </w:rPr>
      </w:pPr>
      <w:r>
        <w:rPr>
          <w:rFonts w:hint="eastAsia" w:cs="Times New Roman" w:asciiTheme="minorEastAsia" w:hAnsiTheme="minorEastAsia" w:eastAsiaTheme="minorEastAsia"/>
          <w:sz w:val="44"/>
          <w:szCs w:val="44"/>
        </w:rPr>
        <w:t>大唐托克托10号机精修项目外包部分</w:t>
      </w: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52"/>
          <w:szCs w:val="52"/>
        </w:rPr>
      </w:pPr>
    </w:p>
    <w:p>
      <w:pPr>
        <w:jc w:val="center"/>
        <w:rPr>
          <w:rFonts w:hint="eastAsia" w:eastAsia="楷体" w:cs="Times New Roman"/>
          <w:b/>
          <w:sz w:val="52"/>
          <w:szCs w:val="52"/>
          <w:lang w:eastAsia="zh-CN"/>
        </w:rPr>
      </w:pPr>
      <w:r>
        <w:rPr>
          <w:rFonts w:hint="eastAsia" w:eastAsia="楷体" w:cs="Times New Roman"/>
          <w:b/>
          <w:sz w:val="52"/>
          <w:szCs w:val="52"/>
          <w:lang w:eastAsia="zh-CN"/>
        </w:rPr>
        <w:t>机务电控成套供货</w:t>
      </w:r>
    </w:p>
    <w:p>
      <w:pPr>
        <w:jc w:val="center"/>
        <w:rPr>
          <w:rFonts w:eastAsia="楷体" w:cs="Times New Roman"/>
          <w:b/>
          <w:sz w:val="32"/>
          <w:szCs w:val="32"/>
        </w:rPr>
      </w:pPr>
    </w:p>
    <w:p>
      <w:pPr>
        <w:jc w:val="center"/>
        <w:rPr>
          <w:rFonts w:eastAsia="楷体" w:cs="Times New Roman"/>
          <w:b/>
          <w:sz w:val="52"/>
          <w:szCs w:val="52"/>
        </w:rPr>
      </w:pPr>
      <w:r>
        <w:rPr>
          <w:rFonts w:hint="eastAsia" w:eastAsia="楷体" w:cs="Times New Roman"/>
          <w:b/>
          <w:sz w:val="52"/>
          <w:szCs w:val="52"/>
        </w:rPr>
        <w:t>技术规范</w:t>
      </w:r>
    </w:p>
    <w:p>
      <w:pPr>
        <w:jc w:val="center"/>
        <w:rPr>
          <w:rFonts w:eastAsia="楷体" w:cs="Times New Roman"/>
          <w:b/>
          <w:sz w:val="52"/>
          <w:szCs w:val="52"/>
        </w:rPr>
      </w:pPr>
      <w:bookmarkStart w:id="59" w:name="_GoBack"/>
      <w:bookmarkEnd w:id="59"/>
    </w:p>
    <w:p>
      <w:pPr>
        <w:jc w:val="center"/>
        <w:rPr>
          <w:rFonts w:eastAsia="楷体" w:cs="Times New Roman"/>
          <w:b/>
          <w:sz w:val="36"/>
          <w:szCs w:val="36"/>
        </w:rPr>
      </w:pPr>
    </w:p>
    <w:p>
      <w:pPr>
        <w:jc w:val="center"/>
        <w:rPr>
          <w:rFonts w:eastAsia="楷体" w:cs="Times New Roman"/>
          <w:b/>
          <w:sz w:val="36"/>
          <w:szCs w:val="36"/>
        </w:rPr>
      </w:pPr>
    </w:p>
    <w:p>
      <w:pPr>
        <w:jc w:val="center"/>
        <w:rPr>
          <w:rFonts w:eastAsia="楷体" w:cs="Times New Roman"/>
          <w:b/>
          <w:sz w:val="36"/>
          <w:szCs w:val="36"/>
        </w:rPr>
      </w:pPr>
    </w:p>
    <w:p>
      <w:pPr>
        <w:spacing w:before="100" w:beforeAutospacing="1" w:after="100" w:afterAutospacing="1"/>
        <w:ind w:firstLine="1270" w:firstLineChars="397"/>
        <w:jc w:val="left"/>
        <w:rPr>
          <w:rFonts w:asciiTheme="minorEastAsia" w:hAnsiTheme="minorEastAsia" w:eastAsiaTheme="minorEastAsia"/>
          <w:sz w:val="32"/>
          <w:szCs w:val="32"/>
        </w:rPr>
      </w:pPr>
      <w:r>
        <w:rPr>
          <w:rFonts w:asciiTheme="minorEastAsia" w:hAnsiTheme="minorEastAsia" w:eastAsiaTheme="minorEastAsia"/>
          <w:sz w:val="32"/>
          <w:szCs w:val="32"/>
        </w:rPr>
        <w:t>需方：中机国际工程设计研究院有限责任公司</w:t>
      </w:r>
    </w:p>
    <w:p>
      <w:pPr>
        <w:ind w:firstLine="1270" w:firstLineChars="397"/>
        <w:jc w:val="left"/>
        <w:rPr>
          <w:rFonts w:cs="Times New Roman" w:asciiTheme="minorEastAsia" w:hAnsiTheme="minorEastAsia" w:eastAsiaTheme="minorEastAsia"/>
          <w:sz w:val="36"/>
          <w:szCs w:val="36"/>
        </w:rPr>
      </w:pPr>
      <w:r>
        <w:rPr>
          <w:rFonts w:asciiTheme="minorEastAsia" w:hAnsiTheme="minorEastAsia" w:eastAsiaTheme="minorEastAsia"/>
          <w:sz w:val="32"/>
          <w:szCs w:val="32"/>
        </w:rPr>
        <w:t>供方：</w:t>
      </w:r>
      <w:r>
        <w:rPr>
          <w:rFonts w:cs="Times New Roman" w:asciiTheme="minorEastAsia" w:hAnsiTheme="minorEastAsia" w:eastAsiaTheme="minorEastAsia"/>
          <w:sz w:val="36"/>
          <w:szCs w:val="36"/>
        </w:rPr>
        <w:t xml:space="preserve"> </w:t>
      </w:r>
    </w:p>
    <w:p>
      <w:pPr>
        <w:jc w:val="center"/>
        <w:rPr>
          <w:rFonts w:cs="Times New Roman" w:asciiTheme="minorEastAsia" w:hAnsiTheme="minorEastAsia" w:eastAsiaTheme="minorEastAsia"/>
          <w:sz w:val="36"/>
          <w:szCs w:val="36"/>
        </w:rPr>
      </w:pPr>
    </w:p>
    <w:p>
      <w:pPr>
        <w:jc w:val="center"/>
        <w:rPr>
          <w:rFonts w:cs="Times New Roman" w:asciiTheme="minorEastAsia" w:hAnsiTheme="minorEastAsia" w:eastAsiaTheme="minorEastAsia"/>
          <w:snapToGrid w:val="0"/>
          <w:color w:val="000000"/>
          <w:spacing w:val="30"/>
          <w:kern w:val="0"/>
          <w:sz w:val="32"/>
          <w:szCs w:val="32"/>
        </w:rPr>
      </w:pPr>
      <w:r>
        <w:rPr>
          <w:rFonts w:cs="Times New Roman" w:asciiTheme="minorEastAsia" w:hAnsiTheme="minorEastAsia" w:eastAsiaTheme="minorEastAsia"/>
          <w:sz w:val="36"/>
          <w:szCs w:val="36"/>
        </w:rPr>
        <w:t>二O</w:t>
      </w:r>
      <w:r>
        <w:rPr>
          <w:rFonts w:hint="eastAsia" w:cs="Times New Roman" w:asciiTheme="minorEastAsia" w:hAnsiTheme="minorEastAsia" w:eastAsiaTheme="minorEastAsia"/>
          <w:sz w:val="36"/>
          <w:szCs w:val="36"/>
        </w:rPr>
        <w:t>二三</w:t>
      </w:r>
      <w:r>
        <w:rPr>
          <w:rFonts w:cs="Times New Roman" w:asciiTheme="minorEastAsia" w:hAnsiTheme="minorEastAsia" w:eastAsiaTheme="minorEastAsia"/>
          <w:sz w:val="36"/>
          <w:szCs w:val="36"/>
        </w:rPr>
        <w:t>年</w:t>
      </w:r>
      <w:r>
        <w:rPr>
          <w:rFonts w:hint="eastAsia" w:cs="Times New Roman" w:asciiTheme="minorEastAsia" w:hAnsiTheme="minorEastAsia" w:eastAsiaTheme="minorEastAsia"/>
          <w:sz w:val="36"/>
          <w:szCs w:val="36"/>
        </w:rPr>
        <w:t>十</w:t>
      </w:r>
      <w:r>
        <w:rPr>
          <w:rFonts w:cs="Times New Roman" w:asciiTheme="minorEastAsia" w:hAnsiTheme="minorEastAsia" w:eastAsiaTheme="minorEastAsia"/>
          <w:sz w:val="36"/>
          <w:szCs w:val="36"/>
        </w:rPr>
        <w:t>月</w:t>
      </w:r>
    </w:p>
    <w:p>
      <w:pPr>
        <w:jc w:val="left"/>
        <w:rPr>
          <w:rFonts w:eastAsia="黑体" w:cs="Times New Roman"/>
          <w:snapToGrid w:val="0"/>
          <w:color w:val="000000"/>
          <w:spacing w:val="30"/>
          <w:kern w:val="0"/>
          <w:sz w:val="32"/>
          <w:szCs w:val="32"/>
        </w:rPr>
      </w:pPr>
    </w:p>
    <w:p>
      <w:pPr>
        <w:jc w:val="center"/>
        <w:rPr>
          <w:rFonts w:eastAsia="黑体" w:cs="Times New Roman"/>
          <w:snapToGrid w:val="0"/>
          <w:color w:val="000000"/>
          <w:spacing w:val="30"/>
          <w:kern w:val="0"/>
          <w:sz w:val="32"/>
          <w:szCs w:val="32"/>
        </w:rPr>
        <w:sectPr>
          <w:headerReference r:id="rId3" w:type="default"/>
          <w:pgSz w:w="11906" w:h="16838"/>
          <w:pgMar w:top="1440" w:right="1800" w:bottom="1440" w:left="1800" w:header="851" w:footer="992" w:gutter="0"/>
          <w:cols w:space="425" w:num="1"/>
          <w:docGrid w:type="lines" w:linePitch="312" w:charSpace="0"/>
        </w:sectPr>
      </w:pPr>
    </w:p>
    <w:p>
      <w:pPr>
        <w:jc w:val="center"/>
        <w:rPr>
          <w:rFonts w:eastAsia="黑体" w:cs="Times New Roman"/>
          <w:snapToGrid w:val="0"/>
          <w:color w:val="000000"/>
          <w:spacing w:val="30"/>
          <w:kern w:val="0"/>
          <w:sz w:val="32"/>
          <w:szCs w:val="32"/>
        </w:rPr>
      </w:pPr>
      <w:r>
        <w:rPr>
          <w:rFonts w:hint="eastAsia" w:eastAsia="黑体" w:cs="Times New Roman"/>
          <w:snapToGrid w:val="0"/>
          <w:color w:val="000000"/>
          <w:spacing w:val="30"/>
          <w:kern w:val="0"/>
          <w:sz w:val="32"/>
          <w:szCs w:val="32"/>
        </w:rPr>
        <w:t>目 录</w:t>
      </w:r>
    </w:p>
    <w:p>
      <w:pPr>
        <w:pStyle w:val="19"/>
        <w:tabs>
          <w:tab w:val="right" w:leader="dot" w:pos="9060"/>
        </w:tabs>
        <w:rPr>
          <w:rFonts w:asciiTheme="minorHAnsi" w:hAnsiTheme="minorHAnsi" w:eastAsiaTheme="minorEastAsia"/>
          <w:sz w:val="21"/>
        </w:rPr>
      </w:pPr>
      <w:r>
        <w:rPr>
          <w:rFonts w:cs="Times New Roman"/>
          <w:snapToGrid w:val="0"/>
          <w:color w:val="000000"/>
          <w:spacing w:val="30"/>
          <w:kern w:val="0"/>
          <w:szCs w:val="24"/>
        </w:rPr>
        <w:fldChar w:fldCharType="begin"/>
      </w:r>
      <w:r>
        <w:rPr>
          <w:rFonts w:cs="Times New Roman"/>
          <w:snapToGrid w:val="0"/>
          <w:color w:val="000000"/>
          <w:spacing w:val="30"/>
          <w:kern w:val="0"/>
          <w:szCs w:val="24"/>
        </w:rPr>
        <w:instrText xml:space="preserve"> TOC \o "1-2" \h \z \u </w:instrText>
      </w:r>
      <w:r>
        <w:rPr>
          <w:rFonts w:cs="Times New Roman"/>
          <w:snapToGrid w:val="0"/>
          <w:color w:val="000000"/>
          <w:spacing w:val="30"/>
          <w:kern w:val="0"/>
          <w:szCs w:val="24"/>
        </w:rPr>
        <w:fldChar w:fldCharType="separate"/>
      </w:r>
      <w:r>
        <w:fldChar w:fldCharType="begin"/>
      </w:r>
      <w:r>
        <w:instrText xml:space="preserve"> HYPERLINK \l "_Toc148101338" </w:instrText>
      </w:r>
      <w:r>
        <w:fldChar w:fldCharType="separate"/>
      </w:r>
      <w:r>
        <w:rPr>
          <w:rStyle w:val="29"/>
        </w:rPr>
        <w:t>1</w:t>
      </w:r>
      <w:r>
        <w:rPr>
          <w:rStyle w:val="29"/>
          <w:rFonts w:hint="eastAsia"/>
        </w:rPr>
        <w:t xml:space="preserve"> 项目概况及总体要求</w:t>
      </w:r>
      <w:r>
        <w:tab/>
      </w:r>
      <w:r>
        <w:fldChar w:fldCharType="begin"/>
      </w:r>
      <w:r>
        <w:instrText xml:space="preserve"> PAGEREF _Toc148101338 \h </w:instrText>
      </w:r>
      <w:r>
        <w:fldChar w:fldCharType="separate"/>
      </w:r>
      <w:r>
        <w:t>1</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"_Toc148101339" </w:instrText>
      </w:r>
      <w:r>
        <w:fldChar w:fldCharType="separate"/>
      </w:r>
      <w:r>
        <w:rPr>
          <w:rStyle w:val="29"/>
        </w:rPr>
        <w:t>1.1</w:t>
      </w:r>
      <w:r>
        <w:rPr>
          <w:rStyle w:val="29"/>
          <w:rFonts w:hint="eastAsia" w:ascii="宋体" w:hAnsi="宋体"/>
        </w:rPr>
        <w:t xml:space="preserve"> 项目基本信息</w:t>
      </w:r>
      <w:r>
        <w:tab/>
      </w:r>
      <w:r>
        <w:fldChar w:fldCharType="begin"/>
      </w:r>
      <w:r>
        <w:instrText xml:space="preserve"> PAGEREF _Toc148101339 \h </w:instrText>
      </w:r>
      <w:r>
        <w:fldChar w:fldCharType="separate"/>
      </w:r>
      <w:r>
        <w:t>1</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"_Toc148101340" </w:instrText>
      </w:r>
      <w:r>
        <w:fldChar w:fldCharType="separate"/>
      </w:r>
      <w:r>
        <w:rPr>
          <w:rStyle w:val="29"/>
        </w:rPr>
        <w:t>1.2</w:t>
      </w:r>
      <w:r>
        <w:rPr>
          <w:rStyle w:val="29"/>
          <w:rFonts w:hint="eastAsia" w:ascii="宋体" w:hAnsi="宋体"/>
        </w:rPr>
        <w:t xml:space="preserve"> 总则</w:t>
      </w:r>
      <w:r>
        <w:tab/>
      </w:r>
      <w:r>
        <w:fldChar w:fldCharType="begin"/>
      </w:r>
      <w:r>
        <w:instrText xml:space="preserve"> PAGEREF _Toc148101340 \h </w:instrText>
      </w:r>
      <w:r>
        <w:fldChar w:fldCharType="separate"/>
      </w:r>
      <w:r>
        <w:t>1</w:t>
      </w:r>
      <w:r>
        <w:fldChar w:fldCharType="end"/>
      </w:r>
      <w:r>
        <w:fldChar w:fldCharType="end"/>
      </w:r>
    </w:p>
    <w:p>
      <w:pPr>
        <w:pStyle w:val="19"/>
        <w:tabs>
          <w:tab w:val="right" w:leader="dot" w:pos="9060"/>
        </w:tabs>
        <w:rPr>
          <w:rFonts w:asciiTheme="minorHAnsi" w:hAnsiTheme="minorHAnsi" w:eastAsiaTheme="minorEastAsia"/>
          <w:sz w:val="21"/>
        </w:rPr>
      </w:pPr>
      <w:r>
        <w:fldChar w:fldCharType="begin"/>
      </w:r>
      <w:r>
        <w:instrText xml:space="preserve"> HYPERLINK \l "_Toc148101341" </w:instrText>
      </w:r>
      <w:r>
        <w:fldChar w:fldCharType="separate"/>
      </w:r>
      <w:r>
        <w:rPr>
          <w:rStyle w:val="29"/>
        </w:rPr>
        <w:t>2</w:t>
      </w:r>
      <w:r>
        <w:rPr>
          <w:rStyle w:val="29"/>
          <w:rFonts w:hint="eastAsia"/>
        </w:rPr>
        <w:t xml:space="preserve"> 供货范围</w:t>
      </w:r>
      <w:r>
        <w:tab/>
      </w:r>
      <w:r>
        <w:fldChar w:fldCharType="begin"/>
      </w:r>
      <w:r>
        <w:instrText xml:space="preserve"> PAGEREF _Toc148101341 \h </w:instrText>
      </w:r>
      <w:r>
        <w:fldChar w:fldCharType="separate"/>
      </w:r>
      <w:r>
        <w:t>2</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"_Toc148101342" </w:instrText>
      </w:r>
      <w:r>
        <w:fldChar w:fldCharType="separate"/>
      </w:r>
      <w:r>
        <w:rPr>
          <w:rStyle w:val="29"/>
        </w:rPr>
        <w:t>2.1</w:t>
      </w:r>
      <w:r>
        <w:rPr>
          <w:rStyle w:val="29"/>
          <w:rFonts w:hint="eastAsia" w:ascii="宋体" w:hAnsi="宋体"/>
        </w:rPr>
        <w:t xml:space="preserve"> 一般要求</w:t>
      </w:r>
      <w:r>
        <w:tab/>
      </w:r>
      <w:r>
        <w:fldChar w:fldCharType="begin"/>
      </w:r>
      <w:r>
        <w:instrText xml:space="preserve"> PAGEREF _Toc148101342 \h </w:instrText>
      </w:r>
      <w:r>
        <w:fldChar w:fldCharType="separate"/>
      </w:r>
      <w:r>
        <w:t>2</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"_Toc148101343" </w:instrText>
      </w:r>
      <w:r>
        <w:fldChar w:fldCharType="separate"/>
      </w:r>
      <w:r>
        <w:rPr>
          <w:rStyle w:val="29"/>
        </w:rPr>
        <w:t>2.2</w:t>
      </w:r>
      <w:r>
        <w:rPr>
          <w:rStyle w:val="29"/>
          <w:rFonts w:hint="eastAsia" w:ascii="宋体" w:hAnsi="宋体"/>
        </w:rPr>
        <w:t xml:space="preserve"> 供货清单</w:t>
      </w:r>
      <w:r>
        <w:tab/>
      </w:r>
      <w:r>
        <w:fldChar w:fldCharType="begin"/>
      </w:r>
      <w:r>
        <w:instrText xml:space="preserve"> PAGEREF _Toc148101343 \h </w:instrText>
      </w:r>
      <w:r>
        <w:fldChar w:fldCharType="separate"/>
      </w:r>
      <w:r>
        <w:t>3</w:t>
      </w:r>
      <w:r>
        <w:fldChar w:fldCharType="end"/>
      </w:r>
      <w:r>
        <w:fldChar w:fldCharType="end"/>
      </w:r>
    </w:p>
    <w:p>
      <w:pPr>
        <w:pStyle w:val="19"/>
        <w:tabs>
          <w:tab w:val="right" w:leader="dot" w:pos="9060"/>
        </w:tabs>
        <w:rPr>
          <w:rFonts w:asciiTheme="minorHAnsi" w:hAnsiTheme="minorHAnsi" w:eastAsiaTheme="minorEastAsia"/>
          <w:sz w:val="21"/>
        </w:rPr>
      </w:pPr>
      <w:r>
        <w:fldChar w:fldCharType="begin"/>
      </w:r>
      <w:r>
        <w:instrText xml:space="preserve"> HYPERLINK \l "_Toc148101344" </w:instrText>
      </w:r>
      <w:r>
        <w:fldChar w:fldCharType="separate"/>
      </w:r>
      <w:r>
        <w:rPr>
          <w:rStyle w:val="29"/>
        </w:rPr>
        <w:t>3</w:t>
      </w:r>
      <w:r>
        <w:rPr>
          <w:rStyle w:val="29"/>
          <w:rFonts w:hint="eastAsia"/>
        </w:rPr>
        <w:t xml:space="preserve"> 标准及规范</w:t>
      </w:r>
      <w:r>
        <w:tab/>
      </w:r>
      <w:r>
        <w:fldChar w:fldCharType="begin"/>
      </w:r>
      <w:r>
        <w:instrText xml:space="preserve"> PAGEREF _Toc148101344 \h </w:instrText>
      </w:r>
      <w:r>
        <w:fldChar w:fldCharType="separate"/>
      </w:r>
      <w:r>
        <w:t>9</w:t>
      </w:r>
      <w:r>
        <w:fldChar w:fldCharType="end"/>
      </w:r>
      <w:r>
        <w:fldChar w:fldCharType="end"/>
      </w:r>
    </w:p>
    <w:p>
      <w:pPr>
        <w:pStyle w:val="19"/>
        <w:tabs>
          <w:tab w:val="right" w:leader="dot" w:pos="9060"/>
        </w:tabs>
        <w:rPr>
          <w:rFonts w:asciiTheme="minorHAnsi" w:hAnsiTheme="minorHAnsi" w:eastAsiaTheme="minorEastAsia"/>
          <w:sz w:val="21"/>
        </w:rPr>
      </w:pPr>
      <w:r>
        <w:fldChar w:fldCharType="begin"/>
      </w:r>
      <w:r>
        <w:instrText xml:space="preserve"> HYPERLINK \l "_Toc148101345" </w:instrText>
      </w:r>
      <w:r>
        <w:fldChar w:fldCharType="separate"/>
      </w:r>
      <w:r>
        <w:rPr>
          <w:rStyle w:val="29"/>
        </w:rPr>
        <w:t>4</w:t>
      </w:r>
      <w:r>
        <w:rPr>
          <w:rStyle w:val="29"/>
          <w:rFonts w:hint="eastAsia"/>
        </w:rPr>
        <w:t xml:space="preserve"> 技术要求</w:t>
      </w:r>
      <w:r>
        <w:tab/>
      </w:r>
      <w:r>
        <w:fldChar w:fldCharType="begin"/>
      </w:r>
      <w:r>
        <w:instrText xml:space="preserve"> PAGEREF _Toc148101345 \h </w:instrText>
      </w:r>
      <w:r>
        <w:fldChar w:fldCharType="separate"/>
      </w:r>
      <w:r>
        <w:t>11</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"_Toc148101346" </w:instrText>
      </w:r>
      <w:r>
        <w:fldChar w:fldCharType="separate"/>
      </w:r>
      <w:r>
        <w:rPr>
          <w:rStyle w:val="29"/>
          <w:b/>
        </w:rPr>
        <w:t>4.1</w:t>
      </w:r>
      <w:r>
        <w:rPr>
          <w:rStyle w:val="29"/>
          <w:rFonts w:hint="eastAsia"/>
          <w:b/>
        </w:rPr>
        <w:t>管道管件要求</w:t>
      </w:r>
      <w:r>
        <w:tab/>
      </w:r>
      <w:r>
        <w:fldChar w:fldCharType="begin"/>
      </w:r>
      <w:r>
        <w:instrText xml:space="preserve"> PAGEREF _Toc148101346 \h </w:instrText>
      </w:r>
      <w:r>
        <w:fldChar w:fldCharType="separate"/>
      </w:r>
      <w:r>
        <w:t>11</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"_Toc148101347" </w:instrText>
      </w:r>
      <w:r>
        <w:fldChar w:fldCharType="separate"/>
      </w:r>
      <w:r>
        <w:rPr>
          <w:rStyle w:val="29"/>
          <w:b/>
        </w:rPr>
        <w:t>4.2</w:t>
      </w:r>
      <w:r>
        <w:rPr>
          <w:rStyle w:val="29"/>
          <w:rFonts w:hint="eastAsia"/>
          <w:b/>
        </w:rPr>
        <w:t>支吊架要求</w:t>
      </w:r>
      <w:r>
        <w:tab/>
      </w:r>
      <w:r>
        <w:fldChar w:fldCharType="begin"/>
      </w:r>
      <w:r>
        <w:instrText xml:space="preserve"> PAGEREF _Toc148101347 \h </w:instrText>
      </w:r>
      <w:r>
        <w:fldChar w:fldCharType="separate"/>
      </w:r>
      <w:r>
        <w:t>12</w:t>
      </w:r>
      <w:r>
        <w:fldChar w:fldCharType="end"/>
      </w:r>
      <w:r>
        <w:fldChar w:fldCharType="end"/>
      </w:r>
    </w:p>
    <w:p>
      <w:pPr>
        <w:pStyle w:val="19"/>
        <w:tabs>
          <w:tab w:val="right" w:leader="dot" w:pos="9060"/>
        </w:tabs>
        <w:rPr>
          <w:rFonts w:asciiTheme="minorHAnsi" w:hAnsiTheme="minorHAnsi" w:eastAsiaTheme="minorEastAsia"/>
          <w:sz w:val="21"/>
        </w:rPr>
      </w:pPr>
      <w:r>
        <w:fldChar w:fldCharType="begin"/>
      </w:r>
      <w:r>
        <w:instrText xml:space="preserve"> HYPERLINK \l "_Toc148101348" </w:instrText>
      </w:r>
      <w:r>
        <w:fldChar w:fldCharType="separate"/>
      </w:r>
      <w:r>
        <w:rPr>
          <w:rStyle w:val="29"/>
          <w:rFonts w:cs="宋体"/>
        </w:rPr>
        <w:t>5</w:t>
      </w:r>
      <w:r>
        <w:rPr>
          <w:rStyle w:val="29"/>
          <w:rFonts w:hint="eastAsia"/>
        </w:rPr>
        <w:t xml:space="preserve"> 包装、标志、运输、验收和保管</w:t>
      </w:r>
      <w:r>
        <w:tab/>
      </w:r>
      <w:r>
        <w:fldChar w:fldCharType="begin"/>
      </w:r>
      <w:r>
        <w:instrText xml:space="preserve"> PAGEREF _Toc148101348 \h </w:instrText>
      </w:r>
      <w:r>
        <w:fldChar w:fldCharType="separate"/>
      </w:r>
      <w:r>
        <w:t>14</w:t>
      </w:r>
      <w:r>
        <w:fldChar w:fldCharType="end"/>
      </w:r>
      <w:r>
        <w:fldChar w:fldCharType="end"/>
      </w:r>
    </w:p>
    <w:p>
      <w:pPr>
        <w:pStyle w:val="19"/>
        <w:tabs>
          <w:tab w:val="right" w:leader="dot" w:pos="9060"/>
        </w:tabs>
        <w:rPr>
          <w:rFonts w:asciiTheme="minorHAnsi" w:hAnsiTheme="minorHAnsi" w:eastAsiaTheme="minorEastAsia"/>
          <w:sz w:val="21"/>
        </w:rPr>
      </w:pPr>
      <w:r>
        <w:fldChar w:fldCharType="begin"/>
      </w:r>
      <w:r>
        <w:instrText xml:space="preserve"> HYPERLINK \l "_Toc148101349" </w:instrText>
      </w:r>
      <w:r>
        <w:fldChar w:fldCharType="separate"/>
      </w:r>
      <w:r>
        <w:rPr>
          <w:rStyle w:val="29"/>
        </w:rPr>
        <w:t>6</w:t>
      </w:r>
      <w:r>
        <w:rPr>
          <w:rStyle w:val="29"/>
          <w:rFonts w:hint="eastAsia"/>
        </w:rPr>
        <w:t xml:space="preserve"> 技术资料及交付进度</w:t>
      </w:r>
      <w:r>
        <w:tab/>
      </w:r>
      <w:r>
        <w:fldChar w:fldCharType="begin"/>
      </w:r>
      <w:r>
        <w:instrText xml:space="preserve"> PAGEREF _Toc148101349 \h </w:instrText>
      </w:r>
      <w:r>
        <w:fldChar w:fldCharType="separate"/>
      </w:r>
      <w:r>
        <w:t>17</w:t>
      </w:r>
      <w:r>
        <w:fldChar w:fldCharType="end"/>
      </w:r>
      <w:r>
        <w:fldChar w:fldCharType="end"/>
      </w:r>
    </w:p>
    <w:p>
      <w:pPr>
        <w:pStyle w:val="19"/>
        <w:tabs>
          <w:tab w:val="right" w:leader="dot" w:pos="9060"/>
        </w:tabs>
        <w:rPr>
          <w:rFonts w:asciiTheme="minorHAnsi" w:hAnsiTheme="minorHAnsi" w:eastAsiaTheme="minorEastAsia"/>
          <w:sz w:val="21"/>
        </w:rPr>
      </w:pPr>
      <w:r>
        <w:fldChar w:fldCharType="begin"/>
      </w:r>
      <w:r>
        <w:instrText xml:space="preserve"> HYPERLINK \l "_Toc148101350" </w:instrText>
      </w:r>
      <w:r>
        <w:fldChar w:fldCharType="separate"/>
      </w:r>
      <w:r>
        <w:rPr>
          <w:rStyle w:val="29"/>
        </w:rPr>
        <w:t>7</w:t>
      </w:r>
      <w:r>
        <w:rPr>
          <w:rStyle w:val="29"/>
          <w:rFonts w:hint="eastAsia"/>
        </w:rPr>
        <w:t xml:space="preserve"> 设备监造、检验和性能验收试验</w:t>
      </w:r>
      <w:r>
        <w:tab/>
      </w:r>
      <w:r>
        <w:fldChar w:fldCharType="begin"/>
      </w:r>
      <w:r>
        <w:instrText xml:space="preserve"> PAGEREF _Toc148101350 \h </w:instrText>
      </w:r>
      <w:r>
        <w:fldChar w:fldCharType="separate"/>
      </w:r>
      <w:r>
        <w:t>19</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"_Toc148101351" </w:instrText>
      </w:r>
      <w:r>
        <w:fldChar w:fldCharType="separate"/>
      </w:r>
      <w:r>
        <w:rPr>
          <w:rStyle w:val="29"/>
        </w:rPr>
        <w:t>7.1</w:t>
      </w:r>
      <w:r>
        <w:rPr>
          <w:rStyle w:val="29"/>
          <w:rFonts w:hint="eastAsia"/>
        </w:rPr>
        <w:t xml:space="preserve"> 工厂检验</w:t>
      </w:r>
      <w:r>
        <w:tab/>
      </w:r>
      <w:r>
        <w:fldChar w:fldCharType="begin"/>
      </w:r>
      <w:r>
        <w:instrText xml:space="preserve"> PAGEREF _Toc148101351 \h </w:instrText>
      </w:r>
      <w:r>
        <w:fldChar w:fldCharType="separate"/>
      </w:r>
      <w:r>
        <w:t>19</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"_Toc148101352" </w:instrText>
      </w:r>
      <w:r>
        <w:fldChar w:fldCharType="separate"/>
      </w:r>
      <w:r>
        <w:rPr>
          <w:rStyle w:val="29"/>
        </w:rPr>
        <w:t>7.2</w:t>
      </w:r>
      <w:r>
        <w:rPr>
          <w:rStyle w:val="29"/>
          <w:rFonts w:hint="eastAsia"/>
        </w:rPr>
        <w:t xml:space="preserve"> 设备监造</w:t>
      </w:r>
      <w:r>
        <w:tab/>
      </w:r>
      <w:r>
        <w:fldChar w:fldCharType="begin"/>
      </w:r>
      <w:r>
        <w:instrText xml:space="preserve"> PAGEREF _Toc148101352 \h </w:instrText>
      </w:r>
      <w:r>
        <w:fldChar w:fldCharType="separate"/>
      </w:r>
      <w:r>
        <w:t>19</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"_Toc148101353" </w:instrText>
      </w:r>
      <w:r>
        <w:fldChar w:fldCharType="separate"/>
      </w:r>
      <w:r>
        <w:rPr>
          <w:rStyle w:val="29"/>
        </w:rPr>
        <w:t>7.4</w:t>
      </w:r>
      <w:r>
        <w:rPr>
          <w:rStyle w:val="29"/>
          <w:rFonts w:hint="eastAsia"/>
        </w:rPr>
        <w:t xml:space="preserve"> 制造、安装和性能验收试验的内容</w:t>
      </w:r>
      <w:r>
        <w:rPr>
          <w:rStyle w:val="29"/>
        </w:rPr>
        <w:t>:</w:t>
      </w:r>
      <w:r>
        <w:tab/>
      </w:r>
      <w:r>
        <w:fldChar w:fldCharType="begin"/>
      </w:r>
      <w:r>
        <w:instrText xml:space="preserve"> PAGEREF _Toc148101353 \h </w:instrText>
      </w:r>
      <w:r>
        <w:fldChar w:fldCharType="separate"/>
      </w:r>
      <w:r>
        <w:t>20</w:t>
      </w:r>
      <w:r>
        <w:fldChar w:fldCharType="end"/>
      </w:r>
      <w:r>
        <w:fldChar w:fldCharType="end"/>
      </w:r>
    </w:p>
    <w:p>
      <w:pPr>
        <w:pStyle w:val="22"/>
        <w:tabs>
          <w:tab w:val="right" w:leader="dot" w:pos="9060"/>
        </w:tabs>
        <w:ind w:left="480"/>
        <w:rPr>
          <w:rFonts w:asciiTheme="minorHAnsi" w:hAnsiTheme="minorHAnsi" w:eastAsiaTheme="minorEastAsia"/>
          <w:sz w:val="21"/>
        </w:rPr>
      </w:pPr>
      <w:r>
        <w:fldChar w:fldCharType="begin"/>
      </w:r>
      <w:r>
        <w:instrText xml:space="preserve"> HYPERLINK \l "_Toc148101354" </w:instrText>
      </w:r>
      <w:r>
        <w:fldChar w:fldCharType="separate"/>
      </w:r>
      <w:r>
        <w:rPr>
          <w:rStyle w:val="29"/>
        </w:rPr>
        <w:t>7.6</w:t>
      </w:r>
      <w:r>
        <w:rPr>
          <w:rStyle w:val="29"/>
          <w:rFonts w:hint="eastAsia"/>
        </w:rPr>
        <w:t>性能验收试验结果的确认</w:t>
      </w:r>
      <w:r>
        <w:tab/>
      </w:r>
      <w:r>
        <w:fldChar w:fldCharType="begin"/>
      </w:r>
      <w:r>
        <w:instrText xml:space="preserve"> PAGEREF _Toc148101354 \h </w:instrText>
      </w:r>
      <w:r>
        <w:fldChar w:fldCharType="separate"/>
      </w:r>
      <w:r>
        <w:t>20</w:t>
      </w:r>
      <w:r>
        <w:fldChar w:fldCharType="end"/>
      </w:r>
      <w:r>
        <w:fldChar w:fldCharType="end"/>
      </w:r>
    </w:p>
    <w:p>
      <w:pPr>
        <w:pStyle w:val="19"/>
        <w:tabs>
          <w:tab w:val="right" w:leader="dot" w:pos="9060"/>
        </w:tabs>
        <w:rPr>
          <w:rFonts w:asciiTheme="minorHAnsi" w:hAnsiTheme="minorHAnsi" w:eastAsiaTheme="minorEastAsia"/>
          <w:sz w:val="21"/>
        </w:rPr>
      </w:pPr>
      <w:r>
        <w:fldChar w:fldCharType="begin"/>
      </w:r>
      <w:r>
        <w:instrText xml:space="preserve"> HYPERLINK \l "_Toc148101355" </w:instrText>
      </w:r>
      <w:r>
        <w:fldChar w:fldCharType="separate"/>
      </w:r>
      <w:r>
        <w:rPr>
          <w:rStyle w:val="29"/>
        </w:rPr>
        <w:t>8</w:t>
      </w:r>
      <w:r>
        <w:rPr>
          <w:rStyle w:val="29"/>
          <w:rFonts w:hint="eastAsia"/>
        </w:rPr>
        <w:t xml:space="preserve"> 供方现场技术服务</w:t>
      </w:r>
      <w:r>
        <w:tab/>
      </w:r>
      <w:r>
        <w:fldChar w:fldCharType="begin"/>
      </w:r>
      <w:r>
        <w:instrText xml:space="preserve"> PAGEREF _Toc148101355 \h </w:instrText>
      </w:r>
      <w:r>
        <w:fldChar w:fldCharType="separate"/>
      </w:r>
      <w:r>
        <w:t>21</w:t>
      </w:r>
      <w:r>
        <w:fldChar w:fldCharType="end"/>
      </w:r>
      <w:r>
        <w:fldChar w:fldCharType="end"/>
      </w:r>
    </w:p>
    <w:p>
      <w:pPr>
        <w:tabs>
          <w:tab w:val="right" w:leader="dot" w:pos="9072"/>
        </w:tabs>
        <w:spacing w:line="420" w:lineRule="auto"/>
        <w:rPr>
          <w:rFonts w:cs="Times New Roman"/>
          <w:snapToGrid w:val="0"/>
          <w:szCs w:val="24"/>
        </w:rPr>
        <w:sectPr>
          <w:headerReference r:id="rId4" w:type="default"/>
          <w:footerReference r:id="rId5" w:type="default"/>
          <w:pgSz w:w="11906" w:h="16838"/>
          <w:pgMar w:top="1474" w:right="1418" w:bottom="1134" w:left="1418" w:header="567" w:footer="567" w:gutter="0"/>
          <w:pgNumType w:fmt="upperRoman" w:start="1"/>
          <w:cols w:space="425" w:num="1"/>
          <w:docGrid w:type="lines" w:linePitch="326" w:charSpace="0"/>
        </w:sectPr>
      </w:pPr>
      <w:r>
        <w:rPr>
          <w:rFonts w:cs="Times New Roman"/>
          <w:snapToGrid w:val="0"/>
          <w:szCs w:val="24"/>
        </w:rPr>
        <w:fldChar w:fldCharType="end"/>
      </w:r>
    </w:p>
    <w:p>
      <w:pPr>
        <w:pStyle w:val="2"/>
        <w:keepNext/>
        <w:keepLines/>
        <w:numPr>
          <w:ilvl w:val="0"/>
          <w:numId w:val="2"/>
        </w:numPr>
        <w:tabs>
          <w:tab w:val="left" w:pos="360"/>
        </w:tabs>
        <w:adjustRightInd w:val="0"/>
        <w:spacing w:before="163" w:beforeLines="50"/>
        <w:textAlignment w:val="baseline"/>
      </w:pPr>
      <w:bookmarkStart w:id="0" w:name="_Toc47711072"/>
      <w:bookmarkStart w:id="1" w:name="_Toc56520530"/>
      <w:bookmarkStart w:id="2" w:name="_Toc47710644"/>
      <w:bookmarkStart w:id="3" w:name="_Toc112742652"/>
      <w:bookmarkStart w:id="4" w:name="_Toc389652643"/>
      <w:bookmarkStart w:id="5" w:name="_Toc104345443"/>
      <w:r>
        <w:rPr>
          <w:rFonts w:hint="eastAsia"/>
        </w:rPr>
        <w:t xml:space="preserve"> </w:t>
      </w:r>
      <w:bookmarkStart w:id="6" w:name="_Toc148101338"/>
      <w:r>
        <w:t>项目概况及总体要求</w:t>
      </w:r>
      <w:bookmarkEnd w:id="0"/>
      <w:bookmarkEnd w:id="1"/>
      <w:bookmarkEnd w:id="2"/>
      <w:bookmarkEnd w:id="6"/>
    </w:p>
    <w:p>
      <w:pPr>
        <w:pStyle w:val="3"/>
        <w:numPr>
          <w:ilvl w:val="1"/>
          <w:numId w:val="2"/>
        </w:numPr>
        <w:tabs>
          <w:tab w:val="left" w:pos="360"/>
        </w:tabs>
        <w:rPr>
          <w:rFonts w:ascii="宋体" w:hAnsi="宋体"/>
        </w:rPr>
      </w:pPr>
      <w:bookmarkStart w:id="7" w:name="_Toc56520531"/>
      <w:bookmarkStart w:id="8" w:name="_Toc47711073"/>
      <w:bookmarkStart w:id="9" w:name="_Toc148101339"/>
      <w:bookmarkStart w:id="10" w:name="_Toc47710645"/>
      <w:r>
        <w:rPr>
          <w:rFonts w:ascii="宋体" w:hAnsi="宋体"/>
        </w:rPr>
        <w:t>项目基本信息</w:t>
      </w:r>
      <w:bookmarkEnd w:id="7"/>
      <w:bookmarkEnd w:id="8"/>
      <w:bookmarkEnd w:id="9"/>
      <w:bookmarkEnd w:id="10"/>
    </w:p>
    <w:p>
      <w:pPr>
        <w:pStyle w:val="58"/>
        <w:rPr>
          <w:rFonts w:ascii="宋体" w:hAnsi="宋体"/>
        </w:rPr>
      </w:pPr>
      <w:r>
        <w:rPr>
          <w:rFonts w:ascii="宋体" w:hAnsi="宋体"/>
        </w:rPr>
        <w:t>建设单位：</w:t>
      </w:r>
      <w:r>
        <w:rPr>
          <w:rFonts w:hint="eastAsia" w:ascii="宋体" w:hAnsi="宋体"/>
        </w:rPr>
        <w:t>大唐托克托发电有限责任公司</w:t>
      </w:r>
      <w:r>
        <w:rPr>
          <w:rFonts w:ascii="宋体" w:hAnsi="宋体"/>
        </w:rPr>
        <w:t>；</w:t>
      </w:r>
    </w:p>
    <w:p>
      <w:pPr>
        <w:pStyle w:val="58"/>
        <w:rPr>
          <w:rFonts w:ascii="宋体" w:hAnsi="宋体"/>
        </w:rPr>
      </w:pPr>
      <w:r>
        <w:rPr>
          <w:rFonts w:ascii="宋体" w:hAnsi="宋体"/>
        </w:rPr>
        <w:t>项目名称：</w:t>
      </w:r>
      <w:r>
        <w:rPr>
          <w:rFonts w:hint="eastAsia" w:ascii="宋体" w:hAnsi="宋体"/>
        </w:rPr>
        <w:t>#10机精修项目</w:t>
      </w:r>
      <w:r>
        <w:rPr>
          <w:rFonts w:ascii="宋体" w:hAnsi="宋体"/>
        </w:rPr>
        <w:t>；</w:t>
      </w:r>
    </w:p>
    <w:p>
      <w:pPr>
        <w:pStyle w:val="58"/>
        <w:rPr>
          <w:rFonts w:ascii="宋体" w:hAnsi="宋体"/>
        </w:rPr>
      </w:pPr>
      <w:r>
        <w:rPr>
          <w:rFonts w:ascii="宋体" w:hAnsi="宋体"/>
        </w:rPr>
        <w:t>建设地点：</w:t>
      </w:r>
      <w:r>
        <w:rPr>
          <w:rFonts w:hint="eastAsia" w:ascii="宋体" w:hAnsi="宋体"/>
        </w:rPr>
        <w:t>内蒙古呼和浩特市托克托县燕山营乡托克托发电有限责任公司</w:t>
      </w:r>
      <w:r>
        <w:rPr>
          <w:rFonts w:ascii="宋体" w:hAnsi="宋体"/>
        </w:rPr>
        <w:t>；</w:t>
      </w:r>
    </w:p>
    <w:p>
      <w:pPr>
        <w:pStyle w:val="3"/>
        <w:numPr>
          <w:ilvl w:val="1"/>
          <w:numId w:val="2"/>
        </w:numPr>
        <w:tabs>
          <w:tab w:val="left" w:pos="360"/>
        </w:tabs>
        <w:rPr>
          <w:rFonts w:ascii="宋体" w:hAnsi="宋体"/>
        </w:rPr>
      </w:pPr>
      <w:bookmarkStart w:id="11" w:name="_Toc148101340"/>
      <w:bookmarkStart w:id="12" w:name="_Toc47710646"/>
      <w:bookmarkStart w:id="13" w:name="_Toc56520532"/>
      <w:bookmarkStart w:id="14" w:name="_Toc47711074"/>
      <w:r>
        <w:rPr>
          <w:rFonts w:ascii="宋体" w:hAnsi="宋体"/>
        </w:rPr>
        <w:t>总则</w:t>
      </w:r>
      <w:bookmarkEnd w:id="11"/>
      <w:bookmarkEnd w:id="12"/>
      <w:bookmarkEnd w:id="13"/>
      <w:bookmarkEnd w:id="14"/>
    </w:p>
    <w:p>
      <w:pPr>
        <w:pStyle w:val="4"/>
        <w:numPr>
          <w:ilvl w:val="2"/>
          <w:numId w:val="2"/>
        </w:numPr>
        <w:tabs>
          <w:tab w:val="left" w:pos="360"/>
        </w:tabs>
        <w:snapToGrid/>
        <w:rPr>
          <w:rFonts w:ascii="宋体" w:hAnsi="宋体"/>
        </w:rPr>
      </w:pPr>
      <w:r>
        <w:rPr>
          <w:rFonts w:ascii="宋体" w:hAnsi="宋体"/>
        </w:rPr>
        <w:t>本技术协议仅适用于“</w:t>
      </w:r>
      <w:r>
        <w:rPr>
          <w:rFonts w:hint="eastAsia" w:ascii="宋体" w:hAnsi="宋体"/>
        </w:rPr>
        <w:t>大唐托克托发电有限责任公司#10机通精修项目外包部分</w:t>
      </w:r>
      <w:r>
        <w:rPr>
          <w:rFonts w:ascii="宋体" w:hAnsi="宋体"/>
        </w:rPr>
        <w:t>管道管件、支吊架及仪表阀门采购”的相关部件。它包括该设备的功能及性能、工艺制造、检验及实验、安装服务等方面的技术要求。</w:t>
      </w:r>
    </w:p>
    <w:p>
      <w:pPr>
        <w:pStyle w:val="4"/>
        <w:numPr>
          <w:ilvl w:val="2"/>
          <w:numId w:val="2"/>
        </w:numPr>
        <w:tabs>
          <w:tab w:val="left" w:pos="360"/>
        </w:tabs>
        <w:snapToGrid/>
        <w:rPr>
          <w:rFonts w:ascii="宋体" w:hAnsi="宋体"/>
        </w:rPr>
      </w:pPr>
      <w:r>
        <w:rPr>
          <w:rFonts w:ascii="宋体" w:hAnsi="宋体"/>
        </w:rPr>
        <w:t>本技术协议书提出的是最低限度的技术要求，并未对一切技术要求作出详细规定，也未充分引述有关标准和规范的条文，供方应保证提供符合本技术协议和相关的国际国内工业标准的优质产品。</w:t>
      </w:r>
    </w:p>
    <w:p>
      <w:pPr>
        <w:pStyle w:val="4"/>
        <w:numPr>
          <w:ilvl w:val="2"/>
          <w:numId w:val="2"/>
        </w:numPr>
        <w:tabs>
          <w:tab w:val="left" w:pos="360"/>
        </w:tabs>
        <w:snapToGrid/>
        <w:rPr>
          <w:rFonts w:ascii="宋体" w:hAnsi="宋体"/>
        </w:rPr>
      </w:pPr>
      <w:r>
        <w:rPr>
          <w:rFonts w:ascii="宋体" w:hAnsi="宋体"/>
        </w:rPr>
        <w:t>如供方有除本规范以外的其他要求，应以书面形式提出，经买卖双方讨论后附于本技术协议。</w:t>
      </w:r>
    </w:p>
    <w:p>
      <w:pPr>
        <w:pStyle w:val="4"/>
        <w:numPr>
          <w:ilvl w:val="2"/>
          <w:numId w:val="2"/>
        </w:numPr>
        <w:tabs>
          <w:tab w:val="left" w:pos="360"/>
        </w:tabs>
        <w:snapToGrid/>
        <w:rPr>
          <w:rFonts w:ascii="宋体" w:hAnsi="宋体"/>
        </w:rPr>
      </w:pPr>
      <w:r>
        <w:rPr>
          <w:rFonts w:ascii="宋体" w:hAnsi="宋体"/>
        </w:rPr>
        <w:t>供方应对提供的设备负有全责，即包括分包或采购的产品。分包或采购的重要产品制造商应事先征得需方的认可。</w:t>
      </w:r>
    </w:p>
    <w:p>
      <w:pPr>
        <w:pStyle w:val="4"/>
        <w:numPr>
          <w:ilvl w:val="2"/>
          <w:numId w:val="2"/>
        </w:numPr>
        <w:tabs>
          <w:tab w:val="left" w:pos="360"/>
        </w:tabs>
        <w:snapToGrid/>
        <w:rPr>
          <w:rFonts w:ascii="宋体" w:hAnsi="宋体"/>
        </w:rPr>
      </w:pPr>
      <w:r>
        <w:rPr>
          <w:rFonts w:ascii="宋体" w:hAnsi="宋体"/>
        </w:rPr>
        <w:t>本技术协议所使用的标准若与供方执行的标准发生矛盾时，按较严格的标准执行。</w:t>
      </w:r>
    </w:p>
    <w:p>
      <w:pPr>
        <w:pStyle w:val="4"/>
        <w:numPr>
          <w:ilvl w:val="2"/>
          <w:numId w:val="2"/>
        </w:numPr>
        <w:tabs>
          <w:tab w:val="left" w:pos="360"/>
        </w:tabs>
        <w:snapToGrid/>
        <w:rPr>
          <w:rFonts w:ascii="宋体" w:hAnsi="宋体"/>
        </w:rPr>
      </w:pPr>
      <w:r>
        <w:rPr>
          <w:rFonts w:ascii="宋体" w:hAnsi="宋体"/>
        </w:rPr>
        <w:t>如供方没有对本技术协议书提出书面异议，需方则可认为供方提供的产品完全满足本技术协议的要求。</w:t>
      </w:r>
    </w:p>
    <w:p>
      <w:pPr>
        <w:pStyle w:val="4"/>
        <w:numPr>
          <w:ilvl w:val="2"/>
          <w:numId w:val="2"/>
        </w:numPr>
        <w:tabs>
          <w:tab w:val="left" w:pos="360"/>
        </w:tabs>
        <w:snapToGrid/>
        <w:rPr>
          <w:rFonts w:ascii="宋体" w:hAnsi="宋体"/>
        </w:rPr>
      </w:pPr>
      <w:r>
        <w:rPr>
          <w:rFonts w:hint="eastAsia" w:ascii="宋体" w:hAnsi="宋体"/>
        </w:rPr>
        <w:t>大唐托克托#10机计划在</w:t>
      </w:r>
      <w:r>
        <w:rPr>
          <w:rFonts w:hint="eastAsia" w:ascii="宋体" w:hAnsi="宋体"/>
          <w:b/>
          <w:color w:val="FF0000"/>
        </w:rPr>
        <w:t>2023年10月20日到12月15日</w:t>
      </w:r>
      <w:r>
        <w:rPr>
          <w:rFonts w:hint="eastAsia" w:ascii="宋体" w:hAnsi="宋体"/>
        </w:rPr>
        <w:t>期间进行汽轮机精益检修，工期为55天。</w:t>
      </w:r>
      <w:r>
        <w:rPr>
          <w:rFonts w:hint="eastAsia" w:ascii="宋体" w:hAnsi="宋体"/>
          <w:b/>
          <w:color w:val="FF0000"/>
        </w:rPr>
        <w:t>卖方于2023年10月20日前发货。</w:t>
      </w:r>
    </w:p>
    <w:p>
      <w:pPr>
        <w:pStyle w:val="4"/>
        <w:numPr>
          <w:ilvl w:val="2"/>
          <w:numId w:val="2"/>
        </w:numPr>
        <w:tabs>
          <w:tab w:val="left" w:pos="360"/>
        </w:tabs>
        <w:snapToGrid/>
        <w:rPr>
          <w:rFonts w:ascii="宋体" w:hAnsi="宋体"/>
        </w:rPr>
      </w:pPr>
      <w:r>
        <w:rPr>
          <w:rFonts w:hint="eastAsia" w:ascii="宋体" w:hAnsi="宋体"/>
        </w:rPr>
        <w:t>卖方提供的资料应使用国家法定单位制即国际单位制，语言为中文，进口设备应在提供中文资料的基础上，再提供原文资料，并以中文版本为准。</w:t>
      </w:r>
    </w:p>
    <w:p>
      <w:pPr>
        <w:pStyle w:val="4"/>
        <w:numPr>
          <w:ilvl w:val="2"/>
          <w:numId w:val="2"/>
        </w:numPr>
        <w:tabs>
          <w:tab w:val="left" w:pos="360"/>
        </w:tabs>
        <w:snapToGrid/>
        <w:rPr>
          <w:rFonts w:ascii="宋体" w:hAnsi="宋体"/>
        </w:rPr>
      </w:pPr>
      <w:r>
        <w:rPr>
          <w:rFonts w:hint="eastAsia" w:ascii="宋体" w:hAnsi="宋体"/>
        </w:rPr>
        <w:t>本项目质保期为改造后性能试验验收后12个月。</w:t>
      </w:r>
    </w:p>
    <w:p>
      <w:pPr>
        <w:pStyle w:val="4"/>
        <w:numPr>
          <w:ilvl w:val="2"/>
          <w:numId w:val="2"/>
        </w:numPr>
        <w:tabs>
          <w:tab w:val="left" w:pos="360"/>
        </w:tabs>
        <w:snapToGrid/>
        <w:rPr>
          <w:rFonts w:ascii="宋体" w:hAnsi="宋体"/>
        </w:rPr>
      </w:pPr>
      <w:r>
        <w:rPr>
          <w:rFonts w:ascii="宋体" w:hAnsi="宋体"/>
        </w:rPr>
        <w:t>本技术协议经供需双方共同确认和签字后作为订货合同的附件，与订货合同正文具有同等效力。未尽事宜由双方协商解决。</w:t>
      </w:r>
    </w:p>
    <w:p>
      <w:pPr>
        <w:pStyle w:val="4"/>
        <w:numPr>
          <w:ilvl w:val="2"/>
          <w:numId w:val="2"/>
        </w:numPr>
        <w:tabs>
          <w:tab w:val="left" w:pos="360"/>
        </w:tabs>
        <w:snapToGrid/>
        <w:rPr>
          <w:rFonts w:ascii="宋体" w:hAnsi="宋体"/>
        </w:rPr>
        <w:sectPr>
          <w:pgSz w:w="11906" w:h="16838"/>
          <w:pgMar w:top="1474" w:right="1418" w:bottom="1134" w:left="1418" w:header="567" w:footer="567" w:gutter="0"/>
          <w:pgNumType w:start="1"/>
          <w:cols w:space="425" w:num="1"/>
          <w:docGrid w:type="lines" w:linePitch="326" w:charSpace="0"/>
        </w:sectPr>
      </w:pPr>
      <w:r>
        <w:rPr>
          <w:rFonts w:ascii="宋体" w:hAnsi="宋体"/>
        </w:rPr>
        <w:t>在合同签订后，需方有权因规范、标准、规程发生变化而提出一些补充要求，具体内容双方共同商定。</w:t>
      </w:r>
    </w:p>
    <w:bookmarkEnd w:id="3"/>
    <w:bookmarkEnd w:id="4"/>
    <w:bookmarkEnd w:id="5"/>
    <w:p>
      <w:pPr>
        <w:pStyle w:val="2"/>
        <w:keepNext/>
        <w:keepLines/>
        <w:numPr>
          <w:ilvl w:val="0"/>
          <w:numId w:val="2"/>
        </w:numPr>
        <w:tabs>
          <w:tab w:val="left" w:pos="360"/>
        </w:tabs>
        <w:adjustRightInd w:val="0"/>
        <w:spacing w:before="163" w:beforeLines="50"/>
        <w:textAlignment w:val="baseline"/>
      </w:pPr>
      <w:r>
        <w:rPr>
          <w:rFonts w:hint="eastAsia"/>
        </w:rPr>
        <w:t xml:space="preserve"> </w:t>
      </w:r>
      <w:bookmarkStart w:id="15" w:name="_Toc148101341"/>
      <w:r>
        <w:t>供货范围</w:t>
      </w:r>
      <w:bookmarkEnd w:id="15"/>
    </w:p>
    <w:p>
      <w:pPr>
        <w:pStyle w:val="3"/>
        <w:numPr>
          <w:ilvl w:val="1"/>
          <w:numId w:val="2"/>
        </w:numPr>
        <w:tabs>
          <w:tab w:val="left" w:pos="360"/>
        </w:tabs>
        <w:spacing w:before="120" w:after="120"/>
        <w:ind w:firstLine="482"/>
        <w:rPr>
          <w:rFonts w:ascii="宋体" w:hAnsi="宋体"/>
        </w:rPr>
      </w:pPr>
      <w:bookmarkStart w:id="16" w:name="_Toc148101342"/>
      <w:r>
        <w:rPr>
          <w:rFonts w:ascii="宋体" w:hAnsi="宋体"/>
        </w:rPr>
        <w:t>一般要求</w:t>
      </w:r>
      <w:bookmarkEnd w:id="16"/>
    </w:p>
    <w:p>
      <w:pPr>
        <w:spacing w:line="420" w:lineRule="auto"/>
        <w:ind w:firstLine="480"/>
        <w:rPr>
          <w:rFonts w:ascii="宋体" w:hAnsi="宋体"/>
        </w:rPr>
      </w:pPr>
      <w:r>
        <w:rPr>
          <w:rFonts w:hint="eastAsia" w:ascii="宋体" w:hAnsi="宋体"/>
        </w:rPr>
        <w:t>2.</w:t>
      </w:r>
      <w:r>
        <w:rPr>
          <w:rFonts w:ascii="宋体" w:hAnsi="宋体"/>
        </w:rPr>
        <w:t xml:space="preserve">1.1 供方保证提供设备为全新的、先进的、成熟的、完整的和安全可靠的，且设备的技术经济性能符合本规范书的要求。 </w:t>
      </w:r>
    </w:p>
    <w:p>
      <w:pPr>
        <w:spacing w:line="420" w:lineRule="auto"/>
        <w:ind w:firstLine="480"/>
        <w:rPr>
          <w:rFonts w:ascii="宋体" w:hAnsi="宋体"/>
        </w:rPr>
      </w:pPr>
      <w:r>
        <w:rPr>
          <w:rFonts w:hint="eastAsia" w:ascii="宋体" w:hAnsi="宋体"/>
        </w:rPr>
        <w:t>2.</w:t>
      </w:r>
      <w:r>
        <w:rPr>
          <w:rFonts w:ascii="宋体" w:hAnsi="宋体"/>
        </w:rPr>
        <w:t>1.</w:t>
      </w:r>
      <w:r>
        <w:rPr>
          <w:rFonts w:hint="eastAsia" w:ascii="宋体" w:hAnsi="宋体"/>
        </w:rPr>
        <w:t>2</w:t>
      </w:r>
      <w:r>
        <w:rPr>
          <w:rFonts w:ascii="宋体" w:hAnsi="宋体"/>
        </w:rPr>
        <w:t xml:space="preserve"> 供方应提供详细供货清单，清单中依次说明产品型号、数量等内容。对于属于整套设备运行和施工所必需的部件，即使本合同附件未列出和／或数目不足，供方仍须在执行合同时补足。</w:t>
      </w:r>
    </w:p>
    <w:p>
      <w:pPr>
        <w:spacing w:line="420" w:lineRule="auto"/>
        <w:ind w:firstLine="480"/>
        <w:rPr>
          <w:rFonts w:ascii="宋体" w:hAnsi="宋体"/>
        </w:rPr>
      </w:pPr>
      <w:r>
        <w:rPr>
          <w:rFonts w:hint="eastAsia" w:ascii="宋体" w:hAnsi="宋体"/>
        </w:rPr>
        <w:t>2.</w:t>
      </w:r>
      <w:r>
        <w:rPr>
          <w:rFonts w:ascii="宋体" w:hAnsi="宋体"/>
        </w:rPr>
        <w:t>1.</w:t>
      </w:r>
      <w:r>
        <w:rPr>
          <w:rFonts w:hint="eastAsia" w:ascii="宋体" w:hAnsi="宋体"/>
        </w:rPr>
        <w:t>3</w:t>
      </w:r>
      <w:r>
        <w:rPr>
          <w:rFonts w:ascii="宋体" w:hAnsi="宋体"/>
        </w:rPr>
        <w:t xml:space="preserve"> 供方应提供本供货范围内所有安装和检修所需专用工具和消耗材料等，并提供详细供货清单。</w:t>
      </w:r>
    </w:p>
    <w:p>
      <w:pPr>
        <w:spacing w:line="420" w:lineRule="auto"/>
        <w:ind w:firstLine="480"/>
        <w:rPr>
          <w:rFonts w:ascii="宋体" w:hAnsi="宋体"/>
        </w:rPr>
      </w:pPr>
      <w:r>
        <w:rPr>
          <w:rFonts w:hint="eastAsia" w:ascii="宋体" w:hAnsi="宋体"/>
        </w:rPr>
        <w:t>2.</w:t>
      </w:r>
      <w:r>
        <w:rPr>
          <w:rFonts w:ascii="宋体" w:hAnsi="宋体"/>
        </w:rPr>
        <w:t>1.</w:t>
      </w:r>
      <w:r>
        <w:rPr>
          <w:rFonts w:hint="eastAsia" w:ascii="宋体" w:hAnsi="宋体"/>
        </w:rPr>
        <w:t>4</w:t>
      </w:r>
      <w:r>
        <w:rPr>
          <w:rFonts w:ascii="宋体" w:hAnsi="宋体"/>
        </w:rPr>
        <w:t xml:space="preserve"> 供方应提供一个大修期所需的备品备件清单，需方对备品备件的采购在合同谈判时确定，供方对这部分供货的报价应单独列出。</w:t>
      </w:r>
    </w:p>
    <w:p>
      <w:pPr>
        <w:spacing w:line="420" w:lineRule="auto"/>
        <w:ind w:firstLine="480"/>
        <w:rPr>
          <w:rFonts w:ascii="宋体" w:hAnsi="宋体"/>
        </w:rPr>
      </w:pPr>
      <w:r>
        <w:rPr>
          <w:rFonts w:hint="eastAsia" w:ascii="宋体" w:hAnsi="宋体"/>
        </w:rPr>
        <w:t>2.</w:t>
      </w:r>
      <w:r>
        <w:rPr>
          <w:rFonts w:ascii="宋体" w:hAnsi="宋体"/>
        </w:rPr>
        <w:t>1.</w:t>
      </w:r>
      <w:r>
        <w:rPr>
          <w:rFonts w:hint="eastAsia" w:ascii="宋体" w:hAnsi="宋体"/>
        </w:rPr>
        <w:t>5</w:t>
      </w:r>
      <w:r>
        <w:rPr>
          <w:rFonts w:ascii="宋体" w:hAnsi="宋体"/>
        </w:rPr>
        <w:t xml:space="preserve"> 供方应提供随机备品备件清单（包括安装、调试、试运行及质保期内所需要的）</w:t>
      </w:r>
    </w:p>
    <w:p>
      <w:pPr>
        <w:spacing w:line="420" w:lineRule="auto"/>
        <w:ind w:firstLine="480"/>
        <w:rPr>
          <w:rFonts w:ascii="宋体" w:hAnsi="宋体"/>
        </w:rPr>
      </w:pPr>
      <w:r>
        <w:rPr>
          <w:rFonts w:hint="eastAsia" w:ascii="宋体" w:hAnsi="宋体"/>
        </w:rPr>
        <w:t>2.</w:t>
      </w:r>
      <w:r>
        <w:rPr>
          <w:rFonts w:ascii="宋体" w:hAnsi="宋体"/>
        </w:rPr>
        <w:t>1.</w:t>
      </w:r>
      <w:r>
        <w:rPr>
          <w:rFonts w:hint="eastAsia" w:ascii="宋体" w:hAnsi="宋体"/>
        </w:rPr>
        <w:t>6</w:t>
      </w:r>
      <w:r>
        <w:rPr>
          <w:rFonts w:ascii="宋体" w:hAnsi="宋体"/>
        </w:rPr>
        <w:t xml:space="preserve"> 供方应提供所供设备中的进口件清单。</w:t>
      </w:r>
    </w:p>
    <w:p>
      <w:pPr>
        <w:rPr>
          <w:snapToGrid w:val="0"/>
        </w:rPr>
      </w:pPr>
    </w:p>
    <w:p>
      <w:pPr>
        <w:jc w:val="center"/>
        <w:rPr>
          <w:rFonts w:cs="Times New Roman"/>
          <w:sz w:val="32"/>
          <w:szCs w:val="32"/>
        </w:rPr>
        <w:sectPr>
          <w:pgSz w:w="11906" w:h="16838"/>
          <w:pgMar w:top="1474" w:right="1418" w:bottom="1134" w:left="1418" w:header="567" w:footer="567" w:gutter="0"/>
          <w:cols w:space="425" w:num="1"/>
          <w:docGrid w:type="lines" w:linePitch="326" w:charSpace="0"/>
        </w:sectPr>
      </w:pPr>
    </w:p>
    <w:p>
      <w:pPr>
        <w:pStyle w:val="3"/>
        <w:numPr>
          <w:ilvl w:val="1"/>
          <w:numId w:val="2"/>
        </w:numPr>
        <w:tabs>
          <w:tab w:val="left" w:pos="360"/>
        </w:tabs>
        <w:spacing w:before="120" w:after="120"/>
        <w:ind w:firstLine="482"/>
        <w:rPr>
          <w:rFonts w:ascii="宋体" w:hAnsi="宋体"/>
        </w:rPr>
      </w:pPr>
      <w:bookmarkStart w:id="17" w:name="_Toc148101343"/>
      <w:r>
        <w:rPr>
          <w:rFonts w:hint="eastAsia" w:ascii="宋体" w:hAnsi="宋体"/>
        </w:rPr>
        <w:t>供货清单</w:t>
      </w:r>
      <w:bookmarkEnd w:id="17"/>
    </w:p>
    <w:tbl>
      <w:tblPr>
        <w:tblStyle w:val="25"/>
        <w:tblW w:w="141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106"/>
        <w:gridCol w:w="4108"/>
        <w:gridCol w:w="1476"/>
        <w:gridCol w:w="1056"/>
        <w:gridCol w:w="636"/>
        <w:gridCol w:w="636"/>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序号</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名称</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规格</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材质</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公称通径</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单位</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数量</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F007VS-J3202-05</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汽轮机轴封供汽母管布置图</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管道</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5-1</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Ф457.2×13.5</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喷水减温器前轴封母管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5-2</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Ф457.2×13.5</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喷水减温器后轴封母管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标准零部件</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5-3</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PN10，DN450，R=686，</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接管规格：Ф457.2×13.5</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5-4</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热压三通</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PN10，DN450×450×250，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接管规格：Ф457.2×13.5/Ф273×9</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450×250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喷水减温器后轴封母管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5-5</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对焊堵头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PN10，DN450，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接管规格：Ф457.2×13.5</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喷水减温器后轴封母管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5-6</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90°热压弯头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PN10，DN450，R=686，</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接管规格：Ф457.2×13.5</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喷水减温器后轴封母管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F007VS-J3202-06</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汽轮机高压缸轴封供汽管道布置图</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管道</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6-1</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Ф273×9</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6-3</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Ф273×9</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高压缸前轴封接口改材质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6-4</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Ф219×8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w:t>
            </w:r>
          </w:p>
        </w:tc>
        <w:tc>
          <w:tcPr>
            <w:tcW w:w="336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高压缸前轴封接口改材质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标准零部件</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6-5</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对焊堵头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PN10，DN250，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接管规格：Ф273×9</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6-6</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热压三通</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PN10，DN450×450×250，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接管规格：Ф457.2×13.5/Ф273×9</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450×250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6-7</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热压三通</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PN10，DN250×250×125，</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接管规格：Ф273×9/Ф133×6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250×125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6-8</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90°热压弯头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PN10，DN250，R=381，</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接管规格：Ф273×9</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6-9</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热压三通</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PN10，DN250×250×200，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接管规格：Ф273×9/Ф219×8 L=380mm</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250×200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6-10</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对焊堵头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PN10，DN250，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接管规格：Ф273×9</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F007VS-J3202-07</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汽轮机中压缸轴封供汽管道布置图</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管道</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7-1</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Ф133×6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8</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标准零部件</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7-2</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对焊堵头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PN10，DN125，</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接管规格：Ф133×6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7-3</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90°热压弯头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PN10，DN125，R=190，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接管规格：Ф133×6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ASTM 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支吊架材料</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7-4.1</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钢板</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300×300×10</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Q235B</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7-4.2</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ascii="MS Gothic" w:hAnsi="MS Gothic" w:eastAsia="MS Gothic" w:cs="MS Gothic"/>
                <w:color w:val="000000" w:themeColor="text1"/>
                <w:kern w:val="0"/>
                <w:sz w:val="21"/>
                <w:szCs w:val="21"/>
                <w14:textFill>
                  <w14:solidFill>
                    <w14:schemeClr w14:val="tx1"/>
                  </w14:solidFill>
                </w14:textFill>
              </w:rPr>
              <w:t>∅</w:t>
            </w:r>
            <w:r>
              <w:rPr>
                <w:rFonts w:hint="eastAsia" w:cs="宋体" w:asciiTheme="minorEastAsia" w:hAnsiTheme="minorEastAsia" w:eastAsiaTheme="minorEastAsia"/>
                <w:color w:val="000000" w:themeColor="text1"/>
                <w:kern w:val="0"/>
                <w:sz w:val="21"/>
                <w:szCs w:val="21"/>
                <w14:textFill>
                  <w14:solidFill>
                    <w14:schemeClr w14:val="tx1"/>
                  </w14:solidFill>
                </w14:textFill>
              </w:rPr>
              <w:t>219×6.5,L=1206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GB/T 3087-2022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7-4.3</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ascii="MS Gothic" w:hAnsi="MS Gothic" w:eastAsia="MS Gothic" w:cs="MS Gothic"/>
                <w:color w:val="000000" w:themeColor="text1"/>
                <w:kern w:val="0"/>
                <w:sz w:val="21"/>
                <w:szCs w:val="21"/>
                <w14:textFill>
                  <w14:solidFill>
                    <w14:schemeClr w14:val="tx1"/>
                  </w14:solidFill>
                </w14:textFill>
              </w:rPr>
              <w:t>∅</w:t>
            </w:r>
            <w:r>
              <w:rPr>
                <w:rFonts w:hint="eastAsia" w:cs="宋体" w:asciiTheme="minorEastAsia" w:hAnsiTheme="minorEastAsia" w:eastAsiaTheme="minorEastAsia"/>
                <w:color w:val="000000" w:themeColor="text1"/>
                <w:kern w:val="0"/>
                <w:sz w:val="21"/>
                <w:szCs w:val="21"/>
                <w14:textFill>
                  <w14:solidFill>
                    <w14:schemeClr w14:val="tx1"/>
                  </w14:solidFill>
                </w14:textFill>
              </w:rPr>
              <w:t>219×6.5,L=1473</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GB/T 3087-2022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7-4.4</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支架式变力弹簧组件</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561106000(+1/-3578)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组件</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7-4.5</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支架式变力弹簧组件</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561104000(-1/-1465)</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组件</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7-4.6</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夹式管夹</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109210273F</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12Cr1MoVG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GB/T 3087-2022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7-4.7</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夹式管夹</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109110133F</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12Cr1MoVG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GB/T 3087-2022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7-4.8</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膨胀螺栓</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M12×185</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316L</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JB/ZQ 4763-2006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F007VS-J3202-11</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主汽阀阀杆漏汽管道布置图</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喷水减温增加</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管道</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9-1</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Ф27×2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CMIE，喷水减温减温水管道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9-2</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无缝钢管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Ф32×2.8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12Cr1MoVG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CMIE，疏水点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标准零部件</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9-3</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90°热压弯头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PN100，DN20，R=40，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接管规格：Ф27×2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CMIE，喷水减温减温水管道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9-4</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PN100，DN20，R=40，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接管规格：Ф27×2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CMIE，喷水减温减温水管道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9-5</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接管座</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 DN25, P=0.2MPa, t=500℃,</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接管Ф457.2×13.5 A335P22/Ф32×2.8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12Cr1MoVG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CMIE，疏水点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9-6</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热压等径三通</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PN10, DN25, P=0.2MPa, t=500℃ </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接管Ф32×2.8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12Cr1MoVG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CMIE，疏水点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9-7</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90°热压弯头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PN10，DN25，</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接管规格：Ф32×2.8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12Cr1MoVG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CMIE，疏水点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9-8</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45°热压弯头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PN10，DN25，</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接管规格：Ф32×2.8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12Cr1MoVG</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CMIE，疏水点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9-9</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支吊架安装材料</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9-9.1</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U型管卡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118150025，管道规格：Ф32×2.8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25</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CMIE，减温水支吊架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9-9.2</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U型管卡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118150020，管道规格：Ф27×2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CMIE，疏水点支吊架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9-9.3</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螺母</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M8</w:t>
            </w:r>
          </w:p>
        </w:tc>
        <w:tc>
          <w:tcPr>
            <w:tcW w:w="147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Q235B</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件</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估列，小管道支吊架用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9-9.4</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圆钢 </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ascii="MS Gothic" w:hAnsi="MS Gothic" w:eastAsia="MS Gothic" w:cs="MS Gothic"/>
                <w:color w:val="000000" w:themeColor="text1"/>
                <w:kern w:val="0"/>
                <w:sz w:val="21"/>
                <w:szCs w:val="21"/>
                <w14:textFill>
                  <w14:solidFill>
                    <w14:schemeClr w14:val="tx1"/>
                  </w14:solidFill>
                </w14:textFill>
              </w:rPr>
              <w:t>∅</w:t>
            </w:r>
            <w:r>
              <w:rPr>
                <w:rFonts w:hint="eastAsia" w:cs="宋体" w:asciiTheme="minorEastAsia" w:hAnsiTheme="minorEastAsia" w:eastAsiaTheme="minorEastAsia"/>
                <w:color w:val="000000" w:themeColor="text1"/>
                <w:kern w:val="0"/>
                <w:sz w:val="21"/>
                <w:szCs w:val="21"/>
                <w14:textFill>
                  <w14:solidFill>
                    <w14:schemeClr w14:val="tx1"/>
                  </w14:solidFill>
                </w14:textFill>
              </w:rPr>
              <w:t>8</w:t>
            </w:r>
          </w:p>
        </w:tc>
        <w:tc>
          <w:tcPr>
            <w:tcW w:w="147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Q235B</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15</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估列，小管道支吊架用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9-9.5</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角钢 </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∠50×5</w:t>
            </w:r>
          </w:p>
        </w:tc>
        <w:tc>
          <w:tcPr>
            <w:tcW w:w="147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Q235B</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m</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15</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估列，小管道支吊架用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仪表管道</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10.1</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Φ22×6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1#、4#轴封压力表引压短管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10.2</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Φ14×2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A335-P11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1#、4#轴封压力表一次门后引压管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10.3</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Φ32×8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A335-P22</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0.6</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2#轴封压力表引压短管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10.4</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Φ18×4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A335-P22</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2#轴封压力表一次门后引压管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10.5</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Φ32×8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0.6</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3#轴封压力表引压短管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10.6</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Φ18×4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A335-P91</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3#轴封压力表一次门后引压管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10.7</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Φ14×2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06Cr19Ni10</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气源用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10.8</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Φ8×1</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06Cr19Ni10</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气源用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10.9</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镀锌钢管</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G3/4"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10.1</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镀锌角钢</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40×4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4108"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2106" w:type="dxa"/>
            <w:shd w:val="clear" w:color="auto" w:fill="auto"/>
            <w:noWrap/>
            <w:vAlign w:val="center"/>
          </w:tcPr>
          <w:p>
            <w:pPr>
              <w:widowControl/>
              <w:spacing w:line="240" w:lineRule="auto"/>
              <w:jc w:val="left"/>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热工部分</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压力表</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设计压力：0.2MPa，量程：0-0.4MPa，设计温度：580℃.螺纹为M20×1.5 (内部三分格，分别为黄、绿、红），精度等级1.6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块</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11.2</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压力表</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设计压力：0.2MPa，量程：0-0.4MPa，设计温度：380℃.螺纹为M20×1.5 (内部三分格，分别为黄、绿、红），精度等级1.6</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块</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11.3</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仪表阀门</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焊接型，J23Y-160P，16.0MPa，580℃，DN10，Φ18×4/A335-P91</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个</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11.4</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仪表阀门</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焊接型，J23Y-160P，16.0MPa，380℃，DN10，Φ14×2/A335-P11</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个</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11.5</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气源球阀</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QG.QY1 NPT1/2”（F）-Φ8</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个</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11.6</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外螺纹管接头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Φ14-NPT1/2”（M）</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个</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11.7</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Φ22×6</w:t>
            </w:r>
            <w:r>
              <w:rPr>
                <w:rFonts w:cs="Calibri Light" w:asciiTheme="minorEastAsia" w:hAnsiTheme="minorEastAsia" w:eastAsiaTheme="minorEastAsia"/>
                <w:color w:val="000000" w:themeColor="text1"/>
                <w:kern w:val="0"/>
                <w:sz w:val="21"/>
                <w:szCs w:val="21"/>
                <w14:textFill>
                  <w14:solidFill>
                    <w14:schemeClr w14:val="tx1"/>
                  </w14:solidFill>
                </w14:textFill>
              </w:rPr>
              <w:t>/A335-P11</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1.2</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1#、4#轴封压力表引压短管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11.8</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Φ14×2</w:t>
            </w:r>
            <w:r>
              <w:rPr>
                <w:rFonts w:cs="Calibri Light" w:asciiTheme="minorEastAsia" w:hAnsiTheme="minorEastAsia" w:eastAsiaTheme="minorEastAsia"/>
                <w:color w:val="000000" w:themeColor="text1"/>
                <w:kern w:val="0"/>
                <w:sz w:val="21"/>
                <w:szCs w:val="21"/>
                <w14:textFill>
                  <w14:solidFill>
                    <w14:schemeClr w14:val="tx1"/>
                  </w14:solidFill>
                </w14:textFill>
              </w:rPr>
              <w:t>/A335-P11</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1#、4#轴封压力表一次门后引压管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11.9</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Φ32×8</w:t>
            </w:r>
            <w:r>
              <w:rPr>
                <w:rFonts w:cs="Calibri Light" w:asciiTheme="minorEastAsia" w:hAnsiTheme="minorEastAsia" w:eastAsiaTheme="minorEastAsia"/>
                <w:color w:val="000000" w:themeColor="text1"/>
                <w:kern w:val="0"/>
                <w:sz w:val="21"/>
                <w:szCs w:val="21"/>
                <w14:textFill>
                  <w14:solidFill>
                    <w14:schemeClr w14:val="tx1"/>
                  </w14:solidFill>
                </w14:textFill>
              </w:rPr>
              <w:t>/A335-P22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0.6</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2#轴封压力表引压短管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Φ18×4</w:t>
            </w:r>
            <w:r>
              <w:rPr>
                <w:rFonts w:cs="Calibri Light" w:asciiTheme="minorEastAsia" w:hAnsiTheme="minorEastAsia" w:eastAsiaTheme="minorEastAsia"/>
                <w:color w:val="000000" w:themeColor="text1"/>
                <w:kern w:val="0"/>
                <w:sz w:val="21"/>
                <w:szCs w:val="21"/>
                <w14:textFill>
                  <w14:solidFill>
                    <w14:schemeClr w14:val="tx1"/>
                  </w14:solidFill>
                </w14:textFill>
              </w:rPr>
              <w:t>/A335-P22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2#轴封压力表一次门后引压管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11.11</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Φ32×8</w:t>
            </w:r>
            <w:r>
              <w:rPr>
                <w:rFonts w:cs="Calibri Light" w:asciiTheme="minorEastAsia" w:hAnsiTheme="minorEastAsia" w:eastAsiaTheme="minorEastAsia"/>
                <w:color w:val="000000" w:themeColor="text1"/>
                <w:kern w:val="0"/>
                <w:sz w:val="21"/>
                <w:szCs w:val="21"/>
                <w14:textFill>
                  <w14:solidFill>
                    <w14:schemeClr w14:val="tx1"/>
                  </w14:solidFill>
                </w14:textFill>
              </w:rPr>
              <w:t>/A335-P91</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0.6</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3#轴封压力表引压短管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11.12</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Φ18×4</w:t>
            </w:r>
            <w:r>
              <w:rPr>
                <w:rFonts w:cs="Calibri Light" w:asciiTheme="minorEastAsia" w:hAnsiTheme="minorEastAsia" w:eastAsiaTheme="minorEastAsia"/>
                <w:color w:val="000000" w:themeColor="text1"/>
                <w:kern w:val="0"/>
                <w:sz w:val="21"/>
                <w:szCs w:val="21"/>
                <w14:textFill>
                  <w14:solidFill>
                    <w14:schemeClr w14:val="tx1"/>
                  </w14:solidFill>
                </w14:textFill>
              </w:rPr>
              <w:t>/A335-P91</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3#轴封压力表一次门后引压管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11.13</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w:t>
            </w:r>
            <w:r>
              <w:rPr>
                <w:rFonts w:cs="Calibri Light" w:asciiTheme="minorEastAsia" w:hAnsiTheme="minorEastAsia" w:eastAsiaTheme="minorEastAsia"/>
                <w:color w:val="000000" w:themeColor="text1"/>
                <w:kern w:val="0"/>
                <w:sz w:val="21"/>
                <w:szCs w:val="21"/>
                <w14:textFill>
                  <w14:solidFill>
                    <w14:schemeClr w14:val="tx1"/>
                  </w14:solidFill>
                </w14:textFill>
              </w:rPr>
              <w:t>14</w:t>
            </w:r>
            <w:r>
              <w:rPr>
                <w:rFonts w:hint="eastAsia" w:cs="宋体" w:asciiTheme="minorEastAsia" w:hAnsiTheme="minorEastAsia" w:eastAsiaTheme="minorEastAsia"/>
                <w:color w:val="000000" w:themeColor="text1"/>
                <w:kern w:val="0"/>
                <w:sz w:val="21"/>
                <w:szCs w:val="21"/>
                <w14:textFill>
                  <w14:solidFill>
                    <w14:schemeClr w14:val="tx1"/>
                  </w14:solidFill>
                </w14:textFill>
              </w:rPr>
              <w:t>×</w:t>
            </w:r>
            <w:r>
              <w:rPr>
                <w:rFonts w:cs="Calibri Light" w:asciiTheme="minorEastAsia" w:hAnsiTheme="minorEastAsia" w:eastAsiaTheme="minorEastAsia"/>
                <w:color w:val="000000" w:themeColor="text1"/>
                <w:kern w:val="0"/>
                <w:sz w:val="21"/>
                <w:szCs w:val="21"/>
                <w14:textFill>
                  <w14:solidFill>
                    <w14:schemeClr w14:val="tx1"/>
                  </w14:solidFill>
                </w14:textFill>
              </w:rPr>
              <w:t>2/06Cr19Ni10</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60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气源用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11.14</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引压管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Φ8×1</w:t>
            </w:r>
            <w:r>
              <w:rPr>
                <w:rFonts w:cs="Calibri Light" w:asciiTheme="minorEastAsia" w:hAnsiTheme="minorEastAsia" w:eastAsiaTheme="minorEastAsia"/>
                <w:color w:val="000000" w:themeColor="text1"/>
                <w:kern w:val="0"/>
                <w:sz w:val="21"/>
                <w:szCs w:val="21"/>
                <w14:textFill>
                  <w14:solidFill>
                    <w14:schemeClr w14:val="tx1"/>
                  </w14:solidFill>
                </w14:textFill>
              </w:rPr>
              <w:t>/06Cr19Ni10</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气源用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11.15</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计算机电缆</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ZRB-DJYVP-2</w:t>
            </w:r>
            <w:r>
              <w:rPr>
                <w:rFonts w:cs="Arial" w:asciiTheme="minorEastAsia" w:hAnsiTheme="minorEastAsia" w:eastAsiaTheme="minorEastAsia"/>
                <w:color w:val="000000" w:themeColor="text1"/>
                <w:kern w:val="0"/>
                <w:sz w:val="21"/>
                <w:szCs w:val="21"/>
                <w14:textFill>
                  <w14:solidFill>
                    <w14:schemeClr w14:val="tx1"/>
                  </w14:solidFill>
                </w14:textFill>
              </w:rPr>
              <w:t>×</w:t>
            </w:r>
            <w:r>
              <w:rPr>
                <w:rFonts w:cs="Calibri Light" w:asciiTheme="minorEastAsia" w:hAnsiTheme="minorEastAsia" w:eastAsiaTheme="minorEastAsia"/>
                <w:color w:val="000000" w:themeColor="text1"/>
                <w:kern w:val="0"/>
                <w:sz w:val="21"/>
                <w:szCs w:val="21"/>
                <w14:textFill>
                  <w14:solidFill>
                    <w14:schemeClr w14:val="tx1"/>
                  </w14:solidFill>
                </w14:textFill>
              </w:rPr>
              <w:t>1.5mm2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1500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11.16</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补偿电缆</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ZRB-KXP-1×</w:t>
            </w:r>
            <w:r>
              <w:rPr>
                <w:rFonts w:cs="Calibri Light" w:asciiTheme="minorEastAsia" w:hAnsiTheme="minorEastAsia" w:eastAsiaTheme="minorEastAsia"/>
                <w:color w:val="000000" w:themeColor="text1"/>
                <w:kern w:val="0"/>
                <w:sz w:val="21"/>
                <w:szCs w:val="21"/>
                <w14:textFill>
                  <w14:solidFill>
                    <w14:schemeClr w14:val="tx1"/>
                  </w14:solidFill>
                </w14:textFill>
              </w:rPr>
              <w:t>2</w:t>
            </w:r>
            <w:r>
              <w:rPr>
                <w:rFonts w:hint="eastAsia" w:cs="宋体" w:asciiTheme="minorEastAsia" w:hAnsiTheme="minorEastAsia" w:eastAsiaTheme="minorEastAsia"/>
                <w:color w:val="000000" w:themeColor="text1"/>
                <w:kern w:val="0"/>
                <w:sz w:val="21"/>
                <w:szCs w:val="21"/>
                <w14:textFill>
                  <w14:solidFill>
                    <w14:schemeClr w14:val="tx1"/>
                  </w14:solidFill>
                </w14:textFill>
              </w:rPr>
              <w:t>×</w:t>
            </w:r>
            <w:r>
              <w:rPr>
                <w:rFonts w:cs="Calibri Light" w:asciiTheme="minorEastAsia" w:hAnsiTheme="minorEastAsia" w:eastAsiaTheme="minorEastAsia"/>
                <w:color w:val="000000" w:themeColor="text1"/>
                <w:kern w:val="0"/>
                <w:sz w:val="21"/>
                <w:szCs w:val="21"/>
                <w14:textFill>
                  <w14:solidFill>
                    <w14:schemeClr w14:val="tx1"/>
                  </w14:solidFill>
                </w14:textFill>
              </w:rPr>
              <w:t>1.5mm2</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500</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11.17</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系统组态</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点</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利旧现有通道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11.18</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防火堵包</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720克/袋</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袋</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11.19</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防火堵料</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有机、无机</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100</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kg</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11.2</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防火涂料</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10L/桶装</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桶</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11.21</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镀锌钢管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G3/4"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100</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11.22</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防尘防腐金属软管</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40</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米</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11.23</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电缆软管接头</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3/4"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对</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11.24</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管接件</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弯通、中间接头、终端接头等</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20</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个</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41"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11.25</w:t>
            </w:r>
          </w:p>
        </w:tc>
        <w:tc>
          <w:tcPr>
            <w:tcW w:w="2106"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钢材</w:t>
            </w:r>
          </w:p>
        </w:tc>
        <w:tc>
          <w:tcPr>
            <w:tcW w:w="4108" w:type="dxa"/>
            <w:shd w:val="clear" w:color="auto" w:fill="auto"/>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角钢40</w:t>
            </w:r>
            <w:r>
              <w:rPr>
                <w:rFonts w:cs="Arial" w:asciiTheme="minorEastAsia" w:hAnsiTheme="minorEastAsia" w:eastAsiaTheme="minorEastAsia"/>
                <w:color w:val="000000" w:themeColor="text1"/>
                <w:kern w:val="0"/>
                <w:sz w:val="21"/>
                <w:szCs w:val="21"/>
                <w14:textFill>
                  <w14:solidFill>
                    <w14:schemeClr w14:val="tx1"/>
                  </w14:solidFill>
                </w14:textFill>
              </w:rPr>
              <w:t>×</w:t>
            </w:r>
            <w:r>
              <w:rPr>
                <w:rFonts w:hint="eastAsia" w:cs="宋体" w:asciiTheme="minorEastAsia" w:hAnsiTheme="minorEastAsia" w:eastAsiaTheme="minorEastAsia"/>
                <w:color w:val="000000" w:themeColor="text1"/>
                <w:kern w:val="0"/>
                <w:sz w:val="21"/>
                <w:szCs w:val="21"/>
                <w14:textFill>
                  <w14:solidFill>
                    <w14:schemeClr w14:val="tx1"/>
                  </w14:solidFill>
                </w14:textFill>
              </w:rPr>
              <w:t>4</w:t>
            </w:r>
          </w:p>
        </w:tc>
        <w:tc>
          <w:tcPr>
            <w:tcW w:w="147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105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c>
          <w:tcPr>
            <w:tcW w:w="636" w:type="dxa"/>
            <w:shd w:val="clear" w:color="auto" w:fill="auto"/>
            <w:noWrap/>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50</w:t>
            </w:r>
          </w:p>
        </w:tc>
        <w:tc>
          <w:tcPr>
            <w:tcW w:w="636" w:type="dxa"/>
            <w:shd w:val="clear" w:color="auto" w:fill="auto"/>
            <w:vAlign w:val="center"/>
          </w:tcPr>
          <w:p>
            <w:pPr>
              <w:widowControl/>
              <w:spacing w:line="240" w:lineRule="auto"/>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kg</w:t>
            </w:r>
          </w:p>
        </w:tc>
        <w:tc>
          <w:tcPr>
            <w:tcW w:w="3366" w:type="dxa"/>
            <w:shd w:val="clear" w:color="auto" w:fill="auto"/>
            <w:noWrap/>
            <w:vAlign w:val="center"/>
          </w:tcPr>
          <w:p>
            <w:pPr>
              <w:widowControl/>
              <w:spacing w:line="240" w:lineRule="auto"/>
              <w:jc w:val="left"/>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w:t>
            </w:r>
          </w:p>
        </w:tc>
      </w:tr>
    </w:tbl>
    <w:p>
      <w:pPr>
        <w:ind w:firstLine="424" w:firstLineChars="177"/>
        <w:rPr>
          <w:rFonts w:asciiTheme="minorEastAsia" w:hAnsiTheme="minorEastAsia" w:eastAsiaTheme="minorEastAsia"/>
        </w:rPr>
      </w:pPr>
      <w:r>
        <w:rPr>
          <w:rFonts w:hint="eastAsia" w:asciiTheme="minorEastAsia" w:hAnsiTheme="minorEastAsia" w:eastAsiaTheme="minorEastAsia"/>
        </w:rPr>
        <w:t>注：1.大于DN50的管道管件内部需喷砂处理，管道管件外侧刷防腐底漆</w:t>
      </w:r>
    </w:p>
    <w:p>
      <w:pPr>
        <w:ind w:firstLine="424" w:firstLineChars="177"/>
        <w:rPr>
          <w:rFonts w:asciiTheme="minorEastAsia" w:hAnsiTheme="minorEastAsia" w:eastAsiaTheme="minorEastAsia"/>
        </w:rPr>
      </w:pPr>
      <w:r>
        <w:rPr>
          <w:rFonts w:hint="eastAsia" w:asciiTheme="minorEastAsia" w:hAnsiTheme="minorEastAsia" w:eastAsiaTheme="minorEastAsia"/>
        </w:rPr>
        <w:t>2.弯头最薄处不应低于接管厚度</w:t>
      </w:r>
    </w:p>
    <w:p>
      <w:pPr>
        <w:ind w:firstLine="424" w:firstLineChars="177"/>
        <w:rPr>
          <w:rFonts w:asciiTheme="minorEastAsia" w:hAnsiTheme="minorEastAsia" w:eastAsiaTheme="minorEastAsia"/>
        </w:rPr>
      </w:pPr>
      <w:r>
        <w:rPr>
          <w:rFonts w:hint="eastAsia" w:asciiTheme="minorEastAsia" w:hAnsiTheme="minorEastAsia" w:eastAsiaTheme="minorEastAsia"/>
        </w:rPr>
        <w:t>3.管道壁厚应为上偏差</w:t>
      </w:r>
    </w:p>
    <w:p>
      <w:pPr>
        <w:ind w:firstLine="424" w:firstLineChars="177"/>
        <w:rPr>
          <w:rFonts w:asciiTheme="minorEastAsia" w:hAnsiTheme="minorEastAsia" w:eastAsiaTheme="minorEastAsia"/>
        </w:rPr>
      </w:pPr>
      <w:r>
        <w:rPr>
          <w:rFonts w:hint="eastAsia" w:asciiTheme="minorEastAsia" w:hAnsiTheme="minorEastAsia" w:eastAsiaTheme="minorEastAsia"/>
        </w:rPr>
        <w:t>4.管道管件椭圆度不应大于±1mm</w:t>
      </w:r>
    </w:p>
    <w:p>
      <w:pPr>
        <w:ind w:firstLine="424" w:firstLineChars="177"/>
        <w:rPr>
          <w:rFonts w:asciiTheme="minorEastAsia" w:hAnsiTheme="minorEastAsia" w:eastAsiaTheme="minorEastAsia"/>
        </w:rPr>
      </w:pPr>
      <w:r>
        <w:rPr>
          <w:rFonts w:hint="eastAsia" w:asciiTheme="minorEastAsia" w:hAnsiTheme="minorEastAsia" w:eastAsiaTheme="minorEastAsia"/>
        </w:rPr>
        <w:t>5.管道管件内径偏差应小于±1mm</w:t>
      </w:r>
    </w:p>
    <w:p>
      <w:pPr>
        <w:ind w:firstLine="424" w:firstLineChars="177"/>
        <w:rPr>
          <w:rFonts w:asciiTheme="minorEastAsia" w:hAnsiTheme="minorEastAsia" w:eastAsiaTheme="minorEastAsia"/>
        </w:rPr>
      </w:pPr>
      <w:r>
        <w:rPr>
          <w:rFonts w:hint="eastAsia" w:asciiTheme="minorEastAsia" w:hAnsiTheme="minorEastAsia" w:eastAsiaTheme="minorEastAsia"/>
        </w:rPr>
        <w:t>6. 支吊架表面油漆为灰色。</w:t>
      </w:r>
    </w:p>
    <w:p/>
    <w:p>
      <w:pPr>
        <w:sectPr>
          <w:headerReference r:id="rId6" w:type="default"/>
          <w:footerReference r:id="rId7" w:type="default"/>
          <w:pgSz w:w="16838" w:h="11906" w:orient="landscape"/>
          <w:pgMar w:top="1474" w:right="1418" w:bottom="1134" w:left="1418" w:header="567" w:footer="567" w:gutter="0"/>
          <w:cols w:space="425" w:num="1"/>
          <w:docGrid w:type="lines" w:linePitch="326" w:charSpace="0"/>
        </w:sectPr>
      </w:pPr>
    </w:p>
    <w:p>
      <w:pPr>
        <w:pStyle w:val="2"/>
        <w:keepNext/>
        <w:keepLines/>
        <w:numPr>
          <w:ilvl w:val="0"/>
          <w:numId w:val="2"/>
        </w:numPr>
        <w:tabs>
          <w:tab w:val="left" w:pos="360"/>
        </w:tabs>
        <w:adjustRightInd w:val="0"/>
        <w:spacing w:before="163" w:beforeLines="50"/>
        <w:textAlignment w:val="baseline"/>
      </w:pPr>
      <w:bookmarkStart w:id="18" w:name="_Toc148101344"/>
      <w:r>
        <w:t>标准及规范</w:t>
      </w:r>
      <w:bookmarkEnd w:id="18"/>
    </w:p>
    <w:p>
      <w:pPr>
        <w:spacing w:line="420" w:lineRule="auto"/>
        <w:ind w:firstLine="480"/>
      </w:pPr>
      <w:r>
        <w:t>供方应采取有效措施，保证产品符合本技术协议及有关标准、规范的要求，有关技术标准如下（不限于此，同时采用最新版本的相应标准）：</w:t>
      </w:r>
    </w:p>
    <w:p>
      <w:pPr>
        <w:spacing w:line="420" w:lineRule="auto"/>
        <w:ind w:left="480" w:leftChars="200"/>
        <w:jc w:val="left"/>
      </w:pPr>
      <w:r>
        <w:t>GB 713-2014《锅炉和压力容器用钢板》</w:t>
      </w:r>
    </w:p>
    <w:p>
      <w:pPr>
        <w:spacing w:line="420" w:lineRule="auto"/>
        <w:ind w:left="480" w:leftChars="200"/>
        <w:jc w:val="left"/>
      </w:pPr>
      <w:r>
        <w:t>GB 3087-2008《低中压锅炉用无缝钢管》</w:t>
      </w:r>
    </w:p>
    <w:p>
      <w:pPr>
        <w:spacing w:line="420" w:lineRule="auto"/>
        <w:ind w:left="480" w:leftChars="200"/>
        <w:jc w:val="left"/>
      </w:pPr>
      <w:r>
        <w:t>GB/T 17395-2008《无缝钢管尺寸、外形、重量及允许偏差》</w:t>
      </w:r>
    </w:p>
    <w:p>
      <w:pPr>
        <w:spacing w:line="420" w:lineRule="auto"/>
        <w:ind w:left="480" w:leftChars="200"/>
        <w:jc w:val="left"/>
      </w:pPr>
      <w:r>
        <w:t>GB/T 12459-2017《钢制对焊管件类型与参数》</w:t>
      </w:r>
    </w:p>
    <w:p>
      <w:pPr>
        <w:spacing w:line="420" w:lineRule="auto"/>
        <w:ind w:left="480" w:leftChars="200"/>
        <w:jc w:val="left"/>
      </w:pPr>
      <w:r>
        <w:t>GB/T 5777-2008《无缝钢管超声波探伤检验方法》</w:t>
      </w:r>
    </w:p>
    <w:p>
      <w:pPr>
        <w:spacing w:line="420" w:lineRule="auto"/>
        <w:ind w:left="480" w:leftChars="200"/>
        <w:jc w:val="left"/>
      </w:pPr>
      <w:r>
        <w:t>GB/T 13401-2017《钢板制对焊管件 技术规范》</w:t>
      </w:r>
    </w:p>
    <w:p>
      <w:pPr>
        <w:spacing w:line="420" w:lineRule="auto"/>
        <w:ind w:left="480" w:leftChars="200"/>
        <w:jc w:val="left"/>
      </w:pPr>
      <w:r>
        <w:t>GB/T 15822.1-2005《无损检测 磁粉检测 第1部分：总则》</w:t>
      </w:r>
    </w:p>
    <w:p>
      <w:pPr>
        <w:spacing w:line="420" w:lineRule="auto"/>
        <w:ind w:left="480" w:leftChars="200"/>
        <w:jc w:val="left"/>
      </w:pPr>
      <w:r>
        <w:t>GB/T 15822.2-2005《无损检测 磁粉检测 第2部分：检测介质》</w:t>
      </w:r>
    </w:p>
    <w:p>
      <w:pPr>
        <w:spacing w:line="420" w:lineRule="auto"/>
        <w:ind w:left="480" w:leftChars="200"/>
        <w:jc w:val="left"/>
      </w:pPr>
      <w:r>
        <w:t>GB/T 15822.3-2005《无损检测 磁粉检测 第3部分：设备》</w:t>
      </w:r>
    </w:p>
    <w:p>
      <w:pPr>
        <w:spacing w:line="420" w:lineRule="auto"/>
        <w:ind w:left="480" w:leftChars="200"/>
        <w:jc w:val="left"/>
      </w:pPr>
      <w:r>
        <w:t>GB/T 20801.1-2020《压力管道规范 工业管道 第1部分：总则》</w:t>
      </w:r>
    </w:p>
    <w:p>
      <w:pPr>
        <w:spacing w:line="420" w:lineRule="auto"/>
        <w:ind w:left="480" w:leftChars="200"/>
        <w:jc w:val="left"/>
      </w:pPr>
      <w:r>
        <w:t>GB/T 20801.4-2006《压力管道规范 工业管道 第4部分：制作与安装》</w:t>
      </w:r>
    </w:p>
    <w:p>
      <w:pPr>
        <w:spacing w:line="420" w:lineRule="auto"/>
        <w:ind w:left="480" w:leftChars="200"/>
        <w:jc w:val="left"/>
      </w:pPr>
      <w:r>
        <w:t>GB/T 20801.5-2006《压力管道规范 工业管道 第5部分：检验与试验》</w:t>
      </w:r>
    </w:p>
    <w:p>
      <w:pPr>
        <w:spacing w:line="420" w:lineRule="auto"/>
        <w:ind w:left="480" w:leftChars="200"/>
        <w:jc w:val="left"/>
      </w:pPr>
      <w:r>
        <w:t>GD 2016《火力发电厂――汽水管道零部件典型设计手册》</w:t>
      </w:r>
    </w:p>
    <w:p>
      <w:pPr>
        <w:spacing w:line="420" w:lineRule="auto"/>
        <w:ind w:left="480" w:leftChars="200"/>
        <w:jc w:val="left"/>
      </w:pPr>
      <w:r>
        <w:t>DL 438-2016《火力发电厂金属技术监督规程》</w:t>
      </w:r>
    </w:p>
    <w:p>
      <w:pPr>
        <w:spacing w:line="420" w:lineRule="auto"/>
        <w:ind w:left="480" w:leftChars="200"/>
        <w:jc w:val="left"/>
      </w:pPr>
      <w:r>
        <w:t>DL/T 820-2002《管道焊接接头超声波检验技术规程》</w:t>
      </w:r>
    </w:p>
    <w:p>
      <w:pPr>
        <w:spacing w:line="420" w:lineRule="auto"/>
        <w:ind w:left="480" w:leftChars="200"/>
        <w:jc w:val="left"/>
      </w:pPr>
      <w:r>
        <w:rPr>
          <w:rFonts w:hint="eastAsia"/>
        </w:rPr>
        <w:t>NB/T47044-2014 电站阀门</w:t>
      </w:r>
    </w:p>
    <w:p>
      <w:pPr>
        <w:spacing w:line="420" w:lineRule="auto"/>
        <w:ind w:left="480" w:leftChars="200"/>
        <w:jc w:val="left"/>
      </w:pPr>
      <w:r>
        <w:rPr>
          <w:rFonts w:hint="eastAsia"/>
        </w:rPr>
        <w:t>GB/T 12224-2015《钢制阀门一般要求》</w:t>
      </w:r>
    </w:p>
    <w:p>
      <w:pPr>
        <w:spacing w:line="420" w:lineRule="auto"/>
        <w:ind w:left="480" w:leftChars="200"/>
        <w:jc w:val="left"/>
      </w:pPr>
      <w:r>
        <w:t>NB/T 47037-2021</w:t>
      </w:r>
      <w:r>
        <w:rPr>
          <w:rFonts w:hint="eastAsia"/>
        </w:rPr>
        <w:t>《电站阀门型号编制方法》</w:t>
      </w:r>
    </w:p>
    <w:p>
      <w:pPr>
        <w:spacing w:line="420" w:lineRule="auto"/>
        <w:ind w:left="480" w:leftChars="200"/>
        <w:jc w:val="left"/>
      </w:pPr>
      <w:r>
        <w:rPr>
          <w:rFonts w:hint="eastAsia"/>
        </w:rPr>
        <w:t>JB/T 5263-2005《电站阀门铸钢件技术条件》</w:t>
      </w:r>
    </w:p>
    <w:p>
      <w:pPr>
        <w:spacing w:line="420" w:lineRule="auto"/>
        <w:ind w:left="480" w:leftChars="200"/>
        <w:jc w:val="left"/>
      </w:pPr>
      <w:r>
        <w:rPr>
          <w:rFonts w:hint="eastAsia"/>
        </w:rPr>
        <w:t>JB/T 5300-2008《工业用阀门材料选用导则》</w:t>
      </w:r>
    </w:p>
    <w:p>
      <w:pPr>
        <w:spacing w:line="420" w:lineRule="auto"/>
        <w:ind w:left="480" w:leftChars="200"/>
        <w:jc w:val="left"/>
      </w:pPr>
      <w:r>
        <w:t>GB/T 26480-2011</w:t>
      </w:r>
      <w:r>
        <w:rPr>
          <w:rFonts w:hint="eastAsia"/>
        </w:rPr>
        <w:t>《阀门的检验和试验》</w:t>
      </w:r>
    </w:p>
    <w:p>
      <w:pPr>
        <w:spacing w:line="420" w:lineRule="auto"/>
        <w:ind w:left="480" w:leftChars="200"/>
        <w:jc w:val="left"/>
      </w:pPr>
      <w:r>
        <w:t>GB/T 30832-2014</w:t>
      </w:r>
      <w:r>
        <w:rPr>
          <w:rFonts w:hint="eastAsia"/>
        </w:rPr>
        <w:t>《阀门流量系数和流阻系数试验方法》</w:t>
      </w:r>
    </w:p>
    <w:p>
      <w:pPr>
        <w:spacing w:line="420" w:lineRule="auto"/>
        <w:ind w:left="480" w:leftChars="200"/>
        <w:jc w:val="left"/>
      </w:pPr>
      <w:r>
        <w:t>DL/T 531-2016</w:t>
      </w:r>
      <w:r>
        <w:rPr>
          <w:rFonts w:hint="eastAsia"/>
        </w:rPr>
        <w:t>《电站高温高压截止阀闸阀技术条件》</w:t>
      </w:r>
    </w:p>
    <w:p>
      <w:pPr>
        <w:spacing w:line="420" w:lineRule="auto"/>
        <w:ind w:left="480" w:leftChars="200"/>
        <w:jc w:val="left"/>
      </w:pPr>
      <w:r>
        <w:rPr>
          <w:rFonts w:hint="eastAsia"/>
        </w:rPr>
        <w:t>GB/T 12228-2006《通用阀门碳素钢锻件技术条件》</w:t>
      </w:r>
    </w:p>
    <w:p>
      <w:pPr>
        <w:spacing w:line="420" w:lineRule="auto"/>
        <w:ind w:left="480" w:leftChars="200"/>
        <w:jc w:val="left"/>
      </w:pPr>
      <w:r>
        <w:rPr>
          <w:rFonts w:hint="eastAsia"/>
        </w:rPr>
        <w:t>GB/T 12229-2005《通用阀门碳素钢铸件技术条件》</w:t>
      </w:r>
    </w:p>
    <w:p>
      <w:pPr>
        <w:spacing w:line="420" w:lineRule="auto"/>
        <w:ind w:left="480" w:leftChars="200"/>
        <w:jc w:val="left"/>
      </w:pPr>
      <w:r>
        <w:rPr>
          <w:rFonts w:hint="eastAsia"/>
        </w:rPr>
        <w:t>GB/T12221金属阀门 结构长度</w:t>
      </w:r>
    </w:p>
    <w:p>
      <w:pPr>
        <w:spacing w:line="420" w:lineRule="auto"/>
        <w:ind w:left="480" w:leftChars="200"/>
        <w:jc w:val="left"/>
      </w:pPr>
      <w:r>
        <w:rPr>
          <w:rFonts w:hint="eastAsia"/>
        </w:rPr>
        <w:t>GB/T26480 阀门的检验和试验</w:t>
      </w:r>
    </w:p>
    <w:p>
      <w:pPr>
        <w:spacing w:line="420" w:lineRule="auto"/>
        <w:ind w:firstLine="480"/>
        <w:jc w:val="left"/>
      </w:pPr>
      <w:r>
        <w:t>上述标准和规定仅提出了基本的技术要求。如果供方提出了更经济合理的设计、材料、制造工艺等，同时又能使供方提供的设备性能达到本技术协议的要求，并确保安全﹑稳定﹑连续运行，在征得买方同意后，供方可以不全部使用上述标准和规定。</w:t>
      </w:r>
    </w:p>
    <w:p>
      <w:pPr>
        <w:pStyle w:val="2"/>
        <w:sectPr>
          <w:headerReference r:id="rId8" w:type="default"/>
          <w:pgSz w:w="11906" w:h="16838"/>
          <w:pgMar w:top="1474" w:right="1418" w:bottom="1134" w:left="1418" w:header="567" w:footer="567" w:gutter="0"/>
          <w:cols w:space="425" w:num="1"/>
          <w:docGrid w:type="lines" w:linePitch="326" w:charSpace="0"/>
        </w:sectPr>
      </w:pPr>
    </w:p>
    <w:p>
      <w:pPr>
        <w:pStyle w:val="2"/>
        <w:keepNext/>
        <w:keepLines/>
        <w:numPr>
          <w:ilvl w:val="0"/>
          <w:numId w:val="2"/>
        </w:numPr>
        <w:tabs>
          <w:tab w:val="left" w:pos="360"/>
        </w:tabs>
        <w:adjustRightInd w:val="0"/>
        <w:spacing w:before="163" w:beforeLines="50"/>
        <w:textAlignment w:val="baseline"/>
      </w:pPr>
      <w:bookmarkStart w:id="19" w:name="_Toc148101345"/>
      <w:r>
        <w:t>技术要求</w:t>
      </w:r>
      <w:bookmarkEnd w:id="19"/>
    </w:p>
    <w:p>
      <w:pPr>
        <w:pStyle w:val="3"/>
        <w:numPr>
          <w:ilvl w:val="0"/>
          <w:numId w:val="0"/>
        </w:numPr>
        <w:rPr>
          <w:b/>
        </w:rPr>
      </w:pPr>
      <w:bookmarkStart w:id="20" w:name="_Toc148101346"/>
      <w:r>
        <w:rPr>
          <w:rFonts w:hint="eastAsia"/>
          <w:b/>
        </w:rPr>
        <w:t>4.1</w:t>
      </w:r>
      <w:r>
        <w:rPr>
          <w:b/>
        </w:rPr>
        <w:t>管道管件要求</w:t>
      </w:r>
      <w:bookmarkEnd w:id="20"/>
    </w:p>
    <w:p>
      <w:pPr>
        <w:snapToGrid w:val="0"/>
        <w:spacing w:line="480" w:lineRule="auto"/>
        <w:rPr>
          <w:rFonts w:asciiTheme="minorEastAsia" w:hAnsiTheme="minorEastAsia" w:eastAsiaTheme="minorEastAsia"/>
        </w:rPr>
      </w:pPr>
      <w:r>
        <w:rPr>
          <w:rFonts w:hint="eastAsia" w:asciiTheme="minorEastAsia" w:hAnsiTheme="minorEastAsia" w:eastAsiaTheme="minorEastAsia"/>
        </w:rPr>
        <w:t>（1）管件部分的零部件，按照供货清单的规格型号进行制作，规格选型按照《火力发电厂汽水管道零件及部件典型设计》GD</w:t>
      </w:r>
      <w:r>
        <w:rPr>
          <w:rFonts w:asciiTheme="minorEastAsia" w:hAnsiTheme="minorEastAsia" w:eastAsiaTheme="minorEastAsia"/>
        </w:rPr>
        <w:t>2000</w:t>
      </w:r>
      <w:r>
        <w:rPr>
          <w:rFonts w:hint="eastAsia" w:asciiTheme="minorEastAsia" w:hAnsiTheme="minorEastAsia" w:eastAsiaTheme="minorEastAsia"/>
        </w:rPr>
        <w:t>执行。</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（2）支吊架部分的零部件按照供货清单的规格型号进行制作，规格选型按照《发电厂汽水管道支吊架设计手册》D</w:t>
      </w:r>
      <w:r>
        <w:rPr>
          <w:rFonts w:asciiTheme="minorEastAsia" w:hAnsiTheme="minorEastAsia" w:eastAsiaTheme="minorEastAsia"/>
        </w:rPr>
        <w:t>-</w:t>
      </w:r>
      <w:r>
        <w:rPr>
          <w:rFonts w:hint="eastAsia" w:asciiTheme="minorEastAsia" w:hAnsiTheme="minorEastAsia" w:eastAsiaTheme="minorEastAsia"/>
        </w:rPr>
        <w:t>ZD</w:t>
      </w:r>
      <w:r>
        <w:rPr>
          <w:rFonts w:asciiTheme="minorEastAsia" w:hAnsiTheme="minorEastAsia" w:eastAsiaTheme="minorEastAsia"/>
        </w:rPr>
        <w:t>2010</w:t>
      </w:r>
      <w:r>
        <w:rPr>
          <w:rFonts w:hint="eastAsia" w:asciiTheme="minorEastAsia" w:hAnsiTheme="minorEastAsia" w:eastAsiaTheme="minorEastAsia"/>
        </w:rPr>
        <w:t>执行。</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（3）零部件的制造标准，需按照相应电力行业标准执行；制造质量不得低于国标及行业相关标准。</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（4）管件及附件的尺寸，必须保证满足供货清单要求的内径及厚度。</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（5）管道管件内部需喷砂处理，管道管件外侧刷防腐底漆二层以上。</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（6）弯头最薄处不应低于接管厚度，管道壁厚应为上偏差，管道管件椭圆度不应大于±1mm，管道管件内径偏差应小于±1mm。</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（7）支吊架表面刷环氧富锌底漆、环氧云铁中间漆、脂肪族聚氨酯面漆；面漆颜色为灰色。</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（8）未注零部件的制造标准，需按照相应电力行业标准执行；制造质量不得低于国标及行业相关标准。</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（9）管件及附件的尺寸，必须保证满足供货清单中要求的内径及厚度。</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（10）乙方</w:t>
      </w:r>
      <w:r>
        <w:rPr>
          <w:rFonts w:asciiTheme="minorEastAsia" w:hAnsiTheme="minorEastAsia" w:eastAsiaTheme="minorEastAsia"/>
        </w:rPr>
        <w:t>必须对钢管</w:t>
      </w:r>
      <w:r>
        <w:rPr>
          <w:rFonts w:hint="eastAsia" w:asciiTheme="minorEastAsia" w:hAnsiTheme="minorEastAsia" w:eastAsiaTheme="minorEastAsia"/>
        </w:rPr>
        <w:t>、三通等</w:t>
      </w:r>
      <w:r>
        <w:rPr>
          <w:rFonts w:asciiTheme="minorEastAsia" w:hAnsiTheme="minorEastAsia" w:eastAsiaTheme="minorEastAsia"/>
        </w:rPr>
        <w:t>焊缝进行超声波连续探伤或X射线探伤</w:t>
      </w:r>
      <w:r>
        <w:rPr>
          <w:rFonts w:hint="eastAsia" w:asciiTheme="minorEastAsia" w:hAnsiTheme="minorEastAsia" w:eastAsiaTheme="minorEastAsia"/>
        </w:rPr>
        <w:t>，</w:t>
      </w:r>
      <w:r>
        <w:rPr>
          <w:rFonts w:asciiTheme="minorEastAsia" w:hAnsiTheme="minorEastAsia" w:eastAsiaTheme="minorEastAsia"/>
        </w:rPr>
        <w:t>并提供检测报告。</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（11）管道部件</w:t>
      </w:r>
      <w:r>
        <w:rPr>
          <w:rFonts w:asciiTheme="minorEastAsia" w:hAnsiTheme="minorEastAsia" w:eastAsiaTheme="minorEastAsia"/>
        </w:rPr>
        <w:t>质量及要求：钢管的径向错边不大于1mm。钢管焊缝内外焊道熔透深度不得小于1.5mm，内外焊道中心偏差不大于3.0mm。焊缝附近100mm范围内，钢管圆弧的径向偏差不得大于1mm允许的尺寸误差：钢管外径：供货钢管管端100mm长度范围外径极限偏差为±1mm，其余部分圆度最大偏差为</w:t>
      </w:r>
      <w:r>
        <w:rPr>
          <w:rFonts w:hint="eastAsia" w:asciiTheme="minorEastAsia" w:hAnsiTheme="minorEastAsia" w:eastAsiaTheme="minorEastAsia"/>
        </w:rPr>
        <w:t>0.5</w:t>
      </w:r>
      <w:r>
        <w:rPr>
          <w:rFonts w:asciiTheme="minorEastAsia" w:hAnsiTheme="minorEastAsia" w:eastAsiaTheme="minorEastAsia"/>
        </w:rPr>
        <w:t>%D。钢管外径用周长法测量。钢管壁厚：钢管的壁厚偏差为-2.5%/+5%。</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（12）支吊架及附件(尤其是弹簧)的性能及尺寸，必须保证满足需方提供的技术要求。</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（13）所有支吊架表面醇酸漆2道，总厚度≥80微米;带螺纹部位，电镀锌或涂防锈油。</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（14）清洁</w:t>
      </w:r>
      <w:r>
        <w:rPr>
          <w:rFonts w:asciiTheme="minorEastAsia" w:hAnsiTheme="minorEastAsia" w:eastAsiaTheme="minorEastAsia"/>
        </w:rPr>
        <w:t>、包装和运输</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（15）</w:t>
      </w:r>
      <w:r>
        <w:rPr>
          <w:rFonts w:asciiTheme="minorEastAsia" w:hAnsiTheme="minorEastAsia" w:eastAsiaTheme="minorEastAsia"/>
        </w:rPr>
        <w:t>清洁</w:t>
      </w:r>
      <w:r>
        <w:rPr>
          <w:rFonts w:hint="eastAsia" w:asciiTheme="minorEastAsia" w:hAnsiTheme="minorEastAsia" w:eastAsiaTheme="minorEastAsia"/>
        </w:rPr>
        <w:t>：</w:t>
      </w:r>
      <w:r>
        <w:rPr>
          <w:rFonts w:asciiTheme="minorEastAsia" w:hAnsiTheme="minorEastAsia" w:eastAsiaTheme="minorEastAsia"/>
        </w:rPr>
        <w:t>管道及管件出厂前清除全部加工垃圾，如金属切削、填充物等,应从内外表面清除所有轧屑、锈皮油脂等。</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（16）</w:t>
      </w:r>
      <w:r>
        <w:rPr>
          <w:rFonts w:asciiTheme="minorEastAsia" w:hAnsiTheme="minorEastAsia" w:eastAsiaTheme="minorEastAsia"/>
        </w:rPr>
        <w:t>包装﹑运输</w:t>
      </w:r>
      <w:r>
        <w:rPr>
          <w:rFonts w:hint="eastAsia" w:asciiTheme="minorEastAsia" w:hAnsiTheme="minorEastAsia" w:eastAsiaTheme="minorEastAsia"/>
        </w:rPr>
        <w:t>：</w:t>
      </w:r>
      <w:r>
        <w:rPr>
          <w:rFonts w:asciiTheme="minorEastAsia" w:hAnsiTheme="minorEastAsia" w:eastAsiaTheme="minorEastAsia"/>
        </w:rPr>
        <w:t>管道及管件的包装、运输、贮存按国标规定。卖方所供管道及管件部件，均遵照国家标准和有关技术条件进行包装。备品备件、专用工具应单独包装和发运，并特别注明。</w:t>
      </w:r>
    </w:p>
    <w:p>
      <w:r>
        <w:rPr>
          <w:rFonts w:hint="eastAsia" w:asciiTheme="minorEastAsia" w:hAnsiTheme="minorEastAsia" w:eastAsiaTheme="minorEastAsia"/>
        </w:rPr>
        <w:t>（17）</w:t>
      </w:r>
      <w:r>
        <w:rPr>
          <w:rFonts w:asciiTheme="minorEastAsia" w:hAnsiTheme="minorEastAsia" w:eastAsiaTheme="minorEastAsia"/>
        </w:rPr>
        <w:t>管道</w:t>
      </w:r>
      <w:r>
        <w:rPr>
          <w:rFonts w:hint="eastAsia" w:asciiTheme="minorEastAsia" w:hAnsiTheme="minorEastAsia" w:eastAsiaTheme="minorEastAsia"/>
        </w:rPr>
        <w:t>部件及支吊架</w:t>
      </w:r>
      <w:r>
        <w:rPr>
          <w:rFonts w:asciiTheme="minorEastAsia" w:hAnsiTheme="minorEastAsia" w:eastAsiaTheme="minorEastAsia"/>
        </w:rPr>
        <w:t>的标志按有关标准规定的要求。</w:t>
      </w:r>
    </w:p>
    <w:p>
      <w:pPr>
        <w:pStyle w:val="3"/>
        <w:numPr>
          <w:ilvl w:val="0"/>
          <w:numId w:val="0"/>
        </w:numPr>
        <w:rPr>
          <w:b/>
        </w:rPr>
      </w:pPr>
      <w:bookmarkStart w:id="21" w:name="_Toc148101347"/>
      <w:r>
        <w:rPr>
          <w:rFonts w:hint="eastAsia"/>
          <w:b/>
        </w:rPr>
        <w:t>4.2</w:t>
      </w:r>
      <w:r>
        <w:rPr>
          <w:b/>
        </w:rPr>
        <w:t>支吊架要求</w:t>
      </w:r>
      <w:bookmarkEnd w:id="21"/>
    </w:p>
    <w:p>
      <w:pPr>
        <w:pStyle w:val="12"/>
        <w:numPr>
          <w:ilvl w:val="0"/>
          <w:numId w:val="3"/>
        </w:numPr>
        <w:spacing w:after="0"/>
        <w:ind w:left="0" w:firstLine="0"/>
      </w:pPr>
      <w:r>
        <w:rPr>
          <w:rFonts w:hint="eastAsia"/>
        </w:rPr>
        <w:t>本工程支吊架的设计参考《火力发电厂汽水管道支吊架设计手册（D-ZD2010）》，不足部分参考相关厂家标准。</w:t>
      </w:r>
    </w:p>
    <w:p>
      <w:pPr>
        <w:pStyle w:val="12"/>
        <w:numPr>
          <w:ilvl w:val="0"/>
          <w:numId w:val="3"/>
        </w:numPr>
        <w:spacing w:after="0"/>
        <w:ind w:left="0" w:firstLine="0"/>
      </w:pPr>
      <w:r>
        <w:rPr>
          <w:rFonts w:hint="eastAsia"/>
        </w:rPr>
        <w:t>管道支吊架的设计应能保证不仅在承受静荷载（包括水压试验荷载），而且在振动、水击及其它动力冲击的情况下有足够的强度。</w:t>
      </w:r>
    </w:p>
    <w:p>
      <w:pPr>
        <w:pStyle w:val="12"/>
        <w:numPr>
          <w:ilvl w:val="0"/>
          <w:numId w:val="3"/>
        </w:numPr>
        <w:spacing w:after="0"/>
        <w:ind w:left="0" w:firstLine="0"/>
      </w:pPr>
      <w:r>
        <w:rPr>
          <w:rFonts w:hint="eastAsia"/>
        </w:rPr>
        <w:t>管道支架具体要求如下：</w:t>
      </w:r>
    </w:p>
    <w:tbl>
      <w:tblPr>
        <w:tblStyle w:val="25"/>
        <w:tblW w:w="9286" w:type="dxa"/>
        <w:tblInd w:w="0" w:type="dxa"/>
        <w:tblLayout w:type="fixed"/>
        <w:tblCellMar>
          <w:top w:w="0" w:type="dxa"/>
          <w:left w:w="108" w:type="dxa"/>
          <w:bottom w:w="0" w:type="dxa"/>
          <w:right w:w="108" w:type="dxa"/>
        </w:tblCellMar>
      </w:tblPr>
      <w:tblGrid>
        <w:gridCol w:w="440"/>
        <w:gridCol w:w="3118"/>
        <w:gridCol w:w="890"/>
        <w:gridCol w:w="1515"/>
        <w:gridCol w:w="1517"/>
        <w:gridCol w:w="1806"/>
      </w:tblGrid>
      <w:tr>
        <w:tblPrEx>
          <w:tblLayout w:type="fixed"/>
          <w:tblCellMar>
            <w:top w:w="0" w:type="dxa"/>
            <w:left w:w="108" w:type="dxa"/>
            <w:bottom w:w="0" w:type="dxa"/>
            <w:right w:w="108" w:type="dxa"/>
          </w:tblCellMar>
        </w:tblPrEx>
        <w:trPr>
          <w:cantSplit/>
          <w:trHeight w:val="247" w:hRule="atLeast"/>
        </w:trPr>
        <w:tc>
          <w:tcPr>
            <w:tcW w:w="440" w:type="dxa"/>
            <w:vMerge w:val="restart"/>
            <w:tcBorders>
              <w:top w:val="single" w:color="auto" w:sz="6" w:space="0"/>
              <w:left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项 次</w:t>
            </w:r>
          </w:p>
        </w:tc>
        <w:tc>
          <w:tcPr>
            <w:tcW w:w="3118"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检验项目</w:t>
            </w:r>
          </w:p>
        </w:tc>
        <w:tc>
          <w:tcPr>
            <w:tcW w:w="890"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性质</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质量标准</w:t>
            </w:r>
          </w:p>
        </w:tc>
        <w:tc>
          <w:tcPr>
            <w:tcW w:w="1806"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检验方法和器具</w:t>
            </w:r>
          </w:p>
        </w:tc>
      </w:tr>
      <w:tr>
        <w:tblPrEx>
          <w:tblLayout w:type="fixed"/>
          <w:tblCellMar>
            <w:top w:w="0" w:type="dxa"/>
            <w:left w:w="108" w:type="dxa"/>
            <w:bottom w:w="0" w:type="dxa"/>
            <w:right w:w="108" w:type="dxa"/>
          </w:tblCellMar>
        </w:tblPrEx>
        <w:trPr>
          <w:cantSplit/>
          <w:trHeight w:val="253" w:hRule="atLeast"/>
        </w:trPr>
        <w:tc>
          <w:tcPr>
            <w:tcW w:w="440" w:type="dxa"/>
            <w:vMerge w:val="continue"/>
            <w:tcBorders>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118" w:type="dxa"/>
            <w:vMerge w:val="continue"/>
            <w:tcBorders>
              <w:top w:val="nil"/>
              <w:left w:val="single" w:color="auto" w:sz="6" w:space="0"/>
              <w:bottom w:val="single" w:color="auto" w:sz="6" w:space="0"/>
              <w:right w:val="single" w:color="auto" w:sz="6" w:space="0"/>
            </w:tcBorders>
            <w:vAlign w:val="center"/>
          </w:tcPr>
          <w:p>
            <w:pPr>
              <w:ind w:left="-90"/>
              <w:rPr>
                <w:rFonts w:cs="Times New Roman"/>
                <w:sz w:val="21"/>
                <w:szCs w:val="21"/>
              </w:rPr>
            </w:pPr>
          </w:p>
        </w:tc>
        <w:tc>
          <w:tcPr>
            <w:tcW w:w="890"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151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合格</w:t>
            </w:r>
          </w:p>
        </w:tc>
        <w:tc>
          <w:tcPr>
            <w:tcW w:w="1517"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优良</w:t>
            </w:r>
          </w:p>
        </w:tc>
        <w:tc>
          <w:tcPr>
            <w:tcW w:w="1806"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Layout w:type="fixed"/>
          <w:tblCellMar>
            <w:top w:w="0" w:type="dxa"/>
            <w:left w:w="108" w:type="dxa"/>
            <w:bottom w:w="0" w:type="dxa"/>
            <w:right w:w="108" w:type="dxa"/>
          </w:tblCellMar>
        </w:tblPrEx>
        <w:trPr>
          <w:trHeight w:val="195"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l</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构件宽度允许偏差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3</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构件垂直允许偏差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506"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4</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型钢直线度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position w:val="-24"/>
                <w:sz w:val="21"/>
                <w:szCs w:val="21"/>
              </w:rPr>
              <w:object>
                <v:shape id="_x0000_i1025" o:spt="75" type="#_x0000_t75" style="height:31pt;width:28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cs="Times New Roman"/>
                <w:spacing w:val="5"/>
                <w:kern w:val="0"/>
                <w:sz w:val="21"/>
                <w:szCs w:val="21"/>
              </w:rPr>
              <w:t xml:space="preserve">≤8mm  </w:t>
            </w:r>
            <w:r>
              <w:rPr>
                <w:rFonts w:cs="Times New Roman"/>
                <w:spacing w:val="5"/>
                <w:kern w:val="0"/>
                <w:position w:val="-24"/>
                <w:sz w:val="21"/>
                <w:szCs w:val="21"/>
              </w:rPr>
              <w:object>
                <v:shape id="_x0000_i1026" o:spt="75" type="#_x0000_t75" style="height:31pt;width:28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cs="Times New Roman"/>
                <w:spacing w:val="5"/>
                <w:kern w:val="0"/>
                <w:sz w:val="21"/>
                <w:szCs w:val="21"/>
              </w:rPr>
              <w:t>≤6mm</w:t>
            </w:r>
          </w:p>
          <w:p>
            <w:pPr>
              <w:ind w:left="-90"/>
              <w:jc w:val="center"/>
              <w:rPr>
                <w:rFonts w:cs="Times New Roman"/>
                <w:sz w:val="21"/>
                <w:szCs w:val="21"/>
              </w:rPr>
            </w:pPr>
            <w:r>
              <w:rPr>
                <w:rFonts w:cs="Times New Roman"/>
                <w:spacing w:val="5"/>
                <w:kern w:val="0"/>
                <w:sz w:val="21"/>
                <w:szCs w:val="21"/>
              </w:rPr>
              <w:t>(L—型钢长度)</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拉线和用尺检查</w:t>
            </w:r>
          </w:p>
        </w:tc>
      </w:tr>
      <w:tr>
        <w:tblPrEx>
          <w:tblLayout w:type="fixed"/>
          <w:tblCellMar>
            <w:top w:w="0" w:type="dxa"/>
            <w:left w:w="108" w:type="dxa"/>
            <w:bottom w:w="0" w:type="dxa"/>
            <w:right w:w="108" w:type="dxa"/>
          </w:tblCellMar>
        </w:tblPrEx>
        <w:trPr>
          <w:trHeight w:val="512"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5</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弧形板半径允许偏差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sz w:val="21"/>
                <w:szCs w:val="21"/>
              </w:rPr>
              <w:t>+</w:t>
            </w:r>
            <w:r>
              <w:rPr>
                <w:rFonts w:cs="Times New Roman"/>
                <w:spacing w:val="5"/>
                <w:kern w:val="0"/>
                <w:position w:val="-24"/>
                <w:sz w:val="21"/>
                <w:szCs w:val="21"/>
              </w:rPr>
              <w:object>
                <v:shape id="_x0000_i1027" o:spt="75" type="#_x0000_t75" style="height:31pt;width:28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cs="Times New Roman"/>
                <w:spacing w:val="5"/>
                <w:kern w:val="0"/>
                <w:sz w:val="21"/>
                <w:szCs w:val="21"/>
              </w:rPr>
              <w:t xml:space="preserve">         +</w:t>
            </w:r>
            <w:r>
              <w:rPr>
                <w:rFonts w:cs="Times New Roman"/>
                <w:spacing w:val="5"/>
                <w:kern w:val="0"/>
                <w:position w:val="-24"/>
                <w:sz w:val="21"/>
                <w:szCs w:val="21"/>
              </w:rPr>
              <w:object>
                <v:shape id="_x0000_i1028" o:spt="75" type="#_x0000_t75" style="height:31pt;width:28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p>
          <w:p>
            <w:pPr>
              <w:ind w:left="-90"/>
              <w:jc w:val="center"/>
              <w:rPr>
                <w:rFonts w:cs="Times New Roman"/>
                <w:sz w:val="21"/>
                <w:szCs w:val="21"/>
              </w:rPr>
            </w:pPr>
            <w:r>
              <w:rPr>
                <w:rFonts w:cs="Times New Roman"/>
                <w:spacing w:val="5"/>
                <w:kern w:val="0"/>
                <w:sz w:val="21"/>
                <w:szCs w:val="21"/>
              </w:rPr>
              <w:t>(R—设计半径)</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用弦长D／4样板检查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6</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枕垫平面度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7</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枕垫长度允许偏差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8</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底板平面度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用平尺和尺检查</w:t>
            </w:r>
          </w:p>
        </w:tc>
      </w:tr>
      <w:tr>
        <w:tblPrEx>
          <w:tblLayout w:type="fixed"/>
          <w:tblCellMar>
            <w:top w:w="0" w:type="dxa"/>
            <w:left w:w="108" w:type="dxa"/>
            <w:bottom w:w="0" w:type="dxa"/>
            <w:right w:w="108" w:type="dxa"/>
          </w:tblCellMar>
        </w:tblPrEx>
        <w:trPr>
          <w:trHeight w:val="195"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9</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切割面子面度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观查检查</w:t>
            </w:r>
          </w:p>
        </w:tc>
      </w:tr>
      <w:tr>
        <w:tblPrEx>
          <w:tblLayout w:type="fixed"/>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10</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焊接</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按&lt;验标)焊接篇</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Layout w:type="fixed"/>
          <w:tblCellMar>
            <w:top w:w="0" w:type="dxa"/>
            <w:left w:w="108" w:type="dxa"/>
            <w:bottom w:w="0" w:type="dxa"/>
            <w:right w:w="108" w:type="dxa"/>
          </w:tblCellMar>
        </w:tblPrEx>
        <w:trPr>
          <w:cantSplit/>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1l</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涂漆</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按(验标)锅炉篇</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bl>
    <w:p>
      <w:pPr>
        <w:pStyle w:val="43"/>
        <w:numPr>
          <w:ilvl w:val="0"/>
          <w:numId w:val="3"/>
        </w:numPr>
        <w:ind w:firstLineChars="0"/>
      </w:pPr>
      <w:r>
        <w:rPr>
          <w:rFonts w:hint="eastAsia"/>
        </w:rPr>
        <w:t>弹簧支吊架</w:t>
      </w:r>
    </w:p>
    <w:p>
      <w:pPr>
        <w:ind w:firstLine="480" w:firstLineChars="200"/>
      </w:pPr>
      <w:r>
        <w:rPr>
          <w:rFonts w:hint="eastAsia"/>
        </w:rPr>
        <w:t>弹簧支吊架无论是单个部件或两个以上部件组成，每个部件不可拼接，必须拼接时，应该用连接板过渡，连接板的尺寸应能保证焊缝长度≥100mm。</w:t>
      </w:r>
    </w:p>
    <w:p>
      <w:pPr>
        <w:ind w:firstLine="480" w:firstLineChars="200"/>
        <w:sectPr>
          <w:headerReference r:id="rId9" w:type="default"/>
          <w:pgSz w:w="11906" w:h="16838"/>
          <w:pgMar w:top="1474" w:right="1418" w:bottom="1134" w:left="1418" w:header="567" w:footer="567" w:gutter="0"/>
          <w:cols w:space="425" w:num="1"/>
          <w:docGrid w:type="lines" w:linePitch="326" w:charSpace="0"/>
        </w:sectPr>
      </w:pPr>
      <w:r>
        <w:rPr>
          <w:rFonts w:hint="eastAsia"/>
        </w:rPr>
        <w:t>弹簧支吊架的根部构件应留有调节余量，该余量应有标志，以便在安装现场按需要进行切割调整。</w:t>
      </w:r>
    </w:p>
    <w:p>
      <w:pPr>
        <w:pStyle w:val="2"/>
        <w:keepNext/>
        <w:keepLines/>
        <w:numPr>
          <w:ilvl w:val="0"/>
          <w:numId w:val="2"/>
        </w:numPr>
        <w:tabs>
          <w:tab w:val="left" w:pos="360"/>
        </w:tabs>
        <w:adjustRightInd w:val="0"/>
        <w:spacing w:before="163" w:beforeLines="50"/>
        <w:textAlignment w:val="baseline"/>
        <w:rPr>
          <w:rFonts w:cs="宋体"/>
          <w:szCs w:val="24"/>
        </w:rPr>
      </w:pPr>
      <w:bookmarkStart w:id="22" w:name="_Toc148101348"/>
      <w:r>
        <w:rPr>
          <w:rFonts w:hint="eastAsia"/>
        </w:rPr>
        <w:t>包装、标志、运输、验收和保管</w:t>
      </w:r>
      <w:bookmarkEnd w:id="22"/>
    </w:p>
    <w:p>
      <w:pPr>
        <w:pStyle w:val="4"/>
        <w:numPr>
          <w:ilvl w:val="0"/>
          <w:numId w:val="0"/>
        </w:numPr>
        <w:spacing w:line="500" w:lineRule="atLeast"/>
        <w:ind w:left="764"/>
        <w:rPr>
          <w:rFonts w:ascii="宋体" w:hAnsi="宋体" w:cs="宋体"/>
          <w:bCs w:val="0"/>
          <w:szCs w:val="24"/>
        </w:rPr>
      </w:pPr>
      <w:bookmarkStart w:id="23" w:name="_Toc107820330"/>
      <w:bookmarkStart w:id="24" w:name="_Toc39113634"/>
      <w:bookmarkStart w:id="25" w:name="_Toc521760815"/>
      <w:r>
        <w:rPr>
          <w:rFonts w:hint="eastAsia" w:ascii="宋体" w:hAnsi="宋体" w:cs="宋体"/>
          <w:szCs w:val="24"/>
        </w:rPr>
        <w:t>5.1  包装</w:t>
      </w:r>
      <w:bookmarkEnd w:id="23"/>
      <w:bookmarkEnd w:id="24"/>
      <w:bookmarkEnd w:id="25"/>
    </w:p>
    <w:p>
      <w:pPr>
        <w:spacing w:line="500" w:lineRule="atLeast"/>
        <w:ind w:firstLine="464" w:firstLineChars="200"/>
        <w:rPr>
          <w:rFonts w:ascii="宋体" w:hAnsi="宋体" w:cs="宋体"/>
          <w:spacing w:val="-4"/>
          <w:szCs w:val="24"/>
        </w:rPr>
      </w:pPr>
      <w:r>
        <w:rPr>
          <w:rFonts w:hint="eastAsia" w:ascii="宋体" w:hAnsi="宋体" w:cs="宋体"/>
          <w:spacing w:val="-4"/>
          <w:szCs w:val="24"/>
        </w:rPr>
        <w:t>5.1.1  管道及其附件包装前必须做到内部清洁，特别是管道内应彻底清洗干净，并采取妥善防锈措施。</w:t>
      </w:r>
    </w:p>
    <w:p>
      <w:pPr>
        <w:spacing w:line="500" w:lineRule="atLeast"/>
        <w:ind w:firstLine="480" w:firstLineChars="200"/>
        <w:rPr>
          <w:rFonts w:ascii="宋体" w:hAnsi="宋体" w:cs="宋体"/>
          <w:szCs w:val="24"/>
        </w:rPr>
      </w:pPr>
      <w:r>
        <w:rPr>
          <w:rFonts w:hint="eastAsia" w:ascii="宋体" w:hAnsi="宋体" w:cs="宋体"/>
          <w:szCs w:val="24"/>
        </w:rPr>
        <w:t>5.1.2  卖方所供设备部件，除特殊部件外，均应遵守国家标准和有关包装的技术条件进行，或按最好的商业惯例，使用坚固的箱子包装。并应根据不同货物特性和要求，采取措施，如对设备进行妥善的油漆或其它有效的防锈防腐处理，以适应远途海上、陆上运输条件和大量的吊装、卸货以及露天堆放的需要，防止雨雪、海浪造成受潮、生锈、腐蚀、振动以及机械和化学引起的损坏。</w:t>
      </w:r>
    </w:p>
    <w:p>
      <w:pPr>
        <w:spacing w:line="500" w:lineRule="atLeast"/>
        <w:ind w:firstLine="480" w:firstLineChars="200"/>
        <w:rPr>
          <w:rFonts w:ascii="宋体" w:hAnsi="宋体" w:cs="宋体"/>
          <w:szCs w:val="24"/>
        </w:rPr>
      </w:pPr>
      <w:r>
        <w:rPr>
          <w:rFonts w:hint="eastAsia" w:ascii="宋体" w:hAnsi="宋体" w:cs="宋体"/>
          <w:szCs w:val="24"/>
        </w:rPr>
        <w:t>5.1.3  卖方所供随机装箱技术文件应妥善地包装，能承受远洋运输和多次搬运，并应防止受潮和雨水的侵蚀。每个技术文件邮包应装有详细的目录清单。</w:t>
      </w:r>
    </w:p>
    <w:p>
      <w:pPr>
        <w:spacing w:line="500" w:lineRule="atLeast"/>
        <w:ind w:firstLine="480" w:firstLineChars="200"/>
        <w:rPr>
          <w:rFonts w:ascii="宋体" w:hAnsi="宋体" w:cs="宋体"/>
          <w:szCs w:val="24"/>
        </w:rPr>
      </w:pPr>
      <w:r>
        <w:rPr>
          <w:rFonts w:hint="eastAsia" w:ascii="宋体" w:hAnsi="宋体" w:cs="宋体"/>
          <w:szCs w:val="24"/>
        </w:rPr>
        <w:t>5.1.4  为防止设备器材被窃或受腐蚀元素、海水的损坏，如未征得买方同意，不得采用敞开的板条箱和类似包装。</w:t>
      </w:r>
    </w:p>
    <w:p>
      <w:pPr>
        <w:pStyle w:val="4"/>
        <w:numPr>
          <w:ilvl w:val="0"/>
          <w:numId w:val="0"/>
        </w:numPr>
        <w:spacing w:line="500" w:lineRule="atLeast"/>
        <w:ind w:left="764"/>
        <w:rPr>
          <w:rFonts w:ascii="宋体" w:hAnsi="宋体" w:cs="宋体"/>
          <w:bCs w:val="0"/>
          <w:szCs w:val="24"/>
        </w:rPr>
      </w:pPr>
      <w:bookmarkStart w:id="26" w:name="_Toc107820331"/>
      <w:bookmarkStart w:id="27" w:name="_Toc39113635"/>
      <w:bookmarkStart w:id="28" w:name="_Toc521760816"/>
      <w:r>
        <w:rPr>
          <w:rFonts w:hint="eastAsia" w:ascii="宋体" w:hAnsi="宋体" w:cs="宋体"/>
          <w:szCs w:val="24"/>
        </w:rPr>
        <w:t>5.2  标志</w:t>
      </w:r>
      <w:bookmarkEnd w:id="26"/>
      <w:bookmarkEnd w:id="27"/>
      <w:bookmarkEnd w:id="28"/>
    </w:p>
    <w:p>
      <w:pPr>
        <w:spacing w:line="500" w:lineRule="atLeast"/>
        <w:ind w:firstLine="480" w:firstLineChars="200"/>
        <w:rPr>
          <w:rFonts w:ascii="宋体" w:hAnsi="宋体" w:cs="宋体"/>
          <w:szCs w:val="24"/>
        </w:rPr>
      </w:pPr>
      <w:r>
        <w:rPr>
          <w:rFonts w:hint="eastAsia" w:ascii="宋体" w:hAnsi="宋体" w:cs="宋体"/>
          <w:szCs w:val="24"/>
        </w:rPr>
        <w:t>5.2.1  设备标志</w:t>
      </w:r>
    </w:p>
    <w:p>
      <w:pPr>
        <w:spacing w:line="500" w:lineRule="atLeast"/>
        <w:ind w:firstLine="480" w:firstLineChars="200"/>
        <w:rPr>
          <w:rFonts w:ascii="宋体" w:hAnsi="宋体" w:cs="宋体"/>
          <w:szCs w:val="24"/>
        </w:rPr>
      </w:pPr>
      <w:r>
        <w:rPr>
          <w:rFonts w:hint="eastAsia" w:ascii="宋体" w:hAnsi="宋体" w:cs="宋体"/>
          <w:szCs w:val="24"/>
        </w:rPr>
        <w:t>5.2.1.1  每套阀门等设备都应有固定铭牌。铭牌应不易损坏。标志应醒目、整齐、美观，符合国家及行业相关规定。</w:t>
      </w:r>
    </w:p>
    <w:p>
      <w:pPr>
        <w:spacing w:line="500" w:lineRule="atLeast"/>
        <w:ind w:firstLine="480" w:firstLineChars="200"/>
        <w:rPr>
          <w:rFonts w:ascii="宋体" w:hAnsi="宋体" w:cs="宋体"/>
          <w:szCs w:val="24"/>
        </w:rPr>
      </w:pPr>
      <w:r>
        <w:rPr>
          <w:rFonts w:hint="eastAsia" w:ascii="宋体" w:hAnsi="宋体" w:cs="宋体"/>
          <w:szCs w:val="24"/>
        </w:rPr>
        <w:t>5.2.1.2  设备的重要阀门、调节保安部套等均应有其行程、转角、介质流向、操作方法等明显易辨的标志。</w:t>
      </w:r>
    </w:p>
    <w:p>
      <w:pPr>
        <w:spacing w:line="500" w:lineRule="atLeast"/>
        <w:ind w:firstLine="480" w:firstLineChars="200"/>
        <w:rPr>
          <w:rFonts w:ascii="宋体" w:hAnsi="宋体" w:cs="宋体"/>
          <w:szCs w:val="24"/>
        </w:rPr>
      </w:pPr>
      <w:r>
        <w:rPr>
          <w:rFonts w:hint="eastAsia" w:ascii="宋体" w:hAnsi="宋体" w:cs="宋体"/>
          <w:szCs w:val="24"/>
        </w:rPr>
        <w:t>5.2.1.3  重要部件应根据图纸规定，在一定位置上标有装配编号，使用材料和检验合格的标志。</w:t>
      </w:r>
    </w:p>
    <w:p>
      <w:pPr>
        <w:spacing w:line="500" w:lineRule="atLeast"/>
        <w:ind w:firstLine="480" w:firstLineChars="200"/>
        <w:rPr>
          <w:rFonts w:ascii="宋体" w:hAnsi="宋体" w:cs="宋体"/>
          <w:szCs w:val="24"/>
        </w:rPr>
      </w:pPr>
      <w:r>
        <w:rPr>
          <w:rFonts w:hint="eastAsia" w:ascii="宋体" w:hAnsi="宋体" w:cs="宋体"/>
          <w:szCs w:val="24"/>
        </w:rPr>
        <w:t>5.2.2  包装标志</w:t>
      </w:r>
    </w:p>
    <w:p>
      <w:pPr>
        <w:spacing w:line="500" w:lineRule="atLeast"/>
        <w:ind w:firstLine="480" w:firstLineChars="200"/>
        <w:rPr>
          <w:rFonts w:ascii="宋体" w:hAnsi="宋体" w:cs="宋体"/>
          <w:szCs w:val="24"/>
        </w:rPr>
      </w:pPr>
      <w:r>
        <w:rPr>
          <w:rFonts w:hint="eastAsia" w:ascii="宋体" w:hAnsi="宋体" w:cs="宋体"/>
          <w:szCs w:val="24"/>
        </w:rPr>
        <w:t>（1）卖方供给设备(无论装在箱内或成捆的散件)的包装，都应贴有标明合同号，主要设备名称、部件名称和组装图上部件位置的标签。</w:t>
      </w:r>
    </w:p>
    <w:p>
      <w:pPr>
        <w:pStyle w:val="19"/>
        <w:ind w:firstLine="480" w:firstLineChars="200"/>
        <w:rPr>
          <w:rFonts w:cs="宋体"/>
        </w:rPr>
      </w:pPr>
      <w:r>
        <w:rPr>
          <w:rFonts w:hint="eastAsia" w:cs="宋体"/>
        </w:rPr>
        <w:t>（2）对装箱供给的设备，卖方应在每个箱子的两面用油漆写上如下内容：</w:t>
      </w:r>
    </w:p>
    <w:p>
      <w:pPr>
        <w:spacing w:line="500" w:lineRule="atLeast"/>
        <w:ind w:firstLine="480" w:firstLineChars="200"/>
        <w:rPr>
          <w:rFonts w:ascii="宋体" w:hAnsi="宋体" w:cs="宋体"/>
          <w:szCs w:val="24"/>
        </w:rPr>
      </w:pPr>
      <w:r>
        <w:rPr>
          <w:rFonts w:hint="eastAsia" w:ascii="宋体" w:hAnsi="宋体" w:cs="宋体"/>
          <w:szCs w:val="24"/>
        </w:rPr>
        <w:t>1）合同号，装运标志、目的港，受货人代码、设备名称、机组号、项目号(箱号、箱的序号、设备总件数)，毛/净重，外形尺寸(长</w:t>
      </w:r>
      <w:r>
        <w:rPr>
          <w:rFonts w:ascii="Symbol" w:hAnsi="Symbol" w:cs="宋体"/>
          <w:szCs w:val="24"/>
        </w:rPr>
        <w:sym w:font="Symbol" w:char="F0B4"/>
      </w:r>
      <w:r>
        <w:rPr>
          <w:rFonts w:hint="eastAsia" w:ascii="宋体" w:hAnsi="宋体" w:cs="宋体"/>
          <w:szCs w:val="24"/>
        </w:rPr>
        <w:t>宽</w:t>
      </w:r>
      <w:r>
        <w:rPr>
          <w:rFonts w:ascii="Symbol" w:hAnsi="Symbol" w:cs="宋体"/>
          <w:szCs w:val="24"/>
        </w:rPr>
        <w:sym w:font="Symbol" w:char="F0B4"/>
      </w:r>
      <w:r>
        <w:rPr>
          <w:rFonts w:hint="eastAsia" w:ascii="宋体" w:hAnsi="宋体" w:cs="宋体"/>
          <w:szCs w:val="24"/>
        </w:rPr>
        <w:t>高)；</w:t>
      </w:r>
    </w:p>
    <w:p>
      <w:pPr>
        <w:spacing w:line="500" w:lineRule="atLeast"/>
        <w:ind w:firstLine="480" w:firstLineChars="200"/>
        <w:rPr>
          <w:rFonts w:ascii="宋体" w:hAnsi="宋体" w:cs="宋体"/>
          <w:szCs w:val="24"/>
        </w:rPr>
      </w:pPr>
      <w:r>
        <w:rPr>
          <w:rFonts w:hint="eastAsia" w:ascii="宋体" w:hAnsi="宋体" w:cs="宋体"/>
          <w:szCs w:val="24"/>
        </w:rPr>
        <w:t>2）应按照设备特性和不同的运输及装卸要求，在箱上明显标上“小心”“向上”、“向下”、“防潮”、“勿倒”和吊装位置等通用标志，并应符合GB191和GB6388的规定；</w:t>
      </w:r>
    </w:p>
    <w:p>
      <w:pPr>
        <w:spacing w:line="500" w:lineRule="atLeast"/>
        <w:ind w:firstLine="480" w:firstLineChars="200"/>
        <w:rPr>
          <w:rFonts w:ascii="宋体" w:hAnsi="宋体" w:cs="宋体"/>
          <w:szCs w:val="24"/>
        </w:rPr>
      </w:pPr>
      <w:r>
        <w:rPr>
          <w:rFonts w:hint="eastAsia" w:ascii="宋体" w:hAnsi="宋体" w:cs="宋体"/>
          <w:szCs w:val="24"/>
        </w:rPr>
        <w:t>3）包装箱应连续编号，而且在整个装运过程中，装箱编号的顺序始终是连贯的；</w:t>
      </w:r>
    </w:p>
    <w:p>
      <w:pPr>
        <w:spacing w:line="500" w:lineRule="atLeast"/>
        <w:ind w:firstLine="480" w:firstLineChars="200"/>
        <w:rPr>
          <w:rFonts w:ascii="宋体" w:hAnsi="宋体" w:cs="宋体"/>
          <w:szCs w:val="24"/>
        </w:rPr>
      </w:pPr>
      <w:r>
        <w:rPr>
          <w:rFonts w:hint="eastAsia" w:ascii="宋体" w:hAnsi="宋体" w:cs="宋体"/>
          <w:szCs w:val="24"/>
        </w:rPr>
        <w:t>（3）对超大、超重货物应标注吊钩、重心和支点的位置。</w:t>
      </w:r>
    </w:p>
    <w:p>
      <w:pPr>
        <w:spacing w:line="500" w:lineRule="atLeast"/>
        <w:ind w:firstLine="480" w:firstLineChars="200"/>
        <w:rPr>
          <w:rFonts w:ascii="宋体" w:hAnsi="宋体" w:cs="宋体"/>
          <w:szCs w:val="24"/>
        </w:rPr>
      </w:pPr>
      <w:r>
        <w:rPr>
          <w:rFonts w:hint="eastAsia" w:ascii="宋体" w:hAnsi="宋体" w:cs="宋体"/>
          <w:szCs w:val="24"/>
        </w:rPr>
        <w:t>（4）货运标志应符合国际物运协定规定。</w:t>
      </w:r>
    </w:p>
    <w:p>
      <w:pPr>
        <w:pStyle w:val="4"/>
        <w:numPr>
          <w:ilvl w:val="0"/>
          <w:numId w:val="0"/>
        </w:numPr>
        <w:spacing w:line="500" w:lineRule="atLeast"/>
        <w:ind w:left="764"/>
        <w:rPr>
          <w:rFonts w:ascii="宋体" w:hAnsi="宋体" w:cs="宋体"/>
          <w:bCs w:val="0"/>
          <w:szCs w:val="24"/>
        </w:rPr>
      </w:pPr>
      <w:bookmarkStart w:id="29" w:name="_Toc39113636"/>
      <w:bookmarkStart w:id="30" w:name="_Toc521760817"/>
      <w:bookmarkStart w:id="31" w:name="_Toc107820332"/>
      <w:r>
        <w:rPr>
          <w:rFonts w:hint="eastAsia" w:ascii="宋体" w:hAnsi="宋体" w:cs="宋体"/>
          <w:szCs w:val="24"/>
        </w:rPr>
        <w:t>5.3  运输</w:t>
      </w:r>
      <w:bookmarkEnd w:id="29"/>
      <w:bookmarkEnd w:id="30"/>
      <w:bookmarkEnd w:id="31"/>
    </w:p>
    <w:p>
      <w:pPr>
        <w:ind w:firstLine="480" w:firstLineChars="200"/>
        <w:rPr>
          <w:rFonts w:ascii="宋体" w:hAnsi="宋体" w:cs="宋体"/>
          <w:szCs w:val="24"/>
        </w:rPr>
      </w:pPr>
      <w:r>
        <w:rPr>
          <w:rFonts w:hint="eastAsia" w:ascii="宋体" w:hAnsi="宋体" w:cs="宋体"/>
          <w:bCs/>
          <w:szCs w:val="24"/>
        </w:rPr>
        <w:t>5. 3.</w:t>
      </w:r>
      <w:r>
        <w:rPr>
          <w:rFonts w:hint="eastAsia" w:ascii="宋体" w:hAnsi="宋体" w:cs="宋体"/>
          <w:szCs w:val="24"/>
        </w:rPr>
        <w:t>1  经由铁路运输的部件，设备运输参数应符合《中华人民共和国铁道部铁路超限货物运输规则》的有关规定；当设备经由公路、水路、或空运时，其运输参数，应遵守公路、水路及空运的有关规定。</w:t>
      </w:r>
    </w:p>
    <w:p>
      <w:pPr>
        <w:ind w:firstLine="480" w:firstLineChars="200"/>
        <w:rPr>
          <w:rFonts w:ascii="宋体" w:hAnsi="宋体" w:cs="宋体"/>
          <w:szCs w:val="24"/>
        </w:rPr>
      </w:pPr>
      <w:r>
        <w:rPr>
          <w:rFonts w:hint="eastAsia" w:ascii="宋体" w:hAnsi="宋体" w:cs="宋体"/>
          <w:szCs w:val="24"/>
        </w:rPr>
        <w:t xml:space="preserve">5.3.2 </w:t>
      </w:r>
      <w:r>
        <w:rPr>
          <w:rFonts w:hint="eastAsia" w:ascii="宋体" w:hAnsi="宋体" w:cs="宋体"/>
          <w:b/>
          <w:i/>
          <w:szCs w:val="24"/>
        </w:rPr>
        <w:t xml:space="preserve"> </w:t>
      </w:r>
      <w:r>
        <w:rPr>
          <w:rFonts w:hint="eastAsia" w:ascii="宋体" w:hAnsi="宋体" w:cs="宋体"/>
          <w:szCs w:val="24"/>
        </w:rPr>
        <w:t>经由货轮远洋运输的部件，其尺寸不应超过国家对非标准外形体的规定，当部件经由船运以外的其他方式运输时，其重量和体积的限制应遵守有关运输单位的规定。</w:t>
      </w:r>
    </w:p>
    <w:p>
      <w:pPr>
        <w:ind w:firstLine="480" w:firstLineChars="200"/>
        <w:rPr>
          <w:rFonts w:ascii="宋体" w:hAnsi="宋体" w:cs="宋体"/>
          <w:szCs w:val="24"/>
        </w:rPr>
      </w:pPr>
      <w:r>
        <w:rPr>
          <w:rFonts w:hint="eastAsia" w:ascii="宋体" w:hAnsi="宋体" w:cs="宋体"/>
          <w:szCs w:val="24"/>
        </w:rPr>
        <w:t>5.3.3 每批货物备妥及装运车辆发出24小时内，卖方用传真或邮件通知买方，通知中指明设备名称、件数、件号、重量、货运单号、设备发出日期。</w:t>
      </w:r>
    </w:p>
    <w:p>
      <w:pPr>
        <w:ind w:firstLine="480" w:firstLineChars="200"/>
        <w:rPr>
          <w:rFonts w:ascii="宋体" w:hAnsi="宋体" w:cs="宋体"/>
          <w:szCs w:val="24"/>
        </w:rPr>
      </w:pPr>
      <w:r>
        <w:rPr>
          <w:rFonts w:hint="eastAsia" w:ascii="宋体" w:hAnsi="宋体" w:cs="宋体"/>
          <w:szCs w:val="24"/>
        </w:rPr>
        <w:t>5.4  检验与验收</w:t>
      </w:r>
    </w:p>
    <w:p>
      <w:pPr>
        <w:ind w:firstLine="480" w:firstLineChars="200"/>
        <w:rPr>
          <w:rFonts w:ascii="宋体" w:hAnsi="宋体" w:cs="宋体"/>
          <w:szCs w:val="24"/>
        </w:rPr>
      </w:pPr>
      <w:r>
        <w:rPr>
          <w:rFonts w:hint="eastAsia" w:ascii="宋体" w:hAnsi="宋体" w:cs="宋体"/>
          <w:szCs w:val="24"/>
        </w:rPr>
        <w:t>5.4.1  所有设备验收必须附有下列文件：</w:t>
      </w:r>
    </w:p>
    <w:p>
      <w:pPr>
        <w:ind w:firstLine="480" w:firstLineChars="200"/>
        <w:rPr>
          <w:rFonts w:ascii="宋体" w:hAnsi="宋体" w:cs="宋体"/>
          <w:szCs w:val="24"/>
        </w:rPr>
      </w:pPr>
      <w:r>
        <w:rPr>
          <w:rFonts w:hint="eastAsia" w:ascii="宋体" w:hAnsi="宋体" w:cs="宋体"/>
          <w:szCs w:val="24"/>
        </w:rPr>
        <w:t>（1）装箱单，其上应注明：</w:t>
      </w:r>
    </w:p>
    <w:p>
      <w:pPr>
        <w:ind w:firstLine="480" w:firstLineChars="200"/>
        <w:rPr>
          <w:rFonts w:ascii="宋体" w:hAnsi="宋体" w:cs="宋体"/>
          <w:szCs w:val="24"/>
        </w:rPr>
      </w:pPr>
      <w:r>
        <w:rPr>
          <w:rFonts w:hint="eastAsia" w:ascii="宋体" w:hAnsi="宋体" w:cs="宋体"/>
          <w:szCs w:val="24"/>
        </w:rPr>
        <w:t>1)  产品名称、型号、规格、KKS编码和制造厂；</w:t>
      </w:r>
    </w:p>
    <w:p>
      <w:pPr>
        <w:tabs>
          <w:tab w:val="left" w:pos="2625"/>
        </w:tabs>
        <w:ind w:firstLine="480" w:firstLineChars="200"/>
        <w:rPr>
          <w:rFonts w:ascii="宋体" w:hAnsi="宋体" w:cs="宋体"/>
          <w:szCs w:val="24"/>
        </w:rPr>
      </w:pPr>
      <w:r>
        <w:rPr>
          <w:rFonts w:hint="eastAsia" w:ascii="宋体" w:hAnsi="宋体" w:cs="宋体"/>
          <w:szCs w:val="24"/>
        </w:rPr>
        <w:t>2)  装箱数量；</w:t>
      </w:r>
      <w:r>
        <w:rPr>
          <w:rFonts w:hint="eastAsia" w:ascii="宋体" w:hAnsi="宋体" w:cs="宋体"/>
          <w:szCs w:val="24"/>
        </w:rPr>
        <w:tab/>
      </w:r>
    </w:p>
    <w:p>
      <w:pPr>
        <w:ind w:firstLine="480" w:firstLineChars="200"/>
        <w:rPr>
          <w:rFonts w:ascii="宋体" w:hAnsi="宋体" w:cs="宋体"/>
          <w:szCs w:val="24"/>
        </w:rPr>
      </w:pPr>
      <w:r>
        <w:rPr>
          <w:rFonts w:hint="eastAsia" w:ascii="宋体" w:hAnsi="宋体" w:cs="宋体"/>
          <w:szCs w:val="24"/>
        </w:rPr>
        <w:t>3)  附件、备件名称及数量；</w:t>
      </w:r>
    </w:p>
    <w:p>
      <w:pPr>
        <w:ind w:firstLine="480" w:firstLineChars="200"/>
        <w:rPr>
          <w:rFonts w:ascii="宋体" w:hAnsi="宋体" w:cs="宋体"/>
          <w:szCs w:val="24"/>
        </w:rPr>
      </w:pPr>
      <w:r>
        <w:rPr>
          <w:rFonts w:hint="eastAsia" w:ascii="宋体" w:hAnsi="宋体" w:cs="宋体"/>
          <w:szCs w:val="24"/>
        </w:rPr>
        <w:t>4)  装箱日期。</w:t>
      </w:r>
    </w:p>
    <w:p>
      <w:pPr>
        <w:ind w:firstLine="480" w:firstLineChars="200"/>
        <w:rPr>
          <w:rFonts w:ascii="宋体" w:hAnsi="宋体" w:cs="宋体"/>
          <w:szCs w:val="24"/>
        </w:rPr>
      </w:pPr>
      <w:r>
        <w:rPr>
          <w:rFonts w:hint="eastAsia" w:ascii="宋体" w:hAnsi="宋体" w:cs="宋体"/>
          <w:szCs w:val="24"/>
        </w:rPr>
        <w:t>（2） 原制造厂的产品出厂合格说明书、出厂试验数据、安装使用说明书。</w:t>
      </w:r>
    </w:p>
    <w:p>
      <w:pPr>
        <w:ind w:firstLine="480" w:firstLineChars="200"/>
        <w:rPr>
          <w:rFonts w:ascii="宋体" w:hAnsi="宋体" w:cs="宋体"/>
          <w:szCs w:val="24"/>
        </w:rPr>
      </w:pPr>
      <w:r>
        <w:rPr>
          <w:rFonts w:hint="eastAsia" w:ascii="宋体" w:hAnsi="宋体" w:cs="宋体"/>
          <w:szCs w:val="24"/>
        </w:rPr>
        <w:t>5.4.2  设备到达现场后，买卖双方按商定的开箱检验办法，对照装箱单逐件清点，进行检查和验收。</w:t>
      </w:r>
    </w:p>
    <w:p>
      <w:pPr>
        <w:ind w:firstLine="480" w:firstLineChars="200"/>
        <w:rPr>
          <w:rFonts w:ascii="宋体" w:hAnsi="宋体" w:cs="宋体"/>
          <w:szCs w:val="24"/>
        </w:rPr>
      </w:pPr>
      <w:r>
        <w:rPr>
          <w:rFonts w:hint="eastAsia" w:ascii="宋体" w:hAnsi="宋体" w:cs="宋体"/>
          <w:szCs w:val="24"/>
        </w:rPr>
        <w:t>卖方扩散联营或外包生产的设备(部件)将生产厂家写明，必须经买方确认，但并不意味有任何减轻卖方的责任，即卖方对分包厂家的资质和产品质量、交货进度负责。设备到达现场后，仍由卖方会同买方进行检查和验收。</w:t>
      </w:r>
    </w:p>
    <w:p>
      <w:pPr>
        <w:ind w:firstLine="480" w:firstLineChars="200"/>
        <w:rPr>
          <w:rFonts w:ascii="宋体" w:hAnsi="宋体" w:cs="宋体"/>
          <w:szCs w:val="24"/>
        </w:rPr>
      </w:pPr>
      <w:r>
        <w:rPr>
          <w:rFonts w:hint="eastAsia" w:ascii="宋体" w:hAnsi="宋体" w:cs="宋体"/>
          <w:szCs w:val="24"/>
        </w:rPr>
        <w:t>5.4.3  对于进口产品卖方应提供报关单等复印件。</w:t>
      </w:r>
    </w:p>
    <w:p>
      <w:pPr>
        <w:ind w:firstLine="480" w:firstLineChars="200"/>
        <w:rPr>
          <w:rFonts w:ascii="宋体" w:hAnsi="宋体" w:cs="宋体"/>
          <w:szCs w:val="24"/>
        </w:rPr>
      </w:pPr>
      <w:r>
        <w:rPr>
          <w:rFonts w:hint="eastAsia" w:ascii="宋体" w:hAnsi="宋体" w:cs="宋体"/>
          <w:szCs w:val="24"/>
        </w:rPr>
        <w:t>5.5保管</w:t>
      </w:r>
    </w:p>
    <w:p>
      <w:pPr>
        <w:ind w:firstLine="480" w:firstLineChars="200"/>
        <w:rPr>
          <w:rFonts w:ascii="宋体" w:hAnsi="宋体" w:cs="宋体"/>
          <w:szCs w:val="24"/>
        </w:rPr>
      </w:pPr>
      <w:r>
        <w:rPr>
          <w:rFonts w:hint="eastAsia" w:ascii="宋体" w:hAnsi="宋体" w:cs="宋体"/>
          <w:szCs w:val="24"/>
        </w:rPr>
        <w:t>5.5.1  卖方应提供所有设备、部件、材料等保管方法的说明。</w:t>
      </w:r>
    </w:p>
    <w:p>
      <w:pPr>
        <w:ind w:firstLine="480" w:firstLineChars="200"/>
        <w:rPr>
          <w:rFonts w:ascii="宋体" w:hAnsi="宋体" w:cs="宋体"/>
          <w:szCs w:val="24"/>
        </w:rPr>
      </w:pPr>
      <w:r>
        <w:rPr>
          <w:rFonts w:hint="eastAsia" w:ascii="宋体" w:hAnsi="宋体" w:cs="宋体"/>
          <w:szCs w:val="24"/>
        </w:rPr>
        <w:t>5.5.2  卖方所用的每种防腐剂的质量、预期寿命和型号一致，卖方向买方提交各种防腐剂清除步骤的完整资料。</w:t>
      </w:r>
    </w:p>
    <w:p>
      <w:pPr>
        <w:ind w:firstLine="480" w:firstLineChars="200"/>
        <w:rPr>
          <w:rFonts w:ascii="宋体" w:hAnsi="宋体" w:cs="宋体"/>
          <w:szCs w:val="24"/>
        </w:rPr>
      </w:pPr>
      <w:r>
        <w:rPr>
          <w:rFonts w:hint="eastAsia" w:ascii="宋体" w:hAnsi="宋体" w:cs="宋体"/>
          <w:szCs w:val="24"/>
        </w:rPr>
        <w:t>5.5.3  因卖方原因引起包装、标志、运输、及保管不当而造成的损失，由卖方负责赔偿。</w:t>
      </w:r>
      <w:bookmarkStart w:id="32" w:name="_Toc39113637"/>
      <w:bookmarkStart w:id="33" w:name="_Toc521760818"/>
      <w:bookmarkStart w:id="34" w:name="_Toc107820333"/>
    </w:p>
    <w:bookmarkEnd w:id="32"/>
    <w:bookmarkEnd w:id="33"/>
    <w:bookmarkEnd w:id="34"/>
    <w:p>
      <w:pPr>
        <w:ind w:firstLine="480" w:firstLineChars="200"/>
        <w:sectPr>
          <w:pgSz w:w="11906" w:h="16838"/>
          <w:pgMar w:top="1474" w:right="1418" w:bottom="1134" w:left="1418" w:header="567" w:footer="567" w:gutter="0"/>
          <w:cols w:space="425" w:num="1"/>
          <w:docGrid w:type="lines" w:linePitch="326" w:charSpace="0"/>
        </w:sectPr>
      </w:pPr>
    </w:p>
    <w:p>
      <w:pPr>
        <w:pStyle w:val="2"/>
        <w:keepNext/>
        <w:keepLines/>
        <w:numPr>
          <w:ilvl w:val="0"/>
          <w:numId w:val="2"/>
        </w:numPr>
        <w:tabs>
          <w:tab w:val="left" w:pos="360"/>
        </w:tabs>
        <w:adjustRightInd w:val="0"/>
        <w:spacing w:before="120" w:beforeLines="50" w:after="156"/>
        <w:textAlignment w:val="baseline"/>
      </w:pPr>
      <w:bookmarkStart w:id="35" w:name="_Toc148101349"/>
      <w:bookmarkStart w:id="36" w:name="_Toc515697900"/>
      <w:bookmarkStart w:id="37" w:name="_Toc515705621"/>
      <w:r>
        <w:t>技术资料及交付进度</w:t>
      </w:r>
      <w:bookmarkEnd w:id="35"/>
    </w:p>
    <w:bookmarkEnd w:id="36"/>
    <w:bookmarkEnd w:id="37"/>
    <w:p>
      <w:r>
        <w:t>6.1 一般要求</w:t>
      </w:r>
    </w:p>
    <w:p>
      <w:pPr>
        <w:ind w:firstLine="480"/>
      </w:pPr>
      <w:r>
        <w:t xml:space="preserve">6.1.1.1  供方提供的资料应使用中国法定计量单位制。技术资料和图纸的文种为中文。外方提供的图纸和资料应翻译成中文后随同原文一并提交采购方，图纸资料以中文为准，图纸资料除提供书面文件外还应提供光盘，文字文件当为word/pdf文件，图形文件版本为AUTOCAD 2004/pdf。 </w:t>
      </w:r>
    </w:p>
    <w:p>
      <w:pPr>
        <w:ind w:firstLine="480"/>
      </w:pPr>
      <w:r>
        <w:t>6.1.1.2  资料的组织结构清晰、逻辑性强。资料内容要正确、准确、一致、清晰完整，满足工程要求。</w:t>
      </w:r>
    </w:p>
    <w:p>
      <w:pPr>
        <w:ind w:firstLine="480"/>
      </w:pPr>
      <w:r>
        <w:t>6.1.1.3 供方资料的提交及时充分，满足工程进度要求。</w:t>
      </w:r>
    </w:p>
    <w:p>
      <w:pPr>
        <w:ind w:firstLine="480"/>
      </w:pPr>
      <w:r>
        <w:t>6.1.1.4 供方提供适用于本工程实际情况的，为本工程专用的技术资料。</w:t>
      </w:r>
    </w:p>
    <w:p>
      <w:pPr>
        <w:ind w:firstLine="480"/>
      </w:pPr>
      <w:r>
        <w:t>6.1.1.5 对于其它没有列入合同技术资料清单、却是工程所必需的文件和资料，一经发现，供方也应及时免费提供。</w:t>
      </w:r>
    </w:p>
    <w:p>
      <w:pPr>
        <w:ind w:firstLine="480"/>
      </w:pPr>
      <w:r>
        <w:t>6.1.1.6 供方要及时提供与合同设备设计制造有关的资料。</w:t>
      </w:r>
    </w:p>
    <w:p>
      <w:r>
        <w:t>6.2 技术文件和图纸</w:t>
      </w:r>
    </w:p>
    <w:p>
      <w:pPr>
        <w:ind w:firstLine="480"/>
      </w:pPr>
      <w:r>
        <w:t>6.2.1 供方在技术协议签订后10日内及时提供满足工程施工图设计的正式资料和图纸，包括但不限于此：</w:t>
      </w:r>
    </w:p>
    <w:p>
      <w:pPr>
        <w:ind w:firstLine="480"/>
      </w:pPr>
      <w:r>
        <w:t>1) 提供设备材料的安装说明书、主要设备型号、主要部件材料，以及组装、拆卸时所需用的技术资料。</w:t>
      </w:r>
    </w:p>
    <w:p>
      <w:pPr>
        <w:ind w:firstLine="480"/>
      </w:pPr>
      <w:r>
        <w:t>2) 设备接口资料、设备的尺寸</w:t>
      </w:r>
    </w:p>
    <w:p>
      <w:pPr>
        <w:ind w:firstLine="480"/>
      </w:pPr>
      <w:r>
        <w:t>3) 安装、运行、维护、检修所需的详尽图纸和技术文件和必要的零件图、计算资料等。</w:t>
      </w:r>
    </w:p>
    <w:p>
      <w:pPr>
        <w:ind w:firstLine="480"/>
      </w:pPr>
      <w:r>
        <w:t>4) 材料的安装、维护、检修说明书,包括材料结构特点、安装程序和工艺要求。控制数据、定期校验和维护说明等。</w:t>
      </w:r>
    </w:p>
    <w:p>
      <w:pPr>
        <w:ind w:firstLine="480"/>
      </w:pPr>
      <w:r>
        <w:t>5) 供方应提供备品、配件总清单和易损零件图。</w:t>
      </w:r>
    </w:p>
    <w:p>
      <w:pPr>
        <w:ind w:firstLine="480"/>
      </w:pPr>
      <w:r>
        <w:t>6.2.2 供方须提供的其它技术资料包括以下但不限于此：</w:t>
      </w:r>
    </w:p>
    <w:p>
      <w:pPr>
        <w:ind w:firstLine="480"/>
      </w:pPr>
      <w:r>
        <w:t>6.2.2.1 检验记录、试验报告及质量合格证等出厂报告。</w:t>
      </w:r>
    </w:p>
    <w:p>
      <w:pPr>
        <w:ind w:firstLine="480"/>
      </w:pPr>
      <w:r>
        <w:t>6.2.2.2 供方提供在设计、制造时所遵循的规范、标准和规定清单。</w:t>
      </w:r>
    </w:p>
    <w:p>
      <w:pPr>
        <w:ind w:firstLine="480"/>
      </w:pPr>
      <w:r>
        <w:t>6.2.2.3 设备和备品管理资料文件，包括设备和备品发运和装箱的详细资料(各种清单)，设备和备品存放与保管技术要求、运输超重和超大件的明细表。</w:t>
      </w:r>
    </w:p>
    <w:p>
      <w:pPr>
        <w:ind w:firstLine="480"/>
      </w:pPr>
      <w:r>
        <w:t>6.2.2.4 详细的产品质量文件，包括材质、材质检验、加工质量、外形尺寸、性能检验等的证明。</w:t>
      </w:r>
    </w:p>
    <w:p>
      <w:pPr>
        <w:ind w:firstLine="480"/>
      </w:pPr>
      <w:r>
        <w:t>6.2.2.5 所有主要设备应用金属标签，每个设备的标识号码是唯一的，这些标识号码应包含在提供给需方的最后的图纸中。</w:t>
      </w:r>
    </w:p>
    <w:p>
      <w:pPr>
        <w:ind w:firstLine="480"/>
      </w:pPr>
      <w:r>
        <w:t>6.2.2.6 供方所提交的技术资料内容至少应包括本规范中所要求的。如需方在工程设计中需要本附件以外的资料，供方应及时无偿地提供。</w:t>
      </w:r>
    </w:p>
    <w:p>
      <w:pPr>
        <w:pStyle w:val="2"/>
        <w:keepNext/>
        <w:keepLines/>
        <w:numPr>
          <w:ilvl w:val="0"/>
          <w:numId w:val="2"/>
        </w:numPr>
        <w:tabs>
          <w:tab w:val="left" w:pos="360"/>
        </w:tabs>
        <w:adjustRightInd w:val="0"/>
        <w:spacing w:before="120" w:beforeLines="50"/>
        <w:textAlignment w:val="baseline"/>
      </w:pPr>
      <w:r>
        <w:br w:type="page"/>
      </w:r>
      <w:bookmarkStart w:id="38" w:name="_Toc81906769"/>
      <w:bookmarkStart w:id="39" w:name="_Toc148101350"/>
      <w:r>
        <w:t>设备监造、检验和性能验收试验</w:t>
      </w:r>
      <w:bookmarkEnd w:id="38"/>
      <w:bookmarkEnd w:id="39"/>
    </w:p>
    <w:p>
      <w:pPr>
        <w:pStyle w:val="3"/>
        <w:numPr>
          <w:ilvl w:val="1"/>
          <w:numId w:val="2"/>
        </w:numPr>
        <w:tabs>
          <w:tab w:val="left" w:pos="360"/>
        </w:tabs>
      </w:pPr>
      <w:bookmarkStart w:id="40" w:name="_Toc148101351"/>
      <w:r>
        <w:t>工厂检验</w:t>
      </w:r>
      <w:bookmarkEnd w:id="40"/>
    </w:p>
    <w:p>
      <w:pPr>
        <w:ind w:firstLine="480"/>
      </w:pPr>
      <w:r>
        <w:t>7.1.1 工厂检验是质量控制的一个重要组成部分。投标人需严格进行厂内各生产环节的检验和试验。投标人提供的合同设备须签发质量证明、检验记录和测试报告，并且作为交货时质量证明文件的组成部分。</w:t>
      </w:r>
    </w:p>
    <w:p>
      <w:pPr>
        <w:numPr>
          <w:ilvl w:val="2"/>
          <w:numId w:val="4"/>
        </w:numPr>
        <w:ind w:firstLine="480" w:firstLineChars="200"/>
      </w:pPr>
      <w:r>
        <w:t>检查的范围包括原材料的进厂，材料的加工、组装、试验和出厂试验。</w:t>
      </w:r>
    </w:p>
    <w:p>
      <w:pPr>
        <w:ind w:firstLine="480"/>
      </w:pPr>
      <w:r>
        <w:t>7.1.3 投标人检验的结果要满足技术规范书中参数的要求，如有不符之处或达不到标准要求，投标人要采取措施直至满足要求，同时向招标人提交不一致性报告。投标人发生重大质量问题时应将情况及时通知招标人。</w:t>
      </w:r>
    </w:p>
    <w:p>
      <w:pPr>
        <w:numPr>
          <w:ilvl w:val="2"/>
          <w:numId w:val="4"/>
        </w:numPr>
        <w:ind w:firstLine="480" w:firstLineChars="200"/>
      </w:pPr>
      <w:r>
        <w:t>工厂检查的所有费用包括在合同设备总价中。</w:t>
      </w:r>
    </w:p>
    <w:p>
      <w:pPr>
        <w:pStyle w:val="3"/>
        <w:numPr>
          <w:ilvl w:val="1"/>
          <w:numId w:val="2"/>
        </w:numPr>
        <w:tabs>
          <w:tab w:val="left" w:pos="360"/>
        </w:tabs>
      </w:pPr>
      <w:bookmarkStart w:id="41" w:name="_Toc70261428"/>
      <w:bookmarkStart w:id="42" w:name="_Toc148101352"/>
      <w:bookmarkStart w:id="43" w:name="_Toc515729398"/>
      <w:r>
        <w:t>设备监造</w:t>
      </w:r>
      <w:bookmarkEnd w:id="41"/>
      <w:bookmarkEnd w:id="42"/>
      <w:bookmarkEnd w:id="43"/>
    </w:p>
    <w:p>
      <w:r>
        <w:t>7.2.1 监造依据</w:t>
      </w:r>
    </w:p>
    <w:p>
      <w:pPr>
        <w:ind w:firstLine="480"/>
      </w:pPr>
      <w:r>
        <w:t>根据本合同的规定，以及国家有关规定。</w:t>
      </w:r>
    </w:p>
    <w:p>
      <w:r>
        <w:t>7.2.2 监造方式</w:t>
      </w:r>
    </w:p>
    <w:p>
      <w:pPr>
        <w:ind w:firstLine="480"/>
      </w:pPr>
      <w:r>
        <w:t>文件见证、现场见证和停工待检，即 R点、W点、H点。每次监造内容完成后，供方和监造代表均须在见证表上履行签字手续。供方复印3份，交监造代表1份。</w:t>
      </w:r>
    </w:p>
    <w:p>
      <w:r>
        <w:t>7.2.3 监造内容（具体内容供方填写，供方在投标时应在标书中列出，原则上不少于3项，否则视为不合格标，最终内容由需方确定）</w:t>
      </w:r>
    </w:p>
    <w:p>
      <w:pPr>
        <w:tabs>
          <w:tab w:val="left" w:pos="525"/>
        </w:tabs>
        <w:jc w:val="center"/>
      </w:pPr>
      <w:r>
        <w:t>监造项目表</w:t>
      </w:r>
    </w:p>
    <w:tbl>
      <w:tblPr>
        <w:tblStyle w:val="25"/>
        <w:tblW w:w="79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9"/>
        <w:gridCol w:w="1455"/>
        <w:gridCol w:w="3577"/>
        <w:gridCol w:w="394"/>
        <w:gridCol w:w="394"/>
        <w:gridCol w:w="394"/>
        <w:gridCol w:w="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7" w:hRule="atLeast"/>
          <w:jc w:val="center"/>
        </w:trPr>
        <w:tc>
          <w:tcPr>
            <w:tcW w:w="849" w:type="dxa"/>
            <w:vMerge w:val="restart"/>
            <w:tcBorders>
              <w:top w:val="single" w:color="auto" w:sz="4" w:space="0"/>
              <w:left w:val="single" w:color="auto" w:sz="4" w:space="0"/>
            </w:tcBorders>
          </w:tcPr>
          <w:p>
            <w:pPr>
              <w:tabs>
                <w:tab w:val="left" w:pos="567"/>
              </w:tabs>
              <w:spacing w:line="240" w:lineRule="auto"/>
              <w:jc w:val="center"/>
              <w:rPr>
                <w:sz w:val="21"/>
                <w:szCs w:val="21"/>
              </w:rPr>
            </w:pPr>
            <w:r>
              <w:rPr>
                <w:sz w:val="21"/>
                <w:szCs w:val="21"/>
              </w:rPr>
              <w:t>序号</w:t>
            </w:r>
          </w:p>
        </w:tc>
        <w:tc>
          <w:tcPr>
            <w:tcW w:w="1455" w:type="dxa"/>
            <w:vMerge w:val="restart"/>
            <w:tcBorders>
              <w:top w:val="single" w:color="auto" w:sz="4" w:space="0"/>
            </w:tcBorders>
          </w:tcPr>
          <w:p>
            <w:pPr>
              <w:tabs>
                <w:tab w:val="left" w:pos="567"/>
              </w:tabs>
              <w:spacing w:line="240" w:lineRule="auto"/>
              <w:jc w:val="center"/>
              <w:rPr>
                <w:sz w:val="21"/>
                <w:szCs w:val="21"/>
              </w:rPr>
            </w:pPr>
            <w:r>
              <w:rPr>
                <w:sz w:val="21"/>
                <w:szCs w:val="21"/>
              </w:rPr>
              <w:t>监造部套</w:t>
            </w:r>
          </w:p>
        </w:tc>
        <w:tc>
          <w:tcPr>
            <w:tcW w:w="3577" w:type="dxa"/>
            <w:vMerge w:val="restart"/>
            <w:tcBorders>
              <w:top w:val="single" w:color="auto" w:sz="4" w:space="0"/>
              <w:bottom w:val="single" w:color="auto" w:sz="4" w:space="0"/>
            </w:tcBorders>
          </w:tcPr>
          <w:p>
            <w:pPr>
              <w:tabs>
                <w:tab w:val="left" w:pos="567"/>
              </w:tabs>
              <w:spacing w:line="240" w:lineRule="auto"/>
              <w:jc w:val="center"/>
              <w:rPr>
                <w:sz w:val="21"/>
                <w:szCs w:val="21"/>
              </w:rPr>
            </w:pPr>
            <w:r>
              <w:rPr>
                <w:sz w:val="21"/>
                <w:szCs w:val="21"/>
              </w:rPr>
              <w:t>监 造 内 容</w:t>
            </w:r>
          </w:p>
        </w:tc>
        <w:tc>
          <w:tcPr>
            <w:tcW w:w="2031" w:type="dxa"/>
            <w:gridSpan w:val="4"/>
            <w:tcBorders>
              <w:top w:val="single" w:color="auto" w:sz="4" w:space="0"/>
              <w:bottom w:val="single" w:color="auto" w:sz="4" w:space="0"/>
              <w:right w:val="single" w:color="auto" w:sz="4" w:space="0"/>
            </w:tcBorders>
          </w:tcPr>
          <w:p>
            <w:pPr>
              <w:tabs>
                <w:tab w:val="left" w:pos="567"/>
              </w:tabs>
              <w:spacing w:line="240" w:lineRule="auto"/>
              <w:jc w:val="center"/>
              <w:rPr>
                <w:sz w:val="21"/>
                <w:szCs w:val="21"/>
              </w:rPr>
            </w:pPr>
            <w:r>
              <w:rPr>
                <w:sz w:val="21"/>
                <w:szCs w:val="21"/>
              </w:rPr>
              <w:t>监 造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6" w:hRule="atLeast"/>
          <w:jc w:val="center"/>
        </w:trPr>
        <w:tc>
          <w:tcPr>
            <w:tcW w:w="849" w:type="dxa"/>
            <w:vMerge w:val="continue"/>
            <w:tcBorders>
              <w:left w:val="single" w:color="auto" w:sz="4" w:space="0"/>
            </w:tcBorders>
          </w:tcPr>
          <w:p>
            <w:pPr>
              <w:tabs>
                <w:tab w:val="left" w:pos="567"/>
              </w:tabs>
              <w:spacing w:line="240" w:lineRule="auto"/>
              <w:jc w:val="center"/>
              <w:rPr>
                <w:sz w:val="21"/>
                <w:szCs w:val="21"/>
              </w:rPr>
            </w:pPr>
          </w:p>
        </w:tc>
        <w:tc>
          <w:tcPr>
            <w:tcW w:w="1455" w:type="dxa"/>
            <w:vMerge w:val="continue"/>
          </w:tcPr>
          <w:p>
            <w:pPr>
              <w:tabs>
                <w:tab w:val="left" w:pos="567"/>
              </w:tabs>
              <w:spacing w:line="240" w:lineRule="auto"/>
              <w:jc w:val="center"/>
              <w:rPr>
                <w:sz w:val="21"/>
                <w:szCs w:val="21"/>
              </w:rPr>
            </w:pPr>
          </w:p>
        </w:tc>
        <w:tc>
          <w:tcPr>
            <w:tcW w:w="3577" w:type="dxa"/>
            <w:vMerge w:val="continue"/>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r>
              <w:rPr>
                <w:sz w:val="21"/>
                <w:szCs w:val="21"/>
              </w:rPr>
              <w:t>H</w:t>
            </w:r>
          </w:p>
        </w:tc>
        <w:tc>
          <w:tcPr>
            <w:tcW w:w="394" w:type="dxa"/>
          </w:tcPr>
          <w:p>
            <w:pPr>
              <w:tabs>
                <w:tab w:val="left" w:pos="567"/>
              </w:tabs>
              <w:spacing w:line="240" w:lineRule="auto"/>
              <w:jc w:val="center"/>
              <w:rPr>
                <w:sz w:val="21"/>
                <w:szCs w:val="21"/>
              </w:rPr>
            </w:pPr>
            <w:r>
              <w:rPr>
                <w:sz w:val="21"/>
                <w:szCs w:val="21"/>
              </w:rPr>
              <w:t>W</w:t>
            </w:r>
          </w:p>
        </w:tc>
        <w:tc>
          <w:tcPr>
            <w:tcW w:w="394" w:type="dxa"/>
            <w:tcBorders>
              <w:right w:val="single" w:color="auto" w:sz="4" w:space="0"/>
            </w:tcBorders>
          </w:tcPr>
          <w:p>
            <w:pPr>
              <w:tabs>
                <w:tab w:val="left" w:pos="567"/>
              </w:tabs>
              <w:spacing w:line="240" w:lineRule="auto"/>
              <w:jc w:val="center"/>
              <w:rPr>
                <w:sz w:val="21"/>
                <w:szCs w:val="21"/>
              </w:rPr>
            </w:pPr>
            <w:r>
              <w:rPr>
                <w:sz w:val="21"/>
                <w:szCs w:val="21"/>
              </w:rPr>
              <w:t>R</w:t>
            </w:r>
          </w:p>
        </w:tc>
        <w:tc>
          <w:tcPr>
            <w:tcW w:w="849" w:type="dxa"/>
            <w:tcBorders>
              <w:top w:val="single" w:color="auto" w:sz="4" w:space="0"/>
              <w:left w:val="single" w:color="auto" w:sz="4" w:space="0"/>
              <w:right w:val="single" w:color="auto" w:sz="4" w:space="0"/>
            </w:tcBorders>
          </w:tcPr>
          <w:p>
            <w:pPr>
              <w:pStyle w:val="61"/>
              <w:tabs>
                <w:tab w:val="left" w:pos="567"/>
              </w:tabs>
              <w:spacing w:line="240" w:lineRule="auto"/>
              <w:ind w:firstLine="540"/>
              <w:jc w:val="center"/>
              <w:rPr>
                <w:rFonts w:ascii="Times New Roman"/>
                <w:bCs/>
                <w:snapToGrid w:val="0"/>
                <w:spacing w:val="30"/>
                <w:sz w:val="21"/>
                <w:szCs w:val="21"/>
              </w:rPr>
            </w:pPr>
            <w:r>
              <w:rPr>
                <w:rFonts w:ascii="Times New Roman"/>
                <w:bCs/>
                <w:snapToGrid w:val="0"/>
                <w:spacing w:val="3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1</w:t>
            </w:r>
          </w:p>
        </w:tc>
        <w:tc>
          <w:tcPr>
            <w:tcW w:w="1455" w:type="dxa"/>
          </w:tcPr>
          <w:p>
            <w:pPr>
              <w:pStyle w:val="20"/>
              <w:tabs>
                <w:tab w:val="left" w:pos="567"/>
              </w:tabs>
              <w:spacing w:line="240" w:lineRule="auto"/>
              <w:ind w:firstLine="0"/>
              <w:jc w:val="center"/>
              <w:rPr>
                <w:bCs/>
                <w:snapToGrid w:val="0"/>
                <w:spacing w:val="30"/>
                <w:kern w:val="0"/>
                <w:sz w:val="21"/>
                <w:szCs w:val="21"/>
              </w:rPr>
            </w:pPr>
            <w:r>
              <w:rPr>
                <w:bCs/>
                <w:snapToGrid w:val="0"/>
                <w:spacing w:val="30"/>
                <w:kern w:val="0"/>
                <w:sz w:val="21"/>
                <w:szCs w:val="21"/>
              </w:rPr>
              <w:t>原材料</w:t>
            </w:r>
          </w:p>
        </w:tc>
        <w:tc>
          <w:tcPr>
            <w:tcW w:w="3577" w:type="dxa"/>
          </w:tcPr>
          <w:p>
            <w:pPr>
              <w:tabs>
                <w:tab w:val="left" w:pos="567"/>
              </w:tabs>
              <w:spacing w:line="240" w:lineRule="auto"/>
              <w:jc w:val="center"/>
              <w:rPr>
                <w:sz w:val="21"/>
                <w:szCs w:val="21"/>
              </w:rPr>
            </w:pPr>
            <w:r>
              <w:rPr>
                <w:sz w:val="21"/>
                <w:szCs w:val="21"/>
              </w:rPr>
              <w:t>检查原材料质保书及实物</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0"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2</w:t>
            </w:r>
          </w:p>
        </w:tc>
        <w:tc>
          <w:tcPr>
            <w:tcW w:w="1455" w:type="dxa"/>
          </w:tcPr>
          <w:p>
            <w:pPr>
              <w:tabs>
                <w:tab w:val="left" w:pos="567"/>
              </w:tabs>
              <w:spacing w:line="240" w:lineRule="auto"/>
              <w:jc w:val="center"/>
              <w:rPr>
                <w:sz w:val="21"/>
                <w:szCs w:val="21"/>
              </w:rPr>
            </w:pPr>
            <w:r>
              <w:rPr>
                <w:sz w:val="21"/>
                <w:szCs w:val="21"/>
              </w:rPr>
              <w:t>部件装配</w:t>
            </w:r>
          </w:p>
        </w:tc>
        <w:tc>
          <w:tcPr>
            <w:tcW w:w="3577" w:type="dxa"/>
          </w:tcPr>
          <w:p>
            <w:pPr>
              <w:tabs>
                <w:tab w:val="left" w:pos="567"/>
              </w:tabs>
              <w:spacing w:line="240" w:lineRule="auto"/>
              <w:jc w:val="center"/>
              <w:rPr>
                <w:sz w:val="21"/>
                <w:szCs w:val="21"/>
              </w:rPr>
            </w:pPr>
            <w:r>
              <w:rPr>
                <w:sz w:val="21"/>
                <w:szCs w:val="21"/>
              </w:rPr>
              <w:t>检查装配间隙</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4"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3</w:t>
            </w:r>
          </w:p>
        </w:tc>
        <w:tc>
          <w:tcPr>
            <w:tcW w:w="1455" w:type="dxa"/>
          </w:tcPr>
          <w:p>
            <w:pPr>
              <w:tabs>
                <w:tab w:val="left" w:pos="567"/>
              </w:tabs>
              <w:spacing w:line="240" w:lineRule="auto"/>
              <w:jc w:val="center"/>
              <w:rPr>
                <w:sz w:val="21"/>
                <w:szCs w:val="21"/>
              </w:rPr>
            </w:pPr>
            <w:r>
              <w:rPr>
                <w:sz w:val="21"/>
                <w:szCs w:val="21"/>
              </w:rPr>
              <w:t>焊接</w:t>
            </w:r>
          </w:p>
        </w:tc>
        <w:tc>
          <w:tcPr>
            <w:tcW w:w="3577" w:type="dxa"/>
          </w:tcPr>
          <w:p>
            <w:pPr>
              <w:tabs>
                <w:tab w:val="left" w:pos="567"/>
              </w:tabs>
              <w:spacing w:line="240" w:lineRule="auto"/>
              <w:jc w:val="center"/>
              <w:rPr>
                <w:sz w:val="21"/>
                <w:szCs w:val="21"/>
              </w:rPr>
            </w:pPr>
            <w:r>
              <w:rPr>
                <w:sz w:val="21"/>
                <w:szCs w:val="21"/>
              </w:rPr>
              <w:t>检查是否按工艺要求操作</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6"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4</w:t>
            </w:r>
          </w:p>
        </w:tc>
        <w:tc>
          <w:tcPr>
            <w:tcW w:w="1455" w:type="dxa"/>
          </w:tcPr>
          <w:p>
            <w:pPr>
              <w:tabs>
                <w:tab w:val="left" w:pos="567"/>
              </w:tabs>
              <w:spacing w:line="240" w:lineRule="auto"/>
              <w:jc w:val="center"/>
              <w:rPr>
                <w:sz w:val="21"/>
                <w:szCs w:val="21"/>
              </w:rPr>
            </w:pPr>
            <w:r>
              <w:rPr>
                <w:sz w:val="21"/>
                <w:szCs w:val="21"/>
              </w:rPr>
              <w:t>检测</w:t>
            </w:r>
          </w:p>
        </w:tc>
        <w:tc>
          <w:tcPr>
            <w:tcW w:w="3577" w:type="dxa"/>
          </w:tcPr>
          <w:p>
            <w:pPr>
              <w:tabs>
                <w:tab w:val="left" w:pos="567"/>
              </w:tabs>
              <w:spacing w:line="240" w:lineRule="auto"/>
              <w:jc w:val="center"/>
              <w:rPr>
                <w:sz w:val="21"/>
                <w:szCs w:val="21"/>
              </w:rPr>
            </w:pPr>
            <w:r>
              <w:rPr>
                <w:sz w:val="21"/>
                <w:szCs w:val="21"/>
              </w:rPr>
              <w:t>是否按标准要求检查</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pStyle w:val="21"/>
              <w:tabs>
                <w:tab w:val="left" w:pos="567"/>
              </w:tabs>
              <w:spacing w:line="240" w:lineRule="auto"/>
              <w:ind w:left="480"/>
              <w:jc w:val="center"/>
              <w:rPr>
                <w:snapToGrid w:val="0"/>
                <w:spacing w:val="30"/>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6"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5</w:t>
            </w:r>
          </w:p>
        </w:tc>
        <w:tc>
          <w:tcPr>
            <w:tcW w:w="1455" w:type="dxa"/>
          </w:tcPr>
          <w:p>
            <w:pPr>
              <w:tabs>
                <w:tab w:val="left" w:pos="567"/>
              </w:tabs>
              <w:spacing w:line="240" w:lineRule="auto"/>
              <w:jc w:val="center"/>
              <w:rPr>
                <w:sz w:val="21"/>
                <w:szCs w:val="21"/>
              </w:rPr>
            </w:pPr>
            <w:r>
              <w:rPr>
                <w:sz w:val="21"/>
                <w:szCs w:val="21"/>
              </w:rPr>
              <w:t>减温器</w:t>
            </w:r>
          </w:p>
        </w:tc>
        <w:tc>
          <w:tcPr>
            <w:tcW w:w="3577" w:type="dxa"/>
          </w:tcPr>
          <w:p>
            <w:pPr>
              <w:tabs>
                <w:tab w:val="left" w:pos="567"/>
              </w:tabs>
              <w:spacing w:line="240" w:lineRule="auto"/>
              <w:jc w:val="center"/>
              <w:rPr>
                <w:sz w:val="21"/>
                <w:szCs w:val="21"/>
              </w:rPr>
            </w:pPr>
            <w:r>
              <w:rPr>
                <w:sz w:val="21"/>
                <w:szCs w:val="21"/>
              </w:rPr>
              <w:t>水压试验</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pStyle w:val="21"/>
              <w:tabs>
                <w:tab w:val="left" w:pos="567"/>
              </w:tabs>
              <w:spacing w:line="240" w:lineRule="auto"/>
              <w:ind w:left="480"/>
              <w:jc w:val="center"/>
              <w:rPr>
                <w:snapToGrid w:val="0"/>
                <w:spacing w:val="30"/>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5" w:hRule="atLeast"/>
          <w:jc w:val="center"/>
        </w:trPr>
        <w:tc>
          <w:tcPr>
            <w:tcW w:w="7912" w:type="dxa"/>
            <w:gridSpan w:val="7"/>
            <w:tcBorders>
              <w:left w:val="single" w:color="auto" w:sz="4" w:space="0"/>
              <w:bottom w:val="single" w:color="auto" w:sz="4" w:space="0"/>
              <w:right w:val="single" w:color="auto" w:sz="4" w:space="0"/>
            </w:tcBorders>
          </w:tcPr>
          <w:p>
            <w:pPr>
              <w:tabs>
                <w:tab w:val="left" w:pos="567"/>
              </w:tabs>
              <w:spacing w:line="240" w:lineRule="auto"/>
              <w:jc w:val="center"/>
              <w:rPr>
                <w:sz w:val="21"/>
                <w:szCs w:val="21"/>
              </w:rPr>
            </w:pPr>
            <w:r>
              <w:rPr>
                <w:sz w:val="21"/>
                <w:szCs w:val="21"/>
              </w:rPr>
              <w:t>注：H—停工待检，W—现场见证，R—文件见证，数量—检验数量</w:t>
            </w:r>
          </w:p>
        </w:tc>
      </w:tr>
    </w:tbl>
    <w:p>
      <w:pPr>
        <w:numPr>
          <w:ilvl w:val="2"/>
          <w:numId w:val="5"/>
        </w:numPr>
      </w:pPr>
      <w:r>
        <w:t>对供方配合监造的要求</w:t>
      </w:r>
    </w:p>
    <w:p>
      <w:pPr>
        <w:numPr>
          <w:ilvl w:val="3"/>
          <w:numId w:val="5"/>
        </w:numPr>
      </w:pPr>
      <w:r>
        <w:t>供方为现场监造人员提供配合。</w:t>
      </w:r>
    </w:p>
    <w:p>
      <w:r>
        <w:t>7.2.4.2 需方监造代表和采购方有权通过供方有关部门查（借）阅合同与本合同设备有关的标准、图纸、资料、工艺及检验记录（包括之间检验记录），如采购方认为有必要复印，供方应提方便。</w:t>
      </w:r>
    </w:p>
    <w:p>
      <w:r>
        <w:t>7.2.4.3需方监造人员在监造过程中如发现设备和材料缺陷或不符合规定的标准要求时，有权提出意见，供方应采取相应改进措施，以保证设备质量。无论需方是否要求和知道，供方均应主动及时向需方提供合同设备制造过程中出现的较大的质量缺陷和问题，不得隐瞒。在需方不知道的情况下供方不得擅自处理。</w:t>
      </w:r>
    </w:p>
    <w:p>
      <w:bookmarkStart w:id="44" w:name="_Toc16686232"/>
      <w:bookmarkStart w:id="45" w:name="_Toc70261429"/>
      <w:bookmarkStart w:id="46" w:name="_Toc447820238"/>
      <w:bookmarkStart w:id="47" w:name="_Toc447811364"/>
      <w:r>
        <w:t>7.3性能验收试验</w:t>
      </w:r>
      <w:bookmarkEnd w:id="44"/>
      <w:bookmarkEnd w:id="45"/>
      <w:bookmarkEnd w:id="46"/>
      <w:bookmarkEnd w:id="47"/>
    </w:p>
    <w:p>
      <w:r>
        <w:t>7.3.1性能验收试验的目的为了检验合同设备的所有性能是否符合技术规范中有关条款内容的要求。</w:t>
      </w:r>
    </w:p>
    <w:p>
      <w:r>
        <w:t>7.3.2性能验收试验的地点由合同确定，一般为需方现场。</w:t>
      </w:r>
    </w:p>
    <w:p>
      <w:r>
        <w:t>7.3.3性能试验的时间：投汽生产试运之后3个月内进行，具体试验时间由买供方协商确定。</w:t>
      </w:r>
    </w:p>
    <w:p>
      <w:r>
        <w:t>7.3.4 性能验收试验所需的测点、一次元件和就地仪表的装设应由组织方提供，参加方配合； 并应符合有关规程、规范和标准的规定，并经需方确认。供方也要提供试验所需的技术配合和人员配合。</w:t>
      </w:r>
    </w:p>
    <w:p>
      <w:pPr>
        <w:pStyle w:val="3"/>
        <w:numPr>
          <w:ilvl w:val="1"/>
          <w:numId w:val="6"/>
        </w:numPr>
        <w:tabs>
          <w:tab w:val="left" w:pos="360"/>
        </w:tabs>
      </w:pPr>
      <w:bookmarkStart w:id="48" w:name="_Toc148101353"/>
      <w:r>
        <w:t>制造、安装和性能验收试验的内容:</w:t>
      </w:r>
      <w:bookmarkEnd w:id="48"/>
    </w:p>
    <w:p>
      <w:pPr>
        <w:numPr>
          <w:ilvl w:val="2"/>
          <w:numId w:val="6"/>
        </w:numPr>
      </w:pPr>
      <w:r>
        <w:t>材料试验</w:t>
      </w:r>
    </w:p>
    <w:p>
      <w:pPr>
        <w:ind w:firstLine="360" w:firstLineChars="150"/>
      </w:pPr>
      <w:r>
        <w:t>设备材料应进行理化性能试验。</w:t>
      </w:r>
    </w:p>
    <w:p>
      <w:pPr>
        <w:numPr>
          <w:ilvl w:val="2"/>
          <w:numId w:val="6"/>
        </w:numPr>
      </w:pPr>
      <w:r>
        <w:t>工厂试验</w:t>
      </w:r>
    </w:p>
    <w:p>
      <w:pPr>
        <w:ind w:firstLine="360" w:firstLineChars="150"/>
      </w:pPr>
      <w:r>
        <w:t>供方应进行所有必要的工厂试验。</w:t>
      </w:r>
    </w:p>
    <w:p>
      <w:pPr>
        <w:numPr>
          <w:ilvl w:val="2"/>
          <w:numId w:val="6"/>
        </w:numPr>
      </w:pPr>
      <w:r>
        <w:t>现场试验</w:t>
      </w:r>
    </w:p>
    <w:p>
      <w:r>
        <w:t>（1）供方应满足需方提出的设计要求，并能在设计条件下长期安全运行。</w:t>
      </w:r>
    </w:p>
    <w:p>
      <w:pPr>
        <w:numPr>
          <w:ilvl w:val="0"/>
          <w:numId w:val="7"/>
        </w:numPr>
      </w:pPr>
      <w:r>
        <w:t>在进行这些试验的时候，供方派人到现场帮助，指导解决试验暴露的缺陷。</w:t>
      </w:r>
    </w:p>
    <w:p>
      <w:r>
        <w:t>7.5 性能验收试验由需方主持，供方参加。试验大纲由需方提供，与供方讨论后确定。具体试验由双方认可的测试部门完成。如试验在现场进行，需方负责组织和实施，供方进行配合；如试验在工厂进行，试验所需的人力和财力等由供方提供。</w:t>
      </w:r>
    </w:p>
    <w:p>
      <w:pPr>
        <w:pStyle w:val="3"/>
        <w:numPr>
          <w:ilvl w:val="0"/>
          <w:numId w:val="0"/>
        </w:numPr>
      </w:pPr>
      <w:bookmarkStart w:id="49" w:name="_Toc148101354"/>
      <w:r>
        <w:t>7.6性能验收试验结果的确认</w:t>
      </w:r>
      <w:bookmarkEnd w:id="49"/>
    </w:p>
    <w:p>
      <w:pPr>
        <w:ind w:firstLine="360" w:firstLineChars="150"/>
      </w:pPr>
      <w:r>
        <w:t>性能验收试验报告由测试单位编写，报告结论招投标双方均应承认。如双方对试验的结果有不一致意见，双方协商解决；如仍不能达成一致，则提交双方上级部门协商。</w:t>
      </w:r>
    </w:p>
    <w:p>
      <w:pPr>
        <w:ind w:firstLine="360" w:firstLineChars="150"/>
      </w:pPr>
      <w:r>
        <w:t>进行性能验收试验时，一方接到另一方试验通知而不派人参加试验，则被视为对验收试验结果的同意。</w:t>
      </w:r>
    </w:p>
    <w:p>
      <w:r>
        <w:t>7.7 如果由于供方责任，在经第二次性能验收试验后，合同设备仍不能达到本技术规范书所规定的一项或多项保证指标时，供方应按下述规定向需方支付性能保证违约金。</w:t>
      </w:r>
    </w:p>
    <w:p>
      <w:pPr>
        <w:pStyle w:val="2"/>
        <w:keepNext/>
        <w:keepLines/>
        <w:numPr>
          <w:ilvl w:val="0"/>
          <w:numId w:val="2"/>
        </w:numPr>
        <w:tabs>
          <w:tab w:val="left" w:pos="360"/>
        </w:tabs>
        <w:adjustRightInd w:val="0"/>
        <w:spacing w:before="120" w:beforeLines="50" w:after="156"/>
        <w:textAlignment w:val="baseline"/>
      </w:pPr>
      <w:bookmarkStart w:id="50" w:name="_Toc148101355"/>
      <w:r>
        <w:t>供方现场技术服务</w:t>
      </w:r>
      <w:bookmarkEnd w:id="50"/>
    </w:p>
    <w:p>
      <w:r>
        <w:rPr>
          <w:sz w:val="21"/>
          <w:szCs w:val="21"/>
        </w:rPr>
        <w:t xml:space="preserve">8.1 </w:t>
      </w:r>
      <w:r>
        <w:t>为保证所供设备的正确安装、启动、安全运行和性能指标，以及相互的工作联系，供方应按需方和现场实际要求及时派遣技术人员到现场进行技术服务。</w:t>
      </w:r>
    </w:p>
    <w:p>
      <w:r>
        <w:t>8.2服务人员计划表：</w:t>
      </w:r>
    </w:p>
    <w:tbl>
      <w:tblPr>
        <w:tblStyle w:val="25"/>
        <w:tblW w:w="836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73"/>
        <w:gridCol w:w="2173"/>
        <w:gridCol w:w="1823"/>
        <w:gridCol w:w="1200"/>
        <w:gridCol w:w="120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97" w:hRule="atLeast"/>
          <w:jc w:val="center"/>
        </w:trPr>
        <w:tc>
          <w:tcPr>
            <w:tcW w:w="773" w:type="dxa"/>
            <w:vMerge w:val="restart"/>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序号</w:t>
            </w:r>
          </w:p>
        </w:tc>
        <w:tc>
          <w:tcPr>
            <w:tcW w:w="2173" w:type="dxa"/>
            <w:vMerge w:val="restart"/>
            <w:tcBorders>
              <w:top w:val="single" w:color="auto" w:sz="6" w:space="0"/>
              <w:left w:val="nil"/>
              <w:bottom w:val="single" w:color="auto" w:sz="6" w:space="0"/>
              <w:right w:val="single" w:color="auto" w:sz="6" w:space="0"/>
            </w:tcBorders>
            <w:vAlign w:val="center"/>
          </w:tcPr>
          <w:p>
            <w:pPr>
              <w:jc w:val="center"/>
              <w:rPr>
                <w:sz w:val="21"/>
                <w:szCs w:val="21"/>
              </w:rPr>
            </w:pPr>
            <w:r>
              <w:rPr>
                <w:sz w:val="21"/>
                <w:szCs w:val="21"/>
              </w:rPr>
              <w:t>技术服务内容</w:t>
            </w:r>
          </w:p>
        </w:tc>
        <w:tc>
          <w:tcPr>
            <w:tcW w:w="1823" w:type="dxa"/>
            <w:vMerge w:val="restart"/>
            <w:tcBorders>
              <w:top w:val="single" w:color="auto" w:sz="6" w:space="0"/>
              <w:left w:val="nil"/>
              <w:bottom w:val="single" w:color="auto" w:sz="6" w:space="0"/>
              <w:right w:val="single" w:color="auto" w:sz="6" w:space="0"/>
            </w:tcBorders>
            <w:vAlign w:val="center"/>
          </w:tcPr>
          <w:p>
            <w:pPr>
              <w:jc w:val="center"/>
              <w:rPr>
                <w:sz w:val="21"/>
                <w:szCs w:val="21"/>
              </w:rPr>
            </w:pPr>
            <w:r>
              <w:rPr>
                <w:sz w:val="21"/>
                <w:szCs w:val="21"/>
              </w:rPr>
              <w:t>计划人月数</w:t>
            </w:r>
          </w:p>
        </w:tc>
        <w:tc>
          <w:tcPr>
            <w:tcW w:w="2400" w:type="dxa"/>
            <w:gridSpan w:val="2"/>
            <w:tcBorders>
              <w:top w:val="single" w:color="auto" w:sz="6" w:space="0"/>
              <w:left w:val="nil"/>
              <w:bottom w:val="single" w:color="auto" w:sz="6" w:space="0"/>
              <w:right w:val="nil"/>
            </w:tcBorders>
            <w:vAlign w:val="center"/>
          </w:tcPr>
          <w:p>
            <w:pPr>
              <w:jc w:val="center"/>
              <w:rPr>
                <w:sz w:val="21"/>
                <w:szCs w:val="21"/>
              </w:rPr>
            </w:pPr>
            <w:r>
              <w:rPr>
                <w:sz w:val="21"/>
                <w:szCs w:val="21"/>
              </w:rPr>
              <w:t>派出人员构成</w:t>
            </w:r>
          </w:p>
        </w:tc>
        <w:tc>
          <w:tcPr>
            <w:tcW w:w="1200" w:type="dxa"/>
            <w:vMerge w:val="restart"/>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jc w:val="center"/>
        </w:trPr>
        <w:tc>
          <w:tcPr>
            <w:tcW w:w="773"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2173"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职  称</w:t>
            </w: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人  数</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1</w:t>
            </w:r>
          </w:p>
        </w:tc>
        <w:tc>
          <w:tcPr>
            <w:tcW w:w="21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2</w:t>
            </w:r>
          </w:p>
        </w:tc>
        <w:tc>
          <w:tcPr>
            <w:tcW w:w="21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21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bl>
    <w:p>
      <w:pPr>
        <w:pStyle w:val="3"/>
        <w:numPr>
          <w:ilvl w:val="1"/>
          <w:numId w:val="8"/>
        </w:numPr>
        <w:tabs>
          <w:tab w:val="left" w:pos="360"/>
        </w:tabs>
      </w:pPr>
      <w:bookmarkStart w:id="51" w:name="_Toc128393201"/>
      <w:bookmarkStart w:id="52" w:name="_Toc148101356"/>
      <w:r>
        <w:t>供方现场技术服务人员所发生的一切费用包括工资、差旅费、住宿、办公及通讯联络等均包括在合同报价内。</w:t>
      </w:r>
      <w:bookmarkEnd w:id="51"/>
      <w:bookmarkEnd w:id="52"/>
    </w:p>
    <w:p>
      <w:pPr>
        <w:pStyle w:val="3"/>
        <w:numPr>
          <w:ilvl w:val="1"/>
          <w:numId w:val="8"/>
        </w:numPr>
        <w:tabs>
          <w:tab w:val="left" w:pos="360"/>
        </w:tabs>
      </w:pPr>
      <w:r>
        <w:t xml:space="preserve"> </w:t>
      </w:r>
      <w:bookmarkStart w:id="53" w:name="_Toc148101357"/>
      <w:bookmarkStart w:id="54" w:name="_Toc128393202"/>
      <w:r>
        <w:t>供方现场服务人员的条件：</w:t>
      </w:r>
      <w:bookmarkEnd w:id="53"/>
      <w:bookmarkEnd w:id="54"/>
    </w:p>
    <w:p>
      <w:pPr>
        <w:numPr>
          <w:ilvl w:val="2"/>
          <w:numId w:val="8"/>
        </w:numPr>
      </w:pPr>
      <w:r>
        <w:t>遵纪守法，遵守现场的各项规章和制度，熟悉并掌握现场和电厂有关安全方面的规章制度。</w:t>
      </w:r>
    </w:p>
    <w:p>
      <w:pPr>
        <w:numPr>
          <w:ilvl w:val="2"/>
          <w:numId w:val="8"/>
        </w:numPr>
      </w:pPr>
      <w:r>
        <w:t>工作责任心强，身体健康，适应现场工作条件。</w:t>
      </w:r>
    </w:p>
    <w:p>
      <w:pPr>
        <w:numPr>
          <w:ilvl w:val="2"/>
          <w:numId w:val="8"/>
        </w:numPr>
      </w:pPr>
      <w:r>
        <w:t>了解合同设备的设计，熟悉其结构，有三年以上相同或相近的现场工作经验，能够正确地进行现场指导。</w:t>
      </w:r>
    </w:p>
    <w:p>
      <w:pPr>
        <w:numPr>
          <w:ilvl w:val="2"/>
          <w:numId w:val="8"/>
        </w:numPr>
      </w:pPr>
      <w:r>
        <w:t xml:space="preserve"> 需方有权要求更换不称职的供方现场技术服务人员，供方应及时更换。</w:t>
      </w:r>
    </w:p>
    <w:p>
      <w:pPr>
        <w:numPr>
          <w:ilvl w:val="2"/>
          <w:numId w:val="8"/>
        </w:numPr>
      </w:pPr>
      <w:r>
        <w:t>国外技术人员到现场的语言交流翻译应由供方配备，外国专家在现场期间的管理由供方负责。</w:t>
      </w:r>
    </w:p>
    <w:p>
      <w:pPr>
        <w:numPr>
          <w:ilvl w:val="2"/>
          <w:numId w:val="8"/>
        </w:numPr>
      </w:pPr>
      <w:r>
        <w:t>在投标阶段，投标人须按下表提供现场服务人员的情况，由招标人确认。</w:t>
      </w:r>
    </w:p>
    <w:p>
      <w:pPr>
        <w:pStyle w:val="3"/>
        <w:numPr>
          <w:ilvl w:val="1"/>
          <w:numId w:val="8"/>
        </w:numPr>
        <w:tabs>
          <w:tab w:val="left" w:pos="360"/>
        </w:tabs>
      </w:pPr>
      <w:bookmarkStart w:id="55" w:name="_Toc148101358"/>
      <w:bookmarkStart w:id="56" w:name="_Toc128393203"/>
      <w:r>
        <w:t>供方现场服务人员的职责</w:t>
      </w:r>
      <w:bookmarkEnd w:id="55"/>
      <w:bookmarkEnd w:id="56"/>
    </w:p>
    <w:p>
      <w:r>
        <w:t>8.5.1  供方现场服务人员的任务主要包括设备催交、货物的开箱检验及买卖双方的日常技术联络。在设备开始安装后的任务为指导安装和调试工作，监督工程质量及调试质量，并符合工厂设计要求，处理设备缺陷及设计变更等，后期要参加试运行和性能考核试验。</w:t>
      </w:r>
    </w:p>
    <w:p>
      <w:r>
        <w:t xml:space="preserve">8.5.2  在安装和调试前，供方技术服务人员应向需方进行设计意图和安装程序及安装要点的技术交底和解释，必要时进行示范操作。对重要工作项目应实行每个工序的检查指导和监督，实行工序签证制度，否则，需方不能进行下一道工序。经供方签证的工序如因供方技术服务人员的指导错误而发生的问题，由供方负全部责任。供方对重要工作项目的认定，填写下表： </w:t>
      </w:r>
    </w:p>
    <w:p>
      <w:pPr>
        <w:ind w:left="2248" w:firstLine="281"/>
      </w:pPr>
      <w:r>
        <w:t>供方提供的安装、调试重要工序表</w:t>
      </w:r>
    </w:p>
    <w:tbl>
      <w:tblPr>
        <w:tblStyle w:val="25"/>
        <w:tblW w:w="8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5"/>
        <w:gridCol w:w="501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8" w:type="dxa"/>
            <w:vAlign w:val="center"/>
          </w:tcPr>
          <w:p>
            <w:pPr>
              <w:pStyle w:val="15"/>
              <w:ind w:left="0" w:leftChars="0"/>
              <w:jc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625"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工序名称</w:t>
            </w:r>
          </w:p>
        </w:tc>
        <w:tc>
          <w:tcPr>
            <w:tcW w:w="5010"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工序主要内容</w:t>
            </w:r>
          </w:p>
        </w:tc>
        <w:tc>
          <w:tcPr>
            <w:tcW w:w="765" w:type="dxa"/>
          </w:tcPr>
          <w:p>
            <w:pPr>
              <w:pStyle w:val="24"/>
              <w:spacing w:after="0"/>
              <w:ind w:firstLine="0" w:firstLineChars="0"/>
              <w:jc w:val="left"/>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625"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设备安装</w:t>
            </w:r>
          </w:p>
        </w:tc>
        <w:tc>
          <w:tcPr>
            <w:tcW w:w="5010"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指导安装、协助解决安装过程出</w:t>
            </w:r>
          </w:p>
          <w:p>
            <w:pPr>
              <w:jc w:val="left"/>
              <w:rPr>
                <w:rFonts w:asciiTheme="minorEastAsia" w:hAnsiTheme="minorEastAsia" w:eastAsiaTheme="minorEastAsia"/>
                <w:sz w:val="21"/>
                <w:szCs w:val="21"/>
              </w:rPr>
            </w:pPr>
            <w:r>
              <w:rPr>
                <w:rFonts w:asciiTheme="minorEastAsia" w:hAnsiTheme="minorEastAsia" w:eastAsiaTheme="minorEastAsia"/>
                <w:sz w:val="21"/>
                <w:szCs w:val="21"/>
              </w:rPr>
              <w:t>现的设计修改、碰撞等问题</w:t>
            </w:r>
          </w:p>
        </w:tc>
        <w:tc>
          <w:tcPr>
            <w:tcW w:w="765" w:type="dxa"/>
          </w:tcPr>
          <w:p>
            <w:pPr>
              <w:pStyle w:val="24"/>
              <w:spacing w:after="0"/>
              <w:ind w:firstLine="0" w:firstLineChars="0"/>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4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625"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试运行</w:t>
            </w:r>
          </w:p>
        </w:tc>
        <w:tc>
          <w:tcPr>
            <w:tcW w:w="5010"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装置全面工作，进行初始运行</w:t>
            </w:r>
          </w:p>
        </w:tc>
        <w:tc>
          <w:tcPr>
            <w:tcW w:w="765" w:type="dxa"/>
          </w:tcPr>
          <w:p>
            <w:pPr>
              <w:pStyle w:val="24"/>
              <w:spacing w:after="0"/>
              <w:ind w:firstLine="0" w:firstLineChars="0"/>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1625"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性能试验</w:t>
            </w:r>
          </w:p>
        </w:tc>
        <w:tc>
          <w:tcPr>
            <w:tcW w:w="5010"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对系统进行综合检验，判断是</w:t>
            </w:r>
          </w:p>
          <w:p>
            <w:pPr>
              <w:jc w:val="left"/>
              <w:rPr>
                <w:rFonts w:asciiTheme="minorEastAsia" w:hAnsiTheme="minorEastAsia" w:eastAsiaTheme="minorEastAsia"/>
                <w:sz w:val="21"/>
                <w:szCs w:val="21"/>
              </w:rPr>
            </w:pPr>
            <w:r>
              <w:rPr>
                <w:rFonts w:asciiTheme="minorEastAsia" w:hAnsiTheme="minorEastAsia" w:eastAsiaTheme="minorEastAsia"/>
                <w:sz w:val="21"/>
                <w:szCs w:val="21"/>
              </w:rPr>
              <w:t>否符合要求</w:t>
            </w:r>
          </w:p>
        </w:tc>
        <w:tc>
          <w:tcPr>
            <w:tcW w:w="765" w:type="dxa"/>
          </w:tcPr>
          <w:p>
            <w:pPr>
              <w:pStyle w:val="24"/>
              <w:spacing w:after="0"/>
              <w:ind w:firstLine="0" w:firstLineChars="0"/>
              <w:jc w:val="left"/>
              <w:rPr>
                <w:rFonts w:asciiTheme="minorEastAsia" w:hAnsiTheme="minorEastAsia" w:eastAsiaTheme="minorEastAsia"/>
                <w:sz w:val="21"/>
                <w:szCs w:val="21"/>
              </w:rPr>
            </w:pPr>
          </w:p>
        </w:tc>
      </w:tr>
    </w:tbl>
    <w:p>
      <w:r>
        <w:t>8.5.3 供方现场服务人员应有权全权处理现场出现的一切技术和商务问题。如现场发生质量问题或有重大设计变更，供方现场人员要在需方规定的时间内予以解决。如供方委托需方进行处理，要出具委托书并承担相应的经济责任。</w:t>
      </w:r>
    </w:p>
    <w:p>
      <w:r>
        <w:t>8.5.4供方现场服务人员的正常来去和更换应事先与需方协商。</w:t>
      </w:r>
    </w:p>
    <w:p>
      <w:r>
        <w:t>8.5.5供方对其现场服务人员的一切行为负全部责任。</w:t>
      </w:r>
    </w:p>
    <w:p>
      <w:r>
        <w:t>8.5.6 供方现场技术服务应保证所供设备的正确安装、单体调试、整套启动及安全运行的需要，供方在接到需方书面通知的48h之内，技术服务人员必须到达现场进行服务。</w:t>
      </w:r>
    </w:p>
    <w:p>
      <w:pPr>
        <w:pStyle w:val="3"/>
        <w:numPr>
          <w:ilvl w:val="0"/>
          <w:numId w:val="0"/>
        </w:numPr>
      </w:pPr>
      <w:bookmarkStart w:id="57" w:name="_Toc148101359"/>
      <w:bookmarkStart w:id="58" w:name="_Toc128393204"/>
      <w:r>
        <w:t>8.6 需方的义务</w:t>
      </w:r>
      <w:bookmarkEnd w:id="57"/>
      <w:bookmarkEnd w:id="58"/>
    </w:p>
    <w:p>
      <w:pPr>
        <w:ind w:firstLine="120" w:firstLineChars="50"/>
      </w:pPr>
      <w:r>
        <w:t>需方要配合供方现场服务人员的工作，并在生活、交通和通讯上提供方便，费用自理。</w:t>
      </w:r>
    </w:p>
    <w:p>
      <w:pPr>
        <w:ind w:firstLine="480"/>
      </w:pPr>
    </w:p>
    <w:p>
      <w:pPr>
        <w:ind w:firstLine="480"/>
      </w:pPr>
      <w:r>
        <w:br w:type="page"/>
      </w:r>
    </w:p>
    <w:p>
      <w:pPr>
        <w:ind w:firstLine="480"/>
      </w:pPr>
      <w:r>
        <w:t>（签字页，本页无正文）</w:t>
      </w:r>
    </w:p>
    <w:p>
      <w:pPr>
        <w:spacing w:after="120" w:afterLines="50"/>
        <w:ind w:firstLine="562"/>
        <w:jc w:val="left"/>
        <w:rPr>
          <w:b/>
          <w:sz w:val="28"/>
          <w:szCs w:val="28"/>
        </w:rPr>
      </w:pPr>
    </w:p>
    <w:p>
      <w:pPr>
        <w:spacing w:after="120" w:afterLines="50" w:line="400" w:lineRule="exact"/>
        <w:ind w:firstLine="562"/>
        <w:jc w:val="left"/>
        <w:rPr>
          <w:b/>
          <w:sz w:val="28"/>
          <w:szCs w:val="28"/>
        </w:rPr>
      </w:pPr>
      <w:r>
        <w:rPr>
          <w:b/>
          <w:sz w:val="28"/>
          <w:szCs w:val="28"/>
        </w:rPr>
        <w:t>需  方：中机国际工程设计研究院有限责任公司</w:t>
      </w:r>
    </w:p>
    <w:p>
      <w:pPr>
        <w:spacing w:after="120" w:afterLines="50" w:line="400" w:lineRule="exact"/>
        <w:ind w:firstLine="562"/>
        <w:jc w:val="left"/>
        <w:rPr>
          <w:b/>
          <w:sz w:val="28"/>
          <w:szCs w:val="28"/>
        </w:rPr>
      </w:pPr>
      <w:r>
        <w:rPr>
          <w:b/>
          <w:sz w:val="28"/>
          <w:szCs w:val="28"/>
        </w:rPr>
        <w:t>授权代表：</w:t>
      </w:r>
    </w:p>
    <w:p>
      <w:pPr>
        <w:spacing w:after="120" w:afterLines="50" w:line="400" w:lineRule="exact"/>
        <w:ind w:firstLine="562"/>
        <w:jc w:val="left"/>
        <w:rPr>
          <w:b/>
          <w:sz w:val="28"/>
          <w:szCs w:val="28"/>
        </w:rPr>
      </w:pPr>
      <w:r>
        <w:rPr>
          <w:b/>
          <w:sz w:val="28"/>
          <w:szCs w:val="28"/>
        </w:rPr>
        <w:t>地址：长沙市韶山中路18号</w:t>
      </w:r>
    </w:p>
    <w:p>
      <w:pPr>
        <w:spacing w:after="120" w:afterLines="50" w:line="400" w:lineRule="exact"/>
        <w:ind w:firstLine="562"/>
        <w:jc w:val="left"/>
        <w:rPr>
          <w:b/>
          <w:sz w:val="28"/>
          <w:szCs w:val="28"/>
        </w:rPr>
      </w:pPr>
      <w:r>
        <w:rPr>
          <w:b/>
          <w:sz w:val="28"/>
          <w:szCs w:val="28"/>
        </w:rPr>
        <w:t>电话：</w:t>
      </w:r>
      <w:r>
        <w:rPr>
          <w:rFonts w:hint="eastAsia"/>
          <w:b/>
          <w:sz w:val="28"/>
          <w:szCs w:val="28"/>
        </w:rPr>
        <w:t>0731-</w:t>
      </w:r>
      <w:r>
        <w:rPr>
          <w:b/>
          <w:sz w:val="28"/>
          <w:szCs w:val="28"/>
        </w:rPr>
        <w:t xml:space="preserve"> 85383534</w:t>
      </w:r>
    </w:p>
    <w:p>
      <w:pPr>
        <w:spacing w:after="120" w:afterLines="50" w:line="400" w:lineRule="exact"/>
        <w:ind w:firstLine="562"/>
        <w:jc w:val="left"/>
        <w:rPr>
          <w:b/>
          <w:sz w:val="28"/>
          <w:szCs w:val="28"/>
        </w:rPr>
      </w:pPr>
      <w:r>
        <w:rPr>
          <w:b/>
          <w:sz w:val="28"/>
          <w:szCs w:val="28"/>
        </w:rPr>
        <w:t>邮箱：luozhelin@</w:t>
      </w:r>
      <w:r>
        <w:rPr>
          <w:rFonts w:hint="eastAsia"/>
          <w:b/>
          <w:sz w:val="28"/>
          <w:szCs w:val="28"/>
        </w:rPr>
        <w:t>qq</w:t>
      </w:r>
      <w:r>
        <w:rPr>
          <w:b/>
          <w:sz w:val="28"/>
          <w:szCs w:val="28"/>
        </w:rPr>
        <w:t>.com</w:t>
      </w:r>
    </w:p>
    <w:p>
      <w:pPr>
        <w:spacing w:after="120" w:afterLines="50"/>
        <w:ind w:firstLine="562"/>
        <w:jc w:val="left"/>
        <w:rPr>
          <w:b/>
          <w:sz w:val="28"/>
          <w:szCs w:val="28"/>
        </w:rPr>
      </w:pPr>
    </w:p>
    <w:p>
      <w:pPr>
        <w:spacing w:after="120" w:afterLines="50"/>
        <w:ind w:firstLine="562"/>
        <w:jc w:val="left"/>
        <w:rPr>
          <w:b/>
          <w:sz w:val="28"/>
          <w:szCs w:val="28"/>
        </w:rPr>
      </w:pPr>
    </w:p>
    <w:p>
      <w:pPr>
        <w:spacing w:after="120" w:afterLines="50" w:line="400" w:lineRule="exact"/>
        <w:ind w:firstLine="562"/>
        <w:jc w:val="left"/>
        <w:rPr>
          <w:b/>
          <w:sz w:val="28"/>
          <w:szCs w:val="28"/>
        </w:rPr>
      </w:pPr>
      <w:r>
        <w:rPr>
          <w:b/>
          <w:sz w:val="28"/>
          <w:szCs w:val="28"/>
        </w:rPr>
        <w:t xml:space="preserve">供  方： </w:t>
      </w:r>
    </w:p>
    <w:p>
      <w:pPr>
        <w:spacing w:after="120" w:afterLines="50" w:line="400" w:lineRule="exact"/>
        <w:ind w:firstLine="562"/>
        <w:jc w:val="left"/>
        <w:rPr>
          <w:b/>
          <w:sz w:val="28"/>
          <w:szCs w:val="28"/>
        </w:rPr>
      </w:pPr>
      <w:r>
        <w:rPr>
          <w:b/>
          <w:sz w:val="28"/>
          <w:szCs w:val="28"/>
        </w:rPr>
        <w:t>授权代表：</w:t>
      </w:r>
    </w:p>
    <w:p>
      <w:pPr>
        <w:spacing w:after="120" w:afterLines="50" w:line="400" w:lineRule="exact"/>
        <w:ind w:firstLine="562"/>
        <w:jc w:val="left"/>
        <w:rPr>
          <w:rFonts w:hint="eastAsia"/>
          <w:b/>
          <w:sz w:val="28"/>
          <w:szCs w:val="28"/>
        </w:rPr>
      </w:pPr>
      <w:r>
        <w:rPr>
          <w:b/>
          <w:sz w:val="28"/>
          <w:szCs w:val="28"/>
        </w:rPr>
        <w:t>地址：</w:t>
      </w:r>
    </w:p>
    <w:p>
      <w:pPr>
        <w:spacing w:after="120" w:afterLines="50" w:line="400" w:lineRule="exact"/>
        <w:ind w:firstLine="562"/>
        <w:jc w:val="left"/>
        <w:rPr>
          <w:b/>
          <w:sz w:val="28"/>
          <w:szCs w:val="28"/>
        </w:rPr>
      </w:pPr>
      <w:r>
        <w:rPr>
          <w:b/>
          <w:sz w:val="28"/>
          <w:szCs w:val="28"/>
        </w:rPr>
        <w:t>电话：</w:t>
      </w:r>
    </w:p>
    <w:p>
      <w:pPr>
        <w:spacing w:after="120" w:afterLines="50" w:line="400" w:lineRule="exact"/>
        <w:ind w:firstLine="562"/>
        <w:jc w:val="left"/>
        <w:rPr>
          <w:b/>
          <w:sz w:val="28"/>
          <w:szCs w:val="28"/>
        </w:rPr>
      </w:pPr>
      <w:r>
        <w:rPr>
          <w:b/>
          <w:sz w:val="28"/>
          <w:szCs w:val="28"/>
        </w:rPr>
        <w:t>邮箱：</w:t>
      </w:r>
    </w:p>
    <w:p>
      <w:pPr>
        <w:spacing w:after="120" w:afterLines="50" w:line="400" w:lineRule="exact"/>
        <w:ind w:firstLine="562"/>
        <w:jc w:val="left"/>
        <w:rPr>
          <w:b/>
          <w:color w:val="000000" w:themeColor="text1"/>
          <w:sz w:val="28"/>
          <w:szCs w:val="28"/>
          <w14:textFill>
            <w14:solidFill>
              <w14:schemeClr w14:val="tx1"/>
            </w14:solidFill>
          </w14:textFill>
        </w:rPr>
      </w:pPr>
    </w:p>
    <w:p>
      <w:pPr>
        <w:spacing w:after="120" w:afterLines="50" w:line="400" w:lineRule="exact"/>
        <w:ind w:firstLine="562"/>
        <w:jc w:val="left"/>
        <w:rPr>
          <w:b/>
          <w:color w:val="000000" w:themeColor="text1"/>
          <w14:textFill>
            <w14:solidFill>
              <w14:schemeClr w14:val="tx1"/>
            </w14:solidFill>
          </w14:textFill>
        </w:rPr>
      </w:pPr>
      <w:r>
        <w:rPr>
          <w:b/>
          <w:color w:val="000000" w:themeColor="text1"/>
          <w:sz w:val="28"/>
          <w:szCs w:val="28"/>
          <w14:textFill>
            <w14:solidFill>
              <w14:schemeClr w14:val="tx1"/>
            </w14:solidFill>
          </w14:textFill>
        </w:rPr>
        <w:t>签字日期：     年   月   日</w:t>
      </w:r>
    </w:p>
    <w:p>
      <w:pPr>
        <w:ind w:firstLine="480" w:firstLineChars="200"/>
      </w:pPr>
    </w:p>
    <w:sectPr>
      <w:pgSz w:w="11907" w:h="16839"/>
      <w:pgMar w:top="1474" w:right="1418" w:bottom="1134" w:left="1418" w:header="850" w:footer="73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264666"/>
      <w:docPartObj>
        <w:docPartGallery w:val="AutoText"/>
      </w:docPartObj>
    </w:sdtPr>
    <w:sdtContent>
      <w:p>
        <w:pPr>
          <w:pStyle w:val="17"/>
          <w:jc w:val="center"/>
        </w:pPr>
        <w:r>
          <w:fldChar w:fldCharType="begin"/>
        </w:r>
        <w:r>
          <w:instrText xml:space="preserve">PAGE   \* MERGEFORMAT</w:instrText>
        </w:r>
        <w:r>
          <w:fldChar w:fldCharType="separate"/>
        </w:r>
        <w:r>
          <w:rPr>
            <w:lang w:val="zh-CN"/>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046777"/>
    </w:sdtPr>
    <w:sdtContent>
      <w:p>
        <w:pPr>
          <w:pStyle w:val="17"/>
          <w:jc w:val="cente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22</w:t>
        </w:r>
        <w:r>
          <w:rPr>
            <w:rFonts w:cs="Times New Roman"/>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C48"/>
    <w:multiLevelType w:val="multilevel"/>
    <w:tmpl w:val="0CF53C48"/>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0D285A"/>
    <w:multiLevelType w:val="multilevel"/>
    <w:tmpl w:val="280D285A"/>
    <w:lvl w:ilvl="0" w:tentative="0">
      <w:start w:val="1"/>
      <w:numFmt w:val="decimal"/>
      <w:pStyle w:val="2"/>
      <w:suff w:val="space"/>
      <w:lvlText w:val="%1."/>
      <w:lvlJc w:val="left"/>
      <w:pPr>
        <w:ind w:left="420" w:hanging="420"/>
      </w:pPr>
      <w:rPr>
        <w:rFonts w:hint="eastAsia"/>
      </w:rPr>
    </w:lvl>
    <w:lvl w:ilvl="1" w:tentative="0">
      <w:start w:val="1"/>
      <w:numFmt w:val="decimal"/>
      <w:pStyle w:val="3"/>
      <w:suff w:val="space"/>
      <w:lvlText w:val="%1.%2"/>
      <w:lvlJc w:val="left"/>
      <w:pPr>
        <w:ind w:left="0" w:firstLine="0"/>
      </w:pPr>
      <w:rPr>
        <w:rFonts w:hint="eastAsia"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4"/>
      <w:suff w:val="space"/>
      <w:lvlText w:val="%1.%2.%3"/>
      <w:lvlJc w:val="left"/>
      <w:pPr>
        <w:ind w:left="426" w:firstLine="0"/>
      </w:pPr>
      <w:rPr>
        <w:rFonts w:hint="default" w:ascii="Times New Roman" w:hAnsi="Times New Roman" w:cs="Times New Roman"/>
        <w:sz w:val="24"/>
        <w:szCs w:val="24"/>
        <w:lang w:val="en-US"/>
      </w:rPr>
    </w:lvl>
    <w:lvl w:ilvl="3" w:tentative="0">
      <w:start w:val="1"/>
      <w:numFmt w:val="decimal"/>
      <w:pStyle w:val="5"/>
      <w:suff w:val="space"/>
      <w:lvlText w:val="%1.%2.%3.%4"/>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suff w:val="space"/>
      <w:lvlText w:val="%1.%2.%3.%4.%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2">
    <w:nsid w:val="52C17264"/>
    <w:multiLevelType w:val="multilevel"/>
    <w:tmpl w:val="52C172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76141C"/>
    <w:multiLevelType w:val="multilevel"/>
    <w:tmpl w:val="7576141C"/>
    <w:lvl w:ilvl="0" w:tentative="0">
      <w:start w:val="1"/>
      <w:numFmt w:val="decimal"/>
      <w:suff w:val="space"/>
      <w:lvlText w:val="%1"/>
      <w:lvlJc w:val="left"/>
      <w:pPr>
        <w:ind w:left="0" w:firstLine="0"/>
      </w:pPr>
    </w:lvl>
    <w:lvl w:ilvl="1" w:tentative="0">
      <w:start w:val="1"/>
      <w:numFmt w:val="decimal"/>
      <w:suff w:val="space"/>
      <w:lvlText w:val="%1.%2"/>
      <w:lvlJc w:val="left"/>
      <w:pPr>
        <w:ind w:left="0" w:firstLine="0"/>
      </w:pPr>
      <w:rPr>
        <w:rFonts w:hint="eastAsia" w:ascii="Times New Roman" w:hAnsi="Times New Roman" w:eastAsia="宋体"/>
        <w:b w:val="0"/>
        <w:sz w:val="24"/>
        <w:szCs w:val="24"/>
      </w:rPr>
    </w:lvl>
    <w:lvl w:ilvl="2" w:tentative="0">
      <w:start w:val="1"/>
      <w:numFmt w:val="decimal"/>
      <w:suff w:val="space"/>
      <w:lvlText w:val="%1.%2.%3"/>
      <w:lvlJc w:val="left"/>
      <w:pPr>
        <w:ind w:left="0" w:firstLine="0"/>
      </w:pPr>
      <w:rPr>
        <w:rFonts w:hint="default" w:ascii="Times New Roman" w:hAnsi="Times New Roman" w:eastAsia="宋体"/>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3"/>
  </w:num>
  <w:num w:numId="3">
    <w:abstractNumId w:val="2"/>
  </w:num>
  <w:num w:numId="4">
    <w:abstractNumId w:val="3"/>
    <w:lvlOverride w:ilvl="0">
      <w:startOverride w:val="6"/>
    </w:lvlOverride>
    <w:lvlOverride w:ilvl="1">
      <w:startOverride w:val="1"/>
    </w:lvlOverride>
    <w:lvlOverride w:ilvl="2">
      <w:startOverride w:val="2"/>
    </w:lvlOverride>
  </w:num>
  <w:num w:numId="5">
    <w:abstractNumId w:val="3"/>
    <w:lvlOverride w:ilvl="0">
      <w:startOverride w:val="6"/>
    </w:lvlOverride>
    <w:lvlOverride w:ilvl="1">
      <w:startOverride w:val="2"/>
    </w:lvlOverride>
    <w:lvlOverride w:ilvl="2">
      <w:startOverride w:val="4"/>
    </w:lvlOverride>
  </w:num>
  <w:num w:numId="6">
    <w:abstractNumId w:val="3"/>
    <w:lvlOverride w:ilvl="0">
      <w:startOverride w:val="6"/>
    </w:lvlOverride>
    <w:lvlOverride w:ilvl="1">
      <w:startOverride w:val="4"/>
    </w:lvlOverride>
  </w:num>
  <w:num w:numId="7">
    <w:abstractNumId w:val="0"/>
  </w:num>
  <w:num w:numId="8">
    <w:abstractNumId w:val="3"/>
    <w:lvlOverride w:ilvl="0">
      <w:startOverride w:val="6"/>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D9"/>
    <w:rsid w:val="000015CC"/>
    <w:rsid w:val="00001C57"/>
    <w:rsid w:val="00002A7D"/>
    <w:rsid w:val="00002C4C"/>
    <w:rsid w:val="00005354"/>
    <w:rsid w:val="00024BA8"/>
    <w:rsid w:val="000330C4"/>
    <w:rsid w:val="00034151"/>
    <w:rsid w:val="000348FB"/>
    <w:rsid w:val="00034C17"/>
    <w:rsid w:val="000358C7"/>
    <w:rsid w:val="00040714"/>
    <w:rsid w:val="00040B96"/>
    <w:rsid w:val="00046F58"/>
    <w:rsid w:val="000548BC"/>
    <w:rsid w:val="00054A89"/>
    <w:rsid w:val="00054C5F"/>
    <w:rsid w:val="000574AA"/>
    <w:rsid w:val="00057B19"/>
    <w:rsid w:val="00060453"/>
    <w:rsid w:val="00066E20"/>
    <w:rsid w:val="000671E9"/>
    <w:rsid w:val="00071959"/>
    <w:rsid w:val="00071BCD"/>
    <w:rsid w:val="00071F12"/>
    <w:rsid w:val="00072D5A"/>
    <w:rsid w:val="000742DD"/>
    <w:rsid w:val="00075B37"/>
    <w:rsid w:val="00076E6C"/>
    <w:rsid w:val="00077DC4"/>
    <w:rsid w:val="00093B12"/>
    <w:rsid w:val="00093CA5"/>
    <w:rsid w:val="0009729C"/>
    <w:rsid w:val="000974C6"/>
    <w:rsid w:val="000A019B"/>
    <w:rsid w:val="000A0FD7"/>
    <w:rsid w:val="000A3574"/>
    <w:rsid w:val="000A61DE"/>
    <w:rsid w:val="000B7C5A"/>
    <w:rsid w:val="000C233A"/>
    <w:rsid w:val="000C60B2"/>
    <w:rsid w:val="000D0F15"/>
    <w:rsid w:val="000D4A0A"/>
    <w:rsid w:val="000E527D"/>
    <w:rsid w:val="000F56DF"/>
    <w:rsid w:val="000F7F1C"/>
    <w:rsid w:val="0010000F"/>
    <w:rsid w:val="001033A0"/>
    <w:rsid w:val="0010404C"/>
    <w:rsid w:val="00105F92"/>
    <w:rsid w:val="0011118E"/>
    <w:rsid w:val="00112EA9"/>
    <w:rsid w:val="0011790A"/>
    <w:rsid w:val="00120929"/>
    <w:rsid w:val="00120CF9"/>
    <w:rsid w:val="001309C7"/>
    <w:rsid w:val="00150381"/>
    <w:rsid w:val="00150713"/>
    <w:rsid w:val="001509FC"/>
    <w:rsid w:val="00152718"/>
    <w:rsid w:val="001649B7"/>
    <w:rsid w:val="00164FEC"/>
    <w:rsid w:val="00172DC2"/>
    <w:rsid w:val="00174C13"/>
    <w:rsid w:val="0018490C"/>
    <w:rsid w:val="00187016"/>
    <w:rsid w:val="001A18A8"/>
    <w:rsid w:val="001A52C8"/>
    <w:rsid w:val="001A65F4"/>
    <w:rsid w:val="001A6DD6"/>
    <w:rsid w:val="001A78ED"/>
    <w:rsid w:val="001B1102"/>
    <w:rsid w:val="001B1FCA"/>
    <w:rsid w:val="001B34E1"/>
    <w:rsid w:val="001B6231"/>
    <w:rsid w:val="001C0891"/>
    <w:rsid w:val="001C60C0"/>
    <w:rsid w:val="001D2F15"/>
    <w:rsid w:val="001D3097"/>
    <w:rsid w:val="001D66E1"/>
    <w:rsid w:val="001F598D"/>
    <w:rsid w:val="0020304D"/>
    <w:rsid w:val="00213499"/>
    <w:rsid w:val="00216013"/>
    <w:rsid w:val="00216578"/>
    <w:rsid w:val="00222452"/>
    <w:rsid w:val="00226DFB"/>
    <w:rsid w:val="00234372"/>
    <w:rsid w:val="002343A6"/>
    <w:rsid w:val="002352C1"/>
    <w:rsid w:val="0023596F"/>
    <w:rsid w:val="002363C1"/>
    <w:rsid w:val="00245098"/>
    <w:rsid w:val="00250B9A"/>
    <w:rsid w:val="00250F69"/>
    <w:rsid w:val="00251975"/>
    <w:rsid w:val="00257179"/>
    <w:rsid w:val="00257E28"/>
    <w:rsid w:val="00264BA4"/>
    <w:rsid w:val="00271B0B"/>
    <w:rsid w:val="00275A17"/>
    <w:rsid w:val="00281B8E"/>
    <w:rsid w:val="00287104"/>
    <w:rsid w:val="00296846"/>
    <w:rsid w:val="002A07D9"/>
    <w:rsid w:val="002A13B4"/>
    <w:rsid w:val="002A3F8B"/>
    <w:rsid w:val="002A4630"/>
    <w:rsid w:val="002B312B"/>
    <w:rsid w:val="002B34D0"/>
    <w:rsid w:val="002C140F"/>
    <w:rsid w:val="002D5B14"/>
    <w:rsid w:val="002D6E15"/>
    <w:rsid w:val="002E18D6"/>
    <w:rsid w:val="00301D80"/>
    <w:rsid w:val="0030639D"/>
    <w:rsid w:val="00312E4A"/>
    <w:rsid w:val="00320360"/>
    <w:rsid w:val="00321146"/>
    <w:rsid w:val="00344349"/>
    <w:rsid w:val="00344A08"/>
    <w:rsid w:val="003529E4"/>
    <w:rsid w:val="00356B87"/>
    <w:rsid w:val="003708BC"/>
    <w:rsid w:val="00371492"/>
    <w:rsid w:val="003725F3"/>
    <w:rsid w:val="00374FCD"/>
    <w:rsid w:val="003764D8"/>
    <w:rsid w:val="0038065A"/>
    <w:rsid w:val="00391DCD"/>
    <w:rsid w:val="00394631"/>
    <w:rsid w:val="003A1895"/>
    <w:rsid w:val="003A2FF4"/>
    <w:rsid w:val="003A3348"/>
    <w:rsid w:val="003A7430"/>
    <w:rsid w:val="003B0753"/>
    <w:rsid w:val="003B7040"/>
    <w:rsid w:val="003C052D"/>
    <w:rsid w:val="003C2DA5"/>
    <w:rsid w:val="003D1854"/>
    <w:rsid w:val="003D5B29"/>
    <w:rsid w:val="003E316C"/>
    <w:rsid w:val="003E3C3F"/>
    <w:rsid w:val="003E41F8"/>
    <w:rsid w:val="003F4426"/>
    <w:rsid w:val="003F518F"/>
    <w:rsid w:val="00400C3A"/>
    <w:rsid w:val="00404953"/>
    <w:rsid w:val="00411009"/>
    <w:rsid w:val="0041116D"/>
    <w:rsid w:val="00411235"/>
    <w:rsid w:val="00415F0F"/>
    <w:rsid w:val="00423129"/>
    <w:rsid w:val="00433F67"/>
    <w:rsid w:val="00436B15"/>
    <w:rsid w:val="00441745"/>
    <w:rsid w:val="00442705"/>
    <w:rsid w:val="004466F8"/>
    <w:rsid w:val="00447658"/>
    <w:rsid w:val="00447B17"/>
    <w:rsid w:val="00451E07"/>
    <w:rsid w:val="00456A09"/>
    <w:rsid w:val="0046006C"/>
    <w:rsid w:val="0046397C"/>
    <w:rsid w:val="00465CAD"/>
    <w:rsid w:val="00472085"/>
    <w:rsid w:val="00476AA2"/>
    <w:rsid w:val="00482F8C"/>
    <w:rsid w:val="004929D9"/>
    <w:rsid w:val="00496564"/>
    <w:rsid w:val="004A6953"/>
    <w:rsid w:val="004C3975"/>
    <w:rsid w:val="004C5BFC"/>
    <w:rsid w:val="004D0193"/>
    <w:rsid w:val="004D050C"/>
    <w:rsid w:val="004D2D85"/>
    <w:rsid w:val="004D3BFA"/>
    <w:rsid w:val="004E2AA9"/>
    <w:rsid w:val="004E5E4C"/>
    <w:rsid w:val="004E7965"/>
    <w:rsid w:val="004F2CED"/>
    <w:rsid w:val="004F4E5B"/>
    <w:rsid w:val="005076B4"/>
    <w:rsid w:val="00511760"/>
    <w:rsid w:val="00535D19"/>
    <w:rsid w:val="005424ED"/>
    <w:rsid w:val="00543B59"/>
    <w:rsid w:val="00544782"/>
    <w:rsid w:val="005473C0"/>
    <w:rsid w:val="0055303E"/>
    <w:rsid w:val="00553B75"/>
    <w:rsid w:val="0056293B"/>
    <w:rsid w:val="00580506"/>
    <w:rsid w:val="00581504"/>
    <w:rsid w:val="00582DD2"/>
    <w:rsid w:val="00585C6E"/>
    <w:rsid w:val="005926BF"/>
    <w:rsid w:val="00593FEB"/>
    <w:rsid w:val="005961E7"/>
    <w:rsid w:val="005965A9"/>
    <w:rsid w:val="005A3933"/>
    <w:rsid w:val="005B2FD0"/>
    <w:rsid w:val="005C10B1"/>
    <w:rsid w:val="005C5B03"/>
    <w:rsid w:val="005C6054"/>
    <w:rsid w:val="005C6AD9"/>
    <w:rsid w:val="005D0C8E"/>
    <w:rsid w:val="005D2E5D"/>
    <w:rsid w:val="005D5744"/>
    <w:rsid w:val="005D720E"/>
    <w:rsid w:val="005E2675"/>
    <w:rsid w:val="005E2805"/>
    <w:rsid w:val="005F0D29"/>
    <w:rsid w:val="005F2AB4"/>
    <w:rsid w:val="0060393D"/>
    <w:rsid w:val="00604CA5"/>
    <w:rsid w:val="00605167"/>
    <w:rsid w:val="0061588A"/>
    <w:rsid w:val="006200B0"/>
    <w:rsid w:val="00624B3F"/>
    <w:rsid w:val="006255D9"/>
    <w:rsid w:val="00626CBC"/>
    <w:rsid w:val="00634EF4"/>
    <w:rsid w:val="00636B3B"/>
    <w:rsid w:val="0064246B"/>
    <w:rsid w:val="00646002"/>
    <w:rsid w:val="00661FD8"/>
    <w:rsid w:val="00661FF1"/>
    <w:rsid w:val="006655FB"/>
    <w:rsid w:val="006659B1"/>
    <w:rsid w:val="00666BCC"/>
    <w:rsid w:val="00672B82"/>
    <w:rsid w:val="006748BC"/>
    <w:rsid w:val="0067585D"/>
    <w:rsid w:val="00680F9E"/>
    <w:rsid w:val="00691DC5"/>
    <w:rsid w:val="00693FC5"/>
    <w:rsid w:val="006968B5"/>
    <w:rsid w:val="006A1F8A"/>
    <w:rsid w:val="006A613C"/>
    <w:rsid w:val="006A6951"/>
    <w:rsid w:val="006C0205"/>
    <w:rsid w:val="006D15D3"/>
    <w:rsid w:val="006D3A5A"/>
    <w:rsid w:val="006D3D3A"/>
    <w:rsid w:val="006D45B0"/>
    <w:rsid w:val="006E1269"/>
    <w:rsid w:val="006E3C3B"/>
    <w:rsid w:val="006E5303"/>
    <w:rsid w:val="00700884"/>
    <w:rsid w:val="0070107D"/>
    <w:rsid w:val="00705914"/>
    <w:rsid w:val="00705FA7"/>
    <w:rsid w:val="007071BC"/>
    <w:rsid w:val="00711448"/>
    <w:rsid w:val="00715B60"/>
    <w:rsid w:val="00724AAC"/>
    <w:rsid w:val="00733C8D"/>
    <w:rsid w:val="00735427"/>
    <w:rsid w:val="0075560C"/>
    <w:rsid w:val="00763193"/>
    <w:rsid w:val="0076400A"/>
    <w:rsid w:val="00765800"/>
    <w:rsid w:val="00774B06"/>
    <w:rsid w:val="00777216"/>
    <w:rsid w:val="00777370"/>
    <w:rsid w:val="007818AF"/>
    <w:rsid w:val="00784FDD"/>
    <w:rsid w:val="00792404"/>
    <w:rsid w:val="0079431C"/>
    <w:rsid w:val="00797BEE"/>
    <w:rsid w:val="007A373D"/>
    <w:rsid w:val="007B77CD"/>
    <w:rsid w:val="007B7BB0"/>
    <w:rsid w:val="007C25B1"/>
    <w:rsid w:val="007D66B1"/>
    <w:rsid w:val="007E1A48"/>
    <w:rsid w:val="007E1EF2"/>
    <w:rsid w:val="007E6085"/>
    <w:rsid w:val="007E6820"/>
    <w:rsid w:val="007F182C"/>
    <w:rsid w:val="007F343D"/>
    <w:rsid w:val="007F3876"/>
    <w:rsid w:val="007F5034"/>
    <w:rsid w:val="00800B64"/>
    <w:rsid w:val="0080774C"/>
    <w:rsid w:val="008111F9"/>
    <w:rsid w:val="00815916"/>
    <w:rsid w:val="00820051"/>
    <w:rsid w:val="0082090D"/>
    <w:rsid w:val="00822335"/>
    <w:rsid w:val="00824EC3"/>
    <w:rsid w:val="00834C5C"/>
    <w:rsid w:val="00840531"/>
    <w:rsid w:val="008409AE"/>
    <w:rsid w:val="008457F3"/>
    <w:rsid w:val="00852124"/>
    <w:rsid w:val="008524E7"/>
    <w:rsid w:val="00854AD0"/>
    <w:rsid w:val="00855931"/>
    <w:rsid w:val="008609D2"/>
    <w:rsid w:val="00863E22"/>
    <w:rsid w:val="00867D75"/>
    <w:rsid w:val="00867F3E"/>
    <w:rsid w:val="008703CB"/>
    <w:rsid w:val="00872318"/>
    <w:rsid w:val="008738A4"/>
    <w:rsid w:val="008753A2"/>
    <w:rsid w:val="00875E3F"/>
    <w:rsid w:val="00877341"/>
    <w:rsid w:val="0088259A"/>
    <w:rsid w:val="00883A49"/>
    <w:rsid w:val="008840E9"/>
    <w:rsid w:val="00884BA4"/>
    <w:rsid w:val="008868FB"/>
    <w:rsid w:val="00895DDA"/>
    <w:rsid w:val="00897338"/>
    <w:rsid w:val="008979EC"/>
    <w:rsid w:val="008A162B"/>
    <w:rsid w:val="008A218E"/>
    <w:rsid w:val="008A507A"/>
    <w:rsid w:val="008A670B"/>
    <w:rsid w:val="008A7ED1"/>
    <w:rsid w:val="008B3FBA"/>
    <w:rsid w:val="008C3C50"/>
    <w:rsid w:val="008C621A"/>
    <w:rsid w:val="008D01A8"/>
    <w:rsid w:val="008E4443"/>
    <w:rsid w:val="008E4468"/>
    <w:rsid w:val="008E7026"/>
    <w:rsid w:val="008F1557"/>
    <w:rsid w:val="008F6A83"/>
    <w:rsid w:val="00901232"/>
    <w:rsid w:val="00904ADF"/>
    <w:rsid w:val="009067B4"/>
    <w:rsid w:val="00907E8B"/>
    <w:rsid w:val="0091066B"/>
    <w:rsid w:val="00914FE8"/>
    <w:rsid w:val="009176AE"/>
    <w:rsid w:val="009206C3"/>
    <w:rsid w:val="00923D5C"/>
    <w:rsid w:val="00930C7C"/>
    <w:rsid w:val="00931299"/>
    <w:rsid w:val="00934CD5"/>
    <w:rsid w:val="00937F8B"/>
    <w:rsid w:val="009477BB"/>
    <w:rsid w:val="00947D3D"/>
    <w:rsid w:val="00954E25"/>
    <w:rsid w:val="00962A95"/>
    <w:rsid w:val="009665A1"/>
    <w:rsid w:val="0096755F"/>
    <w:rsid w:val="00971A88"/>
    <w:rsid w:val="009827C6"/>
    <w:rsid w:val="00982990"/>
    <w:rsid w:val="00982F54"/>
    <w:rsid w:val="00984208"/>
    <w:rsid w:val="009900DD"/>
    <w:rsid w:val="009912C4"/>
    <w:rsid w:val="009A0086"/>
    <w:rsid w:val="009A45F4"/>
    <w:rsid w:val="009B2CCC"/>
    <w:rsid w:val="009C5F39"/>
    <w:rsid w:val="009C7AD5"/>
    <w:rsid w:val="009D078D"/>
    <w:rsid w:val="009D14FE"/>
    <w:rsid w:val="009D275F"/>
    <w:rsid w:val="009D6EFF"/>
    <w:rsid w:val="009E2C76"/>
    <w:rsid w:val="009E4DC6"/>
    <w:rsid w:val="009E54F9"/>
    <w:rsid w:val="009F31B6"/>
    <w:rsid w:val="00A04E5B"/>
    <w:rsid w:val="00A05670"/>
    <w:rsid w:val="00A05DE3"/>
    <w:rsid w:val="00A10825"/>
    <w:rsid w:val="00A11F60"/>
    <w:rsid w:val="00A174C3"/>
    <w:rsid w:val="00A20BC3"/>
    <w:rsid w:val="00A21B96"/>
    <w:rsid w:val="00A23139"/>
    <w:rsid w:val="00A32947"/>
    <w:rsid w:val="00A33662"/>
    <w:rsid w:val="00A3408A"/>
    <w:rsid w:val="00A35932"/>
    <w:rsid w:val="00A40075"/>
    <w:rsid w:val="00A4350C"/>
    <w:rsid w:val="00A50386"/>
    <w:rsid w:val="00A57846"/>
    <w:rsid w:val="00A6097C"/>
    <w:rsid w:val="00A60BAB"/>
    <w:rsid w:val="00A63DBE"/>
    <w:rsid w:val="00A67792"/>
    <w:rsid w:val="00A67B78"/>
    <w:rsid w:val="00A7062C"/>
    <w:rsid w:val="00A80437"/>
    <w:rsid w:val="00A84644"/>
    <w:rsid w:val="00A86322"/>
    <w:rsid w:val="00A90B30"/>
    <w:rsid w:val="00A94C05"/>
    <w:rsid w:val="00A958DD"/>
    <w:rsid w:val="00AA0D5D"/>
    <w:rsid w:val="00AA329B"/>
    <w:rsid w:val="00AA6D2D"/>
    <w:rsid w:val="00AB1798"/>
    <w:rsid w:val="00AB20F0"/>
    <w:rsid w:val="00AB3CDE"/>
    <w:rsid w:val="00AB4A49"/>
    <w:rsid w:val="00AB7966"/>
    <w:rsid w:val="00AC377D"/>
    <w:rsid w:val="00AC3C40"/>
    <w:rsid w:val="00AD386C"/>
    <w:rsid w:val="00AD6C86"/>
    <w:rsid w:val="00AD7A46"/>
    <w:rsid w:val="00AE070D"/>
    <w:rsid w:val="00AE0A69"/>
    <w:rsid w:val="00AE2CB7"/>
    <w:rsid w:val="00AE3658"/>
    <w:rsid w:val="00AE554F"/>
    <w:rsid w:val="00AE7515"/>
    <w:rsid w:val="00AF0C54"/>
    <w:rsid w:val="00AF41FA"/>
    <w:rsid w:val="00AF47CA"/>
    <w:rsid w:val="00AF6855"/>
    <w:rsid w:val="00B00EBF"/>
    <w:rsid w:val="00B017DA"/>
    <w:rsid w:val="00B07ED5"/>
    <w:rsid w:val="00B20916"/>
    <w:rsid w:val="00B24051"/>
    <w:rsid w:val="00B26C42"/>
    <w:rsid w:val="00B27FD2"/>
    <w:rsid w:val="00B30507"/>
    <w:rsid w:val="00B30FAB"/>
    <w:rsid w:val="00B33380"/>
    <w:rsid w:val="00B333BB"/>
    <w:rsid w:val="00B44BA8"/>
    <w:rsid w:val="00B56321"/>
    <w:rsid w:val="00B568E1"/>
    <w:rsid w:val="00B574E6"/>
    <w:rsid w:val="00B6109E"/>
    <w:rsid w:val="00B62D6C"/>
    <w:rsid w:val="00B6460F"/>
    <w:rsid w:val="00B64CE4"/>
    <w:rsid w:val="00B67467"/>
    <w:rsid w:val="00B72F00"/>
    <w:rsid w:val="00B90DC1"/>
    <w:rsid w:val="00B91168"/>
    <w:rsid w:val="00B91580"/>
    <w:rsid w:val="00B92E5D"/>
    <w:rsid w:val="00B934E4"/>
    <w:rsid w:val="00B940DB"/>
    <w:rsid w:val="00BA0BBB"/>
    <w:rsid w:val="00BA21A7"/>
    <w:rsid w:val="00BA5591"/>
    <w:rsid w:val="00BA6244"/>
    <w:rsid w:val="00BB27E9"/>
    <w:rsid w:val="00BB2EFD"/>
    <w:rsid w:val="00BB4A94"/>
    <w:rsid w:val="00BB5FCE"/>
    <w:rsid w:val="00BB6B76"/>
    <w:rsid w:val="00BD5091"/>
    <w:rsid w:val="00BD7CBE"/>
    <w:rsid w:val="00BE1499"/>
    <w:rsid w:val="00BE3EEE"/>
    <w:rsid w:val="00BE4FA8"/>
    <w:rsid w:val="00BE5A33"/>
    <w:rsid w:val="00BF154D"/>
    <w:rsid w:val="00C009BE"/>
    <w:rsid w:val="00C02061"/>
    <w:rsid w:val="00C024EE"/>
    <w:rsid w:val="00C23765"/>
    <w:rsid w:val="00C26F5F"/>
    <w:rsid w:val="00C378E1"/>
    <w:rsid w:val="00C4230A"/>
    <w:rsid w:val="00C43883"/>
    <w:rsid w:val="00C76B6D"/>
    <w:rsid w:val="00C87690"/>
    <w:rsid w:val="00C93376"/>
    <w:rsid w:val="00C93922"/>
    <w:rsid w:val="00CA3918"/>
    <w:rsid w:val="00CA70D8"/>
    <w:rsid w:val="00CA75CB"/>
    <w:rsid w:val="00CB0B7E"/>
    <w:rsid w:val="00CB5C5F"/>
    <w:rsid w:val="00CB6942"/>
    <w:rsid w:val="00CC0419"/>
    <w:rsid w:val="00CC1A5B"/>
    <w:rsid w:val="00CD3234"/>
    <w:rsid w:val="00CD5E38"/>
    <w:rsid w:val="00CE51E0"/>
    <w:rsid w:val="00CE6C99"/>
    <w:rsid w:val="00CF13EC"/>
    <w:rsid w:val="00CF38BE"/>
    <w:rsid w:val="00CF410F"/>
    <w:rsid w:val="00D152C0"/>
    <w:rsid w:val="00D177A6"/>
    <w:rsid w:val="00D202AD"/>
    <w:rsid w:val="00D237A7"/>
    <w:rsid w:val="00D26AAC"/>
    <w:rsid w:val="00D303B3"/>
    <w:rsid w:val="00D313B1"/>
    <w:rsid w:val="00D318D4"/>
    <w:rsid w:val="00D45E41"/>
    <w:rsid w:val="00D46861"/>
    <w:rsid w:val="00D46EBA"/>
    <w:rsid w:val="00D50B50"/>
    <w:rsid w:val="00D527AD"/>
    <w:rsid w:val="00D52995"/>
    <w:rsid w:val="00D539A1"/>
    <w:rsid w:val="00D60B2E"/>
    <w:rsid w:val="00D63FBC"/>
    <w:rsid w:val="00D6435A"/>
    <w:rsid w:val="00D70E34"/>
    <w:rsid w:val="00D72E36"/>
    <w:rsid w:val="00D73B7E"/>
    <w:rsid w:val="00D73F75"/>
    <w:rsid w:val="00D73FD0"/>
    <w:rsid w:val="00D740F2"/>
    <w:rsid w:val="00D812BB"/>
    <w:rsid w:val="00D81B77"/>
    <w:rsid w:val="00D84D03"/>
    <w:rsid w:val="00D87D0B"/>
    <w:rsid w:val="00D94996"/>
    <w:rsid w:val="00D95B75"/>
    <w:rsid w:val="00DA3D8B"/>
    <w:rsid w:val="00DA6468"/>
    <w:rsid w:val="00DB0150"/>
    <w:rsid w:val="00DB52A9"/>
    <w:rsid w:val="00DC67BE"/>
    <w:rsid w:val="00DD1299"/>
    <w:rsid w:val="00DD2A87"/>
    <w:rsid w:val="00DD381D"/>
    <w:rsid w:val="00DD5BF6"/>
    <w:rsid w:val="00DE6550"/>
    <w:rsid w:val="00DE7B10"/>
    <w:rsid w:val="00DF0CBE"/>
    <w:rsid w:val="00DF25B0"/>
    <w:rsid w:val="00E019AB"/>
    <w:rsid w:val="00E02320"/>
    <w:rsid w:val="00E02BDC"/>
    <w:rsid w:val="00E079A0"/>
    <w:rsid w:val="00E11481"/>
    <w:rsid w:val="00E12482"/>
    <w:rsid w:val="00E14961"/>
    <w:rsid w:val="00E21E7D"/>
    <w:rsid w:val="00E37CE0"/>
    <w:rsid w:val="00E429FB"/>
    <w:rsid w:val="00E4798B"/>
    <w:rsid w:val="00E56E0B"/>
    <w:rsid w:val="00E63528"/>
    <w:rsid w:val="00E63541"/>
    <w:rsid w:val="00E67643"/>
    <w:rsid w:val="00E71275"/>
    <w:rsid w:val="00E71576"/>
    <w:rsid w:val="00E76D51"/>
    <w:rsid w:val="00E82B41"/>
    <w:rsid w:val="00E90D45"/>
    <w:rsid w:val="00EA1523"/>
    <w:rsid w:val="00EA5ECA"/>
    <w:rsid w:val="00EB0392"/>
    <w:rsid w:val="00EB08BC"/>
    <w:rsid w:val="00EC0DE4"/>
    <w:rsid w:val="00EE73FD"/>
    <w:rsid w:val="00EE7569"/>
    <w:rsid w:val="00EF0528"/>
    <w:rsid w:val="00F0261C"/>
    <w:rsid w:val="00F02734"/>
    <w:rsid w:val="00F03FE2"/>
    <w:rsid w:val="00F05B75"/>
    <w:rsid w:val="00F153C8"/>
    <w:rsid w:val="00F17927"/>
    <w:rsid w:val="00F22077"/>
    <w:rsid w:val="00F259CD"/>
    <w:rsid w:val="00F27B17"/>
    <w:rsid w:val="00F3203A"/>
    <w:rsid w:val="00F335CF"/>
    <w:rsid w:val="00F453C8"/>
    <w:rsid w:val="00F603E9"/>
    <w:rsid w:val="00F7420E"/>
    <w:rsid w:val="00F8029F"/>
    <w:rsid w:val="00F84DA3"/>
    <w:rsid w:val="00F97AE1"/>
    <w:rsid w:val="00FA135B"/>
    <w:rsid w:val="00FA2367"/>
    <w:rsid w:val="00FA23FD"/>
    <w:rsid w:val="00FA3330"/>
    <w:rsid w:val="00FA526F"/>
    <w:rsid w:val="00FB0179"/>
    <w:rsid w:val="00FB2215"/>
    <w:rsid w:val="00FC60DD"/>
    <w:rsid w:val="00FC691F"/>
    <w:rsid w:val="00FD1B31"/>
    <w:rsid w:val="00FD4DAA"/>
    <w:rsid w:val="00FD58E1"/>
    <w:rsid w:val="00FD72BE"/>
    <w:rsid w:val="00FE0495"/>
    <w:rsid w:val="00FF350A"/>
    <w:rsid w:val="00FF35F3"/>
    <w:rsid w:val="00FF6A38"/>
    <w:rsid w:val="0FD74E06"/>
    <w:rsid w:val="10E96937"/>
    <w:rsid w:val="1B507FEC"/>
    <w:rsid w:val="25726251"/>
    <w:rsid w:val="26D90B8A"/>
    <w:rsid w:val="2C8449A2"/>
    <w:rsid w:val="4B310AF5"/>
    <w:rsid w:val="6A406013"/>
    <w:rsid w:val="70B97F85"/>
    <w:rsid w:val="7F1C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0" w:semiHidden="0" w:name="heading 9"/>
    <w:lsdException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3"/>
    <w:qFormat/>
    <w:uiPriority w:val="0"/>
    <w:pPr>
      <w:numPr>
        <w:ilvl w:val="0"/>
        <w:numId w:val="1"/>
      </w:numPr>
      <w:jc w:val="left"/>
      <w:outlineLvl w:val="0"/>
    </w:pPr>
    <w:rPr>
      <w:rFonts w:eastAsia="黑体" w:cs="Times New Roman"/>
      <w:bCs/>
      <w:kern w:val="44"/>
      <w:sz w:val="28"/>
      <w:szCs w:val="44"/>
    </w:rPr>
  </w:style>
  <w:style w:type="paragraph" w:styleId="3">
    <w:name w:val="heading 2"/>
    <w:basedOn w:val="1"/>
    <w:next w:val="1"/>
    <w:link w:val="32"/>
    <w:qFormat/>
    <w:uiPriority w:val="0"/>
    <w:pPr>
      <w:numPr>
        <w:ilvl w:val="1"/>
        <w:numId w:val="1"/>
      </w:numPr>
      <w:outlineLvl w:val="1"/>
    </w:pPr>
    <w:rPr>
      <w:rFonts w:cs="Times New Roman"/>
      <w:bCs/>
      <w:szCs w:val="24"/>
    </w:rPr>
  </w:style>
  <w:style w:type="paragraph" w:styleId="4">
    <w:name w:val="heading 3"/>
    <w:basedOn w:val="1"/>
    <w:next w:val="1"/>
    <w:link w:val="36"/>
    <w:qFormat/>
    <w:uiPriority w:val="0"/>
    <w:pPr>
      <w:numPr>
        <w:ilvl w:val="2"/>
        <w:numId w:val="1"/>
      </w:numPr>
      <w:snapToGrid w:val="0"/>
      <w:ind w:left="284"/>
      <w:outlineLvl w:val="2"/>
    </w:pPr>
    <w:rPr>
      <w:rFonts w:cs="Times New Roman"/>
      <w:bCs/>
      <w:szCs w:val="28"/>
    </w:rPr>
  </w:style>
  <w:style w:type="paragraph" w:styleId="5">
    <w:name w:val="heading 4"/>
    <w:basedOn w:val="1"/>
    <w:next w:val="1"/>
    <w:link w:val="37"/>
    <w:qFormat/>
    <w:uiPriority w:val="0"/>
    <w:pPr>
      <w:numPr>
        <w:ilvl w:val="3"/>
        <w:numId w:val="1"/>
      </w:numPr>
      <w:jc w:val="left"/>
      <w:outlineLvl w:val="3"/>
    </w:pPr>
    <w:rPr>
      <w:rFonts w:cs="Times New Roman"/>
      <w:bCs/>
      <w:szCs w:val="28"/>
    </w:rPr>
  </w:style>
  <w:style w:type="paragraph" w:styleId="6">
    <w:name w:val="heading 5"/>
    <w:basedOn w:val="1"/>
    <w:next w:val="1"/>
    <w:link w:val="38"/>
    <w:qFormat/>
    <w:uiPriority w:val="0"/>
    <w:pPr>
      <w:keepNext/>
      <w:keepLines/>
      <w:numPr>
        <w:ilvl w:val="4"/>
        <w:numId w:val="1"/>
      </w:numPr>
      <w:jc w:val="left"/>
      <w:outlineLvl w:val="4"/>
    </w:pPr>
    <w:rPr>
      <w:rFonts w:cs="宋体"/>
      <w:bCs/>
      <w:szCs w:val="28"/>
    </w:rPr>
  </w:style>
  <w:style w:type="paragraph" w:styleId="7">
    <w:name w:val="heading 6"/>
    <w:basedOn w:val="1"/>
    <w:next w:val="1"/>
    <w:link w:val="39"/>
    <w:qFormat/>
    <w:uiPriority w:val="0"/>
    <w:pPr>
      <w:keepNext/>
      <w:keepLines/>
      <w:numPr>
        <w:ilvl w:val="5"/>
        <w:numId w:val="1"/>
      </w:numPr>
      <w:spacing w:before="240" w:after="64" w:line="320" w:lineRule="auto"/>
      <w:outlineLvl w:val="5"/>
    </w:pPr>
    <w:rPr>
      <w:rFonts w:ascii="Cambria" w:hAnsi="Cambria" w:cs="Times New Roman"/>
      <w:b/>
      <w:bCs/>
      <w:szCs w:val="24"/>
    </w:rPr>
  </w:style>
  <w:style w:type="paragraph" w:styleId="8">
    <w:name w:val="heading 7"/>
    <w:basedOn w:val="1"/>
    <w:next w:val="1"/>
    <w:link w:val="40"/>
    <w:unhideWhenUsed/>
    <w:qFormat/>
    <w:uiPriority w:val="0"/>
    <w:pPr>
      <w:keepNext/>
      <w:keepLines/>
      <w:numPr>
        <w:ilvl w:val="6"/>
        <w:numId w:val="1"/>
      </w:numPr>
      <w:spacing w:before="240" w:after="64" w:line="320" w:lineRule="auto"/>
      <w:outlineLvl w:val="6"/>
    </w:pPr>
    <w:rPr>
      <w:rFonts w:cs="宋体"/>
      <w:b/>
      <w:bCs/>
      <w:szCs w:val="24"/>
    </w:rPr>
  </w:style>
  <w:style w:type="paragraph" w:styleId="9">
    <w:name w:val="heading 8"/>
    <w:basedOn w:val="1"/>
    <w:next w:val="1"/>
    <w:link w:val="41"/>
    <w:unhideWhenUsed/>
    <w:qFormat/>
    <w:uiPriority w:val="0"/>
    <w:pPr>
      <w:keepNext/>
      <w:keepLines/>
      <w:numPr>
        <w:ilvl w:val="7"/>
        <w:numId w:val="1"/>
      </w:numPr>
      <w:spacing w:before="240" w:after="64" w:line="320" w:lineRule="auto"/>
      <w:outlineLvl w:val="7"/>
    </w:pPr>
    <w:rPr>
      <w:rFonts w:ascii="Cambria" w:hAnsi="Cambria" w:cs="Times New Roman"/>
      <w:szCs w:val="24"/>
    </w:rPr>
  </w:style>
  <w:style w:type="paragraph" w:styleId="10">
    <w:name w:val="heading 9"/>
    <w:basedOn w:val="1"/>
    <w:next w:val="1"/>
    <w:link w:val="42"/>
    <w:unhideWhenUsed/>
    <w:qFormat/>
    <w:uiPriority w:val="0"/>
    <w:pPr>
      <w:keepNext/>
      <w:keepLines/>
      <w:numPr>
        <w:ilvl w:val="8"/>
        <w:numId w:val="1"/>
      </w:numPr>
      <w:spacing w:before="240" w:after="64" w:line="320" w:lineRule="auto"/>
      <w:outlineLvl w:val="8"/>
    </w:pPr>
    <w:rPr>
      <w:rFonts w:ascii="Cambria" w:hAnsi="Cambria" w:cs="Times New Roman"/>
      <w:szCs w:val="21"/>
    </w:rPr>
  </w:style>
  <w:style w:type="character" w:default="1" w:styleId="27">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text"/>
    <w:basedOn w:val="1"/>
    <w:link w:val="51"/>
    <w:semiHidden/>
    <w:unhideWhenUsed/>
    <w:qFormat/>
    <w:uiPriority w:val="99"/>
    <w:pPr>
      <w:jc w:val="left"/>
    </w:pPr>
  </w:style>
  <w:style w:type="paragraph" w:styleId="12">
    <w:name w:val="Body Text"/>
    <w:basedOn w:val="1"/>
    <w:link w:val="47"/>
    <w:unhideWhenUsed/>
    <w:qFormat/>
    <w:uiPriority w:val="99"/>
    <w:pPr>
      <w:spacing w:after="120"/>
    </w:pPr>
  </w:style>
  <w:style w:type="paragraph" w:styleId="13">
    <w:name w:val="Body Text Indent"/>
    <w:basedOn w:val="1"/>
    <w:link w:val="54"/>
    <w:semiHidden/>
    <w:unhideWhenUsed/>
    <w:qFormat/>
    <w:uiPriority w:val="99"/>
    <w:pPr>
      <w:spacing w:after="120"/>
      <w:ind w:left="420" w:leftChars="200"/>
    </w:pPr>
  </w:style>
  <w:style w:type="paragraph" w:styleId="14">
    <w:name w:val="toc 3"/>
    <w:basedOn w:val="1"/>
    <w:next w:val="1"/>
    <w:unhideWhenUsed/>
    <w:qFormat/>
    <w:uiPriority w:val="39"/>
    <w:pPr>
      <w:ind w:left="840" w:leftChars="400"/>
    </w:pPr>
  </w:style>
  <w:style w:type="paragraph" w:styleId="15">
    <w:name w:val="Date"/>
    <w:basedOn w:val="1"/>
    <w:next w:val="1"/>
    <w:link w:val="48"/>
    <w:unhideWhenUsed/>
    <w:qFormat/>
    <w:uiPriority w:val="0"/>
    <w:pPr>
      <w:ind w:left="100" w:leftChars="2500"/>
    </w:pPr>
  </w:style>
  <w:style w:type="paragraph" w:styleId="16">
    <w:name w:val="Balloon Text"/>
    <w:basedOn w:val="1"/>
    <w:link w:val="50"/>
    <w:unhideWhenUsed/>
    <w:qFormat/>
    <w:uiPriority w:val="0"/>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index heading"/>
    <w:basedOn w:val="1"/>
    <w:next w:val="21"/>
    <w:uiPriority w:val="0"/>
    <w:pPr>
      <w:ind w:firstLine="113"/>
      <w:jc w:val="left"/>
    </w:pPr>
    <w:rPr>
      <w:rFonts w:cs="Times New Roman"/>
      <w:szCs w:val="20"/>
    </w:rPr>
  </w:style>
  <w:style w:type="paragraph" w:styleId="21">
    <w:name w:val="index 1"/>
    <w:basedOn w:val="1"/>
    <w:next w:val="1"/>
    <w:unhideWhenUsed/>
    <w:uiPriority w:val="0"/>
  </w:style>
  <w:style w:type="paragraph" w:styleId="22">
    <w:name w:val="toc 2"/>
    <w:basedOn w:val="1"/>
    <w:next w:val="1"/>
    <w:unhideWhenUsed/>
    <w:qFormat/>
    <w:uiPriority w:val="39"/>
    <w:pPr>
      <w:ind w:left="420" w:leftChars="200"/>
    </w:pPr>
  </w:style>
  <w:style w:type="paragraph" w:styleId="23">
    <w:name w:val="annotation subject"/>
    <w:basedOn w:val="11"/>
    <w:next w:val="11"/>
    <w:link w:val="52"/>
    <w:semiHidden/>
    <w:unhideWhenUsed/>
    <w:qFormat/>
    <w:uiPriority w:val="99"/>
    <w:rPr>
      <w:b/>
      <w:bCs/>
    </w:rPr>
  </w:style>
  <w:style w:type="paragraph" w:styleId="24">
    <w:name w:val="Body Text First Indent"/>
    <w:basedOn w:val="12"/>
    <w:link w:val="59"/>
    <w:uiPriority w:val="0"/>
    <w:pPr>
      <w:ind w:firstLine="420" w:firstLineChars="100"/>
    </w:pPr>
    <w:rPr>
      <w:rFonts w:cs="Times New Roman"/>
      <w:szCs w:val="24"/>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FollowedHyperlink"/>
    <w:basedOn w:val="27"/>
    <w:semiHidden/>
    <w:unhideWhenUsed/>
    <w:uiPriority w:val="99"/>
    <w:rPr>
      <w:color w:val="954F72"/>
      <w:u w:val="single"/>
    </w:rPr>
  </w:style>
  <w:style w:type="character" w:styleId="29">
    <w:name w:val="Hyperlink"/>
    <w:basedOn w:val="27"/>
    <w:unhideWhenUsed/>
    <w:qFormat/>
    <w:uiPriority w:val="99"/>
    <w:rPr>
      <w:color w:val="0000FF" w:themeColor="hyperlink"/>
      <w:u w:val="single"/>
      <w14:textFill>
        <w14:solidFill>
          <w14:schemeClr w14:val="hlink"/>
        </w14:solidFill>
      </w14:textFill>
    </w:rPr>
  </w:style>
  <w:style w:type="character" w:styleId="30">
    <w:name w:val="annotation reference"/>
    <w:basedOn w:val="27"/>
    <w:semiHidden/>
    <w:unhideWhenUsed/>
    <w:qFormat/>
    <w:uiPriority w:val="99"/>
    <w:rPr>
      <w:sz w:val="21"/>
      <w:szCs w:val="21"/>
    </w:rPr>
  </w:style>
  <w:style w:type="character" w:styleId="31">
    <w:name w:val="HTML Sample"/>
    <w:qFormat/>
    <w:uiPriority w:val="0"/>
    <w:rPr>
      <w:rFonts w:ascii="Courier New" w:hAnsi="Courier New" w:cs="Courier New"/>
    </w:rPr>
  </w:style>
  <w:style w:type="character" w:customStyle="1" w:styleId="32">
    <w:name w:val="标题 2 Char"/>
    <w:basedOn w:val="27"/>
    <w:link w:val="3"/>
    <w:qFormat/>
    <w:uiPriority w:val="0"/>
    <w:rPr>
      <w:bCs/>
      <w:kern w:val="2"/>
      <w:sz w:val="24"/>
      <w:szCs w:val="24"/>
    </w:rPr>
  </w:style>
  <w:style w:type="character" w:customStyle="1" w:styleId="33">
    <w:name w:val="标题 1 Char"/>
    <w:basedOn w:val="27"/>
    <w:link w:val="2"/>
    <w:qFormat/>
    <w:uiPriority w:val="0"/>
    <w:rPr>
      <w:rFonts w:eastAsia="黑体"/>
      <w:bCs/>
      <w:kern w:val="44"/>
      <w:sz w:val="28"/>
      <w:szCs w:val="44"/>
    </w:rPr>
  </w:style>
  <w:style w:type="character" w:customStyle="1" w:styleId="34">
    <w:name w:val="页眉 Char"/>
    <w:basedOn w:val="27"/>
    <w:link w:val="18"/>
    <w:qFormat/>
    <w:uiPriority w:val="99"/>
    <w:rPr>
      <w:sz w:val="18"/>
      <w:szCs w:val="18"/>
    </w:rPr>
  </w:style>
  <w:style w:type="character" w:customStyle="1" w:styleId="35">
    <w:name w:val="页脚 Char"/>
    <w:basedOn w:val="27"/>
    <w:link w:val="17"/>
    <w:qFormat/>
    <w:uiPriority w:val="99"/>
    <w:rPr>
      <w:sz w:val="18"/>
      <w:szCs w:val="18"/>
    </w:rPr>
  </w:style>
  <w:style w:type="character" w:customStyle="1" w:styleId="36">
    <w:name w:val="标题 3 Char"/>
    <w:basedOn w:val="27"/>
    <w:link w:val="4"/>
    <w:qFormat/>
    <w:uiPriority w:val="0"/>
    <w:rPr>
      <w:bCs/>
      <w:kern w:val="2"/>
      <w:sz w:val="24"/>
      <w:szCs w:val="28"/>
    </w:rPr>
  </w:style>
  <w:style w:type="character" w:customStyle="1" w:styleId="37">
    <w:name w:val="标题 4 Char"/>
    <w:basedOn w:val="27"/>
    <w:link w:val="5"/>
    <w:qFormat/>
    <w:uiPriority w:val="0"/>
    <w:rPr>
      <w:rFonts w:ascii="Times New Roman" w:hAnsi="Times New Roman" w:eastAsia="宋体" w:cs="Times New Roman"/>
      <w:bCs/>
      <w:sz w:val="24"/>
      <w:szCs w:val="28"/>
    </w:rPr>
  </w:style>
  <w:style w:type="character" w:customStyle="1" w:styleId="38">
    <w:name w:val="标题 5 Char"/>
    <w:basedOn w:val="27"/>
    <w:link w:val="6"/>
    <w:qFormat/>
    <w:uiPriority w:val="0"/>
    <w:rPr>
      <w:rFonts w:ascii="Times New Roman" w:hAnsi="Times New Roman" w:eastAsia="宋体" w:cs="宋体"/>
      <w:bCs/>
      <w:sz w:val="24"/>
      <w:szCs w:val="28"/>
    </w:rPr>
  </w:style>
  <w:style w:type="character" w:customStyle="1" w:styleId="39">
    <w:name w:val="标题 6 Char"/>
    <w:basedOn w:val="27"/>
    <w:link w:val="7"/>
    <w:qFormat/>
    <w:uiPriority w:val="0"/>
    <w:rPr>
      <w:rFonts w:ascii="Cambria" w:hAnsi="Cambria" w:eastAsia="宋体" w:cs="Times New Roman"/>
      <w:b/>
      <w:bCs/>
      <w:sz w:val="24"/>
      <w:szCs w:val="24"/>
    </w:rPr>
  </w:style>
  <w:style w:type="character" w:customStyle="1" w:styleId="40">
    <w:name w:val="标题 7 Char"/>
    <w:basedOn w:val="27"/>
    <w:link w:val="8"/>
    <w:qFormat/>
    <w:uiPriority w:val="0"/>
    <w:rPr>
      <w:rFonts w:ascii="Times New Roman" w:hAnsi="Times New Roman" w:eastAsia="宋体" w:cs="宋体"/>
      <w:b/>
      <w:bCs/>
      <w:sz w:val="24"/>
      <w:szCs w:val="24"/>
    </w:rPr>
  </w:style>
  <w:style w:type="character" w:customStyle="1" w:styleId="41">
    <w:name w:val="标题 8 Char"/>
    <w:basedOn w:val="27"/>
    <w:link w:val="9"/>
    <w:qFormat/>
    <w:uiPriority w:val="0"/>
    <w:rPr>
      <w:rFonts w:ascii="Cambria" w:hAnsi="Cambria" w:eastAsia="宋体" w:cs="Times New Roman"/>
      <w:sz w:val="24"/>
      <w:szCs w:val="24"/>
    </w:rPr>
  </w:style>
  <w:style w:type="character" w:customStyle="1" w:styleId="42">
    <w:name w:val="标题 9 Char"/>
    <w:basedOn w:val="27"/>
    <w:link w:val="10"/>
    <w:qFormat/>
    <w:uiPriority w:val="0"/>
    <w:rPr>
      <w:rFonts w:ascii="Cambria" w:hAnsi="Cambria" w:eastAsia="宋体" w:cs="Times New Roman"/>
      <w:szCs w:val="21"/>
    </w:rPr>
  </w:style>
  <w:style w:type="paragraph" w:styleId="43">
    <w:name w:val="List Paragraph"/>
    <w:basedOn w:val="1"/>
    <w:qFormat/>
    <w:uiPriority w:val="0"/>
    <w:pPr>
      <w:ind w:firstLine="420" w:firstLineChars="200"/>
    </w:pPr>
    <w:rPr>
      <w:rFonts w:cs="宋体"/>
      <w:szCs w:val="21"/>
    </w:rPr>
  </w:style>
  <w:style w:type="paragraph" w:customStyle="1" w:styleId="44">
    <w:name w:val="我的正文"/>
    <w:basedOn w:val="1"/>
    <w:qFormat/>
    <w:uiPriority w:val="0"/>
    <w:pPr>
      <w:adjustRightInd w:val="0"/>
      <w:snapToGrid w:val="0"/>
      <w:jc w:val="left"/>
    </w:pPr>
    <w:rPr>
      <w:rFonts w:cs="Times New Roman"/>
      <w:snapToGrid w:val="0"/>
      <w:szCs w:val="24"/>
    </w:rPr>
  </w:style>
  <w:style w:type="character" w:customStyle="1" w:styleId="45">
    <w:name w:val="标题 2 Char1"/>
    <w:qFormat/>
    <w:uiPriority w:val="9"/>
    <w:rPr>
      <w:rFonts w:ascii="Times New Roman" w:hAnsi="Times New Roman" w:eastAsia="黑体" w:cs="Times New Roman"/>
      <w:bCs/>
      <w:sz w:val="36"/>
      <w:szCs w:val="32"/>
    </w:rPr>
  </w:style>
  <w:style w:type="paragraph" w:customStyle="1" w:styleId="46">
    <w:name w:val="样式1"/>
    <w:basedOn w:val="12"/>
    <w:qFormat/>
    <w:uiPriority w:val="0"/>
    <w:pPr>
      <w:widowControl/>
      <w:jc w:val="center"/>
    </w:pPr>
    <w:rPr>
      <w:rFonts w:ascii="Arial" w:hAnsi="Arial" w:eastAsia="楷体_GB2312" w:cs="Arial"/>
      <w:b/>
      <w:bCs/>
      <w:kern w:val="0"/>
      <w:sz w:val="32"/>
      <w:szCs w:val="28"/>
    </w:rPr>
  </w:style>
  <w:style w:type="character" w:customStyle="1" w:styleId="47">
    <w:name w:val="正文文本 Char"/>
    <w:basedOn w:val="27"/>
    <w:link w:val="12"/>
    <w:semiHidden/>
    <w:qFormat/>
    <w:uiPriority w:val="99"/>
  </w:style>
  <w:style w:type="character" w:customStyle="1" w:styleId="48">
    <w:name w:val="日期 Char"/>
    <w:link w:val="15"/>
    <w:qFormat/>
    <w:uiPriority w:val="0"/>
    <w:rPr>
      <w:rFonts w:ascii="Times New Roman" w:hAnsi="Times New Roman"/>
      <w:sz w:val="24"/>
    </w:rPr>
  </w:style>
  <w:style w:type="character" w:customStyle="1" w:styleId="49">
    <w:name w:val="日期 Char1"/>
    <w:basedOn w:val="27"/>
    <w:semiHidden/>
    <w:qFormat/>
    <w:uiPriority w:val="99"/>
  </w:style>
  <w:style w:type="character" w:customStyle="1" w:styleId="50">
    <w:name w:val="批注框文本 Char"/>
    <w:basedOn w:val="27"/>
    <w:link w:val="16"/>
    <w:semiHidden/>
    <w:qFormat/>
    <w:uiPriority w:val="99"/>
    <w:rPr>
      <w:sz w:val="18"/>
      <w:szCs w:val="18"/>
    </w:rPr>
  </w:style>
  <w:style w:type="character" w:customStyle="1" w:styleId="51">
    <w:name w:val="批注文字 Char"/>
    <w:basedOn w:val="27"/>
    <w:link w:val="11"/>
    <w:semiHidden/>
    <w:qFormat/>
    <w:uiPriority w:val="99"/>
    <w:rPr>
      <w:rFonts w:asciiTheme="minorHAnsi" w:hAnsiTheme="minorHAnsi" w:eastAsiaTheme="minorEastAsia" w:cstheme="minorBidi"/>
      <w:kern w:val="2"/>
      <w:sz w:val="21"/>
      <w:szCs w:val="22"/>
    </w:rPr>
  </w:style>
  <w:style w:type="character" w:customStyle="1" w:styleId="52">
    <w:name w:val="批注主题 Char"/>
    <w:basedOn w:val="51"/>
    <w:link w:val="23"/>
    <w:semiHidden/>
    <w:qFormat/>
    <w:uiPriority w:val="99"/>
    <w:rPr>
      <w:rFonts w:asciiTheme="minorHAnsi" w:hAnsiTheme="minorHAnsi" w:eastAsiaTheme="minorEastAsia" w:cstheme="minorBidi"/>
      <w:b/>
      <w:bCs/>
      <w:kern w:val="2"/>
      <w:sz w:val="21"/>
      <w:szCs w:val="22"/>
    </w:rPr>
  </w:style>
  <w:style w:type="paragraph" w:customStyle="1" w:styleId="53">
    <w:name w:val="图表文字"/>
    <w:basedOn w:val="1"/>
    <w:qFormat/>
    <w:uiPriority w:val="0"/>
    <w:pPr>
      <w:adjustRightInd w:val="0"/>
      <w:snapToGrid w:val="0"/>
      <w:spacing w:line="300" w:lineRule="auto"/>
      <w:jc w:val="center"/>
    </w:pPr>
    <w:rPr>
      <w:rFonts w:cs="宋体"/>
      <w:sz w:val="21"/>
      <w:szCs w:val="21"/>
    </w:rPr>
  </w:style>
  <w:style w:type="character" w:customStyle="1" w:styleId="54">
    <w:name w:val="正文文本缩进 Char"/>
    <w:basedOn w:val="27"/>
    <w:link w:val="13"/>
    <w:semiHidden/>
    <w:qFormat/>
    <w:uiPriority w:val="99"/>
    <w:rPr>
      <w:rFonts w:cstheme="minorBidi"/>
      <w:kern w:val="2"/>
      <w:sz w:val="24"/>
      <w:szCs w:val="22"/>
    </w:rPr>
  </w:style>
  <w:style w:type="paragraph" w:customStyle="1" w:styleId="55">
    <w:name w:val="正文报告"/>
    <w:basedOn w:val="1"/>
    <w:qFormat/>
    <w:uiPriority w:val="0"/>
    <w:pPr>
      <w:tabs>
        <w:tab w:val="left" w:pos="510"/>
      </w:tabs>
      <w:adjustRightInd w:val="0"/>
      <w:spacing w:line="460" w:lineRule="exact"/>
      <w:ind w:firstLine="482"/>
      <w:textAlignment w:val="baseline"/>
    </w:pPr>
    <w:rPr>
      <w:rFonts w:cs="Times New Roman"/>
      <w:kern w:val="0"/>
      <w:szCs w:val="20"/>
    </w:rPr>
  </w:style>
  <w:style w:type="paragraph" w:customStyle="1" w:styleId="56">
    <w:name w:val="默认段落字体 Para Char Char Char Char"/>
    <w:basedOn w:val="1"/>
    <w:qFormat/>
    <w:uiPriority w:val="0"/>
    <w:pPr>
      <w:spacing w:line="240" w:lineRule="auto"/>
    </w:pPr>
    <w:rPr>
      <w:rFonts w:cs="Times New Roman"/>
      <w:sz w:val="21"/>
      <w:szCs w:val="24"/>
    </w:rPr>
  </w:style>
  <w:style w:type="character" w:customStyle="1" w:styleId="57">
    <w:name w:val="0正文 Char"/>
    <w:link w:val="58"/>
    <w:uiPriority w:val="0"/>
    <w:rPr>
      <w:kern w:val="2"/>
      <w:sz w:val="24"/>
    </w:rPr>
  </w:style>
  <w:style w:type="paragraph" w:customStyle="1" w:styleId="58">
    <w:name w:val="0正文"/>
    <w:basedOn w:val="1"/>
    <w:link w:val="57"/>
    <w:qFormat/>
    <w:uiPriority w:val="0"/>
    <w:pPr>
      <w:ind w:firstLine="480"/>
    </w:pPr>
    <w:rPr>
      <w:rFonts w:cs="Times New Roman"/>
      <w:szCs w:val="20"/>
    </w:rPr>
  </w:style>
  <w:style w:type="character" w:customStyle="1" w:styleId="59">
    <w:name w:val="正文首行缩进 Char"/>
    <w:link w:val="24"/>
    <w:uiPriority w:val="0"/>
    <w:rPr>
      <w:kern w:val="2"/>
      <w:sz w:val="24"/>
      <w:szCs w:val="24"/>
    </w:rPr>
  </w:style>
  <w:style w:type="character" w:customStyle="1" w:styleId="60">
    <w:name w:val="正文首行缩进 Char1"/>
    <w:basedOn w:val="47"/>
    <w:semiHidden/>
    <w:uiPriority w:val="99"/>
    <w:rPr>
      <w:rFonts w:cstheme="minorBidi"/>
      <w:kern w:val="2"/>
      <w:sz w:val="24"/>
      <w:szCs w:val="22"/>
    </w:rPr>
  </w:style>
  <w:style w:type="paragraph" w:customStyle="1" w:styleId="61">
    <w:name w:val="正文1"/>
    <w:basedOn w:val="1"/>
    <w:qFormat/>
    <w:uiPriority w:val="0"/>
    <w:pPr>
      <w:adjustRightInd w:val="0"/>
      <w:spacing w:line="360" w:lineRule="atLeast"/>
      <w:jc w:val="left"/>
      <w:textAlignment w:val="baseline"/>
    </w:pPr>
    <w:rPr>
      <w:rFonts w:ascii="宋体" w:cs="Times New Roman"/>
      <w:kern w:val="0"/>
      <w:szCs w:val="20"/>
    </w:rPr>
  </w:style>
  <w:style w:type="paragraph" w:customStyle="1" w:styleId="62">
    <w:name w:val="font5"/>
    <w:basedOn w:val="1"/>
    <w:uiPriority w:val="0"/>
    <w:pPr>
      <w:widowControl/>
      <w:spacing w:before="100" w:beforeAutospacing="1" w:after="100" w:afterAutospacing="1" w:line="240" w:lineRule="auto"/>
      <w:jc w:val="left"/>
    </w:pPr>
    <w:rPr>
      <w:rFonts w:ascii="等线" w:hAnsi="等线" w:eastAsia="等线" w:cs="宋体"/>
      <w:color w:val="000000"/>
      <w:kern w:val="0"/>
      <w:sz w:val="22"/>
    </w:rPr>
  </w:style>
  <w:style w:type="paragraph" w:customStyle="1" w:styleId="63">
    <w:name w:val="font6"/>
    <w:basedOn w:val="1"/>
    <w:uiPriority w:val="0"/>
    <w:pPr>
      <w:widowControl/>
      <w:spacing w:before="100" w:beforeAutospacing="1" w:after="100" w:afterAutospacing="1" w:line="240" w:lineRule="auto"/>
      <w:jc w:val="left"/>
    </w:pPr>
    <w:rPr>
      <w:rFonts w:ascii="宋体" w:hAnsi="宋体" w:cs="宋体"/>
      <w:color w:val="000000"/>
      <w:kern w:val="0"/>
      <w:szCs w:val="24"/>
    </w:rPr>
  </w:style>
  <w:style w:type="paragraph" w:customStyle="1" w:styleId="64">
    <w:name w:val="font7"/>
    <w:basedOn w:val="1"/>
    <w:uiPriority w:val="0"/>
    <w:pPr>
      <w:widowControl/>
      <w:spacing w:before="100" w:beforeAutospacing="1" w:after="100" w:afterAutospacing="1" w:line="240" w:lineRule="auto"/>
      <w:jc w:val="left"/>
    </w:pPr>
    <w:rPr>
      <w:rFonts w:ascii="Calibri Light" w:hAnsi="Calibri Light" w:cs="Calibri Light"/>
      <w:color w:val="000000"/>
      <w:kern w:val="0"/>
      <w:szCs w:val="24"/>
    </w:rPr>
  </w:style>
  <w:style w:type="paragraph" w:customStyle="1" w:styleId="65">
    <w:name w:val="font8"/>
    <w:basedOn w:val="1"/>
    <w:uiPriority w:val="0"/>
    <w:pPr>
      <w:widowControl/>
      <w:spacing w:before="100" w:beforeAutospacing="1" w:after="100" w:afterAutospacing="1" w:line="240" w:lineRule="auto"/>
      <w:jc w:val="left"/>
    </w:pPr>
    <w:rPr>
      <w:rFonts w:ascii="等线" w:hAnsi="等线" w:eastAsia="等线" w:cs="宋体"/>
      <w:kern w:val="0"/>
      <w:sz w:val="18"/>
      <w:szCs w:val="18"/>
    </w:rPr>
  </w:style>
  <w:style w:type="paragraph" w:customStyle="1" w:styleId="66">
    <w:name w:val="font9"/>
    <w:basedOn w:val="1"/>
    <w:uiPriority w:val="0"/>
    <w:pPr>
      <w:widowControl/>
      <w:spacing w:before="100" w:beforeAutospacing="1" w:after="100" w:afterAutospacing="1" w:line="240" w:lineRule="auto"/>
      <w:jc w:val="left"/>
    </w:pPr>
    <w:rPr>
      <w:rFonts w:ascii="Arial" w:hAnsi="Arial" w:cs="Arial"/>
      <w:color w:val="000000"/>
      <w:kern w:val="0"/>
      <w:szCs w:val="24"/>
    </w:rPr>
  </w:style>
  <w:style w:type="paragraph" w:customStyle="1" w:styleId="67">
    <w:name w:val="font10"/>
    <w:basedOn w:val="1"/>
    <w:uiPriority w:val="0"/>
    <w:pPr>
      <w:widowControl/>
      <w:spacing w:before="100" w:beforeAutospacing="1" w:after="100" w:afterAutospacing="1" w:line="240" w:lineRule="auto"/>
      <w:jc w:val="left"/>
    </w:pPr>
    <w:rPr>
      <w:rFonts w:ascii="Arial" w:hAnsi="Arial" w:cs="Arial"/>
      <w:color w:val="000000"/>
      <w:kern w:val="0"/>
      <w:sz w:val="22"/>
    </w:rPr>
  </w:style>
  <w:style w:type="paragraph" w:customStyle="1" w:styleId="68">
    <w:name w:val="xl67"/>
    <w:basedOn w:val="1"/>
    <w:uiPriority w:val="0"/>
    <w:pPr>
      <w:widowControl/>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6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7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7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0"/>
      <w:szCs w:val="20"/>
    </w:rPr>
  </w:style>
  <w:style w:type="paragraph" w:customStyle="1" w:styleId="7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b/>
      <w:bCs/>
      <w:kern w:val="0"/>
      <w:sz w:val="20"/>
      <w:szCs w:val="20"/>
    </w:rPr>
  </w:style>
  <w:style w:type="paragraph" w:customStyle="1" w:styleId="7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74">
    <w:name w:val="xl7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75">
    <w:name w:val="xl74"/>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76">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77">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78">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79">
    <w:name w:val="xl78"/>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80">
    <w:name w:val="xl79"/>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cs="宋体"/>
      <w:b/>
      <w:bCs/>
      <w:kern w:val="0"/>
      <w:sz w:val="20"/>
      <w:szCs w:val="20"/>
    </w:rPr>
  </w:style>
  <w:style w:type="paragraph" w:customStyle="1" w:styleId="81">
    <w:name w:val="xl80"/>
    <w:basedOn w:val="1"/>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kern w:val="0"/>
      <w:sz w:val="20"/>
      <w:szCs w:val="20"/>
    </w:rPr>
  </w:style>
  <w:style w:type="paragraph" w:customStyle="1" w:styleId="8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8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84">
    <w:name w:val="xl8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cs="宋体"/>
      <w:kern w:val="0"/>
      <w:sz w:val="20"/>
      <w:szCs w:val="20"/>
    </w:rPr>
  </w:style>
  <w:style w:type="paragraph" w:customStyle="1" w:styleId="8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color w:val="FF0000"/>
      <w:kern w:val="0"/>
      <w:sz w:val="20"/>
      <w:szCs w:val="20"/>
    </w:rPr>
  </w:style>
  <w:style w:type="paragraph" w:customStyle="1" w:styleId="86">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FF0000"/>
      <w:kern w:val="0"/>
      <w:sz w:val="20"/>
      <w:szCs w:val="20"/>
    </w:rPr>
  </w:style>
  <w:style w:type="paragraph" w:customStyle="1" w:styleId="87">
    <w:name w:val="xl86"/>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cs="宋体"/>
      <w:color w:val="FF0000"/>
      <w:kern w:val="0"/>
      <w:sz w:val="20"/>
      <w:szCs w:val="20"/>
    </w:rPr>
  </w:style>
  <w:style w:type="paragraph" w:customStyle="1" w:styleId="88">
    <w:name w:val="xl87"/>
    <w:basedOn w:val="1"/>
    <w:uiPriority w:val="0"/>
    <w:pPr>
      <w:widowControl/>
      <w:spacing w:before="100" w:beforeAutospacing="1" w:after="100" w:afterAutospacing="1" w:line="240" w:lineRule="auto"/>
      <w:jc w:val="center"/>
      <w:textAlignment w:val="center"/>
    </w:pPr>
    <w:rPr>
      <w:rFonts w:cs="Times New Roman"/>
      <w:kern w:val="0"/>
      <w:szCs w:val="24"/>
    </w:rPr>
  </w:style>
  <w:style w:type="paragraph" w:customStyle="1" w:styleId="89">
    <w:name w:val="xl88"/>
    <w:basedOn w:val="1"/>
    <w:uiPriority w:val="0"/>
    <w:pPr>
      <w:widowControl/>
      <w:spacing w:before="100" w:beforeAutospacing="1" w:after="100" w:afterAutospacing="1" w:line="240" w:lineRule="auto"/>
      <w:jc w:val="left"/>
      <w:textAlignment w:val="center"/>
    </w:pPr>
    <w:rPr>
      <w:rFonts w:cs="Times New Roman"/>
      <w:kern w:val="0"/>
      <w:szCs w:val="24"/>
    </w:rPr>
  </w:style>
  <w:style w:type="paragraph" w:customStyle="1" w:styleId="90">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color w:val="FF0000"/>
      <w:kern w:val="0"/>
      <w:sz w:val="20"/>
      <w:szCs w:val="20"/>
    </w:rPr>
  </w:style>
  <w:style w:type="paragraph" w:customStyle="1" w:styleId="91">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92">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b/>
      <w:bCs/>
      <w:kern w:val="0"/>
      <w:sz w:val="20"/>
      <w:szCs w:val="20"/>
    </w:rPr>
  </w:style>
  <w:style w:type="paragraph" w:customStyle="1" w:styleId="9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94">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宋体" w:hAnsi="宋体" w:cs="宋体"/>
      <w:kern w:val="0"/>
      <w:sz w:val="20"/>
      <w:szCs w:val="20"/>
    </w:rPr>
  </w:style>
  <w:style w:type="paragraph" w:customStyle="1" w:styleId="95">
    <w:name w:val="xl94"/>
    <w:basedOn w:val="1"/>
    <w:uiPriority w:val="0"/>
    <w:pPr>
      <w:widowControl/>
      <w:spacing w:before="100" w:beforeAutospacing="1" w:after="100" w:afterAutospacing="1" w:line="240" w:lineRule="auto"/>
      <w:jc w:val="left"/>
      <w:textAlignment w:val="center"/>
    </w:pPr>
    <w:rPr>
      <w:rFonts w:cs="Times New Roman"/>
      <w:kern w:val="0"/>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CD566-EDDD-486E-8480-0B01C734E64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2248</Words>
  <Characters>12818</Characters>
  <Lines>106</Lines>
  <Paragraphs>30</Paragraphs>
  <TotalTime>8</TotalTime>
  <ScaleCrop>false</ScaleCrop>
  <LinksUpToDate>false</LinksUpToDate>
  <CharactersWithSpaces>15036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2023-10-13T06:47:00Z</dcterms:created>
  <dc:creator>Lenovo-pc</dc:creator>
  <cp:lastModifiedBy>Judy</cp:lastModifiedBy>
  <dcterms:modified xsi:type="dcterms:W3CDTF">2023-10-16T00:45:56Z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