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cs="Times New Roman"/>
                <w:lang w:val="en-US" w:eastAsia="zh-CN"/>
              </w:rPr>
              <w:t>台秤</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w:t>
            </w:r>
            <w:r>
              <w:rPr>
                <w:rFonts w:hint="eastAsia"/>
                <w:lang w:val="en-US" w:eastAsia="zh-CN"/>
              </w:rPr>
              <w:t>5</w:t>
            </w:r>
            <w:r>
              <w:rPr>
                <w:rFonts w:hint="eastAsia"/>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2"/>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58420</wp:posOffset>
                  </wp:positionH>
                  <wp:positionV relativeFrom="paragraph">
                    <wp:posOffset>206375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176530</wp:posOffset>
                  </wp:positionH>
                  <wp:positionV relativeFrom="paragraph">
                    <wp:posOffset>210820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-8890</wp:posOffset>
                  </wp:positionH>
                  <wp:positionV relativeFrom="paragraph">
                    <wp:posOffset>12065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0"/>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_Toc7646 </w:instrText>
          </w:r>
          <w:r>
            <w:rPr>
              <w:sz w:val="24"/>
              <w:szCs w:val="24"/>
            </w:rPr>
            <w:fldChar w:fldCharType="separate"/>
          </w:r>
          <w:r>
            <w:rPr>
              <w:rFonts w:hint="default" w:ascii="Times New Roman" w:hAnsi="Times New Roman" w:eastAsia="宋体" w:cs="宋体"/>
              <w:kern w:val="44"/>
              <w:sz w:val="24"/>
              <w:szCs w:val="24"/>
              <w:lang w:val="zh-CN"/>
            </w:rPr>
            <w:t xml:space="preserve">1 </w:t>
          </w:r>
          <w:r>
            <w:rPr>
              <w:rFonts w:hint="eastAsia"/>
              <w:kern w:val="44"/>
              <w:sz w:val="24"/>
              <w:szCs w:val="24"/>
              <w:lang w:val="zh-CN"/>
            </w:rPr>
            <w:t>总</w:t>
          </w:r>
          <w:r>
            <w:rPr>
              <w:rFonts w:hint="eastAsia"/>
              <w:kern w:val="44"/>
              <w:sz w:val="24"/>
              <w:szCs w:val="24"/>
            </w:rPr>
            <w:t>则</w:t>
          </w:r>
          <w:r>
            <w:rPr>
              <w:sz w:val="24"/>
              <w:szCs w:val="24"/>
            </w:rPr>
            <w:tab/>
          </w:r>
          <w:r>
            <w:rPr>
              <w:sz w:val="24"/>
              <w:szCs w:val="24"/>
            </w:rPr>
            <w:fldChar w:fldCharType="begin"/>
          </w:r>
          <w:r>
            <w:rPr>
              <w:sz w:val="24"/>
              <w:szCs w:val="24"/>
            </w:rPr>
            <w:instrText xml:space="preserve"> PAGEREF _Toc7646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_Toc15604 </w:instrText>
          </w:r>
          <w:r>
            <w:rPr>
              <w:sz w:val="24"/>
              <w:szCs w:val="24"/>
            </w:rPr>
            <w:fldChar w:fldCharType="separate"/>
          </w:r>
          <w:r>
            <w:rPr>
              <w:rFonts w:hint="default" w:ascii="Times New Roman" w:hAnsi="Times New Roman" w:eastAsia="宋体" w:cs="宋体"/>
              <w:kern w:val="44"/>
              <w:sz w:val="24"/>
              <w:szCs w:val="24"/>
              <w:lang w:val="zh-CN"/>
            </w:rPr>
            <w:t xml:space="preserve">2 </w:t>
          </w:r>
          <w:r>
            <w:rPr>
              <w:rFonts w:hint="eastAsia"/>
              <w:kern w:val="44"/>
              <w:sz w:val="24"/>
              <w:szCs w:val="24"/>
            </w:rPr>
            <w:t>工程概况</w:t>
          </w:r>
          <w:r>
            <w:rPr>
              <w:sz w:val="24"/>
              <w:szCs w:val="24"/>
            </w:rPr>
            <w:tab/>
          </w:r>
          <w:r>
            <w:rPr>
              <w:sz w:val="24"/>
              <w:szCs w:val="24"/>
            </w:rPr>
            <w:fldChar w:fldCharType="begin"/>
          </w:r>
          <w:r>
            <w:rPr>
              <w:sz w:val="24"/>
              <w:szCs w:val="24"/>
            </w:rPr>
            <w:instrText xml:space="preserve"> PAGEREF _Toc15604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_Toc164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rPr>
            <w:t>基本条件</w:t>
          </w:r>
          <w:r>
            <w:rPr>
              <w:sz w:val="24"/>
              <w:szCs w:val="24"/>
            </w:rPr>
            <w:tab/>
          </w:r>
          <w:r>
            <w:rPr>
              <w:sz w:val="24"/>
              <w:szCs w:val="24"/>
            </w:rPr>
            <w:fldChar w:fldCharType="begin"/>
          </w:r>
          <w:r>
            <w:rPr>
              <w:sz w:val="24"/>
              <w:szCs w:val="24"/>
            </w:rPr>
            <w:instrText xml:space="preserve"> PAGEREF _Toc164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_Toc19565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rPr>
            <w:t>气象条件</w:t>
          </w:r>
          <w:r>
            <w:rPr>
              <w:sz w:val="24"/>
              <w:szCs w:val="24"/>
            </w:rPr>
            <w:tab/>
          </w:r>
          <w:r>
            <w:rPr>
              <w:sz w:val="24"/>
              <w:szCs w:val="24"/>
            </w:rPr>
            <w:fldChar w:fldCharType="begin"/>
          </w:r>
          <w:r>
            <w:rPr>
              <w:sz w:val="24"/>
              <w:szCs w:val="24"/>
            </w:rPr>
            <w:instrText xml:space="preserve"> PAGEREF _Toc19565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_Toc30585 </w:instrText>
          </w:r>
          <w:r>
            <w:rPr>
              <w:sz w:val="24"/>
              <w:szCs w:val="24"/>
            </w:rPr>
            <w:fldChar w:fldCharType="separate"/>
          </w:r>
          <w:r>
            <w:rPr>
              <w:rFonts w:hint="default" w:ascii="Times New Roman" w:hAnsi="Times New Roman" w:eastAsia="宋体" w:cs="宋体"/>
              <w:kern w:val="44"/>
              <w:sz w:val="24"/>
              <w:szCs w:val="24"/>
              <w:lang w:val="zh-CN"/>
            </w:rPr>
            <w:t xml:space="preserve">3 </w:t>
          </w:r>
          <w:r>
            <w:rPr>
              <w:rFonts w:hint="eastAsia"/>
              <w:kern w:val="44"/>
              <w:sz w:val="24"/>
              <w:szCs w:val="24"/>
              <w:lang w:val="en-US" w:eastAsia="zh-CN"/>
            </w:rPr>
            <w:t>技术要求</w:t>
          </w:r>
          <w:r>
            <w:rPr>
              <w:sz w:val="24"/>
              <w:szCs w:val="24"/>
            </w:rPr>
            <w:tab/>
          </w:r>
          <w:r>
            <w:rPr>
              <w:sz w:val="24"/>
              <w:szCs w:val="24"/>
            </w:rPr>
            <w:fldChar w:fldCharType="begin"/>
          </w:r>
          <w:r>
            <w:rPr>
              <w:sz w:val="24"/>
              <w:szCs w:val="24"/>
            </w:rPr>
            <w:instrText xml:space="preserve"> PAGEREF _Toc30585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_Toc4686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_Toc4686 \h </w:instrText>
          </w:r>
          <w:r>
            <w:rPr>
              <w:sz w:val="24"/>
              <w:szCs w:val="24"/>
            </w:rPr>
            <w:fldChar w:fldCharType="separate"/>
          </w:r>
          <w:r>
            <w:rPr>
              <w:sz w:val="24"/>
              <w:szCs w:val="24"/>
            </w:rPr>
            <w:t>4</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sz w:val="24"/>
              <w:szCs w:val="24"/>
            </w:rP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7646"/>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lang w:val="en-US" w:eastAsia="zh-CN"/>
        </w:rPr>
        <w:t>台秤</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22337"/>
      <w:bookmarkStart w:id="2" w:name="_Toc15604"/>
      <w:r>
        <w:rPr>
          <w:rFonts w:hint="eastAsia"/>
          <w:b/>
          <w:kern w:val="44"/>
          <w:sz w:val="28"/>
          <w:szCs w:val="28"/>
        </w:rPr>
        <w:t>工程概况</w:t>
      </w:r>
      <w:bookmarkEnd w:id="1"/>
      <w:bookmarkEnd w:id="2"/>
    </w:p>
    <w:p>
      <w:pPr>
        <w:pStyle w:val="4"/>
      </w:pPr>
      <w:bookmarkStart w:id="3" w:name="_Toc164"/>
      <w:bookmarkStart w:id="4" w:name="_Toc155446205"/>
      <w:bookmarkStart w:id="5" w:name="_Toc31287"/>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highlight w:val="none"/>
          <w:lang w:val="zh-CN"/>
        </w:rPr>
      </w:pPr>
      <w:r>
        <w:rPr>
          <w:rFonts w:hint="eastAsia"/>
          <w:highlight w:val="none"/>
          <w:lang w:val="zh-CN"/>
        </w:rPr>
        <w:t>设备安装位置：</w:t>
      </w:r>
      <w:r>
        <w:rPr>
          <w:rFonts w:hint="eastAsia"/>
          <w:highlight w:val="none"/>
        </w:rPr>
        <w:t>湖南</w:t>
      </w:r>
      <w:r>
        <w:rPr>
          <w:rFonts w:hint="eastAsia"/>
          <w:highlight w:val="none"/>
          <w:lang w:val="zh-CN"/>
        </w:rPr>
        <w:t>省</w:t>
      </w:r>
      <w:r>
        <w:rPr>
          <w:rFonts w:hint="eastAsia"/>
          <w:highlight w:val="none"/>
        </w:rPr>
        <w:t>长沙</w:t>
      </w:r>
      <w:r>
        <w:rPr>
          <w:rFonts w:hint="eastAsia"/>
          <w:highlight w:val="none"/>
          <w:lang w:val="zh-CN"/>
        </w:rPr>
        <w:t>市</w:t>
      </w:r>
      <w:r>
        <w:rPr>
          <w:rFonts w:hint="eastAsia"/>
          <w:highlight w:val="none"/>
        </w:rPr>
        <w:t>望城</w:t>
      </w:r>
      <w:r>
        <w:rPr>
          <w:rFonts w:hint="eastAsia"/>
          <w:highlight w:val="none"/>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4"/>
      </w:pPr>
      <w:bookmarkStart w:id="6" w:name="_Toc18842"/>
      <w:bookmarkStart w:id="7" w:name="_Toc19565"/>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bookmarkStart w:id="16" w:name="_GoBack"/>
      <w:bookmarkEnd w:id="16"/>
      <w:r>
        <w:rPr>
          <w:rFonts w:hint="eastAsia"/>
        </w:rPr>
        <w:t>基本雪压：0.50kN/m</w:t>
      </w:r>
      <w:r>
        <w:rPr>
          <w:rFonts w:hint="eastAsia"/>
          <w:vertAlign w:val="superscript"/>
        </w:rPr>
        <w:t>2</w:t>
      </w:r>
      <w:r>
        <w:rPr>
          <w:rFonts w:hint="eastAsia"/>
        </w:rPr>
        <w:t xml:space="preserve">（100年一遇）        </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4415"/>
      <w:bookmarkStart w:id="9" w:name="_Toc30585"/>
      <w:r>
        <w:rPr>
          <w:rFonts w:hint="eastAsia"/>
          <w:b/>
          <w:kern w:val="44"/>
          <w:sz w:val="28"/>
          <w:szCs w:val="28"/>
          <w:lang w:val="en-US" w:eastAsia="zh-CN"/>
        </w:rPr>
        <w:t>技术要求</w:t>
      </w:r>
      <w:bookmarkEnd w:id="8"/>
      <w:bookmarkEnd w:id="9"/>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00"/>
        <w:gridCol w:w="2150"/>
        <w:gridCol w:w="910"/>
        <w:gridCol w:w="97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bookmarkStart w:id="10" w:name="_Toc1155"/>
            <w:r>
              <w:rPr>
                <w:rFonts w:hint="eastAsia" w:ascii="Times New Roman" w:hAnsi="Times New Roman" w:eastAsia="宋体" w:cs="Times New Roman"/>
                <w:b w:val="0"/>
                <w:bCs w:val="0"/>
                <w:color w:val="auto"/>
                <w:kern w:val="2"/>
                <w:sz w:val="21"/>
                <w:szCs w:val="24"/>
                <w:highlight w:val="none"/>
                <w:lang w:val="en-US" w:eastAsia="en-US" w:bidi="ar-SA"/>
              </w:rPr>
              <w:t>序号</w:t>
            </w:r>
          </w:p>
        </w:tc>
        <w:tc>
          <w:tcPr>
            <w:tcW w:w="76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货物名称</w:t>
            </w:r>
          </w:p>
        </w:tc>
        <w:tc>
          <w:tcPr>
            <w:tcW w:w="126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规格型号</w:t>
            </w:r>
          </w:p>
        </w:tc>
        <w:tc>
          <w:tcPr>
            <w:tcW w:w="5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单位</w:t>
            </w:r>
          </w:p>
        </w:tc>
        <w:tc>
          <w:tcPr>
            <w:tcW w:w="569"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数量</w:t>
            </w:r>
          </w:p>
        </w:tc>
        <w:tc>
          <w:tcPr>
            <w:tcW w:w="1376"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1</w:t>
            </w:r>
          </w:p>
        </w:tc>
        <w:tc>
          <w:tcPr>
            <w:tcW w:w="76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电子秤</w:t>
            </w:r>
          </w:p>
        </w:tc>
        <w:tc>
          <w:tcPr>
            <w:tcW w:w="126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材质304不锈钢，带数显功能，</w:t>
            </w:r>
            <w:r>
              <w:rPr>
                <w:rFonts w:hint="eastAsia" w:ascii="Times New Roman" w:hAnsi="Times New Roman" w:cs="Times New Roman"/>
                <w:b w:val="0"/>
                <w:bCs w:val="0"/>
                <w:color w:val="auto"/>
                <w:kern w:val="2"/>
                <w:sz w:val="21"/>
                <w:szCs w:val="24"/>
                <w:highlight w:val="none"/>
                <w:lang w:val="en-US" w:eastAsia="zh-CN" w:bidi="ar-SA"/>
              </w:rPr>
              <w:t>量程</w:t>
            </w:r>
            <w:r>
              <w:rPr>
                <w:rFonts w:hint="eastAsia" w:ascii="Times New Roman" w:hAnsi="Times New Roman" w:eastAsia="宋体" w:cs="Times New Roman"/>
                <w:b w:val="0"/>
                <w:bCs w:val="0"/>
                <w:color w:val="auto"/>
                <w:kern w:val="2"/>
                <w:sz w:val="21"/>
                <w:szCs w:val="24"/>
                <w:highlight w:val="none"/>
                <w:lang w:val="en-US" w:eastAsia="en-US" w:bidi="ar-SA"/>
              </w:rPr>
              <w:t>120kg/精度等级C6 </w:t>
            </w:r>
          </w:p>
        </w:tc>
        <w:tc>
          <w:tcPr>
            <w:tcW w:w="534"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台</w:t>
            </w:r>
          </w:p>
        </w:tc>
        <w:tc>
          <w:tcPr>
            <w:tcW w:w="569"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376"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台面尺寸不小于400mm*500mm，</w:t>
            </w:r>
            <w:r>
              <w:rPr>
                <w:rFonts w:hint="eastAsia" w:ascii="Times New Roman" w:hAnsi="Times New Roman" w:eastAsia="宋体" w:cs="Times New Roman"/>
                <w:b w:val="0"/>
                <w:bCs w:val="0"/>
                <w:color w:val="auto"/>
                <w:kern w:val="2"/>
                <w:sz w:val="21"/>
                <w:szCs w:val="24"/>
                <w:highlight w:val="none"/>
                <w:lang w:val="en-US" w:eastAsia="en-US" w:bidi="ar-SA"/>
              </w:rPr>
              <w:t>供货时间2</w:t>
            </w:r>
            <w:r>
              <w:rPr>
                <w:rFonts w:hint="eastAsia" w:ascii="Times New Roman" w:hAnsi="Times New Roman" w:eastAsia="宋体" w:cs="Times New Roman"/>
                <w:b w:val="0"/>
                <w:bCs w:val="0"/>
                <w:color w:val="auto"/>
                <w:kern w:val="2"/>
                <w:sz w:val="21"/>
                <w:szCs w:val="24"/>
                <w:highlight w:val="none"/>
                <w:lang w:val="en-US" w:eastAsia="zh-CN" w:bidi="ar-SA"/>
              </w:rPr>
              <w:t>0</w:t>
            </w:r>
            <w:r>
              <w:rPr>
                <w:rFonts w:hint="eastAsia" w:ascii="Times New Roman" w:hAnsi="Times New Roman" w:eastAsia="宋体" w:cs="Times New Roman"/>
                <w:b w:val="0"/>
                <w:bCs w:val="0"/>
                <w:color w:val="auto"/>
                <w:kern w:val="2"/>
                <w:sz w:val="21"/>
                <w:szCs w:val="24"/>
                <w:highlight w:val="none"/>
                <w:lang w:val="en-US" w:eastAsia="en-US" w:bidi="ar-SA"/>
              </w:rPr>
              <w:t>天，质保一年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2</w:t>
            </w:r>
          </w:p>
        </w:tc>
        <w:tc>
          <w:tcPr>
            <w:tcW w:w="76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电子秤</w:t>
            </w:r>
          </w:p>
        </w:tc>
        <w:tc>
          <w:tcPr>
            <w:tcW w:w="126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材质304不锈钢，带数显功能，</w:t>
            </w:r>
            <w:r>
              <w:rPr>
                <w:rFonts w:hint="eastAsia" w:ascii="Times New Roman" w:hAnsi="Times New Roman" w:cs="Times New Roman"/>
                <w:b w:val="0"/>
                <w:bCs w:val="0"/>
                <w:color w:val="auto"/>
                <w:kern w:val="2"/>
                <w:sz w:val="21"/>
                <w:szCs w:val="24"/>
                <w:highlight w:val="none"/>
                <w:lang w:val="en-US" w:eastAsia="zh-CN" w:bidi="ar-SA"/>
              </w:rPr>
              <w:t>量程</w:t>
            </w:r>
            <w:r>
              <w:rPr>
                <w:rFonts w:hint="eastAsia" w:ascii="Times New Roman" w:hAnsi="Times New Roman" w:eastAsia="宋体" w:cs="Times New Roman"/>
                <w:b w:val="0"/>
                <w:bCs w:val="0"/>
                <w:color w:val="auto"/>
                <w:kern w:val="2"/>
                <w:sz w:val="21"/>
                <w:szCs w:val="24"/>
                <w:highlight w:val="none"/>
                <w:lang w:val="en-US" w:eastAsia="en-US" w:bidi="ar-SA"/>
              </w:rPr>
              <w:t>60kg/精度等级C3 </w:t>
            </w:r>
          </w:p>
        </w:tc>
        <w:tc>
          <w:tcPr>
            <w:tcW w:w="534" w:type="pct"/>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台</w:t>
            </w:r>
          </w:p>
        </w:tc>
        <w:tc>
          <w:tcPr>
            <w:tcW w:w="569"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376"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台面尺寸不小于400mm*500mm，</w:t>
            </w:r>
            <w:r>
              <w:rPr>
                <w:rFonts w:hint="eastAsia" w:ascii="Times New Roman" w:hAnsi="Times New Roman" w:eastAsia="宋体" w:cs="Times New Roman"/>
                <w:b w:val="0"/>
                <w:bCs w:val="0"/>
                <w:color w:val="auto"/>
                <w:kern w:val="2"/>
                <w:sz w:val="21"/>
                <w:szCs w:val="24"/>
                <w:highlight w:val="none"/>
                <w:lang w:val="en-US" w:eastAsia="en-US" w:bidi="ar-SA"/>
              </w:rPr>
              <w:t>供货时间2</w:t>
            </w:r>
            <w:r>
              <w:rPr>
                <w:rFonts w:hint="eastAsia" w:ascii="Times New Roman" w:hAnsi="Times New Roman" w:eastAsia="宋体" w:cs="Times New Roman"/>
                <w:b w:val="0"/>
                <w:bCs w:val="0"/>
                <w:color w:val="auto"/>
                <w:kern w:val="2"/>
                <w:sz w:val="21"/>
                <w:szCs w:val="24"/>
                <w:highlight w:val="none"/>
                <w:lang w:val="en-US" w:eastAsia="zh-CN" w:bidi="ar-SA"/>
              </w:rPr>
              <w:t>0</w:t>
            </w:r>
            <w:r>
              <w:rPr>
                <w:rFonts w:hint="eastAsia" w:ascii="Times New Roman" w:hAnsi="Times New Roman" w:eastAsia="宋体" w:cs="Times New Roman"/>
                <w:b w:val="0"/>
                <w:bCs w:val="0"/>
                <w:color w:val="auto"/>
                <w:kern w:val="2"/>
                <w:sz w:val="21"/>
                <w:szCs w:val="24"/>
                <w:highlight w:val="none"/>
                <w:lang w:val="en-US" w:eastAsia="en-US" w:bidi="ar-SA"/>
              </w:rPr>
              <w:t>天，质保一年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3</w:t>
            </w:r>
          </w:p>
        </w:tc>
        <w:tc>
          <w:tcPr>
            <w:tcW w:w="76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电子秤</w:t>
            </w:r>
          </w:p>
        </w:tc>
        <w:tc>
          <w:tcPr>
            <w:tcW w:w="126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材质304不锈钢，带数显功能，</w:t>
            </w:r>
            <w:r>
              <w:rPr>
                <w:rFonts w:hint="eastAsia" w:ascii="Times New Roman" w:hAnsi="Times New Roman" w:cs="Times New Roman"/>
                <w:b w:val="0"/>
                <w:bCs w:val="0"/>
                <w:color w:val="auto"/>
                <w:kern w:val="2"/>
                <w:sz w:val="21"/>
                <w:szCs w:val="24"/>
                <w:highlight w:val="none"/>
                <w:lang w:val="en-US" w:eastAsia="zh-CN" w:bidi="ar-SA"/>
              </w:rPr>
              <w:t>量程</w:t>
            </w:r>
            <w:r>
              <w:rPr>
                <w:rFonts w:hint="eastAsia" w:ascii="Times New Roman" w:hAnsi="Times New Roman" w:eastAsia="宋体" w:cs="Times New Roman"/>
                <w:b w:val="0"/>
                <w:bCs w:val="0"/>
                <w:color w:val="auto"/>
                <w:kern w:val="2"/>
                <w:sz w:val="21"/>
                <w:szCs w:val="24"/>
                <w:highlight w:val="none"/>
                <w:lang w:val="en-US" w:eastAsia="en-US" w:bidi="ar-SA"/>
              </w:rPr>
              <w:t>60kg/精度等级C6</w:t>
            </w:r>
          </w:p>
        </w:tc>
        <w:tc>
          <w:tcPr>
            <w:tcW w:w="534" w:type="pct"/>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eastAsia="宋体" w:cs="Times New Roman"/>
                <w:b w:val="0"/>
                <w:bCs w:val="0"/>
                <w:color w:val="auto"/>
                <w:kern w:val="2"/>
                <w:sz w:val="21"/>
                <w:szCs w:val="24"/>
                <w:highlight w:val="none"/>
                <w:lang w:val="en-US" w:eastAsia="en-US" w:bidi="ar-SA"/>
              </w:rPr>
              <w:t>台</w:t>
            </w:r>
          </w:p>
        </w:tc>
        <w:tc>
          <w:tcPr>
            <w:tcW w:w="569"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3</w:t>
            </w:r>
          </w:p>
        </w:tc>
        <w:tc>
          <w:tcPr>
            <w:tcW w:w="1376"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台面尺寸不小于400mm*500mm，</w:t>
            </w:r>
            <w:r>
              <w:rPr>
                <w:rFonts w:hint="eastAsia" w:ascii="Times New Roman" w:hAnsi="Times New Roman" w:eastAsia="宋体" w:cs="Times New Roman"/>
                <w:b w:val="0"/>
                <w:bCs w:val="0"/>
                <w:color w:val="auto"/>
                <w:kern w:val="2"/>
                <w:sz w:val="21"/>
                <w:szCs w:val="24"/>
                <w:highlight w:val="none"/>
                <w:lang w:val="en-US" w:eastAsia="en-US" w:bidi="ar-SA"/>
              </w:rPr>
              <w:t>供货时间2</w:t>
            </w:r>
            <w:r>
              <w:rPr>
                <w:rFonts w:hint="eastAsia" w:ascii="Times New Roman" w:hAnsi="Times New Roman" w:eastAsia="宋体" w:cs="Times New Roman"/>
                <w:b w:val="0"/>
                <w:bCs w:val="0"/>
                <w:color w:val="auto"/>
                <w:kern w:val="2"/>
                <w:sz w:val="21"/>
                <w:szCs w:val="24"/>
                <w:highlight w:val="none"/>
                <w:lang w:val="en-US" w:eastAsia="zh-CN" w:bidi="ar-SA"/>
              </w:rPr>
              <w:t>0</w:t>
            </w:r>
            <w:r>
              <w:rPr>
                <w:rFonts w:hint="eastAsia" w:ascii="Times New Roman" w:hAnsi="Times New Roman" w:eastAsia="宋体" w:cs="Times New Roman"/>
                <w:b w:val="0"/>
                <w:bCs w:val="0"/>
                <w:color w:val="auto"/>
                <w:kern w:val="2"/>
                <w:sz w:val="21"/>
                <w:szCs w:val="24"/>
                <w:highlight w:val="none"/>
                <w:lang w:val="en-US" w:eastAsia="en-US" w:bidi="ar-SA"/>
              </w:rPr>
              <w:t>天，质保一年</w:t>
            </w:r>
          </w:p>
        </w:tc>
      </w:tr>
    </w:tbl>
    <w:p>
      <w:pPr>
        <w:rPr>
          <w:rFonts w:hint="default"/>
          <w:lang w:val="en-US"/>
        </w:rPr>
      </w:pPr>
      <w:r>
        <w:rPr>
          <w:rFonts w:hint="eastAsia"/>
          <w:lang w:val="en-US" w:eastAsia="zh-CN"/>
        </w:rPr>
        <w:t>备注：裸露部分杜绝使用含铜、锌材料；电气元件防护等级IP65；秤盘光洁度Ra≤0.8μm。供货商如有偏离，需列偏离表。</w:t>
      </w:r>
    </w:p>
    <w:bookmarkEnd w:id="10"/>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11" w:name="_Toc31100"/>
      <w:bookmarkStart w:id="12" w:name="_Toc10019"/>
      <w:bookmarkStart w:id="13" w:name="_Toc4686"/>
      <w:bookmarkStart w:id="14" w:name="_Toc4984"/>
      <w:bookmarkStart w:id="15" w:name="_Toc22007"/>
      <w:r>
        <w:rPr>
          <w:rFonts w:hint="eastAsia" w:ascii="Times New Roman" w:hAnsi="Times New Roman" w:cs="Times New Roman"/>
          <w:b/>
          <w:kern w:val="44"/>
          <w:sz w:val="28"/>
          <w:szCs w:val="28"/>
          <w:lang w:val="en-US" w:eastAsia="zh-CN" w:bidi="ar-SA"/>
        </w:rPr>
        <w:t>买卖双方责任范围</w:t>
      </w:r>
      <w:bookmarkEnd w:id="11"/>
      <w:bookmarkEnd w:id="12"/>
      <w:bookmarkEnd w:id="13"/>
      <w:bookmarkEnd w:id="14"/>
      <w:bookmarkEnd w:id="15"/>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4"/>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3"/>
        <w:gridCol w:w="1480"/>
        <w:gridCol w:w="1805"/>
        <w:gridCol w:w="1221"/>
        <w:gridCol w:w="1211"/>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210" w:type="dxa"/>
            <w:gridSpan w:val="2"/>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2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8"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8"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现场</w:t>
            </w:r>
            <w:r>
              <w:rPr>
                <w:rFonts w:hint="eastAsia" w:ascii="Times New Roman" w:hAnsi="Times New Roman" w:eastAsia="宋体" w:cs="Times New Roman"/>
                <w:color w:val="auto"/>
                <w:kern w:val="2"/>
                <w:sz w:val="21"/>
                <w:szCs w:val="24"/>
                <w:highlight w:val="none"/>
                <w:lang w:val="en-US" w:eastAsia="zh-CN" w:bidi="ar-SA"/>
              </w:rPr>
              <w:t>安装</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厂家指导安装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03"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调试</w:t>
            </w:r>
          </w:p>
        </w:tc>
        <w:tc>
          <w:tcPr>
            <w:tcW w:w="1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10"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ind w:left="105"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36"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bl>
    <w:p>
      <w:pPr>
        <w:pStyle w:val="2"/>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787946"/>
    <w:rsid w:val="019404F8"/>
    <w:rsid w:val="02954528"/>
    <w:rsid w:val="02986DCA"/>
    <w:rsid w:val="0350044F"/>
    <w:rsid w:val="03E272F9"/>
    <w:rsid w:val="044C50BA"/>
    <w:rsid w:val="045B70AB"/>
    <w:rsid w:val="04B35B0D"/>
    <w:rsid w:val="05D46230"/>
    <w:rsid w:val="05E03D0C"/>
    <w:rsid w:val="05F76EB5"/>
    <w:rsid w:val="06051B8A"/>
    <w:rsid w:val="06285F4E"/>
    <w:rsid w:val="064A73D7"/>
    <w:rsid w:val="06624721"/>
    <w:rsid w:val="06CB676A"/>
    <w:rsid w:val="06E6680F"/>
    <w:rsid w:val="076F3599"/>
    <w:rsid w:val="07A974BB"/>
    <w:rsid w:val="07E35623"/>
    <w:rsid w:val="08541AE2"/>
    <w:rsid w:val="08565332"/>
    <w:rsid w:val="085E53BC"/>
    <w:rsid w:val="08D86F1C"/>
    <w:rsid w:val="09063A89"/>
    <w:rsid w:val="092D1D3F"/>
    <w:rsid w:val="0A011659"/>
    <w:rsid w:val="0A3245CA"/>
    <w:rsid w:val="0AE53B72"/>
    <w:rsid w:val="0AFD2C6A"/>
    <w:rsid w:val="0B486EB0"/>
    <w:rsid w:val="0B5605CC"/>
    <w:rsid w:val="0B7C0033"/>
    <w:rsid w:val="0B894E19"/>
    <w:rsid w:val="0B8C3FEE"/>
    <w:rsid w:val="0BAE039B"/>
    <w:rsid w:val="0BBD2598"/>
    <w:rsid w:val="0BCB0FBA"/>
    <w:rsid w:val="0BD95485"/>
    <w:rsid w:val="0BFE6C9A"/>
    <w:rsid w:val="0C2927A7"/>
    <w:rsid w:val="0CBC03F1"/>
    <w:rsid w:val="0D036EDE"/>
    <w:rsid w:val="0D091860"/>
    <w:rsid w:val="0D4C1032"/>
    <w:rsid w:val="0DC14423"/>
    <w:rsid w:val="0E040695"/>
    <w:rsid w:val="0E086D3A"/>
    <w:rsid w:val="0E673AD7"/>
    <w:rsid w:val="0ECA5F52"/>
    <w:rsid w:val="0ECC307F"/>
    <w:rsid w:val="0EEB219D"/>
    <w:rsid w:val="0F0C4A59"/>
    <w:rsid w:val="0F62295D"/>
    <w:rsid w:val="0FDC5544"/>
    <w:rsid w:val="0FE97C61"/>
    <w:rsid w:val="0FEB5787"/>
    <w:rsid w:val="100131FC"/>
    <w:rsid w:val="106E1C0C"/>
    <w:rsid w:val="10C06C14"/>
    <w:rsid w:val="10F90765"/>
    <w:rsid w:val="11052878"/>
    <w:rsid w:val="111B02EE"/>
    <w:rsid w:val="11611B50"/>
    <w:rsid w:val="11D5049D"/>
    <w:rsid w:val="11D720D8"/>
    <w:rsid w:val="11D90AD7"/>
    <w:rsid w:val="125F420A"/>
    <w:rsid w:val="12734B7F"/>
    <w:rsid w:val="128864C1"/>
    <w:rsid w:val="12971947"/>
    <w:rsid w:val="12CA1FCB"/>
    <w:rsid w:val="12FF7E1E"/>
    <w:rsid w:val="13023513"/>
    <w:rsid w:val="136E0338"/>
    <w:rsid w:val="13BF1DBD"/>
    <w:rsid w:val="13E729A1"/>
    <w:rsid w:val="14003F0D"/>
    <w:rsid w:val="143C5DF0"/>
    <w:rsid w:val="147D7E6A"/>
    <w:rsid w:val="14AD3953"/>
    <w:rsid w:val="153E27FD"/>
    <w:rsid w:val="15475B55"/>
    <w:rsid w:val="157E7396"/>
    <w:rsid w:val="157F52EF"/>
    <w:rsid w:val="15C40F54"/>
    <w:rsid w:val="15CA5E3E"/>
    <w:rsid w:val="16421E79"/>
    <w:rsid w:val="168A5092"/>
    <w:rsid w:val="16A526C7"/>
    <w:rsid w:val="16B234A2"/>
    <w:rsid w:val="16D3540A"/>
    <w:rsid w:val="16DB6E25"/>
    <w:rsid w:val="16DC407B"/>
    <w:rsid w:val="172901FF"/>
    <w:rsid w:val="17D66D1D"/>
    <w:rsid w:val="17EE0DBB"/>
    <w:rsid w:val="186567A2"/>
    <w:rsid w:val="18820C52"/>
    <w:rsid w:val="18823AC5"/>
    <w:rsid w:val="189A116C"/>
    <w:rsid w:val="19025819"/>
    <w:rsid w:val="19526877"/>
    <w:rsid w:val="198253AE"/>
    <w:rsid w:val="198F3627"/>
    <w:rsid w:val="198F7168"/>
    <w:rsid w:val="199A1FE9"/>
    <w:rsid w:val="19B95D77"/>
    <w:rsid w:val="19DB4C55"/>
    <w:rsid w:val="19FE4B0E"/>
    <w:rsid w:val="1A44596A"/>
    <w:rsid w:val="1A5403CD"/>
    <w:rsid w:val="1A917BF7"/>
    <w:rsid w:val="1AB46A98"/>
    <w:rsid w:val="1B0167A6"/>
    <w:rsid w:val="1B0C5264"/>
    <w:rsid w:val="1B2B2550"/>
    <w:rsid w:val="1B9B1759"/>
    <w:rsid w:val="1BC17CE4"/>
    <w:rsid w:val="1C1B73F4"/>
    <w:rsid w:val="1C817B9F"/>
    <w:rsid w:val="1C891218"/>
    <w:rsid w:val="1CAE143A"/>
    <w:rsid w:val="1CCB2BC8"/>
    <w:rsid w:val="1CDA105D"/>
    <w:rsid w:val="1CFE11EF"/>
    <w:rsid w:val="1D1064CC"/>
    <w:rsid w:val="1D992CC6"/>
    <w:rsid w:val="1DEE106A"/>
    <w:rsid w:val="1E2530BC"/>
    <w:rsid w:val="1E9A6CF6"/>
    <w:rsid w:val="1EDE4F4A"/>
    <w:rsid w:val="1EF22302"/>
    <w:rsid w:val="1EFD1033"/>
    <w:rsid w:val="1F64045B"/>
    <w:rsid w:val="1F93212F"/>
    <w:rsid w:val="1FCC304D"/>
    <w:rsid w:val="1FF266BE"/>
    <w:rsid w:val="205277B8"/>
    <w:rsid w:val="206A6B9C"/>
    <w:rsid w:val="206B68FE"/>
    <w:rsid w:val="20875058"/>
    <w:rsid w:val="20E26732"/>
    <w:rsid w:val="21380A48"/>
    <w:rsid w:val="213B4B89"/>
    <w:rsid w:val="21661111"/>
    <w:rsid w:val="218617B3"/>
    <w:rsid w:val="218F2F30"/>
    <w:rsid w:val="21C2133B"/>
    <w:rsid w:val="221257F2"/>
    <w:rsid w:val="228C59A5"/>
    <w:rsid w:val="22985DCE"/>
    <w:rsid w:val="22CD6F6E"/>
    <w:rsid w:val="22D327D6"/>
    <w:rsid w:val="22FF3F45"/>
    <w:rsid w:val="235B60DC"/>
    <w:rsid w:val="237A70F6"/>
    <w:rsid w:val="23983A20"/>
    <w:rsid w:val="23D119EE"/>
    <w:rsid w:val="240E783E"/>
    <w:rsid w:val="24701A48"/>
    <w:rsid w:val="24D33715"/>
    <w:rsid w:val="24F133E8"/>
    <w:rsid w:val="25A30961"/>
    <w:rsid w:val="25BE0B79"/>
    <w:rsid w:val="25D0724F"/>
    <w:rsid w:val="26215F4F"/>
    <w:rsid w:val="26220F7D"/>
    <w:rsid w:val="2642684E"/>
    <w:rsid w:val="26485CB3"/>
    <w:rsid w:val="266320C3"/>
    <w:rsid w:val="26C32FF4"/>
    <w:rsid w:val="270839E3"/>
    <w:rsid w:val="270F3FF9"/>
    <w:rsid w:val="27643E35"/>
    <w:rsid w:val="27AF30E6"/>
    <w:rsid w:val="27D90D61"/>
    <w:rsid w:val="281426A1"/>
    <w:rsid w:val="28374226"/>
    <w:rsid w:val="288602EB"/>
    <w:rsid w:val="28A14CAD"/>
    <w:rsid w:val="29130F5F"/>
    <w:rsid w:val="294206B6"/>
    <w:rsid w:val="2950732B"/>
    <w:rsid w:val="2A407548"/>
    <w:rsid w:val="2A5A558B"/>
    <w:rsid w:val="2A8A4095"/>
    <w:rsid w:val="2B876854"/>
    <w:rsid w:val="2BE758B3"/>
    <w:rsid w:val="2BEF284B"/>
    <w:rsid w:val="2CB216AE"/>
    <w:rsid w:val="2D607A1D"/>
    <w:rsid w:val="2D92328E"/>
    <w:rsid w:val="2DC25F5A"/>
    <w:rsid w:val="2DEE1D98"/>
    <w:rsid w:val="2E3A3BC0"/>
    <w:rsid w:val="2E7A444E"/>
    <w:rsid w:val="2EC46B3C"/>
    <w:rsid w:val="2F350375"/>
    <w:rsid w:val="2F7075FF"/>
    <w:rsid w:val="2FAF45CB"/>
    <w:rsid w:val="2FBE65BC"/>
    <w:rsid w:val="2FD438CC"/>
    <w:rsid w:val="30573B8E"/>
    <w:rsid w:val="30E43E01"/>
    <w:rsid w:val="312F12D8"/>
    <w:rsid w:val="314D2A6F"/>
    <w:rsid w:val="31717D8A"/>
    <w:rsid w:val="317E1FB4"/>
    <w:rsid w:val="31B84AAD"/>
    <w:rsid w:val="32165937"/>
    <w:rsid w:val="32340DB8"/>
    <w:rsid w:val="329D0DFF"/>
    <w:rsid w:val="32A26E1B"/>
    <w:rsid w:val="32B60E5B"/>
    <w:rsid w:val="334E7C57"/>
    <w:rsid w:val="33B977C6"/>
    <w:rsid w:val="33C70548"/>
    <w:rsid w:val="33F24A86"/>
    <w:rsid w:val="34013A65"/>
    <w:rsid w:val="34272982"/>
    <w:rsid w:val="34666505"/>
    <w:rsid w:val="34A264AC"/>
    <w:rsid w:val="35246EC1"/>
    <w:rsid w:val="354B7A7C"/>
    <w:rsid w:val="354F7EAB"/>
    <w:rsid w:val="358D2CB9"/>
    <w:rsid w:val="359C114E"/>
    <w:rsid w:val="35B16AED"/>
    <w:rsid w:val="35D16601"/>
    <w:rsid w:val="35FB40C6"/>
    <w:rsid w:val="36466A9F"/>
    <w:rsid w:val="365A788E"/>
    <w:rsid w:val="366A3C5E"/>
    <w:rsid w:val="36987B67"/>
    <w:rsid w:val="369D6F2B"/>
    <w:rsid w:val="36A502E6"/>
    <w:rsid w:val="36D16BD5"/>
    <w:rsid w:val="370F51A6"/>
    <w:rsid w:val="371A67CE"/>
    <w:rsid w:val="3720190B"/>
    <w:rsid w:val="37490E61"/>
    <w:rsid w:val="37B473EF"/>
    <w:rsid w:val="37BD5978"/>
    <w:rsid w:val="37E00D3A"/>
    <w:rsid w:val="38141FF1"/>
    <w:rsid w:val="38A75F00"/>
    <w:rsid w:val="38C77023"/>
    <w:rsid w:val="39000B48"/>
    <w:rsid w:val="392751D2"/>
    <w:rsid w:val="39386D6D"/>
    <w:rsid w:val="397A1ED3"/>
    <w:rsid w:val="397F0B6A"/>
    <w:rsid w:val="39EE7A9E"/>
    <w:rsid w:val="39F63E15"/>
    <w:rsid w:val="3A04181D"/>
    <w:rsid w:val="3A122D4C"/>
    <w:rsid w:val="3AD46C94"/>
    <w:rsid w:val="3AE0388B"/>
    <w:rsid w:val="3AEA6D99"/>
    <w:rsid w:val="3BF37E34"/>
    <w:rsid w:val="3CC13DBB"/>
    <w:rsid w:val="3D804EB1"/>
    <w:rsid w:val="3DA05553"/>
    <w:rsid w:val="3DE03BA2"/>
    <w:rsid w:val="3E0903EE"/>
    <w:rsid w:val="3E2241BA"/>
    <w:rsid w:val="3E234634"/>
    <w:rsid w:val="3ECD2378"/>
    <w:rsid w:val="3EE17BD1"/>
    <w:rsid w:val="3EF23B8C"/>
    <w:rsid w:val="3F3B5CA6"/>
    <w:rsid w:val="3F576444"/>
    <w:rsid w:val="3F6C393F"/>
    <w:rsid w:val="3F6F51DD"/>
    <w:rsid w:val="3FA23805"/>
    <w:rsid w:val="3FCE658B"/>
    <w:rsid w:val="3FF57DD8"/>
    <w:rsid w:val="401D630F"/>
    <w:rsid w:val="403160CA"/>
    <w:rsid w:val="40470FDD"/>
    <w:rsid w:val="405B2981"/>
    <w:rsid w:val="40D71B0D"/>
    <w:rsid w:val="412344D1"/>
    <w:rsid w:val="412C782A"/>
    <w:rsid w:val="414E3521"/>
    <w:rsid w:val="41614FF9"/>
    <w:rsid w:val="417D0085"/>
    <w:rsid w:val="41EE5659"/>
    <w:rsid w:val="420E3092"/>
    <w:rsid w:val="42357EBF"/>
    <w:rsid w:val="425D3A13"/>
    <w:rsid w:val="42861473"/>
    <w:rsid w:val="42E61C5A"/>
    <w:rsid w:val="42FC5CA1"/>
    <w:rsid w:val="42FF2D1C"/>
    <w:rsid w:val="43016A94"/>
    <w:rsid w:val="433561DD"/>
    <w:rsid w:val="435272F0"/>
    <w:rsid w:val="4355293C"/>
    <w:rsid w:val="43763A35"/>
    <w:rsid w:val="44C47D79"/>
    <w:rsid w:val="44F25050"/>
    <w:rsid w:val="45236DFE"/>
    <w:rsid w:val="45A55DFD"/>
    <w:rsid w:val="465B3AF7"/>
    <w:rsid w:val="46845A12"/>
    <w:rsid w:val="46A2306B"/>
    <w:rsid w:val="470C060F"/>
    <w:rsid w:val="470E1010"/>
    <w:rsid w:val="47253C1A"/>
    <w:rsid w:val="47943DC7"/>
    <w:rsid w:val="481352A4"/>
    <w:rsid w:val="481F1950"/>
    <w:rsid w:val="487A3570"/>
    <w:rsid w:val="48A65610"/>
    <w:rsid w:val="494616A5"/>
    <w:rsid w:val="495F2D19"/>
    <w:rsid w:val="49644740"/>
    <w:rsid w:val="4974354D"/>
    <w:rsid w:val="49B06B1E"/>
    <w:rsid w:val="49D700DA"/>
    <w:rsid w:val="49E72DEA"/>
    <w:rsid w:val="4A5120AF"/>
    <w:rsid w:val="4A791A90"/>
    <w:rsid w:val="4AA04DE4"/>
    <w:rsid w:val="4AAB05FE"/>
    <w:rsid w:val="4B1A4B97"/>
    <w:rsid w:val="4B35166F"/>
    <w:rsid w:val="4B4C5ECB"/>
    <w:rsid w:val="4B5866DE"/>
    <w:rsid w:val="4B5C6F5D"/>
    <w:rsid w:val="4BB270BA"/>
    <w:rsid w:val="4C1B0BC7"/>
    <w:rsid w:val="4C1D3A9A"/>
    <w:rsid w:val="4CC43A0A"/>
    <w:rsid w:val="4CDC7F9F"/>
    <w:rsid w:val="4DB75F1A"/>
    <w:rsid w:val="4DE41E5A"/>
    <w:rsid w:val="4DFF7D33"/>
    <w:rsid w:val="4E2B7618"/>
    <w:rsid w:val="4E3B7159"/>
    <w:rsid w:val="4E601839"/>
    <w:rsid w:val="4E7256BE"/>
    <w:rsid w:val="4E8748FA"/>
    <w:rsid w:val="4EE03A01"/>
    <w:rsid w:val="4F05790C"/>
    <w:rsid w:val="4F495880"/>
    <w:rsid w:val="4F9A725F"/>
    <w:rsid w:val="4FEC63D6"/>
    <w:rsid w:val="4FFA2DA3"/>
    <w:rsid w:val="502D4C7A"/>
    <w:rsid w:val="505446A7"/>
    <w:rsid w:val="507A1108"/>
    <w:rsid w:val="50BD21C0"/>
    <w:rsid w:val="50FE2865"/>
    <w:rsid w:val="511300BE"/>
    <w:rsid w:val="51256043"/>
    <w:rsid w:val="515A3F3F"/>
    <w:rsid w:val="51FB4947"/>
    <w:rsid w:val="52120376"/>
    <w:rsid w:val="5268443A"/>
    <w:rsid w:val="52821CF7"/>
    <w:rsid w:val="528E50AB"/>
    <w:rsid w:val="52950FA7"/>
    <w:rsid w:val="52BB6C5F"/>
    <w:rsid w:val="52C21BD8"/>
    <w:rsid w:val="52C8130F"/>
    <w:rsid w:val="52D7336D"/>
    <w:rsid w:val="52F61A46"/>
    <w:rsid w:val="530028C4"/>
    <w:rsid w:val="53091289"/>
    <w:rsid w:val="53591C57"/>
    <w:rsid w:val="53607807"/>
    <w:rsid w:val="53632588"/>
    <w:rsid w:val="53682217"/>
    <w:rsid w:val="536C1D08"/>
    <w:rsid w:val="54A42D89"/>
    <w:rsid w:val="54AD0A81"/>
    <w:rsid w:val="54D71F1A"/>
    <w:rsid w:val="558477DD"/>
    <w:rsid w:val="55AC109B"/>
    <w:rsid w:val="55AD1F14"/>
    <w:rsid w:val="55CC2F32"/>
    <w:rsid w:val="55FB5C27"/>
    <w:rsid w:val="56003FBF"/>
    <w:rsid w:val="560B5CB2"/>
    <w:rsid w:val="56116B96"/>
    <w:rsid w:val="56152E93"/>
    <w:rsid w:val="562B4531"/>
    <w:rsid w:val="5635234A"/>
    <w:rsid w:val="563E640C"/>
    <w:rsid w:val="564C7BCE"/>
    <w:rsid w:val="56816CC1"/>
    <w:rsid w:val="56ED315F"/>
    <w:rsid w:val="56FB3ACE"/>
    <w:rsid w:val="57243FF4"/>
    <w:rsid w:val="57320C68"/>
    <w:rsid w:val="574D3BFE"/>
    <w:rsid w:val="577E0EF6"/>
    <w:rsid w:val="581110D0"/>
    <w:rsid w:val="587E57C9"/>
    <w:rsid w:val="58B877B7"/>
    <w:rsid w:val="58D75E75"/>
    <w:rsid w:val="58F46A27"/>
    <w:rsid w:val="594F1EAF"/>
    <w:rsid w:val="5959745E"/>
    <w:rsid w:val="59A55871"/>
    <w:rsid w:val="59DF76D7"/>
    <w:rsid w:val="5A441E15"/>
    <w:rsid w:val="5A6279C1"/>
    <w:rsid w:val="5AEB5C08"/>
    <w:rsid w:val="5B0311A3"/>
    <w:rsid w:val="5B3A6D4A"/>
    <w:rsid w:val="5B5F204E"/>
    <w:rsid w:val="5B710D6D"/>
    <w:rsid w:val="5BA200E5"/>
    <w:rsid w:val="5BA44F3F"/>
    <w:rsid w:val="5C036F81"/>
    <w:rsid w:val="5C1170D3"/>
    <w:rsid w:val="5C741C2D"/>
    <w:rsid w:val="5D0942D3"/>
    <w:rsid w:val="5D0F4305"/>
    <w:rsid w:val="5D7243BE"/>
    <w:rsid w:val="5D8D11F8"/>
    <w:rsid w:val="5E061A46"/>
    <w:rsid w:val="5E2925A5"/>
    <w:rsid w:val="5E3716FF"/>
    <w:rsid w:val="5EBC30A5"/>
    <w:rsid w:val="5EC155FD"/>
    <w:rsid w:val="5ED748CA"/>
    <w:rsid w:val="5EE74A73"/>
    <w:rsid w:val="5EEF6B1A"/>
    <w:rsid w:val="5F096FA4"/>
    <w:rsid w:val="5F4D4EEE"/>
    <w:rsid w:val="5FC2117B"/>
    <w:rsid w:val="5FF27A39"/>
    <w:rsid w:val="60926DBF"/>
    <w:rsid w:val="609A399F"/>
    <w:rsid w:val="612B2565"/>
    <w:rsid w:val="61AD324A"/>
    <w:rsid w:val="61EA6C19"/>
    <w:rsid w:val="621F1F6A"/>
    <w:rsid w:val="62402D30"/>
    <w:rsid w:val="62630367"/>
    <w:rsid w:val="628630B9"/>
    <w:rsid w:val="6299063F"/>
    <w:rsid w:val="63974B7F"/>
    <w:rsid w:val="639817B0"/>
    <w:rsid w:val="63BA261B"/>
    <w:rsid w:val="64041226"/>
    <w:rsid w:val="645055AC"/>
    <w:rsid w:val="64572CE8"/>
    <w:rsid w:val="646031C3"/>
    <w:rsid w:val="64D1412A"/>
    <w:rsid w:val="64D15E6F"/>
    <w:rsid w:val="64E96B53"/>
    <w:rsid w:val="64ED11A3"/>
    <w:rsid w:val="651B533C"/>
    <w:rsid w:val="656C3990"/>
    <w:rsid w:val="65EF754F"/>
    <w:rsid w:val="669B6734"/>
    <w:rsid w:val="66B303FD"/>
    <w:rsid w:val="67AA12EC"/>
    <w:rsid w:val="687A05CB"/>
    <w:rsid w:val="68CA5740"/>
    <w:rsid w:val="68CE2C12"/>
    <w:rsid w:val="692C4A1B"/>
    <w:rsid w:val="697A2F79"/>
    <w:rsid w:val="699833FF"/>
    <w:rsid w:val="69CB581E"/>
    <w:rsid w:val="6A020035"/>
    <w:rsid w:val="6A4964A7"/>
    <w:rsid w:val="6AEA1F10"/>
    <w:rsid w:val="6B1765A5"/>
    <w:rsid w:val="6BCF0C2E"/>
    <w:rsid w:val="6C3A079D"/>
    <w:rsid w:val="6C3A4645"/>
    <w:rsid w:val="6C3B7BA1"/>
    <w:rsid w:val="6CB220E3"/>
    <w:rsid w:val="6CD0178A"/>
    <w:rsid w:val="6D2B2B4B"/>
    <w:rsid w:val="6D46511B"/>
    <w:rsid w:val="6D4F2026"/>
    <w:rsid w:val="6D967C55"/>
    <w:rsid w:val="6E2E7E8E"/>
    <w:rsid w:val="6E3661C1"/>
    <w:rsid w:val="6E423939"/>
    <w:rsid w:val="6E777A87"/>
    <w:rsid w:val="6EB51099"/>
    <w:rsid w:val="6ED749C9"/>
    <w:rsid w:val="6F5A4CB2"/>
    <w:rsid w:val="6F6D0E8A"/>
    <w:rsid w:val="701102E0"/>
    <w:rsid w:val="70250EE0"/>
    <w:rsid w:val="703B4AE4"/>
    <w:rsid w:val="70EE1031"/>
    <w:rsid w:val="71306613"/>
    <w:rsid w:val="7164006A"/>
    <w:rsid w:val="71942C30"/>
    <w:rsid w:val="7195703E"/>
    <w:rsid w:val="71CC0ED0"/>
    <w:rsid w:val="72231ECA"/>
    <w:rsid w:val="72730565"/>
    <w:rsid w:val="72C154D1"/>
    <w:rsid w:val="72D82ABE"/>
    <w:rsid w:val="730B69EF"/>
    <w:rsid w:val="73155AC0"/>
    <w:rsid w:val="731F693F"/>
    <w:rsid w:val="73612AB3"/>
    <w:rsid w:val="736675BE"/>
    <w:rsid w:val="737E0B7F"/>
    <w:rsid w:val="739C3FD0"/>
    <w:rsid w:val="73C240F0"/>
    <w:rsid w:val="74471CA9"/>
    <w:rsid w:val="7460720F"/>
    <w:rsid w:val="74AA3682"/>
    <w:rsid w:val="74CC4773"/>
    <w:rsid w:val="7513602F"/>
    <w:rsid w:val="7533413A"/>
    <w:rsid w:val="75502DDF"/>
    <w:rsid w:val="760106F2"/>
    <w:rsid w:val="76AA4771"/>
    <w:rsid w:val="76E64FAF"/>
    <w:rsid w:val="7798281C"/>
    <w:rsid w:val="78370287"/>
    <w:rsid w:val="784E7AE3"/>
    <w:rsid w:val="78661915"/>
    <w:rsid w:val="788B2A23"/>
    <w:rsid w:val="788D434B"/>
    <w:rsid w:val="78C00DE1"/>
    <w:rsid w:val="79163CB7"/>
    <w:rsid w:val="79195926"/>
    <w:rsid w:val="796E3EA9"/>
    <w:rsid w:val="79EB61A0"/>
    <w:rsid w:val="7A0643B5"/>
    <w:rsid w:val="7A237CFD"/>
    <w:rsid w:val="7A28257D"/>
    <w:rsid w:val="7A9E45ED"/>
    <w:rsid w:val="7AA634A2"/>
    <w:rsid w:val="7AEC4A35"/>
    <w:rsid w:val="7B4927AB"/>
    <w:rsid w:val="7B5E4622"/>
    <w:rsid w:val="7BBE768A"/>
    <w:rsid w:val="7C2D79D7"/>
    <w:rsid w:val="7C472258"/>
    <w:rsid w:val="7C7C51E0"/>
    <w:rsid w:val="7CA659DB"/>
    <w:rsid w:val="7CB41BA4"/>
    <w:rsid w:val="7CBE4AD3"/>
    <w:rsid w:val="7D0B2DAF"/>
    <w:rsid w:val="7D807FDA"/>
    <w:rsid w:val="7D851A94"/>
    <w:rsid w:val="7D8C72EC"/>
    <w:rsid w:val="7DE2006D"/>
    <w:rsid w:val="7E4C288C"/>
    <w:rsid w:val="7E642586"/>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1"/>
    <w:autoRedefine/>
    <w:unhideWhenUsed/>
    <w:qFormat/>
    <w:uiPriority w:val="0"/>
    <w:pPr>
      <w:keepNext/>
      <w:keepLines/>
      <w:numPr>
        <w:ilvl w:val="2"/>
        <w:numId w:val="2"/>
      </w:numPr>
      <w:ind w:firstLine="0" w:firstLineChars="0"/>
      <w:outlineLvl w:val="2"/>
    </w:p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6">
    <w:name w:val="Normal Indent"/>
    <w:basedOn w:val="1"/>
    <w:autoRedefine/>
    <w:qFormat/>
    <w:uiPriority w:val="0"/>
    <w:pPr>
      <w:ind w:firstLine="420"/>
    </w:pPr>
    <w:rPr>
      <w:szCs w:val="20"/>
    </w:rPr>
  </w:style>
  <w:style w:type="paragraph" w:styleId="7">
    <w:name w:val="annotation text"/>
    <w:basedOn w:val="1"/>
    <w:link w:val="26"/>
    <w:autoRedefine/>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dot" w:pos="9628"/>
      </w:tabs>
      <w:spacing w:line="240" w:lineRule="auto"/>
    </w:pPr>
    <w:rPr>
      <w:rFonts w:ascii="宋体" w:hAnsi="宋体"/>
      <w:b/>
      <w:sz w:val="28"/>
    </w:rPr>
  </w:style>
  <w:style w:type="paragraph" w:styleId="11">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2">
    <w:name w:val="annotation subject"/>
    <w:basedOn w:val="7"/>
    <w:next w:val="7"/>
    <w:link w:val="27"/>
    <w:autoRedefine/>
    <w:qFormat/>
    <w:uiPriority w:val="0"/>
    <w:rPr>
      <w:b/>
      <w:bCs/>
    </w:rPr>
  </w:style>
  <w:style w:type="paragraph" w:styleId="13">
    <w:name w:val="Body Text First Indent"/>
    <w:basedOn w:val="2"/>
    <w:autoRedefine/>
    <w:qFormat/>
    <w:uiPriority w:val="0"/>
    <w:pPr>
      <w:ind w:firstLine="420" w:firstLineChars="100"/>
    </w:pPr>
  </w:style>
  <w:style w:type="table" w:styleId="15">
    <w:name w:val="Table Grid"/>
    <w:basedOn w:val="14"/>
    <w:autoRedefine/>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annotation reference"/>
    <w:basedOn w:val="16"/>
    <w:autoRedefine/>
    <w:qFormat/>
    <w:uiPriority w:val="0"/>
    <w:rPr>
      <w:sz w:val="21"/>
      <w:szCs w:val="21"/>
    </w:rPr>
  </w:style>
  <w:style w:type="paragraph" w:customStyle="1" w:styleId="18">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20">
    <w:name w:val="Table Paragraph"/>
    <w:basedOn w:val="1"/>
    <w:autoRedefine/>
    <w:qFormat/>
    <w:uiPriority w:val="1"/>
    <w:pPr>
      <w:spacing w:before="178"/>
      <w:ind w:left="105"/>
    </w:pPr>
    <w:rPr>
      <w:rFonts w:ascii="宋体" w:hAnsi="宋体" w:cs="宋体"/>
    </w:rPr>
  </w:style>
  <w:style w:type="paragraph" w:customStyle="1" w:styleId="21">
    <w:name w:val="表格内文字"/>
    <w:basedOn w:val="1"/>
    <w:next w:val="1"/>
    <w:autoRedefine/>
    <w:qFormat/>
    <w:uiPriority w:val="0"/>
    <w:pPr>
      <w:spacing w:line="240" w:lineRule="auto"/>
      <w:ind w:firstLine="0" w:firstLineChars="0"/>
      <w:jc w:val="center"/>
    </w:pPr>
    <w:rPr>
      <w:sz w:val="21"/>
    </w:rPr>
  </w:style>
  <w:style w:type="paragraph" w:styleId="22">
    <w:name w:val="List Paragraph"/>
    <w:basedOn w:val="1"/>
    <w:autoRedefine/>
    <w:qFormat/>
    <w:uiPriority w:val="1"/>
    <w:pPr>
      <w:ind w:left="830" w:hanging="590"/>
    </w:pPr>
    <w:rPr>
      <w:rFonts w:ascii="宋体" w:hAnsi="宋体" w:cs="宋体"/>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5">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6">
    <w:name w:val="批注文字 字符"/>
    <w:basedOn w:val="16"/>
    <w:link w:val="7"/>
    <w:autoRedefine/>
    <w:qFormat/>
    <w:uiPriority w:val="0"/>
    <w:rPr>
      <w:kern w:val="2"/>
      <w:sz w:val="24"/>
      <w:szCs w:val="24"/>
    </w:rPr>
  </w:style>
  <w:style w:type="character" w:customStyle="1" w:styleId="27">
    <w:name w:val="批注主题 字符"/>
    <w:basedOn w:val="26"/>
    <w:link w:val="12"/>
    <w:autoRedefine/>
    <w:qFormat/>
    <w:uiPriority w:val="0"/>
    <w:rPr>
      <w:b/>
      <w:bCs/>
      <w:kern w:val="2"/>
      <w:sz w:val="24"/>
      <w:szCs w:val="24"/>
    </w:rPr>
  </w:style>
  <w:style w:type="paragraph" w:customStyle="1" w:styleId="28">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1793</Words>
  <Characters>10222</Characters>
  <Lines>85</Lines>
  <Paragraphs>23</Paragraphs>
  <TotalTime>0</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2024-05-26T12:38:59Z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