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sz w:val="52"/>
          <w:szCs w:val="52"/>
        </w:rPr>
      </w:pPr>
    </w:p>
    <w:p>
      <w:pPr>
        <w:jc w:val="center"/>
        <w:rPr>
          <w:rFonts w:ascii="宋体" w:hAnsi="宋体" w:cs="宋体"/>
          <w:b/>
          <w:bCs/>
          <w:sz w:val="72"/>
          <w:szCs w:val="52"/>
        </w:rPr>
      </w:pPr>
      <w:r>
        <w:rPr>
          <w:rFonts w:hint="eastAsia" w:ascii="宋体" w:hAnsi="宋体" w:cs="宋体"/>
          <w:b/>
          <w:bCs/>
          <w:sz w:val="72"/>
          <w:szCs w:val="52"/>
        </w:rPr>
        <w:t>中机国际</w:t>
      </w:r>
    </w:p>
    <w:p>
      <w:pPr>
        <w:jc w:val="center"/>
        <w:rPr>
          <w:rFonts w:ascii="宋体" w:hAnsi="宋体" w:cs="宋体"/>
          <w:b/>
          <w:bCs/>
          <w:sz w:val="72"/>
          <w:szCs w:val="52"/>
        </w:rPr>
      </w:pPr>
      <w:r>
        <w:rPr>
          <w:rFonts w:hint="eastAsia" w:ascii="宋体" w:hAnsi="宋体"/>
          <w:b/>
          <w:sz w:val="52"/>
        </w:rPr>
        <w:t>电子采购交易平台</w:t>
      </w:r>
    </w:p>
    <w:p>
      <w:pPr>
        <w:spacing w:line="360" w:lineRule="auto"/>
        <w:ind w:left="-359" w:leftChars="-171"/>
        <w:jc w:val="center"/>
        <w:rPr>
          <w:rFonts w:ascii="宋体" w:hAnsi="宋体"/>
          <w:b/>
          <w:sz w:val="52"/>
        </w:rPr>
      </w:pPr>
      <w:r>
        <w:rPr>
          <w:rFonts w:hint="eastAsia" w:ascii="宋体" w:hAnsi="宋体"/>
          <w:b/>
          <w:sz w:val="48"/>
          <w:szCs w:val="48"/>
        </w:rPr>
        <w:t>供应商全生命周期管系统</w:t>
      </w: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spacing w:before="312" w:beforeLines="100" w:after="312" w:afterLines="100"/>
        <w:jc w:val="center"/>
        <w:rPr>
          <w:rFonts w:ascii="宋体" w:hAnsi="宋体" w:cs="宋体"/>
          <w:b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8" w:name="_GoBack"/>
      <w:bookmarkEnd w:id="8"/>
    </w:p>
    <w:p>
      <w:pPr>
        <w:spacing w:line="276" w:lineRule="auto"/>
        <w:rPr>
          <w:b/>
          <w:sz w:val="48"/>
          <w:szCs w:val="48"/>
        </w:rPr>
      </w:pPr>
    </w:p>
    <w:sdt>
      <w:sdtPr>
        <w:rPr>
          <w:rFonts w:ascii="宋体" w:hAnsi="宋体" w:eastAsia="宋体"/>
        </w:rPr>
        <w:id w:val="147471391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/>
          <w:b/>
          <w:szCs w:val="48"/>
        </w:rPr>
      </w:sdtEndPr>
      <w:sdtContent>
        <w:p>
          <w:pPr>
            <w:jc w:val="center"/>
            <w:rPr>
              <w:b/>
            </w:rPr>
          </w:pPr>
          <w:r>
            <w:rPr>
              <w:rFonts w:ascii="宋体" w:hAnsi="宋体" w:eastAsia="宋体"/>
              <w:b/>
            </w:rPr>
            <w:t>目录</w:t>
          </w:r>
        </w:p>
        <w:p>
          <w:pPr>
            <w:pStyle w:val="11"/>
            <w:tabs>
              <w:tab w:val="left" w:pos="840"/>
              <w:tab w:val="right" w:leader="dot" w:pos="8296"/>
            </w:tabs>
          </w:pPr>
          <w:r>
            <w:rPr>
              <w:rFonts w:hint="eastAsia"/>
              <w:b/>
              <w:sz w:val="48"/>
              <w:szCs w:val="48"/>
            </w:rPr>
            <w:fldChar w:fldCharType="begin"/>
          </w:r>
          <w:r>
            <w:rPr>
              <w:rFonts w:hint="eastAsia"/>
              <w:b/>
              <w:sz w:val="48"/>
              <w:szCs w:val="48"/>
            </w:rPr>
            <w:instrText xml:space="preserve">TOC \o "1-2" \h \u </w:instrText>
          </w:r>
          <w:r>
            <w:rPr>
              <w:rFonts w:hint="eastAsia"/>
              <w:b/>
              <w:sz w:val="48"/>
              <w:szCs w:val="48"/>
            </w:rPr>
            <w:fldChar w:fldCharType="separate"/>
          </w:r>
          <w:r>
            <w:fldChar w:fldCharType="begin"/>
          </w:r>
          <w:r>
            <w:instrText xml:space="preserve"> HYPERLINK \l "_Toc89964259" </w:instrText>
          </w:r>
          <w:r>
            <w:fldChar w:fldCharType="separate"/>
          </w:r>
          <w:r>
            <w:rPr>
              <w:rStyle w:val="17"/>
            </w:rPr>
            <w:t>一、</w:t>
          </w:r>
          <w:r>
            <w:tab/>
          </w:r>
          <w:r>
            <w:rPr>
              <w:rStyle w:val="17"/>
            </w:rPr>
            <w:t>供应商注册</w:t>
          </w:r>
          <w:r>
            <w:tab/>
          </w:r>
          <w:r>
            <w:fldChar w:fldCharType="begin"/>
          </w:r>
          <w:r>
            <w:instrText xml:space="preserve"> PAGEREF _Toc89964259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840"/>
              <w:tab w:val="right" w:leader="dot" w:pos="8296"/>
            </w:tabs>
          </w:pPr>
          <w:r>
            <w:fldChar w:fldCharType="begin"/>
          </w:r>
          <w:r>
            <w:instrText xml:space="preserve"> HYPERLINK \l "_Toc89964260" </w:instrText>
          </w:r>
          <w:r>
            <w:fldChar w:fldCharType="separate"/>
          </w:r>
          <w:r>
            <w:rPr>
              <w:rStyle w:val="17"/>
            </w:rPr>
            <w:t>二、</w:t>
          </w:r>
          <w:r>
            <w:tab/>
          </w:r>
          <w:r>
            <w:rPr>
              <w:rStyle w:val="17"/>
            </w:rPr>
            <w:t>供应商评审</w:t>
          </w:r>
          <w:r>
            <w:tab/>
          </w:r>
          <w:r>
            <w:fldChar w:fldCharType="begin"/>
          </w:r>
          <w:r>
            <w:instrText xml:space="preserve"> PAGEREF _Toc89964260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840"/>
              <w:tab w:val="right" w:leader="dot" w:pos="8296"/>
            </w:tabs>
          </w:pPr>
          <w:r>
            <w:fldChar w:fldCharType="begin"/>
          </w:r>
          <w:r>
            <w:instrText xml:space="preserve"> HYPERLINK \l "_Toc89964261" </w:instrText>
          </w:r>
          <w:r>
            <w:fldChar w:fldCharType="separate"/>
          </w:r>
          <w:r>
            <w:rPr>
              <w:rStyle w:val="17"/>
            </w:rPr>
            <w:t>三、</w:t>
          </w:r>
          <w:r>
            <w:tab/>
          </w:r>
          <w:r>
            <w:rPr>
              <w:rStyle w:val="17"/>
            </w:rPr>
            <w:t>招标项目报名</w:t>
          </w:r>
          <w:r>
            <w:tab/>
          </w:r>
          <w:r>
            <w:fldChar w:fldCharType="begin"/>
          </w:r>
          <w:r>
            <w:instrText xml:space="preserve"> PAGEREF _Toc89964261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840"/>
              <w:tab w:val="right" w:leader="dot" w:pos="8296"/>
            </w:tabs>
          </w:pPr>
          <w:r>
            <w:fldChar w:fldCharType="begin"/>
          </w:r>
          <w:r>
            <w:instrText xml:space="preserve"> HYPERLINK \l "_Toc89964262" </w:instrText>
          </w:r>
          <w:r>
            <w:fldChar w:fldCharType="separate"/>
          </w:r>
          <w:r>
            <w:rPr>
              <w:rStyle w:val="17"/>
            </w:rPr>
            <w:t>四、</w:t>
          </w:r>
          <w:r>
            <w:tab/>
          </w:r>
          <w:r>
            <w:rPr>
              <w:rStyle w:val="17"/>
            </w:rPr>
            <w:t>采购文件下载</w:t>
          </w:r>
          <w:r>
            <w:tab/>
          </w:r>
          <w:r>
            <w:fldChar w:fldCharType="begin"/>
          </w:r>
          <w:r>
            <w:instrText xml:space="preserve"> PAGEREF _Toc89964262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840"/>
              <w:tab w:val="right" w:leader="dot" w:pos="8296"/>
            </w:tabs>
          </w:pPr>
          <w:r>
            <w:fldChar w:fldCharType="begin"/>
          </w:r>
          <w:r>
            <w:instrText xml:space="preserve"> HYPERLINK \l "_Toc89964263" </w:instrText>
          </w:r>
          <w:r>
            <w:fldChar w:fldCharType="separate"/>
          </w:r>
          <w:r>
            <w:rPr>
              <w:rStyle w:val="17"/>
            </w:rPr>
            <w:t>五、</w:t>
          </w:r>
          <w:r>
            <w:tab/>
          </w:r>
          <w:r>
            <w:rPr>
              <w:rStyle w:val="17"/>
            </w:rPr>
            <w:t>供应商投标报价</w:t>
          </w:r>
          <w:r>
            <w:tab/>
          </w:r>
          <w:r>
            <w:fldChar w:fldCharType="begin"/>
          </w:r>
          <w:r>
            <w:instrText xml:space="preserve"> PAGEREF _Toc89964263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840"/>
              <w:tab w:val="right" w:leader="dot" w:pos="8296"/>
            </w:tabs>
          </w:pPr>
          <w:r>
            <w:fldChar w:fldCharType="begin"/>
          </w:r>
          <w:r>
            <w:instrText xml:space="preserve"> HYPERLINK \l "_Toc89964264" </w:instrText>
          </w:r>
          <w:r>
            <w:fldChar w:fldCharType="separate"/>
          </w:r>
          <w:r>
            <w:rPr>
              <w:rStyle w:val="17"/>
            </w:rPr>
            <w:t>六、</w:t>
          </w:r>
          <w:r>
            <w:tab/>
          </w:r>
          <w:r>
            <w:rPr>
              <w:rStyle w:val="17"/>
            </w:rPr>
            <w:t>开标现场</w:t>
          </w:r>
          <w:r>
            <w:tab/>
          </w:r>
          <w:r>
            <w:fldChar w:fldCharType="begin"/>
          </w:r>
          <w:r>
            <w:instrText xml:space="preserve"> PAGEREF _Toc89964264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840"/>
              <w:tab w:val="right" w:leader="dot" w:pos="8296"/>
            </w:tabs>
          </w:pPr>
          <w:r>
            <w:fldChar w:fldCharType="begin"/>
          </w:r>
          <w:r>
            <w:instrText xml:space="preserve"> HYPERLINK \l "_Toc89964265" </w:instrText>
          </w:r>
          <w:r>
            <w:fldChar w:fldCharType="separate"/>
          </w:r>
          <w:r>
            <w:rPr>
              <w:rStyle w:val="17"/>
            </w:rPr>
            <w:t>七、</w:t>
          </w:r>
          <w:r>
            <w:tab/>
          </w:r>
          <w:r>
            <w:rPr>
              <w:rStyle w:val="17"/>
            </w:rPr>
            <w:t>澄清与议价</w:t>
          </w:r>
          <w:r>
            <w:tab/>
          </w:r>
          <w:r>
            <w:fldChar w:fldCharType="begin"/>
          </w:r>
          <w:r>
            <w:instrText xml:space="preserve"> PAGEREF _Toc89964265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840"/>
              <w:tab w:val="right" w:leader="dot" w:pos="8296"/>
            </w:tabs>
          </w:pPr>
          <w:r>
            <w:fldChar w:fldCharType="begin"/>
          </w:r>
          <w:r>
            <w:instrText xml:space="preserve"> HYPERLINK \l "_Toc89964266" </w:instrText>
          </w:r>
          <w:r>
            <w:fldChar w:fldCharType="separate"/>
          </w:r>
          <w:r>
            <w:rPr>
              <w:rStyle w:val="17"/>
            </w:rPr>
            <w:t>八、</w:t>
          </w:r>
          <w:r>
            <w:tab/>
          </w:r>
          <w:r>
            <w:rPr>
              <w:rStyle w:val="17"/>
            </w:rPr>
            <w:t>供应商竞价</w:t>
          </w:r>
          <w:r>
            <w:tab/>
          </w:r>
          <w:r>
            <w:fldChar w:fldCharType="begin"/>
          </w:r>
          <w:r>
            <w:instrText xml:space="preserve"> PAGEREF _Toc89964266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spacing w:line="276" w:lineRule="auto"/>
            <w:rPr>
              <w:b/>
              <w:sz w:val="48"/>
              <w:szCs w:val="48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/>
              <w:szCs w:val="48"/>
            </w:rPr>
            <w:fldChar w:fldCharType="end"/>
          </w:r>
        </w:p>
      </w:sdtContent>
    </w:sdt>
    <w:p>
      <w:pPr>
        <w:pStyle w:val="12"/>
        <w:numPr>
          <w:ilvl w:val="0"/>
          <w:numId w:val="1"/>
        </w:numPr>
        <w:jc w:val="left"/>
        <w:outlineLvl w:val="0"/>
      </w:pPr>
      <w:bookmarkStart w:id="0" w:name="_Toc89964259"/>
      <w:r>
        <w:rPr>
          <w:rFonts w:hint="eastAsia"/>
        </w:rPr>
        <w:t>供应商注册</w:t>
      </w:r>
      <w:bookmarkEnd w:id="0"/>
    </w:p>
    <w:p>
      <w:pPr>
        <w:pStyle w:val="4"/>
        <w:numPr>
          <w:ilvl w:val="0"/>
          <w:numId w:val="2"/>
        </w:numPr>
      </w:pPr>
      <w:r>
        <w:rPr>
          <w:rFonts w:hint="eastAsia"/>
        </w:rPr>
        <w:t>登录地址</w:t>
      </w:r>
    </w:p>
    <w:p>
      <w:pPr>
        <w:pStyle w:val="19"/>
        <w:spacing w:line="276" w:lineRule="auto"/>
        <w:ind w:left="510" w:firstLine="0" w:firstLineChars="0"/>
        <w:jc w:val="left"/>
        <w:rPr>
          <w:szCs w:val="21"/>
        </w:rPr>
      </w:pPr>
      <w:r>
        <w:rPr>
          <w:rFonts w:hint="eastAsia"/>
          <w:szCs w:val="21"/>
        </w:rPr>
        <w:t>在地址栏输入</w:t>
      </w:r>
      <w:r>
        <w:rPr>
          <w:szCs w:val="21"/>
        </w:rPr>
        <w:t>http://</w:t>
      </w:r>
      <w:r>
        <w:rPr>
          <w:rFonts w:hint="eastAsia"/>
          <w:szCs w:val="21"/>
        </w:rPr>
        <w:t>ep</w:t>
      </w:r>
      <w:r>
        <w:rPr>
          <w:szCs w:val="21"/>
        </w:rPr>
        <w:t>.cmie.cn</w:t>
      </w:r>
      <w:r>
        <w:rPr>
          <w:rFonts w:hint="eastAsia"/>
          <w:szCs w:val="21"/>
        </w:rPr>
        <w:t>或复制地址粘贴到地址栏中，打开电子采购交易平台。</w:t>
      </w:r>
    </w:p>
    <w:p>
      <w:pPr>
        <w:pStyle w:val="4"/>
        <w:numPr>
          <w:ilvl w:val="0"/>
          <w:numId w:val="2"/>
        </w:numPr>
      </w:pPr>
      <w:r>
        <w:rPr>
          <w:rFonts w:hint="eastAsia"/>
        </w:rPr>
        <w:t>供应商注册</w:t>
      </w:r>
    </w:p>
    <w:p>
      <w:r>
        <w:drawing>
          <wp:inline distT="0" distB="0" distL="114300" distR="114300">
            <wp:extent cx="5269865" cy="3699510"/>
            <wp:effectExtent l="0" t="0" r="698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rPr>
          <w:rFonts w:hint="eastAsia"/>
          <w:szCs w:val="21"/>
        </w:rPr>
        <w:t>点击注册按钮的弹出注册须知的界面如下：</w:t>
      </w:r>
    </w:p>
    <w:p>
      <w:pPr>
        <w:spacing w:line="276" w:lineRule="auto"/>
      </w:pPr>
      <w:r>
        <w:drawing>
          <wp:inline distT="0" distB="0" distL="114300" distR="114300">
            <wp:extent cx="5273040" cy="2865755"/>
            <wp:effectExtent l="0" t="0" r="381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rPr>
          <w:rFonts w:hint="eastAsia"/>
          <w:szCs w:val="21"/>
        </w:rPr>
        <w:t>勾选上我已阅读，并确认以上信息，继续注册。弹出下图：</w:t>
      </w:r>
    </w:p>
    <w:p>
      <w:pPr>
        <w:spacing w:line="276" w:lineRule="auto"/>
      </w:pPr>
      <w:r>
        <w:drawing>
          <wp:inline distT="0" distB="0" distL="114300" distR="114300">
            <wp:extent cx="5266690" cy="3871595"/>
            <wp:effectExtent l="0" t="0" r="10160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szCs w:val="21"/>
        </w:rPr>
      </w:pPr>
      <w:r>
        <w:rPr>
          <w:rFonts w:hint="eastAsia"/>
          <w:szCs w:val="21"/>
        </w:rPr>
        <w:t>输入供应商全称、登录账号和密码、联系人姓名、联系手机号码、联系人邮箱，验证码（验证码请从联系人邮箱中获取），并进行验证，点击注册，完成系统的账号注册。</w:t>
      </w:r>
    </w:p>
    <w:p>
      <w:pPr>
        <w:numPr>
          <w:ilvl w:val="0"/>
          <w:numId w:val="3"/>
        </w:numPr>
        <w:spacing w:line="276" w:lineRule="auto"/>
        <w:rPr>
          <w:szCs w:val="21"/>
        </w:rPr>
      </w:pPr>
      <w:r>
        <w:rPr>
          <w:rFonts w:hint="eastAsia"/>
          <w:szCs w:val="21"/>
        </w:rPr>
        <w:t>登录完善供应商的基本资料信息等相关信息，带“*”的为必填项。</w:t>
      </w:r>
    </w:p>
    <w:p>
      <w:pPr>
        <w:numPr>
          <w:ilvl w:val="0"/>
          <w:numId w:val="3"/>
        </w:numPr>
        <w:spacing w:line="276" w:lineRule="auto"/>
        <w:rPr>
          <w:szCs w:val="21"/>
        </w:rPr>
      </w:pPr>
    </w:p>
    <w:p>
      <w:pPr>
        <w:numPr>
          <w:ilvl w:val="0"/>
          <w:numId w:val="3"/>
        </w:numPr>
        <w:spacing w:line="276" w:lineRule="auto"/>
        <w:rPr>
          <w:szCs w:val="21"/>
        </w:rPr>
      </w:pPr>
      <w:r>
        <w:drawing>
          <wp:inline distT="0" distB="0" distL="114300" distR="114300">
            <wp:extent cx="5266690" cy="16858615"/>
            <wp:effectExtent l="0" t="0" r="10160" b="6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85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276" w:lineRule="auto"/>
      </w:pPr>
      <w:r>
        <w:rPr>
          <w:rFonts w:hint="eastAsia"/>
          <w:szCs w:val="21"/>
        </w:rPr>
        <w:t>资质文件，上传相关的资质文件，资质文件越全面对投标越有利，点击“</w:t>
      </w:r>
      <w:r>
        <w:rPr>
          <w:rFonts w:hint="eastAsia"/>
          <w:b/>
          <w:szCs w:val="21"/>
        </w:rPr>
        <w:t>添加资质文件</w:t>
      </w:r>
      <w:r>
        <w:rPr>
          <w:rFonts w:hint="eastAsia"/>
          <w:szCs w:val="21"/>
        </w:rPr>
        <w:t>”如图所示：</w:t>
      </w:r>
    </w:p>
    <w:p>
      <w:pPr>
        <w:spacing w:line="276" w:lineRule="auto"/>
      </w:pPr>
      <w:r>
        <w:drawing>
          <wp:inline distT="0" distB="0" distL="114300" distR="114300">
            <wp:extent cx="5267325" cy="2996565"/>
            <wp:effectExtent l="0" t="0" r="9525" b="1333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szCs w:val="21"/>
        </w:rPr>
      </w:pPr>
      <w:r>
        <w:rPr>
          <w:rFonts w:hint="eastAsia"/>
          <w:b/>
          <w:szCs w:val="21"/>
        </w:rPr>
        <w:t>资质文件类型：</w:t>
      </w:r>
      <w:r>
        <w:rPr>
          <w:rFonts w:hint="eastAsia"/>
          <w:szCs w:val="21"/>
        </w:rPr>
        <w:t>选择对应的资质类型，</w:t>
      </w:r>
    </w:p>
    <w:p>
      <w:pPr>
        <w:spacing w:line="276" w:lineRule="auto"/>
        <w:rPr>
          <w:szCs w:val="21"/>
        </w:rPr>
      </w:pPr>
      <w:r>
        <w:rPr>
          <w:rFonts w:hint="eastAsia"/>
          <w:b/>
          <w:szCs w:val="21"/>
        </w:rPr>
        <w:t>颁发机构：</w:t>
      </w:r>
      <w:r>
        <w:rPr>
          <w:rFonts w:hint="eastAsia"/>
          <w:szCs w:val="21"/>
        </w:rPr>
        <w:t>输入颁发机构名称</w:t>
      </w:r>
    </w:p>
    <w:p>
      <w:pPr>
        <w:spacing w:line="276" w:lineRule="auto"/>
        <w:rPr>
          <w:szCs w:val="21"/>
        </w:rPr>
      </w:pPr>
      <w:r>
        <w:rPr>
          <w:rFonts w:hint="eastAsia"/>
          <w:b/>
          <w:szCs w:val="21"/>
        </w:rPr>
        <w:t>颁发日期：</w:t>
      </w:r>
      <w:r>
        <w:rPr>
          <w:rFonts w:hint="eastAsia"/>
          <w:szCs w:val="21"/>
        </w:rPr>
        <w:t xml:space="preserve"> 录入资质颁发日期</w:t>
      </w:r>
    </w:p>
    <w:p>
      <w:pPr>
        <w:spacing w:line="276" w:lineRule="auto"/>
        <w:rPr>
          <w:szCs w:val="21"/>
        </w:rPr>
      </w:pPr>
      <w:r>
        <w:rPr>
          <w:rFonts w:hint="eastAsia"/>
          <w:b/>
          <w:szCs w:val="21"/>
        </w:rPr>
        <w:t>有效日期：</w:t>
      </w:r>
      <w:r>
        <w:rPr>
          <w:rFonts w:hint="eastAsia"/>
          <w:szCs w:val="21"/>
        </w:rPr>
        <w:t>录入资质文件有效日期，，方便日后提醒与管理。</w:t>
      </w:r>
    </w:p>
    <w:p>
      <w:pPr>
        <w:spacing w:line="276" w:lineRule="auto"/>
        <w:rPr>
          <w:szCs w:val="21"/>
        </w:rPr>
      </w:pPr>
      <w:r>
        <w:rPr>
          <w:rFonts w:hint="eastAsia"/>
          <w:b/>
          <w:szCs w:val="21"/>
        </w:rPr>
        <w:t>上传影印件：</w:t>
      </w:r>
      <w:r>
        <w:rPr>
          <w:rFonts w:hint="eastAsia"/>
          <w:szCs w:val="21"/>
        </w:rPr>
        <w:t>点击“上传</w:t>
      </w:r>
      <w:r>
        <w:rPr>
          <w:rFonts w:hint="eastAsia"/>
          <w:b/>
          <w:szCs w:val="21"/>
        </w:rPr>
        <w:t>影印件</w:t>
      </w:r>
      <w:r>
        <w:rPr>
          <w:rFonts w:hint="eastAsia"/>
          <w:szCs w:val="21"/>
        </w:rPr>
        <w:t>”按钮，选择需要上传的资质文件名称，点击“打开”按钮，资质文件开始上传，直至看到“上传成功”提示。完成单个资质上传，如有更多资质，请重复此次操作，</w:t>
      </w:r>
    </w:p>
    <w:p>
      <w:pPr>
        <w:numPr>
          <w:ilvl w:val="0"/>
          <w:numId w:val="3"/>
        </w:numPr>
        <w:spacing w:line="276" w:lineRule="auto"/>
      </w:pPr>
      <w:r>
        <w:rPr>
          <w:rFonts w:hint="eastAsia"/>
          <w:szCs w:val="21"/>
        </w:rPr>
        <w:t>采购类别</w:t>
      </w:r>
      <w:r>
        <w:rPr>
          <w:rFonts w:hint="eastAsia"/>
          <w:b/>
          <w:szCs w:val="21"/>
        </w:rPr>
        <w:t>，</w:t>
      </w:r>
      <w:r>
        <w:rPr>
          <w:rFonts w:hint="eastAsia"/>
          <w:szCs w:val="21"/>
        </w:rPr>
        <w:t>点击</w:t>
      </w:r>
      <w:r>
        <w:rPr>
          <w:rFonts w:hint="eastAsia"/>
          <w:b/>
          <w:szCs w:val="21"/>
        </w:rPr>
        <w:t>“添加投标类别</w:t>
      </w:r>
      <w:r>
        <w:rPr>
          <w:rFonts w:hint="eastAsia"/>
          <w:szCs w:val="21"/>
        </w:rPr>
        <w:t>”弹出下图</w:t>
      </w:r>
    </w:p>
    <w:p>
      <w:pPr>
        <w:spacing w:line="276" w:lineRule="auto"/>
      </w:pPr>
      <w:r>
        <w:drawing>
          <wp:inline distT="0" distB="0" distL="114300" distR="114300">
            <wp:extent cx="3238500" cy="6124575"/>
            <wp:effectExtent l="0" t="0" r="0" b="952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szCs w:val="21"/>
        </w:rPr>
      </w:pPr>
      <w:r>
        <w:rPr>
          <w:rFonts w:hint="eastAsia"/>
          <w:szCs w:val="21"/>
        </w:rPr>
        <w:t>选择好对应的投标类别，完成相关资料后，点击“提交”按钮，完成注册信息，等待管理人员审核。系统会跳转到待办页面</w:t>
      </w:r>
    </w:p>
    <w:p>
      <w:pPr>
        <w:spacing w:line="276" w:lineRule="auto"/>
        <w:rPr>
          <w:szCs w:val="21"/>
        </w:rPr>
      </w:pPr>
      <w:r>
        <w:rPr>
          <w:rFonts w:hint="eastAsia"/>
          <w:szCs w:val="21"/>
        </w:rPr>
        <w:t>未通过审核的，不允许进行报名和投标操作。</w:t>
      </w:r>
    </w:p>
    <w:p>
      <w:pPr>
        <w:spacing w:line="276" w:lineRule="auto"/>
        <w:rPr>
          <w:szCs w:val="21"/>
        </w:rPr>
      </w:pPr>
      <w:r>
        <w:rPr>
          <w:rFonts w:hint="eastAsia"/>
          <w:szCs w:val="21"/>
        </w:rPr>
        <w:t>审核通过后可以进行正常的报名、投标等操作</w:t>
      </w:r>
    </w:p>
    <w:p>
      <w:pPr>
        <w:pStyle w:val="4"/>
        <w:numPr>
          <w:ilvl w:val="0"/>
          <w:numId w:val="2"/>
        </w:numPr>
      </w:pPr>
      <w:r>
        <w:rPr>
          <w:rFonts w:hint="eastAsia"/>
        </w:rPr>
        <w:t>注册信息修改与查看</w:t>
      </w:r>
    </w:p>
    <w:p>
      <w:pPr>
        <w:spacing w:line="276" w:lineRule="auto"/>
      </w:pPr>
      <w:r>
        <w:drawing>
          <wp:inline distT="0" distB="0" distL="114300" distR="114300">
            <wp:extent cx="5267325" cy="635635"/>
            <wp:effectExtent l="0" t="0" r="9525" b="1206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rPr>
          <w:rFonts w:hint="eastAsia"/>
          <w:szCs w:val="21"/>
        </w:rPr>
        <w:t>请点击</w:t>
      </w:r>
      <w:r>
        <w:rPr>
          <w:rFonts w:hint="eastAsia"/>
          <w:b/>
          <w:szCs w:val="21"/>
        </w:rPr>
        <w:t>“单位基本信息”</w:t>
      </w:r>
      <w:r>
        <w:rPr>
          <w:rFonts w:hint="eastAsia"/>
          <w:szCs w:val="21"/>
        </w:rPr>
        <w:t>，进行相关修改与查看操作。如图：</w:t>
      </w:r>
    </w:p>
    <w:p>
      <w:pPr>
        <w:spacing w:line="276" w:lineRule="auto"/>
      </w:pPr>
      <w:r>
        <w:drawing>
          <wp:inline distT="0" distB="0" distL="114300" distR="114300">
            <wp:extent cx="5260975" cy="1045210"/>
            <wp:effectExtent l="0" t="0" r="15875" b="254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szCs w:val="21"/>
        </w:rPr>
      </w:pPr>
      <w:r>
        <w:rPr>
          <w:rFonts w:hint="eastAsia"/>
          <w:b/>
          <w:bCs/>
          <w:szCs w:val="21"/>
        </w:rPr>
        <w:t>核心资料变更：</w:t>
      </w:r>
      <w:r>
        <w:rPr>
          <w:rFonts w:hint="eastAsia"/>
          <w:szCs w:val="21"/>
        </w:rPr>
        <w:t>核心资料变更是需要通过审核后方可变更完成。</w:t>
      </w:r>
    </w:p>
    <w:p>
      <w:pPr>
        <w:spacing w:line="276" w:lineRule="auto"/>
        <w:rPr>
          <w:szCs w:val="21"/>
        </w:rPr>
      </w:pPr>
      <w:r>
        <w:rPr>
          <w:rFonts w:hint="eastAsia"/>
          <w:b/>
          <w:bCs/>
          <w:szCs w:val="21"/>
        </w:rPr>
        <w:t>普通资料变更：</w:t>
      </w:r>
      <w:r>
        <w:rPr>
          <w:rFonts w:hint="eastAsia"/>
          <w:szCs w:val="21"/>
        </w:rPr>
        <w:t>普通资料变更是无需通过审核，可以自行维护，并立即生效。</w:t>
      </w:r>
    </w:p>
    <w:p>
      <w:pPr>
        <w:pStyle w:val="12"/>
        <w:numPr>
          <w:ilvl w:val="0"/>
          <w:numId w:val="1"/>
        </w:numPr>
        <w:jc w:val="left"/>
        <w:outlineLvl w:val="0"/>
      </w:pPr>
      <w:bookmarkStart w:id="1" w:name="_Toc89964260"/>
      <w:r>
        <w:rPr>
          <w:rFonts w:hint="eastAsia"/>
        </w:rPr>
        <w:t>供应商评审</w:t>
      </w:r>
      <w:bookmarkEnd w:id="1"/>
    </w:p>
    <w:p>
      <w:pPr>
        <w:pStyle w:val="4"/>
        <w:numPr>
          <w:ilvl w:val="0"/>
          <w:numId w:val="4"/>
        </w:numPr>
      </w:pPr>
      <w:r>
        <w:rPr>
          <w:rFonts w:hint="eastAsia"/>
        </w:rPr>
        <w:t>完善供应商信息</w:t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</w:rPr>
        <w:t>供应商注册后登录系统将提醒需完善信息，点击【完善供应商信息】链接进入完善页面。供应商填写必要信息后点击提交即可。</w:t>
      </w:r>
    </w:p>
    <w:p>
      <w:r>
        <w:drawing>
          <wp:inline distT="0" distB="0" distL="0" distR="0">
            <wp:extent cx="5274310" cy="14808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5373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b="422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73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4"/>
        </w:numPr>
      </w:pPr>
      <w:r>
        <w:rPr>
          <w:rFonts w:hint="eastAsia"/>
        </w:rPr>
        <w:t>合格供应商评审</w:t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</w:rPr>
        <w:t>供应商完善信息后由经办人在【供方管理】【待评审供应商】列表中发起合格供应商评审。</w:t>
      </w:r>
    </w:p>
    <w:p>
      <w:pPr>
        <w:spacing w:line="276" w:lineRule="auto"/>
        <w:jc w:val="left"/>
      </w:pPr>
      <w:r>
        <w:drawing>
          <wp:inline distT="0" distB="0" distL="0" distR="0">
            <wp:extent cx="5274310" cy="109029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4"/>
        </w:numPr>
      </w:pPr>
      <w:r>
        <w:rPr>
          <w:rFonts w:hint="eastAsia"/>
        </w:rPr>
        <w:t>合格供应商增项/等级变更评审</w:t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</w:rPr>
        <w:t>合格供应商评审通过的供应商可以发起等级变更申请。</w:t>
      </w:r>
    </w:p>
    <w:p>
      <w:r>
        <w:drawing>
          <wp:inline distT="0" distB="0" distL="0" distR="0">
            <wp:extent cx="5274310" cy="129921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</w:rPr>
        <w:t>供应商发起申请后经办人可通过【供方管理】【合格供应商库】列个表中发起等级变更评审。</w:t>
      </w:r>
    </w:p>
    <w:p>
      <w:r>
        <w:drawing>
          <wp:inline distT="0" distB="0" distL="0" distR="0">
            <wp:extent cx="5274310" cy="108204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jc w:val="left"/>
        <w:outlineLvl w:val="0"/>
      </w:pPr>
      <w:bookmarkStart w:id="2" w:name="_Toc89964261"/>
      <w:r>
        <w:rPr>
          <w:rFonts w:hint="eastAsia"/>
        </w:rPr>
        <w:t>招标项目报名</w:t>
      </w:r>
      <w:bookmarkEnd w:id="2"/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b/>
          <w:szCs w:val="21"/>
        </w:rPr>
        <w:t>报名方式一：</w:t>
      </w:r>
      <w:r>
        <w:rPr>
          <w:rFonts w:hint="eastAsia"/>
          <w:szCs w:val="21"/>
        </w:rPr>
        <w:t>登陆后在“可参与项目”中,点击“报名参与”，</w:t>
      </w:r>
      <w:r>
        <w:t xml:space="preserve"> 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73040" cy="1151255"/>
            <wp:effectExtent l="0" t="0" r="3810" b="10795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  <w:rPr>
          <w:b/>
          <w:szCs w:val="21"/>
        </w:rPr>
      </w:pPr>
      <w:r>
        <w:rPr>
          <w:rFonts w:hint="eastAsia"/>
          <w:szCs w:val="21"/>
        </w:rPr>
        <w:t>弹出确认框，如图</w:t>
      </w:r>
    </w:p>
    <w:p>
      <w:pPr>
        <w:pStyle w:val="19"/>
        <w:spacing w:line="276" w:lineRule="auto"/>
        <w:ind w:left="510" w:firstLine="0" w:firstLineChars="0"/>
        <w:jc w:val="left"/>
        <w:rPr>
          <w:b/>
          <w:szCs w:val="21"/>
        </w:rPr>
      </w:pPr>
      <w:r>
        <w:drawing>
          <wp:inline distT="0" distB="0" distL="114300" distR="114300">
            <wp:extent cx="3952875" cy="1247775"/>
            <wp:effectExtent l="0" t="0" r="9525" b="9525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  <w:rPr>
          <w:b/>
          <w:szCs w:val="21"/>
        </w:rPr>
      </w:pPr>
      <w:r>
        <w:rPr>
          <w:rFonts w:hint="eastAsia"/>
          <w:szCs w:val="21"/>
        </w:rPr>
        <w:t>点击“确认”按钮，完成报名，等待审核，项目跳转到</w:t>
      </w:r>
      <w:r>
        <w:rPr>
          <w:rFonts w:hint="eastAsia"/>
          <w:b/>
          <w:szCs w:val="21"/>
        </w:rPr>
        <w:t>“我参与的项目”</w:t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b/>
          <w:szCs w:val="21"/>
        </w:rPr>
        <w:t>方式二：</w:t>
      </w:r>
      <w:r>
        <w:rPr>
          <w:rFonts w:hint="eastAsia"/>
          <w:szCs w:val="21"/>
        </w:rPr>
        <w:t>邀请投标的项目，会直接显示在“</w:t>
      </w:r>
      <w:r>
        <w:rPr>
          <w:rFonts w:hint="eastAsia"/>
          <w:b/>
          <w:szCs w:val="21"/>
        </w:rPr>
        <w:t>我参与的项目</w:t>
      </w:r>
      <w:r>
        <w:rPr>
          <w:rFonts w:hint="eastAsia"/>
          <w:szCs w:val="21"/>
        </w:rPr>
        <w:t>”中，如图：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66055" cy="1166495"/>
            <wp:effectExtent l="0" t="0" r="10795" b="1460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szCs w:val="21"/>
        </w:rPr>
        <w:t>点击</w:t>
      </w:r>
      <w:r>
        <w:rPr>
          <w:rFonts w:hint="eastAsia"/>
          <w:b/>
          <w:szCs w:val="21"/>
        </w:rPr>
        <w:t>“待办”</w:t>
      </w:r>
      <w:r>
        <w:rPr>
          <w:rFonts w:hint="eastAsia"/>
          <w:szCs w:val="21"/>
        </w:rPr>
        <w:t>进入，如图：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67960" cy="2759075"/>
            <wp:effectExtent l="0" t="0" r="8890" b="3175"/>
            <wp:docPr id="3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szCs w:val="21"/>
        </w:rPr>
        <w:t>标书点击</w:t>
      </w:r>
      <w:r>
        <w:rPr>
          <w:rFonts w:hint="eastAsia"/>
          <w:b/>
          <w:szCs w:val="21"/>
        </w:rPr>
        <w:t>“确认参与”</w:t>
      </w:r>
      <w:r>
        <w:rPr>
          <w:rFonts w:hint="eastAsia"/>
          <w:szCs w:val="21"/>
        </w:rPr>
        <w:t>，完成邀请确认报名操作</w:t>
      </w:r>
      <w:r>
        <w:rPr>
          <w:rFonts w:hint="eastAsia"/>
          <w:b/>
          <w:szCs w:val="21"/>
        </w:rPr>
        <w:t>。</w:t>
      </w:r>
    </w:p>
    <w:p>
      <w:pPr>
        <w:pStyle w:val="12"/>
        <w:numPr>
          <w:ilvl w:val="0"/>
          <w:numId w:val="1"/>
        </w:numPr>
        <w:jc w:val="left"/>
        <w:outlineLvl w:val="0"/>
      </w:pPr>
      <w:bookmarkStart w:id="3" w:name="_Toc89964262"/>
      <w:r>
        <w:rPr>
          <w:rFonts w:hint="eastAsia"/>
        </w:rPr>
        <w:t>采购文件下载</w:t>
      </w:r>
      <w:bookmarkEnd w:id="3"/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szCs w:val="21"/>
        </w:rPr>
        <w:t>项目进入投标项目待办中，按要求进行操作。</w:t>
      </w:r>
      <w:r>
        <w:rPr>
          <w:rFonts w:hint="eastAsia"/>
          <w:b/>
          <w:szCs w:val="21"/>
        </w:rPr>
        <w:t>如图：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71770" cy="2310765"/>
            <wp:effectExtent l="0" t="0" r="5080" b="1333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</w:pPr>
      <w:r>
        <w:rPr>
          <w:rFonts w:hint="eastAsia"/>
          <w:szCs w:val="21"/>
        </w:rPr>
        <w:t>选择缴费凭证文件上传，上传完成后等待管理人员审核确认相关费用等是否到账，确认到账后，会给与开通“标书下载权限”，投标人获得相关权限，如图：</w:t>
      </w:r>
    </w:p>
    <w:p>
      <w:pPr>
        <w:pStyle w:val="19"/>
      </w:pPr>
      <w:r>
        <w:drawing>
          <wp:inline distT="0" distB="0" distL="114300" distR="114300">
            <wp:extent cx="5269230" cy="5854700"/>
            <wp:effectExtent l="0" t="0" r="7620" b="1270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rPr>
          <w:szCs w:val="21"/>
        </w:rPr>
      </w:pPr>
      <w:r>
        <w:rPr>
          <w:rFonts w:hint="eastAsia"/>
          <w:szCs w:val="21"/>
        </w:rPr>
        <w:t>点击：“</w:t>
      </w:r>
      <w:r>
        <w:rPr>
          <w:rFonts w:hint="eastAsia"/>
          <w:b/>
          <w:szCs w:val="21"/>
        </w:rPr>
        <w:t>下载</w:t>
      </w:r>
      <w:r>
        <w:rPr>
          <w:rFonts w:hint="eastAsia"/>
          <w:szCs w:val="21"/>
        </w:rPr>
        <w:t>”按钮，下载标书文件。</w:t>
      </w:r>
    </w:p>
    <w:p>
      <w:pPr>
        <w:pStyle w:val="19"/>
        <w:ind w:firstLine="422"/>
        <w:rPr>
          <w:szCs w:val="21"/>
        </w:rPr>
      </w:pPr>
      <w:r>
        <w:rPr>
          <w:rFonts w:hint="eastAsia"/>
          <w:b/>
          <w:szCs w:val="21"/>
        </w:rPr>
        <w:t>提问与澄清：</w:t>
      </w:r>
      <w:r>
        <w:rPr>
          <w:rFonts w:hint="eastAsia"/>
          <w:szCs w:val="21"/>
        </w:rPr>
        <w:t>向采购方提问，以及查看采购方对项目的澄清文件。</w:t>
      </w:r>
    </w:p>
    <w:p>
      <w:pPr>
        <w:pStyle w:val="19"/>
        <w:ind w:firstLine="422"/>
        <w:rPr>
          <w:b/>
          <w:szCs w:val="21"/>
        </w:rPr>
      </w:pPr>
      <w:r>
        <w:rPr>
          <w:rFonts w:hint="eastAsia"/>
          <w:b/>
          <w:szCs w:val="21"/>
        </w:rPr>
        <w:t>保证金缴纳：资料费缴纳完成后，会显示出“保证金缴纳凭证”按钮，操作与资料费缴纳一样，不再详细阐述。</w:t>
      </w:r>
    </w:p>
    <w:p>
      <w:pPr>
        <w:pStyle w:val="12"/>
        <w:numPr>
          <w:ilvl w:val="0"/>
          <w:numId w:val="1"/>
        </w:numPr>
        <w:jc w:val="left"/>
        <w:outlineLvl w:val="0"/>
      </w:pPr>
      <w:bookmarkStart w:id="4" w:name="_Toc89964263"/>
      <w:r>
        <w:rPr>
          <w:rFonts w:hint="eastAsia"/>
        </w:rPr>
        <w:t>供应商投标报价</w:t>
      </w:r>
      <w:bookmarkEnd w:id="4"/>
    </w:p>
    <w:p>
      <w:pPr>
        <w:pStyle w:val="19"/>
        <w:spacing w:line="276" w:lineRule="auto"/>
        <w:ind w:left="510" w:firstLine="0" w:firstLineChars="0"/>
        <w:jc w:val="left"/>
        <w:rPr>
          <w:szCs w:val="21"/>
        </w:rPr>
      </w:pPr>
      <w:r>
        <w:rPr>
          <w:rFonts w:hint="eastAsia"/>
          <w:szCs w:val="21"/>
        </w:rPr>
        <w:t>缴纳保证金获取投标权限后，会出现投标按钮，如图：</w:t>
      </w:r>
    </w:p>
    <w:p>
      <w:pPr>
        <w:pStyle w:val="19"/>
        <w:spacing w:line="276" w:lineRule="auto"/>
        <w:ind w:left="510" w:firstLine="0" w:firstLineChars="0"/>
        <w:jc w:val="left"/>
        <w:rPr>
          <w:b/>
          <w:szCs w:val="21"/>
        </w:rPr>
      </w:pPr>
      <w:r>
        <w:drawing>
          <wp:inline distT="0" distB="0" distL="114300" distR="114300">
            <wp:extent cx="5273675" cy="1437640"/>
            <wp:effectExtent l="0" t="0" r="3175" b="10160"/>
            <wp:docPr id="3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  <w:rPr>
          <w:b/>
          <w:szCs w:val="21"/>
        </w:rPr>
      </w:pPr>
      <w:r>
        <w:rPr>
          <w:rFonts w:hint="eastAsia"/>
          <w:b/>
          <w:szCs w:val="21"/>
        </w:rPr>
        <w:t>【投标】：</w:t>
      </w:r>
      <w:r>
        <w:rPr>
          <w:rFonts w:hint="eastAsia"/>
          <w:szCs w:val="21"/>
        </w:rPr>
        <w:t>进行正式投标报价操作</w:t>
      </w:r>
    </w:p>
    <w:p>
      <w:pPr>
        <w:pStyle w:val="19"/>
        <w:spacing w:line="276" w:lineRule="auto"/>
        <w:ind w:left="510" w:firstLine="0" w:firstLineChars="0"/>
        <w:jc w:val="left"/>
        <w:rPr>
          <w:szCs w:val="21"/>
        </w:rPr>
      </w:pPr>
      <w:r>
        <w:rPr>
          <w:rFonts w:hint="eastAsia"/>
          <w:b/>
          <w:szCs w:val="21"/>
        </w:rPr>
        <w:t>【放弃投标】：</w:t>
      </w:r>
      <w:r>
        <w:rPr>
          <w:rFonts w:hint="eastAsia"/>
          <w:szCs w:val="21"/>
        </w:rPr>
        <w:t>放弃投标，则不能再次对本项目进行投标。</w:t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b/>
          <w:szCs w:val="21"/>
        </w:rPr>
        <w:t>点击“投标”</w:t>
      </w:r>
      <w:r>
        <w:rPr>
          <w:rFonts w:hint="eastAsia"/>
          <w:szCs w:val="21"/>
        </w:rPr>
        <w:t>按钮，进入如下操作界面：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66690" cy="1595120"/>
            <wp:effectExtent l="0" t="0" r="10160" b="508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  <w:rPr>
          <w:szCs w:val="21"/>
        </w:rPr>
      </w:pPr>
      <w:r>
        <w:rPr>
          <w:rFonts w:hint="eastAsia"/>
          <w:b/>
          <w:szCs w:val="21"/>
        </w:rPr>
        <w:t>导入报价信息：</w:t>
      </w:r>
      <w:r>
        <w:rPr>
          <w:rFonts w:hint="eastAsia"/>
          <w:szCs w:val="21"/>
        </w:rPr>
        <w:t>通过EXCEL表格形式一次性导入所有报价表</w:t>
      </w:r>
    </w:p>
    <w:p>
      <w:pPr>
        <w:pStyle w:val="19"/>
        <w:spacing w:line="276" w:lineRule="auto"/>
        <w:ind w:left="510" w:firstLine="0" w:firstLineChars="0"/>
        <w:jc w:val="left"/>
        <w:rPr>
          <w:szCs w:val="21"/>
        </w:rPr>
      </w:pPr>
      <w:r>
        <w:rPr>
          <w:rFonts w:hint="eastAsia"/>
          <w:b/>
          <w:szCs w:val="21"/>
        </w:rPr>
        <w:t>导出报价信息/下载模板：</w:t>
      </w:r>
      <w:r>
        <w:rPr>
          <w:rFonts w:hint="eastAsia"/>
          <w:szCs w:val="21"/>
        </w:rPr>
        <w:t>将报价信息导出保存/下载报价信息EXCEL模板。</w:t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szCs w:val="21"/>
        </w:rPr>
        <w:t>也可手动按要求输入报价信息等，点击“下一步”按钮，进入标书文件页面，如图：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60975" cy="1534160"/>
            <wp:effectExtent l="0" t="0" r="15875" b="889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b/>
          <w:szCs w:val="21"/>
        </w:rPr>
        <w:t>标书文件：</w:t>
      </w:r>
      <w:r>
        <w:rPr>
          <w:rFonts w:hint="eastAsia"/>
          <w:szCs w:val="21"/>
        </w:rPr>
        <w:t>点击“上传投标文件”按钮，进入如下图页面：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69230" cy="1845310"/>
            <wp:effectExtent l="0" t="0" r="7620" b="254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  <w:rPr>
          <w:szCs w:val="21"/>
        </w:rPr>
      </w:pPr>
      <w:r>
        <w:rPr>
          <w:rFonts w:hint="eastAsia"/>
          <w:szCs w:val="21"/>
        </w:rPr>
        <w:t>点击“上传文件”，上传对应的投标文件，点击“确定”按钮，完成单个文件的上传，不支持一次上次多个文件。</w:t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szCs w:val="21"/>
        </w:rPr>
        <w:t>点击“下一步”进入“商务响应项”页面，如图：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67325" cy="1540510"/>
            <wp:effectExtent l="0" t="0" r="9525" b="254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szCs w:val="21"/>
        </w:rPr>
        <w:t>完善填写“商务响应项”，点击“下一步”进入商务偏离页面，如图：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71135" cy="3044190"/>
            <wp:effectExtent l="0" t="0" r="5715" b="3810"/>
            <wp:docPr id="2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1054" w:hanging="1054" w:hangingChars="500"/>
        <w:jc w:val="left"/>
        <w:rPr>
          <w:szCs w:val="21"/>
        </w:rPr>
      </w:pPr>
      <w:r>
        <w:rPr>
          <w:rFonts w:hint="eastAsia"/>
          <w:b/>
          <w:szCs w:val="21"/>
        </w:rPr>
        <w:t>商务偏离：</w:t>
      </w:r>
      <w:r>
        <w:rPr>
          <w:rFonts w:hint="eastAsia"/>
          <w:szCs w:val="21"/>
        </w:rPr>
        <w:t>“有”则点击“添加商务偏离”按要求进行填写，填写完成后，点击“下一步</w:t>
      </w:r>
    </w:p>
    <w:p>
      <w:pPr>
        <w:pStyle w:val="19"/>
        <w:spacing w:line="276" w:lineRule="auto"/>
        <w:ind w:left="1050" w:leftChars="450" w:hanging="105" w:hangingChars="50"/>
        <w:jc w:val="left"/>
      </w:pPr>
      <w:r>
        <w:rPr>
          <w:rFonts w:hint="eastAsia"/>
          <w:szCs w:val="21"/>
        </w:rPr>
        <w:t>“无”则直接点击“下一步”按钮，进入技术偏离页面，如图：</w:t>
      </w:r>
    </w:p>
    <w:p>
      <w:pPr>
        <w:pStyle w:val="19"/>
        <w:spacing w:line="276" w:lineRule="auto"/>
        <w:ind w:left="1047" w:leftChars="202" w:hanging="623" w:hangingChars="297"/>
        <w:jc w:val="left"/>
      </w:pPr>
      <w:r>
        <w:drawing>
          <wp:inline distT="0" distB="0" distL="114300" distR="114300">
            <wp:extent cx="5272405" cy="3108960"/>
            <wp:effectExtent l="0" t="0" r="4445" b="15240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1054" w:hanging="1054" w:hangingChars="500"/>
        <w:jc w:val="left"/>
        <w:rPr>
          <w:szCs w:val="21"/>
        </w:rPr>
      </w:pPr>
      <w:r>
        <w:rPr>
          <w:rFonts w:hint="eastAsia"/>
          <w:b/>
          <w:szCs w:val="21"/>
        </w:rPr>
        <w:t>技术偏离：</w:t>
      </w:r>
      <w:r>
        <w:rPr>
          <w:rFonts w:hint="eastAsia"/>
          <w:szCs w:val="21"/>
        </w:rPr>
        <w:t>“有”则点击“添加技术偏离”按要求进行填写，填写完成后，点击“提交”</w:t>
      </w:r>
    </w:p>
    <w:p>
      <w:pPr>
        <w:pStyle w:val="19"/>
        <w:spacing w:line="276" w:lineRule="auto"/>
        <w:ind w:left="1050" w:leftChars="400" w:hanging="210" w:hangingChars="100"/>
        <w:jc w:val="left"/>
        <w:rPr>
          <w:szCs w:val="21"/>
        </w:rPr>
      </w:pPr>
      <w:r>
        <w:rPr>
          <w:rFonts w:hint="eastAsia"/>
          <w:szCs w:val="21"/>
        </w:rPr>
        <w:t xml:space="preserve"> “无”则直接点击“下一步”按钮，完成投标操作。 </w:t>
      </w:r>
    </w:p>
    <w:p>
      <w:pPr>
        <w:spacing w:line="276" w:lineRule="auto"/>
        <w:jc w:val="left"/>
      </w:pPr>
      <w:r>
        <w:rPr>
          <w:rFonts w:hint="eastAsia"/>
          <w:b/>
          <w:szCs w:val="21"/>
        </w:rPr>
        <w:t>修改投标文件：</w:t>
      </w:r>
      <w:r>
        <w:rPr>
          <w:rFonts w:hint="eastAsia"/>
          <w:szCs w:val="21"/>
        </w:rPr>
        <w:t>则返回到项目待办页面，点击“修改报价”进入修改投标文件，操作与投标报价一致。投标时间截止后，则不允许修改投标文件。</w:t>
      </w:r>
    </w:p>
    <w:p>
      <w:pPr>
        <w:spacing w:line="276" w:lineRule="auto"/>
        <w:jc w:val="left"/>
      </w:pPr>
      <w:r>
        <w:drawing>
          <wp:inline distT="0" distB="0" distL="114300" distR="114300">
            <wp:extent cx="5269230" cy="1522730"/>
            <wp:effectExtent l="0" t="0" r="7620" b="1270"/>
            <wp:docPr id="2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-4" w:leftChars="-2" w:firstLine="57" w:firstLineChars="27"/>
        <w:jc w:val="left"/>
        <w:rPr>
          <w:szCs w:val="21"/>
        </w:rPr>
      </w:pPr>
      <w:r>
        <w:rPr>
          <w:rFonts w:hint="eastAsia"/>
          <w:b/>
          <w:szCs w:val="21"/>
        </w:rPr>
        <w:t>放弃投标：</w:t>
      </w:r>
      <w:r>
        <w:rPr>
          <w:rFonts w:hint="eastAsia"/>
          <w:szCs w:val="21"/>
        </w:rPr>
        <w:t>放弃投标，则不能再次对本项目进行投标。</w:t>
      </w:r>
    </w:p>
    <w:p>
      <w:pPr>
        <w:pStyle w:val="12"/>
        <w:numPr>
          <w:ilvl w:val="0"/>
          <w:numId w:val="1"/>
        </w:numPr>
        <w:jc w:val="left"/>
        <w:outlineLvl w:val="0"/>
      </w:pPr>
      <w:bookmarkStart w:id="5" w:name="_Toc89964264"/>
      <w:r>
        <w:rPr>
          <w:rFonts w:hint="eastAsia"/>
        </w:rPr>
        <w:t>开标现场</w:t>
      </w:r>
      <w:bookmarkEnd w:id="5"/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szCs w:val="21"/>
        </w:rPr>
        <w:t>开标时间到后，会出现“开标现场”，如图：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73040" cy="1351280"/>
            <wp:effectExtent l="0" t="0" r="3810" b="1270"/>
            <wp:docPr id="2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  <w:rPr>
          <w:szCs w:val="21"/>
        </w:rPr>
      </w:pPr>
      <w:r>
        <w:rPr>
          <w:rFonts w:hint="eastAsia"/>
          <w:szCs w:val="21"/>
        </w:rPr>
        <w:t>点击“点击查看”，进入招标现场，查看自己的投标文件和报价信息。</w:t>
      </w:r>
    </w:p>
    <w:p>
      <w:pPr>
        <w:pStyle w:val="12"/>
        <w:numPr>
          <w:ilvl w:val="0"/>
          <w:numId w:val="1"/>
        </w:numPr>
        <w:jc w:val="left"/>
        <w:outlineLvl w:val="0"/>
      </w:pPr>
      <w:bookmarkStart w:id="6" w:name="_Toc89964265"/>
      <w:r>
        <w:rPr>
          <w:rFonts w:hint="eastAsia"/>
        </w:rPr>
        <w:t>澄清与议价</w:t>
      </w:r>
      <w:bookmarkEnd w:id="6"/>
    </w:p>
    <w:p>
      <w:r>
        <w:rPr>
          <w:rFonts w:hint="eastAsia"/>
        </w:rPr>
        <w:t>进入“招标现场”后，可以看到是否有需要澄清或议价信息，如图：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69865" cy="4121150"/>
            <wp:effectExtent l="0" t="0" r="6985" b="12700"/>
            <wp:docPr id="3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</w:pPr>
      <w:r>
        <w:rPr>
          <w:rFonts w:hint="eastAsia"/>
          <w:szCs w:val="21"/>
        </w:rPr>
        <w:t>点击“澄清报价”进入“澄清报价”页面，如图：</w:t>
      </w:r>
    </w:p>
    <w:p>
      <w:pPr>
        <w:pStyle w:val="19"/>
        <w:spacing w:line="276" w:lineRule="auto"/>
        <w:ind w:left="510" w:firstLine="0" w:firstLineChars="0"/>
        <w:jc w:val="left"/>
      </w:pPr>
      <w:r>
        <w:drawing>
          <wp:inline distT="0" distB="0" distL="114300" distR="114300">
            <wp:extent cx="5273675" cy="3065145"/>
            <wp:effectExtent l="0" t="0" r="3175" b="1905"/>
            <wp:docPr id="3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276" w:lineRule="auto"/>
        <w:ind w:left="510" w:firstLine="0" w:firstLineChars="0"/>
        <w:jc w:val="left"/>
        <w:rPr>
          <w:szCs w:val="21"/>
        </w:rPr>
      </w:pPr>
      <w:r>
        <w:rPr>
          <w:rFonts w:hint="eastAsia"/>
          <w:szCs w:val="21"/>
        </w:rPr>
        <w:t>修改报价信息和上次澄清文件，输入回应内容，点“确认”完成澄清或报价信息。回应截止时间前，可以再次修改报价信息或澄清文件。</w:t>
      </w:r>
    </w:p>
    <w:p>
      <w:pPr>
        <w:pStyle w:val="19"/>
        <w:spacing w:line="276" w:lineRule="auto"/>
        <w:ind w:left="510" w:firstLine="0" w:firstLineChars="0"/>
        <w:jc w:val="left"/>
        <w:rPr>
          <w:szCs w:val="21"/>
        </w:rPr>
      </w:pPr>
    </w:p>
    <w:p>
      <w:pPr>
        <w:pStyle w:val="12"/>
        <w:numPr>
          <w:ilvl w:val="0"/>
          <w:numId w:val="1"/>
        </w:numPr>
        <w:jc w:val="left"/>
        <w:outlineLvl w:val="0"/>
      </w:pPr>
      <w:bookmarkStart w:id="7" w:name="_Toc89964266"/>
      <w:r>
        <w:rPr>
          <w:rFonts w:hint="eastAsia"/>
        </w:rPr>
        <w:t>供应商竞价</w:t>
      </w:r>
      <w:bookmarkEnd w:id="7"/>
    </w:p>
    <w:p>
      <w:r>
        <w:rPr>
          <w:rFonts w:hint="eastAsia"/>
        </w:rPr>
        <w:t>供应商登录系统，进入页面如下图：</w:t>
      </w:r>
    </w:p>
    <w:p>
      <w:r>
        <w:drawing>
          <wp:inline distT="0" distB="0" distL="114300" distR="114300">
            <wp:extent cx="5256530" cy="681990"/>
            <wp:effectExtent l="0" t="0" r="1270" b="3810"/>
            <wp:docPr id="3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点击“查看”进入系统待办，如图：</w:t>
      </w:r>
    </w:p>
    <w:p>
      <w:r>
        <w:drawing>
          <wp:inline distT="0" distB="0" distL="114300" distR="114300">
            <wp:extent cx="5267325" cy="760730"/>
            <wp:effectExtent l="0" t="0" r="9525" b="1270"/>
            <wp:docPr id="3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点击“待办”，进入项目操作页面，</w:t>
      </w:r>
    </w:p>
    <w:p>
      <w:r>
        <w:drawing>
          <wp:inline distT="0" distB="0" distL="114300" distR="114300">
            <wp:extent cx="5273675" cy="2080260"/>
            <wp:effectExtent l="0" t="0" r="3175" b="15240"/>
            <wp:docPr id="3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点击“确认参与”，进入项目操作页面，如图：</w:t>
      </w:r>
    </w:p>
    <w:p>
      <w:r>
        <w:drawing>
          <wp:inline distT="0" distB="0" distL="114300" distR="114300">
            <wp:extent cx="5273040" cy="6322695"/>
            <wp:effectExtent l="0" t="0" r="3810" b="1905"/>
            <wp:docPr id="3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3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对项目进行提问与澄清，如无问题，点击“竞价大厅”的“点击查看”进入报价操作页面，如图：</w:t>
      </w:r>
    </w:p>
    <w:p>
      <w:r>
        <w:drawing>
          <wp:inline distT="0" distB="0" distL="114300" distR="114300">
            <wp:extent cx="5266055" cy="1262380"/>
            <wp:effectExtent l="0" t="0" r="10795" b="13970"/>
            <wp:docPr id="3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系统提示试竞价倒计时或离正式竞价倒计时，和竞价结束倒计时。有效时间内，可以进行竞价报价操作。点击“报价”按钮，进入报价页面，如图：</w:t>
      </w:r>
    </w:p>
    <w:p>
      <w:r>
        <w:drawing>
          <wp:inline distT="0" distB="0" distL="0" distR="0">
            <wp:extent cx="5274310" cy="1751965"/>
            <wp:effectExtent l="0" t="0" r="2540" b="635"/>
            <wp:docPr id="11295" name="图片 11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" name="图片 11295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支持手动录入报价和导入报价</w:t>
      </w:r>
    </w:p>
    <w:p>
      <w:r>
        <w:rPr>
          <w:rFonts w:hint="eastAsia"/>
        </w:rPr>
        <w:t>【手动录入报价】直接手动录入报价信息，确认报价并提交。</w:t>
      </w:r>
    </w:p>
    <w:p>
      <w:r>
        <w:rPr>
          <w:rFonts w:hint="eastAsia"/>
        </w:rPr>
        <w:t>【导入报价信息】操作如下：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【下载模板或导出报价信息</w:t>
      </w:r>
      <w:r>
        <w:rPr>
          <w:rFonts w:hint="eastAsia"/>
          <w:sz w:val="24"/>
          <w:szCs w:val="24"/>
        </w:rPr>
        <w:t>】点击下载模板，下载“报价标的物模板”，按要求录入相关信息。</w:t>
      </w:r>
    </w:p>
    <w:p>
      <w:r>
        <w:rPr>
          <w:rFonts w:hint="eastAsia"/>
          <w:sz w:val="24"/>
          <w:szCs w:val="24"/>
        </w:rPr>
        <w:t>【导入报价信息】点击“导入标的物”按钮，选择已经录入好相关计划信息的模板文档，点击打开，完成导入操作。</w:t>
      </w:r>
    </w:p>
    <w:p>
      <w:r>
        <w:rPr>
          <w:rFonts w:hint="eastAsia"/>
        </w:rPr>
        <w:t>【确定调价】选中需要调价的物资明细，选择调价规则，录入对应的数字，点击“确认调价”</w:t>
      </w:r>
    </w:p>
    <w:p>
      <w:r>
        <w:drawing>
          <wp:inline distT="0" distB="0" distL="0" distR="0">
            <wp:extent cx="5274310" cy="1794510"/>
            <wp:effectExtent l="0" t="0" r="2540" b="0"/>
            <wp:docPr id="11294" name="图片 1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4" name="图片 11294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C3DE5F"/>
    <w:multiLevelType w:val="singleLevel"/>
    <w:tmpl w:val="E0C3DE5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F5A757C"/>
    <w:multiLevelType w:val="multilevel"/>
    <w:tmpl w:val="1F5A757C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9CE4FE4"/>
    <w:multiLevelType w:val="multilevel"/>
    <w:tmpl w:val="39CE4FE4"/>
    <w:lvl w:ilvl="0" w:tentative="0">
      <w:start w:val="1"/>
      <w:numFmt w:val="decimal"/>
      <w:lvlText w:val="1.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4A47C0"/>
    <w:multiLevelType w:val="multilevel"/>
    <w:tmpl w:val="584A47C0"/>
    <w:lvl w:ilvl="0" w:tentative="0">
      <w:start w:val="1"/>
      <w:numFmt w:val="decimal"/>
      <w:lvlText w:val="1.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GQ0YTg2MzMyZDhiNTIxY2NiODk3NTY5ZTUyNTM5YzYifQ=="/>
  </w:docVars>
  <w:rsids>
    <w:rsidRoot w:val="00FD6814"/>
    <w:rsid w:val="00002842"/>
    <w:rsid w:val="00031ABD"/>
    <w:rsid w:val="000905DB"/>
    <w:rsid w:val="000B7437"/>
    <w:rsid w:val="000D731C"/>
    <w:rsid w:val="00121F07"/>
    <w:rsid w:val="00167FCD"/>
    <w:rsid w:val="001E2970"/>
    <w:rsid w:val="001F446B"/>
    <w:rsid w:val="00260D03"/>
    <w:rsid w:val="002727FB"/>
    <w:rsid w:val="002779E5"/>
    <w:rsid w:val="002B150D"/>
    <w:rsid w:val="002B4523"/>
    <w:rsid w:val="002D31EB"/>
    <w:rsid w:val="002F6B77"/>
    <w:rsid w:val="003501A9"/>
    <w:rsid w:val="00363BF4"/>
    <w:rsid w:val="00375CC8"/>
    <w:rsid w:val="003B797C"/>
    <w:rsid w:val="003F075C"/>
    <w:rsid w:val="004130FF"/>
    <w:rsid w:val="00463271"/>
    <w:rsid w:val="004A7A78"/>
    <w:rsid w:val="004C38BA"/>
    <w:rsid w:val="004E0668"/>
    <w:rsid w:val="004E4C79"/>
    <w:rsid w:val="004E7AF6"/>
    <w:rsid w:val="00576FAF"/>
    <w:rsid w:val="00581644"/>
    <w:rsid w:val="00586482"/>
    <w:rsid w:val="005962DE"/>
    <w:rsid w:val="005B7200"/>
    <w:rsid w:val="00607D82"/>
    <w:rsid w:val="00662BD5"/>
    <w:rsid w:val="006818B6"/>
    <w:rsid w:val="00681C2C"/>
    <w:rsid w:val="0069336E"/>
    <w:rsid w:val="007318DF"/>
    <w:rsid w:val="00733E45"/>
    <w:rsid w:val="0075228F"/>
    <w:rsid w:val="007A50AE"/>
    <w:rsid w:val="007E3FBA"/>
    <w:rsid w:val="00813067"/>
    <w:rsid w:val="00871BC8"/>
    <w:rsid w:val="008D5A4D"/>
    <w:rsid w:val="008E2413"/>
    <w:rsid w:val="00911E6A"/>
    <w:rsid w:val="00957B01"/>
    <w:rsid w:val="009D7D26"/>
    <w:rsid w:val="00A07BF0"/>
    <w:rsid w:val="00A219CF"/>
    <w:rsid w:val="00A37508"/>
    <w:rsid w:val="00A76D0E"/>
    <w:rsid w:val="00A80AC1"/>
    <w:rsid w:val="00A92D64"/>
    <w:rsid w:val="00AC69EC"/>
    <w:rsid w:val="00AF12B5"/>
    <w:rsid w:val="00B45F48"/>
    <w:rsid w:val="00B663FF"/>
    <w:rsid w:val="00B73D9F"/>
    <w:rsid w:val="00C0455B"/>
    <w:rsid w:val="00C53AC2"/>
    <w:rsid w:val="00C728CE"/>
    <w:rsid w:val="00C816DB"/>
    <w:rsid w:val="00CB2678"/>
    <w:rsid w:val="00CB41D0"/>
    <w:rsid w:val="00CB6369"/>
    <w:rsid w:val="00CD71AF"/>
    <w:rsid w:val="00CE7CF0"/>
    <w:rsid w:val="00D31CED"/>
    <w:rsid w:val="00D47EAB"/>
    <w:rsid w:val="00D70528"/>
    <w:rsid w:val="00DE386B"/>
    <w:rsid w:val="00E01672"/>
    <w:rsid w:val="00E035ED"/>
    <w:rsid w:val="00E57281"/>
    <w:rsid w:val="00E945C3"/>
    <w:rsid w:val="00EA5F3D"/>
    <w:rsid w:val="00EA63AC"/>
    <w:rsid w:val="00F110E3"/>
    <w:rsid w:val="00F65E00"/>
    <w:rsid w:val="00F777B0"/>
    <w:rsid w:val="00F85B86"/>
    <w:rsid w:val="00FC4E52"/>
    <w:rsid w:val="00FD37E0"/>
    <w:rsid w:val="00FD6814"/>
    <w:rsid w:val="00FD6E86"/>
    <w:rsid w:val="0181549A"/>
    <w:rsid w:val="04B63F83"/>
    <w:rsid w:val="075D3940"/>
    <w:rsid w:val="086B16B5"/>
    <w:rsid w:val="0E0B3765"/>
    <w:rsid w:val="11C71725"/>
    <w:rsid w:val="11D40AC0"/>
    <w:rsid w:val="166B1623"/>
    <w:rsid w:val="247A2374"/>
    <w:rsid w:val="29D95D1D"/>
    <w:rsid w:val="2BDC383B"/>
    <w:rsid w:val="2C9271B2"/>
    <w:rsid w:val="2CE24EDA"/>
    <w:rsid w:val="2DF45CF7"/>
    <w:rsid w:val="35753189"/>
    <w:rsid w:val="3F324F11"/>
    <w:rsid w:val="42E34E72"/>
    <w:rsid w:val="437104FD"/>
    <w:rsid w:val="471D45AB"/>
    <w:rsid w:val="4D2148A2"/>
    <w:rsid w:val="4F0546A6"/>
    <w:rsid w:val="5021484B"/>
    <w:rsid w:val="50F57B81"/>
    <w:rsid w:val="57275AB9"/>
    <w:rsid w:val="58C85CF1"/>
    <w:rsid w:val="5ABF6D3C"/>
    <w:rsid w:val="5E633119"/>
    <w:rsid w:val="5EAB3894"/>
    <w:rsid w:val="61D12541"/>
    <w:rsid w:val="62233F4E"/>
    <w:rsid w:val="659A46EC"/>
    <w:rsid w:val="6CFB6F5B"/>
    <w:rsid w:val="6E814CED"/>
    <w:rsid w:val="70BE0F41"/>
    <w:rsid w:val="73B01A74"/>
    <w:rsid w:val="747F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Document Map"/>
    <w:basedOn w:val="1"/>
    <w:link w:val="2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8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Subtitle"/>
    <w:basedOn w:val="1"/>
    <w:next w:val="1"/>
    <w:link w:val="22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3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4">
    <w:name w:val="Title"/>
    <w:basedOn w:val="1"/>
    <w:next w:val="1"/>
    <w:link w:val="2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7">
    <w:name w:val="Hyperlink"/>
    <w:basedOn w:val="16"/>
    <w:unhideWhenUsed/>
    <w:qFormat/>
    <w:uiPriority w:val="99"/>
    <w:rPr>
      <w:color w:val="0000FF" w:themeColor="hyperlink"/>
      <w:u w:val="single"/>
    </w:rPr>
  </w:style>
  <w:style w:type="character" w:customStyle="1" w:styleId="18">
    <w:name w:val="批注框文本 字符"/>
    <w:basedOn w:val="16"/>
    <w:link w:val="8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标题 1 字符"/>
    <w:basedOn w:val="1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标题 字符"/>
    <w:basedOn w:val="16"/>
    <w:link w:val="1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2">
    <w:name w:val="副标题 字符"/>
    <w:basedOn w:val="16"/>
    <w:link w:val="12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3">
    <w:name w:val="标题 2 字符"/>
    <w:basedOn w:val="16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6"/>
    <w:link w:val="4"/>
    <w:qFormat/>
    <w:uiPriority w:val="9"/>
    <w:rPr>
      <w:b/>
      <w:bCs/>
      <w:sz w:val="32"/>
      <w:szCs w:val="32"/>
    </w:rPr>
  </w:style>
  <w:style w:type="character" w:customStyle="1" w:styleId="25">
    <w:name w:val="标题 4 字符"/>
    <w:basedOn w:val="16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5 字符"/>
    <w:basedOn w:val="16"/>
    <w:link w:val="6"/>
    <w:qFormat/>
    <w:uiPriority w:val="9"/>
    <w:rPr>
      <w:b/>
      <w:bCs/>
      <w:sz w:val="28"/>
      <w:szCs w:val="28"/>
    </w:rPr>
  </w:style>
  <w:style w:type="character" w:customStyle="1" w:styleId="27">
    <w:name w:val="页眉 字符"/>
    <w:basedOn w:val="16"/>
    <w:link w:val="10"/>
    <w:qFormat/>
    <w:uiPriority w:val="99"/>
    <w:rPr>
      <w:sz w:val="18"/>
      <w:szCs w:val="18"/>
    </w:rPr>
  </w:style>
  <w:style w:type="character" w:customStyle="1" w:styleId="28">
    <w:name w:val="页脚 字符"/>
    <w:basedOn w:val="16"/>
    <w:link w:val="9"/>
    <w:qFormat/>
    <w:uiPriority w:val="99"/>
    <w:rPr>
      <w:sz w:val="18"/>
      <w:szCs w:val="18"/>
    </w:rPr>
  </w:style>
  <w:style w:type="character" w:customStyle="1" w:styleId="29">
    <w:name w:val="文档结构图 字符"/>
    <w:basedOn w:val="16"/>
    <w:link w:val="7"/>
    <w:semiHidden/>
    <w:qFormat/>
    <w:uiPriority w:val="99"/>
    <w:rPr>
      <w:rFonts w:ascii="宋体" w:eastAsia="宋体"/>
      <w:kern w:val="2"/>
      <w:sz w:val="18"/>
      <w:szCs w:val="18"/>
    </w:rPr>
  </w:style>
  <w:style w:type="paragraph" w:customStyle="1" w:styleId="3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1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2311</Words>
  <Characters>2344</Characters>
  <Lines>21</Lines>
  <Paragraphs>6</Paragraphs>
  <TotalTime>83</TotalTime>
  <ScaleCrop>false</ScaleCrop>
  <LinksUpToDate>false</LinksUpToDate>
  <CharactersWithSpaces>2396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2018-02-22T04:48:00Z</dcterms:created>
  <dc:creator>llq</dc:creator>
  <cp:lastModifiedBy>Ethan</cp:lastModifiedBy>
  <dcterms:modified xsi:type="dcterms:W3CDTF">2023-05-25T03:38:22Z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F3DD453782F54F9C8C581F48CA52A039_12</vt:lpwstr>
  </property>
</Properties>
</file>