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1502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457E10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439D32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04E27E6">
      <w:pPr>
        <w:keepNext w:val="0"/>
        <w:keepLines w:val="0"/>
        <w:pageBreakBefore w:val="0"/>
        <w:wordWrap/>
        <w:overflowPunct/>
        <w:topLinePunct w:val="0"/>
        <w:bidi w:val="0"/>
        <w:spacing w:line="36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国联零碳科创园(华光环能科创中心)项目</w:t>
      </w:r>
    </w:p>
    <w:p w14:paraId="3DBB2313">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（采购编号：</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1401D02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725970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6F6659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9D7CDD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32B1A6C">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b/>
          <w:bCs/>
          <w:sz w:val="52"/>
          <w:szCs w:val="52"/>
        </w:rPr>
        <w:t>桩基工程</w:t>
      </w:r>
      <w:r>
        <w:rPr>
          <w:rFonts w:hint="eastAsia" w:ascii="仿宋" w:hAnsi="仿宋" w:eastAsia="仿宋" w:cs="仿宋"/>
          <w:b/>
          <w:bCs/>
          <w:sz w:val="52"/>
          <w:szCs w:val="52"/>
          <w:lang w:eastAsia="zh-CN"/>
        </w:rPr>
        <w:t>专业分包</w:t>
      </w:r>
      <w:r>
        <w:rPr>
          <w:rFonts w:hint="eastAsia" w:ascii="仿宋" w:hAnsi="仿宋" w:eastAsia="仿宋" w:cs="仿宋"/>
          <w:b/>
          <w:bCs/>
          <w:sz w:val="52"/>
          <w:szCs w:val="52"/>
        </w:rPr>
        <w:t>询比采购文件</w:t>
      </w:r>
    </w:p>
    <w:p w14:paraId="08A43EB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960E5B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1CFB4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D1A60C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4858DF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5942F9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4D0052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 w:val="32"/>
          <w:szCs w:val="32"/>
          <w:lang w:val="en-US"/>
        </w:rPr>
      </w:pPr>
      <w:r>
        <w:rPr>
          <w:rFonts w:hint="eastAsia" w:ascii="仿宋" w:hAnsi="仿宋" w:eastAsia="仿宋" w:cs="仿宋"/>
          <w:sz w:val="32"/>
          <w:szCs w:val="32"/>
        </w:rPr>
        <w:t>采购人：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中机国际工程设计研究院有限责任公司 </w:t>
      </w:r>
    </w:p>
    <w:p w14:paraId="21239C5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68120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9B900D6">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2026</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1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13</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637AFB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F1621C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71BD58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E74A4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AF6961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09EB58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CA34D0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F36404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D61C7B9">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sz w:val="52"/>
          <w:szCs w:val="52"/>
          <w:lang w:eastAsia="zh-CN"/>
        </w:rPr>
      </w:pPr>
      <w:r>
        <w:rPr>
          <w:rFonts w:hint="eastAsia" w:ascii="仿宋" w:hAnsi="仿宋" w:eastAsia="仿宋" w:cs="仿宋"/>
          <w:b/>
          <w:bCs/>
          <w:kern w:val="2"/>
          <w:sz w:val="52"/>
          <w:szCs w:val="52"/>
          <w:lang w:val="en-US" w:eastAsia="zh-CN" w:bidi="ar-SA"/>
        </w:rPr>
        <w:t xml:space="preserve">第一章 </w:t>
      </w:r>
      <w:r>
        <w:rPr>
          <w:rFonts w:hint="eastAsia" w:ascii="仿宋" w:hAnsi="仿宋" w:eastAsia="仿宋" w:cs="仿宋"/>
          <w:b/>
          <w:bCs/>
          <w:sz w:val="52"/>
          <w:szCs w:val="52"/>
        </w:rPr>
        <w:t>询比采购</w:t>
      </w:r>
      <w:r>
        <w:rPr>
          <w:rFonts w:hint="eastAsia" w:ascii="仿宋" w:hAnsi="仿宋" w:eastAsia="仿宋" w:cs="仿宋"/>
          <w:b/>
          <w:bCs/>
          <w:sz w:val="52"/>
          <w:szCs w:val="52"/>
          <w:lang w:eastAsia="zh-CN"/>
        </w:rPr>
        <w:t>公告</w:t>
      </w:r>
    </w:p>
    <w:p w14:paraId="7D2E4632">
      <w:pPr>
        <w:rPr>
          <w:rFonts w:hint="eastAsia" w:ascii="仿宋" w:hAnsi="仿宋" w:eastAsia="仿宋" w:cs="仿宋"/>
          <w:sz w:val="32"/>
          <w:szCs w:val="32"/>
        </w:rPr>
      </w:pPr>
      <w:r>
        <w:rPr>
          <w:rFonts w:hint="eastAsia" w:ascii="仿宋" w:hAnsi="仿宋" w:eastAsia="仿宋" w:cs="仿宋"/>
          <w:sz w:val="32"/>
          <w:szCs w:val="32"/>
        </w:rPr>
        <w:br w:type="page"/>
      </w:r>
    </w:p>
    <w:p w14:paraId="089A4523">
      <w:pPr>
        <w:pStyle w:val="2"/>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outlineLvl w:val="0"/>
        <w:rPr>
          <w:rFonts w:hint="default" w:ascii="仿宋" w:hAnsi="仿宋" w:eastAsia="仿宋" w:cs="仿宋"/>
          <w:color w:val="221E1F"/>
          <w:spacing w:val="-2"/>
          <w:sz w:val="32"/>
          <w:szCs w:val="32"/>
          <w:lang w:val="en-US" w:eastAsia="zh-CN"/>
        </w:rPr>
      </w:pPr>
      <w:r>
        <w:rPr>
          <w:rFonts w:hint="eastAsia" w:ascii="黑体" w:hAnsi="黑体" w:eastAsia="黑体" w:cs="黑体"/>
          <w:b w:val="0"/>
          <w:bCs w:val="0"/>
          <w:color w:val="221E1F"/>
          <w:spacing w:val="-2"/>
          <w:sz w:val="32"/>
          <w:szCs w:val="32"/>
        </w:rPr>
        <w:t>国联零碳科创园（华光环能科创中心）项目</w:t>
      </w:r>
      <w:r>
        <w:rPr>
          <w:rFonts w:hint="eastAsia" w:ascii="黑体" w:hAnsi="黑体" w:eastAsia="黑体" w:cs="黑体"/>
          <w:b w:val="0"/>
          <w:bCs w:val="0"/>
          <w:color w:val="221E1F"/>
          <w:spacing w:val="-2"/>
          <w:sz w:val="32"/>
          <w:szCs w:val="32"/>
          <w:lang w:eastAsia="zh-CN"/>
        </w:rPr>
        <w:t>桩基工程专业分包</w:t>
      </w:r>
      <w:r>
        <w:rPr>
          <w:rFonts w:hint="eastAsia" w:ascii="黑体" w:hAnsi="黑体" w:eastAsia="黑体" w:cs="黑体"/>
          <w:b w:val="0"/>
          <w:bCs w:val="0"/>
          <w:color w:val="221E1F"/>
          <w:spacing w:val="-2"/>
          <w:sz w:val="32"/>
          <w:szCs w:val="32"/>
        </w:rPr>
        <w:t>询比采购公告</w:t>
      </w:r>
    </w:p>
    <w:p w14:paraId="1F911FB7">
      <w:pPr>
        <w:pStyle w:val="2"/>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本采购项目</w:t>
      </w:r>
      <w:r>
        <w:rPr>
          <w:rFonts w:hint="eastAsia" w:ascii="仿宋" w:hAnsi="仿宋" w:eastAsia="仿宋" w:cs="仿宋"/>
          <w:color w:val="221E1F"/>
          <w:spacing w:val="-2"/>
          <w:sz w:val="32"/>
          <w:szCs w:val="32"/>
          <w:lang w:eastAsia="zh-CN"/>
        </w:rPr>
        <w:t>为</w:t>
      </w:r>
      <w:r>
        <w:rPr>
          <w:rFonts w:hint="eastAsia" w:ascii="仿宋" w:hAnsi="仿宋" w:eastAsia="仿宋" w:cs="仿宋"/>
          <w:color w:val="221E1F"/>
          <w:spacing w:val="-2"/>
          <w:sz w:val="32"/>
          <w:szCs w:val="32"/>
          <w:u w:val="single"/>
        </w:rPr>
        <w:t>（国联零碳科创园（华光环能科创中心）项目）</w:t>
      </w:r>
      <w:r>
        <w:rPr>
          <w:rFonts w:hint="eastAsia" w:ascii="仿宋" w:hAnsi="仿宋" w:eastAsia="仿宋" w:cs="仿宋"/>
          <w:color w:val="221E1F"/>
          <w:spacing w:val="-2"/>
          <w:sz w:val="32"/>
          <w:szCs w:val="32"/>
        </w:rPr>
        <w:t>，询价人为</w:t>
      </w:r>
      <w:r>
        <w:rPr>
          <w:rFonts w:hint="eastAsia" w:ascii="仿宋" w:hAnsi="仿宋" w:eastAsia="仿宋" w:cs="仿宋"/>
          <w:color w:val="221E1F"/>
          <w:spacing w:val="-2"/>
          <w:sz w:val="32"/>
          <w:szCs w:val="32"/>
          <w:u w:val="single"/>
          <w:lang w:val="en-US" w:eastAsia="zh-CN"/>
        </w:rPr>
        <w:t xml:space="preserve"> 中机国际工程设计研究院有限责任公司 </w:t>
      </w:r>
      <w:r>
        <w:rPr>
          <w:rFonts w:hint="eastAsia" w:ascii="仿宋" w:hAnsi="仿宋" w:eastAsia="仿宋" w:cs="仿宋"/>
          <w:color w:val="221E1F"/>
          <w:spacing w:val="-2"/>
          <w:sz w:val="32"/>
          <w:szCs w:val="32"/>
        </w:rPr>
        <w:t>。项目进度已具备</w:t>
      </w:r>
      <w:r>
        <w:rPr>
          <w:rFonts w:hint="eastAsia" w:ascii="仿宋" w:hAnsi="仿宋" w:eastAsia="仿宋" w:cs="仿宋"/>
          <w:color w:val="221E1F"/>
          <w:spacing w:val="-2"/>
          <w:sz w:val="32"/>
          <w:szCs w:val="32"/>
          <w:lang w:val="en-US" w:eastAsia="zh-CN"/>
        </w:rPr>
        <w:t>相关询价</w:t>
      </w:r>
      <w:r>
        <w:rPr>
          <w:rFonts w:hint="eastAsia" w:ascii="仿宋" w:hAnsi="仿宋" w:eastAsia="仿宋" w:cs="仿宋"/>
          <w:color w:val="221E1F"/>
          <w:spacing w:val="-2"/>
          <w:sz w:val="32"/>
          <w:szCs w:val="32"/>
        </w:rPr>
        <w:t>条件，现对该项目的</w:t>
      </w:r>
      <w:r>
        <w:rPr>
          <w:rFonts w:hint="eastAsia" w:ascii="仿宋" w:hAnsi="仿宋" w:eastAsia="仿宋" w:cs="仿宋"/>
          <w:color w:val="221E1F"/>
          <w:spacing w:val="-2"/>
          <w:sz w:val="32"/>
          <w:szCs w:val="32"/>
          <w:u w:val="single"/>
          <w:lang w:val="en-US" w:eastAsia="zh-CN"/>
        </w:rPr>
        <w:t xml:space="preserve"> </w:t>
      </w:r>
      <w:r>
        <w:rPr>
          <w:rFonts w:hint="eastAsia" w:ascii="仿宋" w:hAnsi="仿宋" w:eastAsia="仿宋" w:cs="仿宋"/>
          <w:color w:val="221E1F"/>
          <w:spacing w:val="-2"/>
          <w:sz w:val="32"/>
          <w:szCs w:val="32"/>
          <w:u w:val="single"/>
        </w:rPr>
        <w:t>桩基工程</w:t>
      </w:r>
      <w:r>
        <w:rPr>
          <w:rFonts w:hint="eastAsia" w:ascii="仿宋" w:hAnsi="仿宋" w:eastAsia="仿宋" w:cs="仿宋"/>
          <w:color w:val="221E1F"/>
          <w:spacing w:val="-2"/>
          <w:sz w:val="32"/>
          <w:szCs w:val="32"/>
          <w:u w:val="single"/>
          <w:lang w:eastAsia="zh-CN"/>
        </w:rPr>
        <w:t>专业分包</w:t>
      </w:r>
      <w:r>
        <w:rPr>
          <w:rFonts w:hint="eastAsia" w:ascii="仿宋" w:hAnsi="仿宋" w:eastAsia="仿宋" w:cs="仿宋"/>
          <w:color w:val="221E1F"/>
          <w:spacing w:val="-2"/>
          <w:sz w:val="32"/>
          <w:szCs w:val="32"/>
          <w:u w:val="single"/>
          <w:lang w:val="en-US" w:eastAsia="zh-CN"/>
        </w:rPr>
        <w:t xml:space="preserve"> </w:t>
      </w:r>
      <w:r>
        <w:rPr>
          <w:rFonts w:hint="eastAsia" w:ascii="仿宋" w:hAnsi="仿宋" w:eastAsia="仿宋" w:cs="仿宋"/>
          <w:color w:val="221E1F"/>
          <w:spacing w:val="-2"/>
          <w:sz w:val="32"/>
          <w:szCs w:val="32"/>
          <w:u w:val="none"/>
          <w:lang w:val="en-US" w:eastAsia="zh-CN"/>
        </w:rPr>
        <w:t>进行询比,</w:t>
      </w:r>
      <w:r>
        <w:rPr>
          <w:rFonts w:hint="eastAsia" w:ascii="仿宋" w:hAnsi="仿宋" w:eastAsia="仿宋" w:cs="仿宋"/>
          <w:color w:val="221E1F"/>
          <w:spacing w:val="-2"/>
          <w:sz w:val="32"/>
          <w:szCs w:val="32"/>
          <w:lang w:eastAsia="zh-CN"/>
        </w:rPr>
        <w:t>邀请贵单位</w:t>
      </w:r>
      <w:r>
        <w:rPr>
          <w:rFonts w:hint="eastAsia" w:ascii="仿宋" w:hAnsi="仿宋" w:eastAsia="仿宋" w:cs="仿宋"/>
          <w:color w:val="221E1F"/>
          <w:spacing w:val="-2"/>
          <w:sz w:val="32"/>
          <w:szCs w:val="32"/>
        </w:rPr>
        <w:t>参加</w:t>
      </w:r>
      <w:r>
        <w:rPr>
          <w:rFonts w:hint="eastAsia" w:ascii="仿宋" w:hAnsi="仿宋" w:eastAsia="仿宋" w:cs="仿宋"/>
          <w:color w:val="221E1F"/>
          <w:spacing w:val="-2"/>
          <w:sz w:val="32"/>
          <w:szCs w:val="32"/>
          <w:lang w:eastAsia="zh-CN"/>
        </w:rPr>
        <w:t>本次</w:t>
      </w:r>
      <w:r>
        <w:rPr>
          <w:rFonts w:hint="eastAsia" w:ascii="仿宋" w:hAnsi="仿宋" w:eastAsia="仿宋" w:cs="仿宋"/>
          <w:color w:val="221E1F"/>
          <w:spacing w:val="-2"/>
          <w:sz w:val="32"/>
          <w:szCs w:val="32"/>
        </w:rPr>
        <w:t>询比采购活动。</w:t>
      </w:r>
    </w:p>
    <w:p w14:paraId="6D06F187">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left="106"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8"/>
          <w:sz w:val="32"/>
          <w:szCs w:val="32"/>
          <w:lang w:eastAsia="zh-CN"/>
        </w:rPr>
        <w:t>　　</w:t>
      </w:r>
      <w:r>
        <w:rPr>
          <w:rFonts w:hint="eastAsia" w:ascii="仿宋" w:hAnsi="仿宋" w:eastAsia="仿宋" w:cs="仿宋"/>
          <w:b/>
          <w:bCs/>
          <w:color w:val="221E1F"/>
          <w:spacing w:val="-8"/>
          <w:sz w:val="32"/>
          <w:szCs w:val="32"/>
        </w:rPr>
        <w:t>1 采购项目简介</w:t>
      </w:r>
    </w:p>
    <w:p w14:paraId="2C59E049">
      <w:pPr>
        <w:pStyle w:val="2"/>
        <w:keepNext w:val="0"/>
        <w:keepLines w:val="0"/>
        <w:pageBreakBefore w:val="0"/>
        <w:widowControl/>
        <w:kinsoku w:val="0"/>
        <w:wordWrap/>
        <w:overflowPunct/>
        <w:topLinePunct w:val="0"/>
        <w:autoSpaceDE w:val="0"/>
        <w:autoSpaceDN w:val="0"/>
        <w:bidi w:val="0"/>
        <w:adjustRightInd w:val="0"/>
        <w:snapToGrid w:val="0"/>
        <w:spacing w:before="260" w:line="360" w:lineRule="auto"/>
        <w:ind w:left="73" w:firstLine="0"/>
        <w:textAlignment w:val="baseline"/>
        <w:rPr>
          <w:rFonts w:hint="eastAsia" w:ascii="仿宋" w:hAnsi="仿宋" w:eastAsia="仿宋" w:cs="仿宋"/>
          <w:sz w:val="32"/>
          <w:szCs w:val="32"/>
          <w:lang w:val="en-US" w:eastAsia="zh-CN"/>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1.1 采购项目名称：</w:t>
      </w:r>
      <w:r>
        <w:rPr>
          <w:rFonts w:hint="eastAsia" w:ascii="仿宋" w:hAnsi="仿宋" w:eastAsia="仿宋" w:cs="仿宋"/>
          <w:color w:val="221E1F"/>
          <w:spacing w:val="-3"/>
          <w:sz w:val="32"/>
          <w:szCs w:val="32"/>
          <w:u w:val="single"/>
          <w:lang w:val="en-US" w:eastAsia="zh-CN"/>
        </w:rPr>
        <w:t xml:space="preserve">  国联零碳科创园(华光环能科创中心)项目桩基工程   </w:t>
      </w:r>
    </w:p>
    <w:p w14:paraId="760B3F89">
      <w:pPr>
        <w:pStyle w:val="2"/>
        <w:keepNext w:val="0"/>
        <w:keepLines w:val="0"/>
        <w:pageBreakBefore w:val="0"/>
        <w:widowControl/>
        <w:kinsoku w:val="0"/>
        <w:wordWrap/>
        <w:overflowPunct/>
        <w:topLinePunct w:val="0"/>
        <w:autoSpaceDE w:val="0"/>
        <w:autoSpaceDN w:val="0"/>
        <w:bidi w:val="0"/>
        <w:adjustRightInd w:val="0"/>
        <w:snapToGrid w:val="0"/>
        <w:spacing w:before="130"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4"/>
          <w:sz w:val="32"/>
          <w:szCs w:val="32"/>
          <w:lang w:eastAsia="zh-CN"/>
        </w:rPr>
        <w:t>　　</w:t>
      </w:r>
      <w:r>
        <w:rPr>
          <w:rFonts w:hint="eastAsia" w:ascii="仿宋" w:hAnsi="仿宋" w:eastAsia="仿宋" w:cs="仿宋"/>
          <w:color w:val="221E1F"/>
          <w:spacing w:val="-4"/>
          <w:sz w:val="32"/>
          <w:szCs w:val="32"/>
        </w:rPr>
        <w:t>1.2 采购人：</w:t>
      </w:r>
      <w:r>
        <w:rPr>
          <w:rFonts w:hint="eastAsia" w:ascii="仿宋" w:hAnsi="仿宋" w:eastAsia="仿宋" w:cs="仿宋"/>
          <w:color w:val="221E1F"/>
          <w:spacing w:val="-3"/>
          <w:sz w:val="32"/>
          <w:szCs w:val="32"/>
          <w:u w:val="single"/>
          <w:lang w:val="en-US" w:eastAsia="zh-CN"/>
        </w:rPr>
        <w:t xml:space="preserve"> 中机国际工程设计研究院有限责任公司    </w:t>
      </w:r>
    </w:p>
    <w:p w14:paraId="7DC775D7">
      <w:pPr>
        <w:pStyle w:val="2"/>
        <w:keepNext w:val="0"/>
        <w:keepLines w:val="0"/>
        <w:pageBreakBefore w:val="0"/>
        <w:widowControl/>
        <w:kinsoku w:val="0"/>
        <w:wordWrap/>
        <w:overflowPunct/>
        <w:topLinePunct w:val="0"/>
        <w:autoSpaceDE w:val="0"/>
        <w:autoSpaceDN w:val="0"/>
        <w:bidi w:val="0"/>
        <w:adjustRightInd w:val="0"/>
        <w:snapToGrid w:val="0"/>
        <w:spacing w:before="219"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1.3 采购代理机构：</w:t>
      </w:r>
      <w:r>
        <w:rPr>
          <w:rFonts w:hint="eastAsia" w:ascii="仿宋" w:hAnsi="仿宋" w:eastAsia="仿宋" w:cs="仿宋"/>
          <w:color w:val="221E1F"/>
          <w:spacing w:val="-3"/>
          <w:sz w:val="32"/>
          <w:szCs w:val="32"/>
          <w:u w:val="single"/>
          <w:lang w:val="en-US" w:eastAsia="zh-CN"/>
        </w:rPr>
        <w:t xml:space="preserve">   /    </w:t>
      </w:r>
    </w:p>
    <w:p w14:paraId="045904A2">
      <w:pPr>
        <w:pStyle w:val="2"/>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1.4 采购项目资金落实情况：</w:t>
      </w:r>
      <w:r>
        <w:rPr>
          <w:rFonts w:hint="eastAsia" w:ascii="仿宋" w:hAnsi="仿宋" w:eastAsia="仿宋" w:cs="仿宋"/>
          <w:color w:val="221E1F"/>
          <w:spacing w:val="-3"/>
          <w:sz w:val="32"/>
          <w:szCs w:val="32"/>
          <w:u w:val="single"/>
          <w:lang w:val="en-US" w:eastAsia="zh-CN"/>
        </w:rPr>
        <w:t xml:space="preserve">   企业自筹  </w:t>
      </w:r>
    </w:p>
    <w:p w14:paraId="73BCC9FE">
      <w:pPr>
        <w:pStyle w:val="2"/>
        <w:keepNext w:val="0"/>
        <w:keepLines w:val="0"/>
        <w:pageBreakBefore w:val="0"/>
        <w:widowControl/>
        <w:kinsoku w:val="0"/>
        <w:wordWrap/>
        <w:overflowPunct/>
        <w:topLinePunct w:val="0"/>
        <w:autoSpaceDE w:val="0"/>
        <w:autoSpaceDN w:val="0"/>
        <w:bidi w:val="0"/>
        <w:adjustRightInd w:val="0"/>
        <w:snapToGrid w:val="0"/>
        <w:spacing w:before="176" w:line="360" w:lineRule="auto"/>
        <w:ind w:left="73" w:firstLine="0"/>
        <w:textAlignment w:val="baseline"/>
        <w:rPr>
          <w:rFonts w:hint="eastAsia" w:ascii="仿宋" w:hAnsi="仿宋" w:eastAsia="仿宋" w:cs="仿宋"/>
          <w:color w:val="auto"/>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1.5 采购项目概况：</w:t>
      </w:r>
      <w:r>
        <w:rPr>
          <w:rFonts w:hint="eastAsia" w:ascii="仿宋" w:hAnsi="仿宋" w:eastAsia="仿宋" w:cs="仿宋"/>
          <w:color w:val="auto"/>
          <w:spacing w:val="-3"/>
          <w:sz w:val="32"/>
          <w:szCs w:val="32"/>
          <w:u w:val="single"/>
          <w:lang w:val="en-US" w:eastAsia="zh-CN"/>
        </w:rPr>
        <w:t xml:space="preserve"> 国联零碳科创园（华光环能科创中心）桩基工程，采购 YZH-400B 系列预制混凝土方桩（含静压沉桩、桩尖、接桩等），清单固定单价报价、风险自担，按进度及质保期付款，投标人需自备机械与相关设备、承担停工等风险并完全响应要求。</w:t>
      </w:r>
    </w:p>
    <w:p w14:paraId="48F93310">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left="73" w:firstLine="0"/>
        <w:textAlignment w:val="baseline"/>
        <w:outlineLvl w:val="1"/>
        <w:rPr>
          <w:rFonts w:hint="eastAsia" w:ascii="仿宋" w:hAnsi="仿宋" w:eastAsia="仿宋" w:cs="仿宋"/>
          <w:b/>
          <w:bCs/>
          <w:sz w:val="32"/>
          <w:szCs w:val="32"/>
        </w:rPr>
      </w:pPr>
      <w:r>
        <w:rPr>
          <w:rFonts w:hint="eastAsia" w:ascii="仿宋" w:hAnsi="仿宋" w:eastAsia="仿宋" w:cs="仿宋"/>
          <w:b/>
          <w:bCs/>
          <w:color w:val="221E1F"/>
          <w:spacing w:val="-2"/>
          <w:sz w:val="32"/>
          <w:szCs w:val="32"/>
          <w:lang w:eastAsia="zh-CN"/>
        </w:rPr>
        <w:t>　　</w:t>
      </w:r>
      <w:r>
        <w:rPr>
          <w:rFonts w:hint="eastAsia" w:ascii="仿宋" w:hAnsi="仿宋" w:eastAsia="仿宋" w:cs="仿宋"/>
          <w:b/>
          <w:bCs/>
          <w:color w:val="221E1F"/>
          <w:spacing w:val="-2"/>
          <w:sz w:val="32"/>
          <w:szCs w:val="32"/>
        </w:rPr>
        <w:t>2 采购范围及相关要求（</w:t>
      </w:r>
      <w:r>
        <w:rPr>
          <w:rFonts w:hint="eastAsia" w:ascii="仿宋" w:hAnsi="仿宋" w:eastAsia="仿宋" w:cs="仿宋"/>
          <w:b/>
          <w:bCs/>
          <w:color w:val="221E1F"/>
          <w:spacing w:val="-2"/>
          <w:sz w:val="32"/>
          <w:szCs w:val="32"/>
          <w:lang w:eastAsia="zh-CN"/>
        </w:rPr>
        <w:t>工程</w:t>
      </w:r>
      <w:r>
        <w:rPr>
          <w:rFonts w:hint="eastAsia" w:ascii="仿宋" w:hAnsi="仿宋" w:eastAsia="仿宋" w:cs="仿宋"/>
          <w:b/>
          <w:bCs/>
          <w:color w:val="221E1F"/>
          <w:spacing w:val="-2"/>
          <w:sz w:val="32"/>
          <w:szCs w:val="32"/>
        </w:rPr>
        <w:t>）</w:t>
      </w:r>
    </w:p>
    <w:p w14:paraId="6D101A70">
      <w:pPr>
        <w:pStyle w:val="2"/>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2.1 采购范围：</w:t>
      </w:r>
      <w:r>
        <w:rPr>
          <w:rFonts w:hint="eastAsia" w:ascii="仿宋" w:hAnsi="仿宋" w:eastAsia="仿宋" w:cs="仿宋"/>
          <w:color w:val="221E1F"/>
          <w:spacing w:val="-3"/>
          <w:sz w:val="32"/>
          <w:szCs w:val="32"/>
          <w:u w:val="single"/>
          <w:lang w:val="en-US" w:eastAsia="zh-CN"/>
        </w:rPr>
        <w:t xml:space="preserve"> 本次招标范围为桩基工程部分，详情见报价清单</w:t>
      </w:r>
    </w:p>
    <w:p w14:paraId="18C1A833">
      <w:pPr>
        <w:pStyle w:val="2"/>
        <w:keepNext w:val="0"/>
        <w:keepLines w:val="0"/>
        <w:pageBreakBefore w:val="0"/>
        <w:widowControl/>
        <w:kinsoku w:val="0"/>
        <w:wordWrap/>
        <w:overflowPunct/>
        <w:topLinePunct w:val="0"/>
        <w:autoSpaceDE w:val="0"/>
        <w:autoSpaceDN w:val="0"/>
        <w:bidi w:val="0"/>
        <w:adjustRightInd w:val="0"/>
        <w:snapToGrid w:val="0"/>
        <w:spacing w:before="176" w:line="360" w:lineRule="auto"/>
        <w:ind w:left="58" w:firstLine="0"/>
        <w:jc w:val="left"/>
        <w:textAlignment w:val="baseline"/>
        <w:rPr>
          <w:rFonts w:hint="eastAsia" w:ascii="仿宋" w:hAnsi="仿宋" w:eastAsia="仿宋" w:cs="仿宋"/>
          <w:color w:val="221E1F"/>
          <w:spacing w:val="6"/>
          <w:sz w:val="32"/>
          <w:szCs w:val="32"/>
          <w:u w:val="single"/>
          <w:lang w:val="en-US" w:eastAsia="zh-CN"/>
        </w:rPr>
      </w:pPr>
      <w:r>
        <w:rPr>
          <w:rFonts w:hint="eastAsia" w:ascii="仿宋" w:hAnsi="仿宋" w:eastAsia="仿宋" w:cs="仿宋"/>
          <w:color w:val="221E1F"/>
          <w:spacing w:val="-4"/>
          <w:sz w:val="32"/>
          <w:szCs w:val="32"/>
          <w:lang w:eastAsia="zh-CN"/>
        </w:rPr>
        <w:t>　　</w:t>
      </w:r>
      <w:r>
        <w:rPr>
          <w:rFonts w:hint="eastAsia" w:ascii="仿宋" w:hAnsi="仿宋" w:eastAsia="仿宋" w:cs="仿宋"/>
          <w:color w:val="221E1F"/>
          <w:spacing w:val="-4"/>
          <w:sz w:val="32"/>
          <w:szCs w:val="32"/>
        </w:rPr>
        <w:t>2.2 计划工期</w:t>
      </w:r>
      <w:r>
        <w:rPr>
          <w:rFonts w:hint="eastAsia" w:ascii="仿宋" w:hAnsi="仿宋" w:eastAsia="仿宋" w:cs="仿宋"/>
          <w:color w:val="221E1F"/>
          <w:spacing w:val="-13"/>
          <w:sz w:val="32"/>
          <w:szCs w:val="32"/>
        </w:rPr>
        <w:t>：</w:t>
      </w:r>
      <w:r>
        <w:rPr>
          <w:rFonts w:hint="eastAsia" w:ascii="仿宋" w:hAnsi="仿宋" w:eastAsia="仿宋" w:cs="仿宋"/>
          <w:color w:val="221E1F"/>
          <w:spacing w:val="6"/>
          <w:sz w:val="32"/>
          <w:szCs w:val="32"/>
          <w:u w:val="single"/>
        </w:rPr>
        <w:t xml:space="preserve"> 2026年1月15日至2026年3月15日（根据现场情况动态调整，具体开工日期及完工日期以招标人指令为准</w:t>
      </w:r>
      <w:r>
        <w:rPr>
          <w:rFonts w:hint="eastAsia" w:ascii="仿宋" w:hAnsi="仿宋" w:eastAsia="仿宋" w:cs="仿宋"/>
          <w:color w:val="221E1F"/>
          <w:spacing w:val="6"/>
          <w:sz w:val="32"/>
          <w:szCs w:val="32"/>
          <w:u w:val="single"/>
          <w:lang w:eastAsia="zh-CN"/>
        </w:rPr>
        <w:t>）</w:t>
      </w:r>
    </w:p>
    <w:p w14:paraId="6F39FDE1">
      <w:pPr>
        <w:pStyle w:val="2"/>
        <w:keepNext w:val="0"/>
        <w:keepLines w:val="0"/>
        <w:pageBreakBefore w:val="0"/>
        <w:widowControl/>
        <w:kinsoku w:val="0"/>
        <w:wordWrap/>
        <w:overflowPunct/>
        <w:topLinePunct w:val="0"/>
        <w:autoSpaceDE w:val="0"/>
        <w:autoSpaceDN w:val="0"/>
        <w:bidi w:val="0"/>
        <w:adjustRightInd w:val="0"/>
        <w:snapToGrid w:val="0"/>
        <w:spacing w:before="129" w:line="360" w:lineRule="auto"/>
        <w:ind w:left="58"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2.3 建设地点：</w:t>
      </w:r>
      <w:r>
        <w:rPr>
          <w:rFonts w:hint="eastAsia" w:ascii="仿宋" w:hAnsi="仿宋" w:eastAsia="仿宋" w:cs="仿宋"/>
          <w:color w:val="221E1F"/>
          <w:spacing w:val="-3"/>
          <w:sz w:val="32"/>
          <w:szCs w:val="32"/>
          <w:u w:val="single"/>
          <w:lang w:val="en-US" w:eastAsia="zh-CN"/>
        </w:rPr>
        <w:t xml:space="preserve"> 无锡市新吴区旺庄街道城南路 3 号 </w:t>
      </w:r>
    </w:p>
    <w:p w14:paraId="7490D2ED">
      <w:pPr>
        <w:pStyle w:val="2"/>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0"/>
        <w:textAlignment w:val="baseline"/>
        <w:rPr>
          <w:rFonts w:hint="default" w:ascii="仿宋" w:hAnsi="仿宋" w:eastAsia="仿宋" w:cs="仿宋"/>
          <w:color w:val="auto"/>
          <w:sz w:val="32"/>
          <w:szCs w:val="32"/>
          <w:lang w:val="en-US"/>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2.4 质量要</w:t>
      </w:r>
      <w:r>
        <w:rPr>
          <w:rFonts w:hint="eastAsia" w:ascii="仿宋" w:hAnsi="仿宋" w:eastAsia="仿宋" w:cs="仿宋"/>
          <w:color w:val="auto"/>
          <w:spacing w:val="-2"/>
          <w:sz w:val="32"/>
          <w:szCs w:val="32"/>
        </w:rPr>
        <w:t>求：</w:t>
      </w:r>
      <w:r>
        <w:rPr>
          <w:rFonts w:hint="eastAsia" w:ascii="仿宋" w:hAnsi="仿宋" w:eastAsia="仿宋" w:cs="仿宋"/>
          <w:color w:val="auto"/>
          <w:spacing w:val="-3"/>
          <w:sz w:val="32"/>
          <w:szCs w:val="32"/>
          <w:u w:val="single"/>
          <w:lang w:val="en-US" w:eastAsia="zh-CN"/>
        </w:rPr>
        <w:t xml:space="preserve"> 工程质量符合国家及省市现行工程规范规定的合格标准及现行工程施工质量验收标准及相关专业验收规范；确保一类桩比例97%以上，不能出现三、四类桩；</w:t>
      </w:r>
    </w:p>
    <w:p w14:paraId="13F23C4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7" w:firstLine="0"/>
        <w:textAlignment w:val="baseline"/>
        <w:rPr>
          <w:rFonts w:hint="eastAsia" w:ascii="仿宋" w:hAnsi="仿宋" w:eastAsia="仿宋" w:cs="仿宋"/>
          <w:color w:val="auto"/>
          <w:spacing w:val="-3"/>
          <w:sz w:val="32"/>
          <w:szCs w:val="32"/>
          <w:u w:val="single"/>
          <w:lang w:val="en-US" w:eastAsia="zh-CN"/>
        </w:rPr>
      </w:pPr>
      <w:r>
        <w:rPr>
          <w:rFonts w:hint="eastAsia" w:ascii="仿宋" w:hAnsi="仿宋" w:eastAsia="仿宋" w:cs="仿宋"/>
          <w:color w:val="auto"/>
          <w:spacing w:val="-4"/>
          <w:sz w:val="32"/>
          <w:szCs w:val="32"/>
          <w:lang w:eastAsia="zh-CN"/>
        </w:rPr>
        <w:t>　　</w:t>
      </w:r>
      <w:r>
        <w:rPr>
          <w:rFonts w:hint="eastAsia" w:ascii="仿宋" w:hAnsi="仿宋" w:eastAsia="仿宋" w:cs="仿宋"/>
          <w:color w:val="auto"/>
          <w:spacing w:val="-4"/>
          <w:sz w:val="32"/>
          <w:szCs w:val="32"/>
        </w:rPr>
        <w:t>2.5</w:t>
      </w:r>
      <w:r>
        <w:rPr>
          <w:rFonts w:hint="eastAsia" w:ascii="仿宋" w:hAnsi="仿宋" w:eastAsia="仿宋" w:cs="仿宋"/>
          <w:color w:val="auto"/>
          <w:spacing w:val="18"/>
          <w:sz w:val="32"/>
          <w:szCs w:val="32"/>
        </w:rPr>
        <w:t xml:space="preserve"> </w:t>
      </w:r>
      <w:r>
        <w:rPr>
          <w:rFonts w:hint="eastAsia" w:ascii="仿宋" w:hAnsi="仿宋" w:eastAsia="仿宋" w:cs="仿宋"/>
          <w:color w:val="auto"/>
          <w:spacing w:val="-4"/>
          <w:sz w:val="32"/>
          <w:szCs w:val="32"/>
        </w:rPr>
        <w:t>安全目标：</w:t>
      </w:r>
      <w:r>
        <w:rPr>
          <w:rFonts w:hint="eastAsia" w:ascii="仿宋" w:hAnsi="仿宋" w:eastAsia="仿宋" w:cs="仿宋"/>
          <w:color w:val="auto"/>
          <w:spacing w:val="-3"/>
          <w:sz w:val="32"/>
          <w:szCs w:val="32"/>
          <w:u w:val="single"/>
          <w:lang w:val="en-US" w:eastAsia="zh-CN"/>
        </w:rPr>
        <w:t xml:space="preserve"> ① 不发生生产安全人身死亡责任事故:不发生造成直接经济损失10万元及以上生产安全责任事故;不发生重伤(包括急性工业中毒)及以上生产安全责任事故;② 不发生一般及以上机械、设备责任事故;③ 不发生一般及以上火灾、爆炸责任事故;④ 不发生负主要责任的一般及以上交通事故:⑤ 不发生造成社会影响较大的职业危害事故、环境污染事故;⑥ 不发生造成损害企业形象、一般负面社会影响的不良事件。⑦ 不发生因拖欠农民工工资引发的上门讨薪及负面舆情事件。</w:t>
      </w:r>
      <w:r>
        <w:rPr>
          <w:rFonts w:hint="eastAsia" w:ascii="仿宋" w:hAnsi="仿宋" w:eastAsia="仿宋" w:cs="仿宋"/>
          <w:color w:val="auto"/>
          <w:spacing w:val="-3"/>
          <w:sz w:val="32"/>
          <w:szCs w:val="32"/>
          <w:u w:val="single"/>
          <w:lang w:val="en-US" w:eastAsia="en-US"/>
        </w:rPr>
        <w:t>⑧</w:t>
      </w:r>
      <w:r>
        <w:rPr>
          <w:rFonts w:hint="eastAsia" w:ascii="仿宋" w:hAnsi="仿宋" w:eastAsia="仿宋" w:cs="仿宋"/>
          <w:color w:val="auto"/>
          <w:spacing w:val="-3"/>
          <w:sz w:val="32"/>
          <w:szCs w:val="32"/>
          <w:u w:val="single"/>
          <w:lang w:val="en-US" w:eastAsia="zh-CN"/>
        </w:rPr>
        <w:t xml:space="preserve"> 确保满足省级建筑施工标准化星级工地(三星)、扬子杯、鲁班奖要求；如因分包单位原因，施工质量未达到项目评优条件，承担相应责任。</w:t>
      </w:r>
    </w:p>
    <w:p w14:paraId="61FAEE07">
      <w:pPr>
        <w:pStyle w:val="2"/>
        <w:keepNext w:val="0"/>
        <w:keepLines w:val="0"/>
        <w:pageBreakBefore w:val="0"/>
        <w:widowControl/>
        <w:kinsoku w:val="0"/>
        <w:wordWrap/>
        <w:overflowPunct/>
        <w:topLinePunct w:val="0"/>
        <w:autoSpaceDE w:val="0"/>
        <w:autoSpaceDN w:val="0"/>
        <w:bidi w:val="0"/>
        <w:adjustRightInd w:val="0"/>
        <w:snapToGrid w:val="0"/>
        <w:spacing w:before="110" w:line="360" w:lineRule="auto"/>
        <w:ind w:left="20" w:firstLine="0"/>
        <w:textAlignment w:val="baseline"/>
        <w:outlineLvl w:val="1"/>
        <w:rPr>
          <w:rFonts w:hint="eastAsia" w:ascii="仿宋" w:hAnsi="仿宋" w:eastAsia="仿宋" w:cs="仿宋"/>
          <w:b/>
          <w:bCs/>
          <w:sz w:val="32"/>
          <w:szCs w:val="32"/>
        </w:rPr>
      </w:pPr>
      <w:r>
        <w:rPr>
          <w:rFonts w:hint="eastAsia" w:ascii="仿宋" w:hAnsi="仿宋" w:eastAsia="仿宋" w:cs="仿宋"/>
          <w:b/>
          <w:bCs/>
          <w:color w:val="221E1F"/>
          <w:spacing w:val="-4"/>
          <w:sz w:val="32"/>
          <w:szCs w:val="32"/>
          <w:lang w:eastAsia="zh-CN"/>
        </w:rPr>
        <w:t>　　</w:t>
      </w:r>
      <w:r>
        <w:rPr>
          <w:rFonts w:hint="eastAsia" w:ascii="仿宋" w:hAnsi="仿宋" w:eastAsia="仿宋" w:cs="仿宋"/>
          <w:b/>
          <w:bCs/>
          <w:color w:val="221E1F"/>
          <w:spacing w:val="-4"/>
          <w:sz w:val="32"/>
          <w:szCs w:val="32"/>
        </w:rPr>
        <w:t>3 供应商资格要求</w:t>
      </w:r>
    </w:p>
    <w:p w14:paraId="5252A7EB">
      <w:pPr>
        <w:pStyle w:val="2"/>
        <w:keepNext w:val="0"/>
        <w:keepLines w:val="0"/>
        <w:pageBreakBefore w:val="0"/>
        <w:widowControl/>
        <w:kinsoku w:val="0"/>
        <w:wordWrap/>
        <w:overflowPunct/>
        <w:topLinePunct w:val="0"/>
        <w:autoSpaceDE w:val="0"/>
        <w:autoSpaceDN w:val="0"/>
        <w:bidi w:val="0"/>
        <w:adjustRightInd w:val="0"/>
        <w:snapToGrid w:val="0"/>
        <w:spacing w:before="261" w:line="360" w:lineRule="auto"/>
        <w:ind w:left="4" w:firstLine="0"/>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3.1 供应商应依法设立且满足如下要求：</w:t>
      </w:r>
    </w:p>
    <w:p w14:paraId="17C4951F">
      <w:pPr>
        <w:pStyle w:val="2"/>
        <w:keepNext w:val="0"/>
        <w:keepLines w:val="0"/>
        <w:pageBreakBefore w:val="0"/>
        <w:widowControl/>
        <w:kinsoku w:val="0"/>
        <w:wordWrap/>
        <w:overflowPunct/>
        <w:topLinePunct w:val="0"/>
        <w:autoSpaceDE w:val="0"/>
        <w:autoSpaceDN w:val="0"/>
        <w:bidi w:val="0"/>
        <w:adjustRightInd w:val="0"/>
        <w:snapToGrid w:val="0"/>
        <w:spacing w:before="129" w:line="360" w:lineRule="auto"/>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（1）资质要求：</w:t>
      </w:r>
      <w:r>
        <w:rPr>
          <w:rFonts w:hint="eastAsia" w:ascii="仿宋" w:hAnsi="仿宋" w:eastAsia="仿宋" w:cs="仿宋"/>
          <w:color w:val="221E1F"/>
          <w:spacing w:val="-3"/>
          <w:sz w:val="32"/>
          <w:szCs w:val="32"/>
          <w:u w:val="single"/>
          <w:lang w:val="en-US" w:eastAsia="zh-CN"/>
        </w:rPr>
        <w:t xml:space="preserve">  投标人必须是具有独立法人资格,具备地基基础工程专业承包二级及以上资质，持有有效的安全生产许可证</w:t>
      </w:r>
    </w:p>
    <w:p w14:paraId="31430567">
      <w:pPr>
        <w:pStyle w:val="2"/>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仿宋" w:hAnsi="仿宋" w:eastAsia="仿宋" w:cs="仿宋"/>
          <w:color w:val="C00000"/>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（2）财务要求：</w:t>
      </w:r>
      <w:r>
        <w:rPr>
          <w:rFonts w:hint="eastAsia" w:ascii="仿宋" w:hAnsi="仿宋" w:eastAsia="仿宋" w:cs="仿宋"/>
          <w:color w:val="221E1F"/>
          <w:spacing w:val="-3"/>
          <w:sz w:val="32"/>
          <w:szCs w:val="32"/>
          <w:u w:val="single"/>
        </w:rPr>
        <w:t>提供近一年完税证明，无税收违法情形。</w:t>
      </w:r>
      <w:r>
        <w:rPr>
          <w:rFonts w:hint="eastAsia" w:ascii="仿宋" w:hAnsi="仿宋" w:eastAsia="仿宋" w:cs="仿宋"/>
          <w:color w:val="auto"/>
          <w:spacing w:val="-3"/>
          <w:sz w:val="32"/>
          <w:szCs w:val="32"/>
          <w:u w:val="single"/>
          <w:lang w:val="en-US" w:eastAsia="zh-CN"/>
        </w:rPr>
        <w:t>供应商需随报价文件提交电子税务局一般纳税人查询截图（清晰显示纳税人名称、统一社会信用代码、资格状态及查询日期）或税务局出具的一般纳税人认定文书（盖公章且在有效期内）</w:t>
      </w:r>
    </w:p>
    <w:p w14:paraId="3CEFBB9B">
      <w:pPr>
        <w:pStyle w:val="2"/>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（3）业绩要求：</w:t>
      </w:r>
      <w:r>
        <w:rPr>
          <w:rFonts w:hint="eastAsia" w:ascii="仿宋" w:hAnsi="仿宋" w:eastAsia="仿宋" w:cs="仿宋"/>
          <w:color w:val="221E1F"/>
          <w:spacing w:val="-3"/>
          <w:sz w:val="32"/>
          <w:szCs w:val="32"/>
          <w:u w:val="single"/>
          <w:lang w:val="en-US" w:eastAsia="zh-CN"/>
        </w:rPr>
        <w:t xml:space="preserve">  /  </w:t>
      </w:r>
    </w:p>
    <w:p w14:paraId="1ADCC86F">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221E1F"/>
          <w:spacing w:val="-3"/>
          <w:sz w:val="32"/>
          <w:szCs w:val="32"/>
          <w:u w:val="single"/>
          <w:lang w:val="en-US" w:eastAsia="zh-CN"/>
        </w:rPr>
      </w:pPr>
      <w:r>
        <w:rPr>
          <w:rFonts w:hint="eastAsia" w:ascii="仿宋" w:hAnsi="仿宋" w:eastAsia="仿宋" w:cs="仿宋"/>
          <w:color w:val="221E1F"/>
          <w:spacing w:val="-3"/>
          <w:sz w:val="32"/>
          <w:szCs w:val="32"/>
        </w:rPr>
        <w:t>（4）信誉要求：</w:t>
      </w:r>
      <w:r>
        <w:rPr>
          <w:rFonts w:hint="eastAsia" w:ascii="仿宋" w:hAnsi="仿宋" w:eastAsia="仿宋" w:cs="仿宋"/>
          <w:color w:val="221E1F"/>
          <w:spacing w:val="-3"/>
          <w:sz w:val="32"/>
          <w:szCs w:val="32"/>
          <w:u w:val="single"/>
          <w:lang w:val="en-US" w:eastAsia="zh-CN"/>
        </w:rPr>
        <w:t xml:space="preserve">  未被列入失信被执行人名单、建筑市场黑名单，近 3 年无重大行政处罚、重大合同违约及重大安全 / 质量事故记录 </w:t>
      </w:r>
    </w:p>
    <w:p w14:paraId="0A8969B5">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rPr>
        <w:t>（5）承担本项目的主要人员要求：</w:t>
      </w:r>
      <w:r>
        <w:rPr>
          <w:rFonts w:hint="eastAsia" w:ascii="仿宋" w:hAnsi="仿宋" w:eastAsia="仿宋" w:cs="仿宋"/>
          <w:color w:val="221E1F"/>
          <w:spacing w:val="-3"/>
          <w:sz w:val="32"/>
          <w:szCs w:val="32"/>
          <w:u w:val="single"/>
          <w:lang w:val="en-US" w:eastAsia="zh-CN"/>
        </w:rPr>
        <w:t xml:space="preserve">   /  </w:t>
      </w:r>
    </w:p>
    <w:p w14:paraId="443C542E">
      <w:pPr>
        <w:pStyle w:val="2"/>
        <w:keepNext w:val="0"/>
        <w:keepLines w:val="0"/>
        <w:pageBreakBefore w:val="0"/>
        <w:widowControl/>
        <w:kinsoku w:val="0"/>
        <w:wordWrap/>
        <w:overflowPunct/>
        <w:topLinePunct w:val="0"/>
        <w:autoSpaceDE w:val="0"/>
        <w:autoSpaceDN w:val="0"/>
        <w:bidi w:val="0"/>
        <w:adjustRightInd w:val="0"/>
        <w:snapToGrid w:val="0"/>
        <w:spacing w:before="132" w:line="360" w:lineRule="auto"/>
        <w:ind w:firstLine="628"/>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rPr>
        <w:t>（6）其他要求：</w:t>
      </w:r>
      <w:r>
        <w:rPr>
          <w:rFonts w:hint="eastAsia" w:ascii="Times New Roman" w:hAnsi="Times New Roman" w:eastAsia="仿宋" w:cs="Times New Roman"/>
          <w:color w:val="221E1F"/>
          <w:spacing w:val="-3"/>
          <w:kern w:val="2"/>
          <w:sz w:val="32"/>
          <w:szCs w:val="32"/>
          <w:u w:val="single"/>
          <w:lang w:val="en-US" w:eastAsia="zh-CN" w:bidi="ar-SA"/>
        </w:rPr>
        <w:t xml:space="preserve">① </w:t>
      </w:r>
      <w:r>
        <w:rPr>
          <w:rFonts w:hint="eastAsia" w:ascii="仿宋" w:hAnsi="仿宋" w:eastAsia="仿宋" w:cs="仿宋"/>
          <w:color w:val="221E1F"/>
          <w:spacing w:val="-3"/>
          <w:sz w:val="32"/>
          <w:szCs w:val="32"/>
          <w:u w:val="single"/>
          <w:lang w:val="en-US" w:eastAsia="zh-CN"/>
        </w:rPr>
        <w:t>投标人须现场进行实地踏勘考察；</w:t>
      </w:r>
      <w:r>
        <w:rPr>
          <w:rFonts w:hint="eastAsia" w:ascii="Times New Roman" w:hAnsi="Times New Roman" w:eastAsia="仿宋" w:cs="Times New Roman"/>
          <w:color w:val="221E1F"/>
          <w:spacing w:val="-3"/>
          <w:kern w:val="2"/>
          <w:sz w:val="32"/>
          <w:szCs w:val="32"/>
          <w:u w:val="single"/>
          <w:lang w:val="en-US" w:eastAsia="zh-CN" w:bidi="ar-SA"/>
        </w:rPr>
        <w:t xml:space="preserve">② </w:t>
      </w:r>
      <w:r>
        <w:rPr>
          <w:rFonts w:hint="eastAsia" w:ascii="仿宋" w:hAnsi="仿宋" w:eastAsia="仿宋" w:cs="仿宋"/>
          <w:color w:val="221E1F"/>
          <w:spacing w:val="-3"/>
          <w:sz w:val="32"/>
          <w:szCs w:val="32"/>
          <w:u w:val="single"/>
          <w:lang w:val="en-US" w:eastAsia="zh-CN"/>
        </w:rPr>
        <w:t>工程款支付前提为业主支付相应款项，在业主延迟支付发包人相应工程款时发包人对分包人可相应延迟支付；</w:t>
      </w:r>
      <w:r>
        <w:rPr>
          <w:rFonts w:hint="eastAsia" w:ascii="Times New Roman" w:hAnsi="Times New Roman" w:eastAsia="仿宋" w:cs="Times New Roman"/>
          <w:color w:val="221E1F"/>
          <w:spacing w:val="-3"/>
          <w:kern w:val="2"/>
          <w:sz w:val="32"/>
          <w:szCs w:val="32"/>
          <w:u w:val="single"/>
          <w:lang w:val="en-US" w:eastAsia="zh-CN" w:bidi="ar-SA"/>
        </w:rPr>
        <w:t xml:space="preserve">③ </w:t>
      </w:r>
      <w:r>
        <w:rPr>
          <w:rFonts w:hint="eastAsia" w:ascii="仿宋" w:hAnsi="仿宋" w:eastAsia="仿宋" w:cs="仿宋"/>
          <w:color w:val="221E1F"/>
          <w:spacing w:val="-3"/>
          <w:sz w:val="32"/>
          <w:szCs w:val="32"/>
          <w:u w:val="single"/>
          <w:lang w:val="en-US" w:eastAsia="zh-CN"/>
        </w:rPr>
        <w:t>分包人必须为其作业人员购买意外保险；</w:t>
      </w:r>
      <w:r>
        <w:rPr>
          <w:rFonts w:hint="eastAsia" w:ascii="Times New Roman" w:hAnsi="Times New Roman" w:eastAsia="仿宋" w:cs="Times New Roman"/>
          <w:color w:val="221E1F"/>
          <w:spacing w:val="-3"/>
          <w:kern w:val="2"/>
          <w:sz w:val="32"/>
          <w:szCs w:val="32"/>
          <w:u w:val="single"/>
          <w:lang w:val="en-US" w:eastAsia="zh-CN" w:bidi="ar-SA"/>
        </w:rPr>
        <w:t xml:space="preserve">④ </w:t>
      </w:r>
      <w:r>
        <w:rPr>
          <w:rFonts w:hint="eastAsia" w:ascii="仿宋" w:hAnsi="仿宋" w:eastAsia="仿宋" w:cs="仿宋"/>
          <w:color w:val="221E1F"/>
          <w:spacing w:val="-3"/>
          <w:sz w:val="32"/>
          <w:szCs w:val="32"/>
          <w:u w:val="single"/>
          <w:lang w:val="en-US" w:eastAsia="zh-CN"/>
        </w:rPr>
        <w:t>投标人应自行配备相应机械；</w:t>
      </w:r>
      <w:r>
        <w:rPr>
          <w:rFonts w:hint="eastAsia" w:ascii="Times New Roman" w:hAnsi="Times New Roman" w:eastAsia="仿宋" w:cs="Times New Roman"/>
          <w:color w:val="221E1F"/>
          <w:spacing w:val="-3"/>
          <w:kern w:val="2"/>
          <w:sz w:val="32"/>
          <w:szCs w:val="32"/>
          <w:u w:val="single"/>
          <w:lang w:val="en-US" w:eastAsia="zh-CN" w:bidi="ar-SA"/>
        </w:rPr>
        <w:t xml:space="preserve">⑤ </w:t>
      </w:r>
      <w:r>
        <w:rPr>
          <w:rFonts w:hint="eastAsia" w:ascii="仿宋" w:hAnsi="仿宋" w:eastAsia="仿宋" w:cs="仿宋"/>
          <w:color w:val="221E1F"/>
          <w:spacing w:val="-3"/>
          <w:sz w:val="32"/>
          <w:szCs w:val="32"/>
          <w:u w:val="single"/>
          <w:lang w:val="en-US" w:eastAsia="zh-CN"/>
        </w:rPr>
        <w:t>集成箱与走到箱涉及所有配电箱、电缆由投标人自行准备；</w:t>
      </w:r>
      <w:r>
        <w:rPr>
          <w:rFonts w:hint="eastAsia" w:ascii="Times New Roman" w:hAnsi="Times New Roman" w:eastAsia="仿宋" w:cs="Times New Roman"/>
          <w:color w:val="221E1F"/>
          <w:spacing w:val="-3"/>
          <w:kern w:val="2"/>
          <w:sz w:val="32"/>
          <w:szCs w:val="32"/>
          <w:u w:val="single"/>
          <w:lang w:val="en-US" w:eastAsia="zh-CN" w:bidi="ar-SA"/>
        </w:rPr>
        <w:t xml:space="preserve">⑥ </w:t>
      </w:r>
      <w:r>
        <w:rPr>
          <w:rFonts w:hint="eastAsia" w:ascii="仿宋" w:hAnsi="仿宋" w:eastAsia="仿宋" w:cs="仿宋"/>
          <w:color w:val="221E1F"/>
          <w:spacing w:val="-3"/>
          <w:sz w:val="32"/>
          <w:szCs w:val="32"/>
          <w:u w:val="single"/>
          <w:lang w:val="en-US" w:eastAsia="zh-CN"/>
        </w:rPr>
        <w:t>投标人因充分考虑施工期间由于天气、设计变更等因素导致的停工损失，在报价中综合考虑，招标人不再对其进行单列或签证。</w:t>
      </w:r>
      <w:r>
        <w:rPr>
          <w:rFonts w:hint="eastAsia" w:ascii="Times New Roman" w:hAnsi="Times New Roman" w:eastAsia="仿宋" w:cs="Times New Roman"/>
          <w:color w:val="221E1F"/>
          <w:spacing w:val="-3"/>
          <w:kern w:val="2"/>
          <w:sz w:val="32"/>
          <w:szCs w:val="32"/>
          <w:u w:val="single"/>
          <w:lang w:val="en-US" w:eastAsia="zh-CN" w:bidi="ar-SA"/>
        </w:rPr>
        <w:t xml:space="preserve">⑦ </w:t>
      </w:r>
      <w:r>
        <w:rPr>
          <w:rFonts w:hint="eastAsia" w:ascii="仿宋" w:hAnsi="仿宋" w:eastAsia="仿宋" w:cs="仿宋"/>
          <w:color w:val="221E1F"/>
          <w:spacing w:val="-3"/>
          <w:sz w:val="32"/>
          <w:szCs w:val="32"/>
          <w:u w:val="single"/>
          <w:lang w:val="en-US" w:eastAsia="zh-CN"/>
        </w:rPr>
        <w:t>投标人应在单价中综合考虑现场安全文明施工。</w:t>
      </w:r>
      <w:r>
        <w:rPr>
          <w:rFonts w:hint="eastAsia" w:ascii="Times New Roman" w:hAnsi="Times New Roman" w:eastAsia="仿宋" w:cs="Times New Roman"/>
          <w:color w:val="221E1F"/>
          <w:spacing w:val="-3"/>
          <w:kern w:val="2"/>
          <w:sz w:val="32"/>
          <w:szCs w:val="32"/>
          <w:u w:val="single"/>
          <w:lang w:val="en-US" w:eastAsia="zh-CN" w:bidi="ar-SA"/>
        </w:rPr>
        <w:t xml:space="preserve">⑧ </w:t>
      </w:r>
      <w:r>
        <w:rPr>
          <w:rFonts w:hint="eastAsia" w:ascii="仿宋" w:hAnsi="仿宋" w:eastAsia="仿宋" w:cs="仿宋"/>
          <w:color w:val="221E1F"/>
          <w:spacing w:val="-3"/>
          <w:sz w:val="32"/>
          <w:szCs w:val="32"/>
          <w:u w:val="single"/>
          <w:lang w:val="en-US" w:eastAsia="zh-CN"/>
        </w:rPr>
        <w:t>招标人项目部已建板房提供住宿，板房租赁费，投标人按照500元/月*间进行收取，生活区水电费按实收取；项目统一餐食管理，由第三方提供有偿服务，餐食标准待定。</w:t>
      </w:r>
      <w:r>
        <w:rPr>
          <w:rFonts w:hint="eastAsia" w:ascii="Times New Roman" w:hAnsi="Times New Roman" w:eastAsia="仿宋" w:cs="Times New Roman"/>
          <w:color w:val="221E1F"/>
          <w:spacing w:val="-3"/>
          <w:kern w:val="2"/>
          <w:sz w:val="32"/>
          <w:szCs w:val="32"/>
          <w:u w:val="single"/>
          <w:lang w:val="en-US" w:eastAsia="zh-CN" w:bidi="ar-SA"/>
        </w:rPr>
        <w:t xml:space="preserve">⑨ </w:t>
      </w:r>
      <w:r>
        <w:rPr>
          <w:rFonts w:hint="eastAsia" w:ascii="仿宋" w:hAnsi="仿宋" w:eastAsia="仿宋" w:cs="仿宋"/>
          <w:color w:val="221E1F"/>
          <w:spacing w:val="-3"/>
          <w:sz w:val="32"/>
          <w:szCs w:val="32"/>
          <w:u w:val="single"/>
          <w:lang w:val="en-US" w:eastAsia="zh-CN"/>
        </w:rPr>
        <w:t>招标范围为暂定，由于设计优化、图纸方案变更等原因造成合同内某一部分工作内容取消或减少的，按最终实际完成工程量结算，分包人不得以此向承包人提出单价调增或索赔。</w:t>
      </w:r>
      <w:r>
        <w:rPr>
          <w:rFonts w:hint="eastAsia" w:ascii="Times New Roman" w:hAnsi="Times New Roman" w:eastAsia="仿宋" w:cs="Times New Roman"/>
          <w:kern w:val="2"/>
          <w:sz w:val="32"/>
          <w:szCs w:val="32"/>
          <w:u w:val="single"/>
          <w:lang w:val="en-US" w:eastAsia="en-US" w:bidi="ar-SA"/>
        </w:rPr>
        <w:t>⑩</w:t>
      </w:r>
      <w:r>
        <w:rPr>
          <w:rFonts w:hint="eastAsia" w:ascii="Times New Roman" w:hAnsi="Times New Roman" w:eastAsia="仿宋" w:cs="Times New Roman"/>
          <w:kern w:val="2"/>
          <w:sz w:val="32"/>
          <w:szCs w:val="32"/>
          <w:u w:val="single"/>
          <w:lang w:val="en-US" w:eastAsia="zh-CN" w:bidi="ar-SA"/>
        </w:rPr>
        <w:t xml:space="preserve"> </w:t>
      </w:r>
      <w:r>
        <w:rPr>
          <w:rFonts w:hint="eastAsia" w:ascii="仿宋" w:hAnsi="仿宋" w:eastAsia="仿宋" w:cs="仿宋"/>
          <w:color w:val="221E1F"/>
          <w:spacing w:val="-3"/>
          <w:sz w:val="32"/>
          <w:szCs w:val="32"/>
          <w:u w:val="single"/>
          <w:lang w:val="en-US" w:eastAsia="zh-CN"/>
        </w:rPr>
        <w:t>以上要求报价人需完全响应，如不响应则报价无效。</w:t>
      </w:r>
    </w:p>
    <w:p w14:paraId="60FE1ECB">
      <w:pPr>
        <w:pStyle w:val="2"/>
        <w:keepNext w:val="0"/>
        <w:keepLines w:val="0"/>
        <w:pageBreakBefore w:val="0"/>
        <w:widowControl/>
        <w:kinsoku w:val="0"/>
        <w:wordWrap/>
        <w:overflowPunct/>
        <w:topLinePunct w:val="0"/>
        <w:autoSpaceDE w:val="0"/>
        <w:autoSpaceDN w:val="0"/>
        <w:bidi w:val="0"/>
        <w:adjustRightInd w:val="0"/>
        <w:snapToGrid w:val="0"/>
        <w:spacing w:before="217" w:line="360" w:lineRule="auto"/>
        <w:ind w:left="4" w:firstLine="0"/>
        <w:textAlignment w:val="baseline"/>
        <w:rPr>
          <w:rFonts w:hint="eastAsia" w:ascii="仿宋" w:hAnsi="仿宋" w:eastAsia="仿宋" w:cs="仿宋"/>
          <w:sz w:val="32"/>
          <w:szCs w:val="32"/>
          <w:lang w:val="en-US" w:eastAsia="zh-CN"/>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3.2 供应商不得存在下列情形之一：</w:t>
      </w:r>
    </w:p>
    <w:p w14:paraId="12680E23">
      <w:pPr>
        <w:pStyle w:val="2"/>
        <w:keepNext w:val="0"/>
        <w:keepLines w:val="0"/>
        <w:pageBreakBefore w:val="0"/>
        <w:widowControl/>
        <w:kinsoku w:val="0"/>
        <w:wordWrap/>
        <w:overflowPunct/>
        <w:topLinePunct w:val="0"/>
        <w:autoSpaceDE w:val="0"/>
        <w:autoSpaceDN w:val="0"/>
        <w:bidi w:val="0"/>
        <w:adjustRightInd w:val="0"/>
        <w:snapToGrid w:val="0"/>
        <w:spacing w:before="176" w:line="360" w:lineRule="auto"/>
        <w:ind w:right="112"/>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（1）处于被责令停产停业、暂扣或者吊销执照、暂扣或者吊销许可证、吊销资质证</w:t>
      </w:r>
      <w:r>
        <w:rPr>
          <w:rFonts w:hint="eastAsia" w:ascii="仿宋" w:hAnsi="仿宋" w:eastAsia="仿宋" w:cs="仿宋"/>
          <w:color w:val="221E1F"/>
          <w:spacing w:val="-4"/>
          <w:sz w:val="32"/>
          <w:szCs w:val="32"/>
        </w:rPr>
        <w:t>书状态；</w:t>
      </w:r>
    </w:p>
    <w:p w14:paraId="1FB42A2B">
      <w:pPr>
        <w:pStyle w:val="2"/>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（2）进入清算程序，或被宣告破产，或其他丧失履约能力的情形；</w:t>
      </w:r>
    </w:p>
    <w:p w14:paraId="094D6AEB">
      <w:pPr>
        <w:pStyle w:val="2"/>
        <w:keepNext w:val="0"/>
        <w:keepLines w:val="0"/>
        <w:pageBreakBefore w:val="0"/>
        <w:widowControl/>
        <w:kinsoku w:val="0"/>
        <w:wordWrap/>
        <w:overflowPunct/>
        <w:topLinePunct w:val="0"/>
        <w:autoSpaceDE w:val="0"/>
        <w:autoSpaceDN w:val="0"/>
        <w:bidi w:val="0"/>
        <w:adjustRightInd w:val="0"/>
        <w:snapToGrid w:val="0"/>
        <w:spacing w:before="131" w:line="360" w:lineRule="auto"/>
        <w:textAlignment w:val="baseline"/>
        <w:rPr>
          <w:rFonts w:hint="eastAsia" w:ascii="仿宋" w:hAnsi="仿宋" w:eastAsia="仿宋" w:cs="仿宋"/>
          <w:color w:val="221E1F"/>
          <w:spacing w:val="-3"/>
          <w:sz w:val="32"/>
          <w:szCs w:val="32"/>
          <w:u w:val="single"/>
          <w:lang w:val="en-US" w:eastAsia="zh-CN"/>
        </w:rPr>
      </w:pPr>
      <w:r>
        <w:rPr>
          <w:rFonts w:hint="eastAsia" w:ascii="仿宋" w:hAnsi="仿宋" w:eastAsia="仿宋" w:cs="仿宋"/>
          <w:color w:val="221E1F"/>
          <w:spacing w:val="-4"/>
          <w:sz w:val="32"/>
          <w:szCs w:val="32"/>
          <w:lang w:eastAsia="zh-CN"/>
        </w:rPr>
        <w:t>　　</w:t>
      </w:r>
      <w:r>
        <w:rPr>
          <w:rFonts w:hint="eastAsia" w:ascii="仿宋" w:hAnsi="仿宋" w:eastAsia="仿宋" w:cs="仿宋"/>
          <w:color w:val="221E1F"/>
          <w:spacing w:val="-4"/>
          <w:sz w:val="32"/>
          <w:szCs w:val="32"/>
        </w:rPr>
        <w:t>（3）其他：</w:t>
      </w:r>
      <w:r>
        <w:rPr>
          <w:rFonts w:hint="eastAsia" w:ascii="仿宋" w:hAnsi="仿宋" w:eastAsia="仿宋" w:cs="仿宋"/>
          <w:color w:val="221E1F"/>
          <w:spacing w:val="-3"/>
          <w:sz w:val="32"/>
          <w:szCs w:val="32"/>
          <w:u w:val="single"/>
          <w:lang w:val="en-US" w:eastAsia="zh-CN"/>
        </w:rPr>
        <w:t xml:space="preserve"> ① 被各级行政主管部门列入建筑市场主体黑名单、失信被执行人名单或限制投标名单（查询日期为询价公告发布之日起至响应截止日）；② 近 3 年（自响应文件提交之日起往前推算）发生过重大安全事故、重大质量事故，或因违法违规经营被相关部门行政处罚且情节严重；③ 项目经理或主要技术负责人存在在建项目未竣工（提供虚假无在建承诺的）；④ 存在转包、违法分包过往项目的不良记录；⑤ 提供的资质、业绩、人员等证明材料存在伪造、弄虚作假情形；⑥ 与询价方存在利害关系可能影响询价公正性的；⑦ 法律法规及行业主管部门规定的其他禁止参与投标 / 响应的情形。</w:t>
      </w:r>
    </w:p>
    <w:p w14:paraId="09D50921">
      <w:pPr>
        <w:pStyle w:val="2"/>
        <w:keepNext w:val="0"/>
        <w:keepLines w:val="0"/>
        <w:pageBreakBefore w:val="0"/>
        <w:widowControl/>
        <w:kinsoku w:val="0"/>
        <w:wordWrap/>
        <w:overflowPunct/>
        <w:topLinePunct w:val="0"/>
        <w:autoSpaceDE w:val="0"/>
        <w:autoSpaceDN w:val="0"/>
        <w:bidi w:val="0"/>
        <w:adjustRightInd w:val="0"/>
        <w:snapToGrid w:val="0"/>
        <w:spacing w:before="217" w:line="360" w:lineRule="auto"/>
        <w:ind w:left="4" w:firstLine="0"/>
        <w:textAlignment w:val="baseline"/>
        <w:rPr>
          <w:rFonts w:hint="default" w:ascii="仿宋" w:hAnsi="仿宋" w:eastAsia="仿宋" w:cs="仿宋"/>
          <w:sz w:val="32"/>
          <w:szCs w:val="32"/>
          <w:lang w:val="en-US" w:eastAsia="zh-CN"/>
        </w:rPr>
      </w:pPr>
      <w:r>
        <w:rPr>
          <w:rFonts w:hint="eastAsia" w:ascii="仿宋" w:hAnsi="仿宋" w:eastAsia="仿宋" w:cs="仿宋"/>
          <w:color w:val="221E1F"/>
          <w:sz w:val="32"/>
          <w:szCs w:val="32"/>
          <w:lang w:eastAsia="zh-CN"/>
        </w:rPr>
        <w:t>　　</w:t>
      </w:r>
      <w:r>
        <w:rPr>
          <w:rFonts w:hint="eastAsia" w:ascii="仿宋" w:hAnsi="仿宋" w:eastAsia="仿宋" w:cs="仿宋"/>
          <w:color w:val="221E1F"/>
          <w:sz w:val="32"/>
          <w:szCs w:val="32"/>
        </w:rPr>
        <w:t>3.3 本次采购</w:t>
      </w:r>
      <w:r>
        <w:rPr>
          <w:rFonts w:hint="eastAsia" w:ascii="仿宋" w:hAnsi="仿宋" w:eastAsia="仿宋" w:cs="仿宋"/>
          <w:color w:val="221E1F"/>
          <w:sz w:val="32"/>
          <w:szCs w:val="32"/>
          <w:u w:val="single"/>
        </w:rPr>
        <w:t xml:space="preserve"> </w:t>
      </w:r>
      <w:r>
        <w:rPr>
          <w:rFonts w:hint="eastAsia" w:ascii="仿宋" w:hAnsi="仿宋" w:eastAsia="仿宋" w:cs="仿宋"/>
          <w:color w:val="221E1F"/>
          <w:sz w:val="32"/>
          <w:szCs w:val="32"/>
          <w:u w:val="single"/>
          <w:lang w:val="en-US" w:eastAsia="zh-CN"/>
        </w:rPr>
        <w:t xml:space="preserve"> 不</w:t>
      </w:r>
      <w:r>
        <w:rPr>
          <w:rFonts w:hint="eastAsia" w:ascii="仿宋" w:hAnsi="仿宋" w:eastAsia="仿宋" w:cs="仿宋"/>
          <w:color w:val="221E1F"/>
          <w:sz w:val="32"/>
          <w:szCs w:val="32"/>
          <w:u w:val="single"/>
        </w:rPr>
        <w:t xml:space="preserve">接受 </w:t>
      </w:r>
      <w:r>
        <w:rPr>
          <w:rFonts w:hint="eastAsia" w:ascii="仿宋" w:hAnsi="仿宋" w:eastAsia="仿宋" w:cs="仿宋"/>
          <w:color w:val="221E1F"/>
          <w:spacing w:val="-1"/>
          <w:sz w:val="32"/>
          <w:szCs w:val="32"/>
          <w:u w:val="single"/>
        </w:rPr>
        <w:t xml:space="preserve"> </w:t>
      </w:r>
      <w:r>
        <w:rPr>
          <w:rFonts w:hint="eastAsia" w:ascii="仿宋" w:hAnsi="仿宋" w:eastAsia="仿宋" w:cs="仿宋"/>
          <w:color w:val="221E1F"/>
          <w:spacing w:val="-1"/>
          <w:sz w:val="32"/>
          <w:szCs w:val="32"/>
        </w:rPr>
        <w:t>（接受或不接受）联合体。</w:t>
      </w:r>
      <w:r>
        <w:rPr>
          <w:rFonts w:hint="eastAsia" w:ascii="仿宋" w:hAnsi="仿宋" w:eastAsia="仿宋" w:cs="仿宋"/>
          <w:color w:val="221E1F"/>
          <w:spacing w:val="-1"/>
          <w:sz w:val="32"/>
          <w:szCs w:val="32"/>
          <w:lang w:val="en-US" w:eastAsia="zh-CN"/>
        </w:rPr>
        <w:t xml:space="preserve">                                                                                                                                                                                                                                                                                                                                                                                                                                                                                                                     </w:t>
      </w:r>
    </w:p>
    <w:p w14:paraId="06263966">
      <w:pPr>
        <w:pStyle w:val="2"/>
        <w:keepNext w:val="0"/>
        <w:keepLines w:val="0"/>
        <w:pageBreakBefore w:val="0"/>
        <w:widowControl/>
        <w:kinsoku w:val="0"/>
        <w:wordWrap/>
        <w:overflowPunct/>
        <w:topLinePunct w:val="0"/>
        <w:autoSpaceDE w:val="0"/>
        <w:autoSpaceDN w:val="0"/>
        <w:bidi w:val="0"/>
        <w:adjustRightInd w:val="0"/>
        <w:snapToGrid w:val="0"/>
        <w:spacing w:before="176" w:line="360" w:lineRule="auto"/>
        <w:ind w:right="232"/>
        <w:textAlignment w:val="baseline"/>
        <w:rPr>
          <w:rFonts w:hint="eastAsia" w:ascii="仿宋" w:hAnsi="仿宋" w:eastAsia="仿宋" w:cs="仿宋"/>
          <w:sz w:val="32"/>
          <w:szCs w:val="32"/>
        </w:rPr>
      </w:pPr>
      <w:r>
        <w:rPr>
          <w:rFonts w:hint="eastAsia" w:ascii="仿宋" w:hAnsi="仿宋" w:eastAsia="仿宋" w:cs="仿宋"/>
          <w:color w:val="221E1F"/>
          <w:sz w:val="32"/>
          <w:szCs w:val="32"/>
          <w:lang w:eastAsia="zh-CN"/>
        </w:rPr>
        <w:t>　　</w:t>
      </w:r>
      <w:r>
        <w:rPr>
          <w:rFonts w:hint="eastAsia" w:ascii="仿宋" w:hAnsi="仿宋" w:eastAsia="仿宋" w:cs="仿宋"/>
          <w:color w:val="221E1F"/>
          <w:sz w:val="32"/>
          <w:szCs w:val="32"/>
        </w:rPr>
        <w:t>联合体参加询比采购活动的，联合体应满足本条第3.1</w:t>
      </w:r>
      <w:r>
        <w:rPr>
          <w:rFonts w:hint="eastAsia" w:ascii="仿宋" w:hAnsi="仿宋" w:eastAsia="仿宋" w:cs="仿宋"/>
          <w:color w:val="221E1F"/>
          <w:spacing w:val="-1"/>
          <w:sz w:val="32"/>
          <w:szCs w:val="32"/>
        </w:rPr>
        <w:t>款规定的要求，且联合体各</w:t>
      </w:r>
      <w:r>
        <w:rPr>
          <w:rFonts w:hint="eastAsia" w:ascii="仿宋" w:hAnsi="仿宋" w:eastAsia="仿宋" w:cs="仿宋"/>
          <w:color w:val="221E1F"/>
          <w:sz w:val="32"/>
          <w:szCs w:val="32"/>
        </w:rPr>
        <w:t>方均不得存在本条第3.2款规定的情形。此外，联合体</w:t>
      </w:r>
      <w:r>
        <w:rPr>
          <w:rFonts w:hint="eastAsia" w:ascii="仿宋" w:hAnsi="仿宋" w:eastAsia="仿宋" w:cs="仿宋"/>
          <w:color w:val="221E1F"/>
          <w:spacing w:val="-1"/>
          <w:sz w:val="32"/>
          <w:szCs w:val="32"/>
        </w:rPr>
        <w:t>各方应分别满足如下条件：</w:t>
      </w:r>
      <w:r>
        <w:rPr>
          <w:rFonts w:hint="eastAsia" w:ascii="仿宋" w:hAnsi="仿宋" w:eastAsia="仿宋" w:cs="仿宋"/>
          <w:color w:val="221E1F"/>
          <w:spacing w:val="-3"/>
          <w:sz w:val="32"/>
          <w:szCs w:val="32"/>
          <w:u w:val="single"/>
          <w:lang w:val="en-US" w:eastAsia="zh-CN"/>
        </w:rPr>
        <w:t xml:space="preserve">  / </w:t>
      </w:r>
    </w:p>
    <w:p w14:paraId="75E2A794">
      <w:pPr>
        <w:pStyle w:val="2"/>
        <w:keepNext w:val="0"/>
        <w:keepLines w:val="0"/>
        <w:pageBreakBefore w:val="0"/>
        <w:widowControl/>
        <w:kinsoku w:val="0"/>
        <w:wordWrap/>
        <w:overflowPunct/>
        <w:topLinePunct w:val="0"/>
        <w:autoSpaceDE w:val="0"/>
        <w:autoSpaceDN w:val="0"/>
        <w:bidi w:val="0"/>
        <w:adjustRightInd w:val="0"/>
        <w:snapToGrid w:val="0"/>
        <w:spacing w:before="79" w:line="360" w:lineRule="auto"/>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联合体的资格认定标准如下：</w:t>
      </w:r>
      <w:r>
        <w:rPr>
          <w:rFonts w:hint="eastAsia" w:ascii="仿宋" w:hAnsi="仿宋" w:eastAsia="仿宋" w:cs="仿宋"/>
          <w:color w:val="221E1F"/>
          <w:spacing w:val="-3"/>
          <w:sz w:val="32"/>
          <w:szCs w:val="32"/>
          <w:u w:val="single"/>
          <w:lang w:val="en-US" w:eastAsia="zh-CN"/>
        </w:rPr>
        <w:t xml:space="preserve">  /  </w:t>
      </w:r>
    </w:p>
    <w:p w14:paraId="4443BFAA">
      <w:pPr>
        <w:pStyle w:val="2"/>
        <w:keepNext w:val="0"/>
        <w:keepLines w:val="0"/>
        <w:pageBreakBefore w:val="0"/>
        <w:widowControl/>
        <w:kinsoku w:val="0"/>
        <w:wordWrap/>
        <w:overflowPunct/>
        <w:topLinePunct w:val="0"/>
        <w:autoSpaceDE w:val="0"/>
        <w:autoSpaceDN w:val="0"/>
        <w:bidi w:val="0"/>
        <w:adjustRightInd w:val="0"/>
        <w:snapToGrid w:val="0"/>
        <w:spacing w:before="180" w:line="360" w:lineRule="auto"/>
        <w:ind w:right="192" w:firstLine="0"/>
        <w:textAlignment w:val="baseline"/>
        <w:rPr>
          <w:rFonts w:hint="eastAsia" w:ascii="仿宋" w:hAnsi="仿宋" w:eastAsia="仿宋" w:cs="仿宋"/>
          <w:color w:val="221E1F"/>
          <w:sz w:val="28"/>
          <w:szCs w:val="28"/>
        </w:rPr>
      </w:pPr>
      <w:r>
        <w:rPr>
          <w:rFonts w:hint="eastAsia" w:ascii="仿宋" w:hAnsi="仿宋" w:eastAsia="仿宋" w:cs="仿宋"/>
          <w:color w:val="221E1F"/>
          <w:sz w:val="28"/>
          <w:szCs w:val="28"/>
        </w:rPr>
        <w:t>（注：此部分应明确由同一专业或不同专业组成的联合体中各专业的资质、财务、业绩、信誉、主要人员等的认定方法，以最终认定联合体的资格。）</w:t>
      </w:r>
    </w:p>
    <w:p w14:paraId="696FB50E">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232"/>
        <w:textAlignment w:val="baseline"/>
        <w:rPr>
          <w:rFonts w:hint="eastAsia" w:ascii="仿宋" w:hAnsi="仿宋" w:eastAsia="仿宋" w:cs="仿宋"/>
          <w:color w:val="221E1F"/>
          <w:spacing w:val="-1"/>
          <w:sz w:val="32"/>
          <w:szCs w:val="32"/>
        </w:rPr>
      </w:pPr>
      <w:r>
        <w:rPr>
          <w:rFonts w:hint="eastAsia" w:ascii="仿宋" w:hAnsi="仿宋" w:eastAsia="仿宋" w:cs="仿宋"/>
          <w:color w:val="221E1F"/>
          <w:sz w:val="32"/>
          <w:szCs w:val="32"/>
          <w:lang w:eastAsia="zh-CN"/>
        </w:rPr>
        <w:t>　　</w:t>
      </w:r>
      <w:r>
        <w:rPr>
          <w:rFonts w:hint="eastAsia" w:ascii="仿宋" w:hAnsi="仿宋" w:eastAsia="仿宋" w:cs="仿宋"/>
          <w:color w:val="221E1F"/>
          <w:sz w:val="32"/>
          <w:szCs w:val="32"/>
        </w:rPr>
        <w:t>联合体应递交联合体协议书，且联合体各方不得再以自己名义单独或参加其他联合体参与本询比采购项目，否则相关</w:t>
      </w:r>
      <w:r>
        <w:rPr>
          <w:rFonts w:hint="eastAsia" w:ascii="仿宋" w:hAnsi="仿宋" w:eastAsia="仿宋" w:cs="仿宋"/>
          <w:color w:val="221E1F"/>
          <w:sz w:val="32"/>
          <w:szCs w:val="32"/>
          <w:lang w:eastAsia="zh-CN"/>
        </w:rPr>
        <w:t>响应文件</w:t>
      </w:r>
      <w:r>
        <w:rPr>
          <w:rFonts w:hint="eastAsia" w:ascii="仿宋" w:hAnsi="仿宋" w:eastAsia="仿宋" w:cs="仿宋"/>
          <w:color w:val="221E1F"/>
          <w:spacing w:val="-1"/>
          <w:sz w:val="32"/>
          <w:szCs w:val="32"/>
        </w:rPr>
        <w:t>均无效。</w:t>
      </w:r>
    </w:p>
    <w:p w14:paraId="5275593E">
      <w:pPr>
        <w:pStyle w:val="2"/>
        <w:keepNext w:val="0"/>
        <w:keepLines w:val="0"/>
        <w:pageBreakBefore w:val="0"/>
        <w:widowControl/>
        <w:kinsoku w:val="0"/>
        <w:wordWrap/>
        <w:overflowPunct/>
        <w:topLinePunct w:val="0"/>
        <w:autoSpaceDE w:val="0"/>
        <w:autoSpaceDN w:val="0"/>
        <w:bidi w:val="0"/>
        <w:adjustRightInd w:val="0"/>
        <w:snapToGrid w:val="0"/>
        <w:spacing w:before="343" w:line="360" w:lineRule="auto"/>
        <w:ind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7"/>
          <w:sz w:val="32"/>
          <w:szCs w:val="32"/>
          <w:lang w:eastAsia="zh-CN"/>
        </w:rPr>
        <w:t>　　</w:t>
      </w:r>
      <w:r>
        <w:rPr>
          <w:rFonts w:hint="eastAsia" w:ascii="仿宋" w:hAnsi="仿宋" w:eastAsia="仿宋" w:cs="仿宋"/>
          <w:b/>
          <w:bCs/>
          <w:color w:val="221E1F"/>
          <w:spacing w:val="-7"/>
          <w:sz w:val="32"/>
          <w:szCs w:val="32"/>
          <w:lang w:val="en-US" w:eastAsia="zh-CN"/>
        </w:rPr>
        <w:t>4</w:t>
      </w:r>
      <w:r>
        <w:rPr>
          <w:rFonts w:hint="eastAsia" w:ascii="仿宋" w:hAnsi="仿宋" w:eastAsia="仿宋" w:cs="仿宋"/>
          <w:b/>
          <w:bCs/>
          <w:color w:val="221E1F"/>
          <w:spacing w:val="25"/>
          <w:sz w:val="32"/>
          <w:szCs w:val="32"/>
        </w:rPr>
        <w:t xml:space="preserve"> </w:t>
      </w:r>
      <w:r>
        <w:rPr>
          <w:rFonts w:hint="eastAsia" w:ascii="仿宋" w:hAnsi="仿宋" w:eastAsia="仿宋" w:cs="仿宋"/>
          <w:b/>
          <w:bCs/>
          <w:color w:val="221E1F"/>
          <w:spacing w:val="-7"/>
          <w:sz w:val="32"/>
          <w:szCs w:val="32"/>
          <w:lang w:eastAsia="zh-CN"/>
        </w:rPr>
        <w:t>响应文件</w:t>
      </w:r>
      <w:r>
        <w:rPr>
          <w:rFonts w:hint="eastAsia" w:ascii="仿宋" w:hAnsi="仿宋" w:eastAsia="仿宋" w:cs="仿宋"/>
          <w:b/>
          <w:bCs/>
          <w:color w:val="221E1F"/>
          <w:spacing w:val="-7"/>
          <w:sz w:val="32"/>
          <w:szCs w:val="32"/>
        </w:rPr>
        <w:t>的递交</w:t>
      </w:r>
    </w:p>
    <w:p w14:paraId="27AA943A">
      <w:pPr>
        <w:pStyle w:val="2"/>
        <w:keepNext w:val="0"/>
        <w:keepLines w:val="0"/>
        <w:pageBreakBefore w:val="0"/>
        <w:widowControl/>
        <w:kinsoku w:val="0"/>
        <w:wordWrap/>
        <w:overflowPunct/>
        <w:topLinePunct w:val="0"/>
        <w:autoSpaceDE w:val="0"/>
        <w:autoSpaceDN w:val="0"/>
        <w:bidi w:val="0"/>
        <w:adjustRightInd w:val="0"/>
        <w:snapToGrid w:val="0"/>
        <w:spacing w:before="259" w:line="360" w:lineRule="auto"/>
        <w:ind w:firstLine="624"/>
        <w:textAlignment w:val="baseline"/>
        <w:rPr>
          <w:rFonts w:hint="eastAsia" w:ascii="仿宋" w:hAnsi="仿宋" w:eastAsia="仿宋" w:cs="仿宋"/>
          <w:sz w:val="32"/>
          <w:szCs w:val="32"/>
          <w:lang w:eastAsia="zh-CN"/>
        </w:rPr>
      </w:pPr>
      <w:r>
        <w:rPr>
          <w:rFonts w:hint="eastAsia" w:ascii="仿宋" w:hAnsi="仿宋" w:eastAsia="仿宋" w:cs="仿宋"/>
          <w:color w:val="221E1F"/>
          <w:spacing w:val="-4"/>
          <w:sz w:val="32"/>
          <w:szCs w:val="32"/>
          <w:lang w:val="en-US" w:eastAsia="zh-CN"/>
        </w:rPr>
        <w:t>4</w:t>
      </w:r>
      <w:r>
        <w:rPr>
          <w:rFonts w:hint="eastAsia" w:ascii="仿宋" w:hAnsi="仿宋" w:eastAsia="仿宋" w:cs="仿宋"/>
          <w:color w:val="221E1F"/>
          <w:spacing w:val="-4"/>
          <w:sz w:val="32"/>
          <w:szCs w:val="32"/>
        </w:rPr>
        <w:t xml:space="preserve">.1 </w:t>
      </w:r>
      <w:r>
        <w:rPr>
          <w:rFonts w:hint="eastAsia" w:ascii="仿宋" w:hAnsi="仿宋" w:eastAsia="仿宋" w:cs="仿宋"/>
          <w:color w:val="221E1F"/>
          <w:spacing w:val="-4"/>
          <w:sz w:val="32"/>
          <w:szCs w:val="32"/>
          <w:lang w:eastAsia="zh-CN"/>
        </w:rPr>
        <w:t>响应文件</w:t>
      </w:r>
      <w:r>
        <w:rPr>
          <w:rFonts w:hint="eastAsia" w:ascii="仿宋" w:hAnsi="仿宋" w:eastAsia="仿宋" w:cs="仿宋"/>
          <w:color w:val="221E1F"/>
          <w:spacing w:val="-4"/>
          <w:sz w:val="32"/>
          <w:szCs w:val="32"/>
        </w:rPr>
        <w:t>递交的截止时间</w:t>
      </w:r>
      <w:r>
        <w:rPr>
          <w:rFonts w:hint="eastAsia" w:ascii="仿宋" w:hAnsi="仿宋" w:eastAsia="仿宋" w:cs="仿宋"/>
          <w:color w:val="auto"/>
          <w:spacing w:val="-4"/>
          <w:sz w:val="32"/>
          <w:szCs w:val="32"/>
        </w:rPr>
        <w:t>：</w:t>
      </w:r>
      <w:r>
        <w:rPr>
          <w:rFonts w:hint="eastAsia" w:ascii="仿宋" w:hAnsi="仿宋" w:eastAsia="仿宋" w:cs="仿宋"/>
          <w:color w:val="auto"/>
          <w:spacing w:val="-4"/>
          <w:sz w:val="32"/>
          <w:szCs w:val="32"/>
          <w:lang w:val="en-US" w:eastAsia="zh-CN"/>
        </w:rPr>
        <w:t>2026</w:t>
      </w:r>
      <w:r>
        <w:rPr>
          <w:rFonts w:hint="eastAsia" w:ascii="仿宋" w:hAnsi="仿宋" w:eastAsia="仿宋" w:cs="仿宋"/>
          <w:color w:val="auto"/>
          <w:spacing w:val="-4"/>
          <w:sz w:val="32"/>
          <w:szCs w:val="32"/>
        </w:rPr>
        <w:t>年</w:t>
      </w:r>
      <w:r>
        <w:rPr>
          <w:rFonts w:hint="eastAsia" w:ascii="仿宋" w:hAnsi="仿宋" w:eastAsia="仿宋" w:cs="仿宋"/>
          <w:color w:val="auto"/>
          <w:spacing w:val="-4"/>
          <w:sz w:val="32"/>
          <w:szCs w:val="32"/>
          <w:lang w:val="en-US" w:eastAsia="zh-CN"/>
        </w:rPr>
        <w:t xml:space="preserve"> 1 </w:t>
      </w:r>
      <w:r>
        <w:rPr>
          <w:rFonts w:hint="eastAsia" w:ascii="仿宋" w:hAnsi="仿宋" w:eastAsia="仿宋" w:cs="仿宋"/>
          <w:color w:val="auto"/>
          <w:spacing w:val="-4"/>
          <w:sz w:val="32"/>
          <w:szCs w:val="32"/>
        </w:rPr>
        <w:t>月</w:t>
      </w:r>
      <w:r>
        <w:rPr>
          <w:rFonts w:hint="eastAsia" w:ascii="仿宋" w:hAnsi="仿宋" w:eastAsia="仿宋" w:cs="仿宋"/>
          <w:color w:val="auto"/>
          <w:spacing w:val="-4"/>
          <w:sz w:val="32"/>
          <w:szCs w:val="32"/>
          <w:lang w:val="en-US" w:eastAsia="zh-CN"/>
        </w:rPr>
        <w:t xml:space="preserve"> 19 </w:t>
      </w:r>
      <w:r>
        <w:rPr>
          <w:rFonts w:hint="eastAsia" w:ascii="仿宋" w:hAnsi="仿宋" w:eastAsia="仿宋" w:cs="仿宋"/>
          <w:color w:val="auto"/>
          <w:spacing w:val="-4"/>
          <w:sz w:val="32"/>
          <w:szCs w:val="32"/>
        </w:rPr>
        <w:t>日</w:t>
      </w:r>
      <w:r>
        <w:rPr>
          <w:rFonts w:hint="eastAsia" w:ascii="仿宋" w:hAnsi="仿宋" w:eastAsia="仿宋" w:cs="仿宋"/>
          <w:color w:val="auto"/>
          <w:spacing w:val="-4"/>
          <w:sz w:val="32"/>
          <w:szCs w:val="32"/>
          <w:lang w:val="en-US" w:eastAsia="zh-CN"/>
        </w:rPr>
        <w:t xml:space="preserve"> 15:30</w:t>
      </w:r>
      <w:r>
        <w:rPr>
          <w:rFonts w:hint="eastAsia" w:ascii="仿宋" w:hAnsi="仿宋" w:eastAsia="仿宋" w:cs="仿宋"/>
          <w:color w:val="221E1F"/>
          <w:spacing w:val="-4"/>
          <w:sz w:val="32"/>
          <w:szCs w:val="32"/>
        </w:rPr>
        <w:t>。</w:t>
      </w:r>
      <w:r>
        <w:rPr>
          <w:rFonts w:hint="eastAsia" w:ascii="仿宋" w:hAnsi="仿宋" w:eastAsia="仿宋" w:cs="仿宋"/>
          <w:color w:val="221E1F"/>
          <w:spacing w:val="-4"/>
          <w:sz w:val="32"/>
          <w:szCs w:val="32"/>
          <w:lang w:eastAsia="zh-CN"/>
        </w:rPr>
        <w:t>各单位</w:t>
      </w:r>
      <w:r>
        <w:rPr>
          <w:rFonts w:hint="eastAsia" w:ascii="仿宋" w:hAnsi="仿宋" w:eastAsia="仿宋" w:cs="仿宋"/>
          <w:color w:val="221E1F"/>
          <w:spacing w:val="-4"/>
          <w:sz w:val="32"/>
          <w:szCs w:val="32"/>
        </w:rPr>
        <w:t>应在</w:t>
      </w:r>
      <w:r>
        <w:rPr>
          <w:rFonts w:hint="eastAsia" w:ascii="仿宋" w:hAnsi="仿宋" w:eastAsia="仿宋" w:cs="仿宋"/>
          <w:color w:val="221E1F"/>
          <w:spacing w:val="-4"/>
          <w:sz w:val="32"/>
          <w:szCs w:val="32"/>
          <w:lang w:eastAsia="zh-CN"/>
        </w:rPr>
        <w:t>中机国际电子采购平台</w:t>
      </w:r>
      <w:bookmarkStart w:id="0" w:name="_GoBack"/>
      <w:bookmarkEnd w:id="0"/>
      <w:r>
        <w:rPr>
          <w:rFonts w:hint="eastAsia" w:ascii="仿宋" w:hAnsi="仿宋" w:eastAsia="仿宋" w:cs="仿宋"/>
          <w:color w:val="221E1F"/>
          <w:spacing w:val="-4"/>
          <w:sz w:val="32"/>
          <w:szCs w:val="32"/>
          <w:lang w:eastAsia="zh-CN"/>
        </w:rPr>
        <w:t>上传</w:t>
      </w:r>
      <w:r>
        <w:rPr>
          <w:rFonts w:hint="eastAsia" w:ascii="仿宋" w:hAnsi="仿宋" w:eastAsia="仿宋" w:cs="仿宋"/>
          <w:color w:val="221E1F"/>
          <w:spacing w:val="-4"/>
          <w:sz w:val="32"/>
          <w:szCs w:val="32"/>
        </w:rPr>
        <w:t>电子版</w:t>
      </w:r>
      <w:r>
        <w:rPr>
          <w:rFonts w:hint="eastAsia" w:ascii="仿宋" w:hAnsi="仿宋" w:eastAsia="仿宋" w:cs="仿宋"/>
          <w:color w:val="221E1F"/>
          <w:spacing w:val="-4"/>
          <w:sz w:val="32"/>
          <w:szCs w:val="32"/>
          <w:lang w:eastAsia="zh-CN"/>
        </w:rPr>
        <w:t>响应文件或递交纸质版密封响应文件至</w:t>
      </w:r>
      <w:r>
        <w:rPr>
          <w:rFonts w:hint="eastAsia" w:ascii="仿宋" w:hAnsi="仿宋" w:eastAsia="仿宋" w:cs="仿宋"/>
          <w:color w:val="221E1F"/>
          <w:spacing w:val="-4"/>
          <w:sz w:val="32"/>
          <w:szCs w:val="32"/>
          <w:u w:val="single"/>
          <w:lang w:val="en-US" w:eastAsia="zh-CN"/>
        </w:rPr>
        <w:t xml:space="preserve">  湖南省长沙市雨花区韶山中路18号中机国际B座23楼  </w:t>
      </w:r>
      <w:r>
        <w:rPr>
          <w:rFonts w:hint="eastAsia" w:ascii="仿宋" w:hAnsi="仿宋" w:eastAsia="仿宋" w:cs="仿宋"/>
          <w:color w:val="221E1F"/>
          <w:spacing w:val="-4"/>
          <w:sz w:val="32"/>
          <w:szCs w:val="32"/>
          <w:lang w:eastAsia="zh-CN"/>
        </w:rPr>
        <w:t>。</w:t>
      </w:r>
    </w:p>
    <w:p w14:paraId="60921743">
      <w:pPr>
        <w:pStyle w:val="2"/>
        <w:keepNext w:val="0"/>
        <w:keepLines w:val="0"/>
        <w:pageBreakBefore w:val="0"/>
        <w:widowControl/>
        <w:kinsoku w:val="0"/>
        <w:wordWrap/>
        <w:overflowPunct/>
        <w:topLinePunct w:val="0"/>
        <w:autoSpaceDE w:val="0"/>
        <w:autoSpaceDN w:val="0"/>
        <w:bidi w:val="0"/>
        <w:adjustRightInd w:val="0"/>
        <w:snapToGrid w:val="0"/>
        <w:spacing w:before="110" w:line="360" w:lineRule="auto"/>
        <w:ind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b/>
          <w:bCs/>
          <w:color w:val="221E1F"/>
          <w:spacing w:val="-3"/>
          <w:sz w:val="32"/>
          <w:szCs w:val="32"/>
          <w:lang w:val="en-US" w:eastAsia="zh-CN"/>
        </w:rPr>
        <w:t>5</w:t>
      </w:r>
      <w:r>
        <w:rPr>
          <w:rFonts w:hint="eastAsia" w:ascii="仿宋" w:hAnsi="仿宋" w:eastAsia="仿宋" w:cs="仿宋"/>
          <w:b/>
          <w:bCs/>
          <w:color w:val="221E1F"/>
          <w:spacing w:val="-3"/>
          <w:sz w:val="32"/>
          <w:szCs w:val="32"/>
        </w:rPr>
        <w:t xml:space="preserve"> </w:t>
      </w:r>
      <w:r>
        <w:rPr>
          <w:rFonts w:hint="eastAsia" w:ascii="仿宋" w:hAnsi="仿宋" w:eastAsia="仿宋" w:cs="仿宋"/>
          <w:b/>
          <w:bCs/>
          <w:color w:val="221E1F"/>
          <w:spacing w:val="-3"/>
          <w:sz w:val="32"/>
          <w:szCs w:val="32"/>
          <w:lang w:eastAsia="zh-CN"/>
        </w:rPr>
        <w:t>响应文件</w:t>
      </w:r>
      <w:r>
        <w:rPr>
          <w:rFonts w:hint="eastAsia" w:ascii="仿宋" w:hAnsi="仿宋" w:eastAsia="仿宋" w:cs="仿宋"/>
          <w:b/>
          <w:bCs/>
          <w:color w:val="221E1F"/>
          <w:spacing w:val="-3"/>
          <w:sz w:val="32"/>
          <w:szCs w:val="32"/>
        </w:rPr>
        <w:t>开启时间和地点</w:t>
      </w:r>
    </w:p>
    <w:p w14:paraId="5CAA0DC3">
      <w:pPr>
        <w:pStyle w:val="2"/>
        <w:keepNext w:val="0"/>
        <w:keepLines w:val="0"/>
        <w:pageBreakBefore w:val="0"/>
        <w:widowControl/>
        <w:kinsoku w:val="0"/>
        <w:wordWrap/>
        <w:overflowPunct/>
        <w:topLinePunct w:val="0"/>
        <w:autoSpaceDE w:val="0"/>
        <w:autoSpaceDN w:val="0"/>
        <w:bidi w:val="0"/>
        <w:adjustRightInd w:val="0"/>
        <w:snapToGrid w:val="0"/>
        <w:spacing w:before="259" w:line="360" w:lineRule="auto"/>
        <w:ind w:right="171"/>
        <w:jc w:val="both"/>
        <w:textAlignment w:val="baseline"/>
        <w:rPr>
          <w:rFonts w:hint="eastAsia" w:ascii="仿宋" w:hAnsi="仿宋" w:eastAsia="仿宋" w:cs="仿宋"/>
          <w:color w:val="221E1F"/>
          <w:spacing w:val="-3"/>
          <w:sz w:val="32"/>
          <w:szCs w:val="32"/>
        </w:rPr>
      </w:pPr>
      <w:r>
        <w:rPr>
          <w:rFonts w:hint="eastAsia" w:ascii="仿宋" w:hAnsi="仿宋" w:eastAsia="仿宋" w:cs="仿宋"/>
          <w:color w:val="221E1F"/>
          <w:spacing w:val="-2"/>
          <w:sz w:val="32"/>
          <w:szCs w:val="32"/>
          <w:lang w:eastAsia="zh-CN"/>
        </w:rPr>
        <w:t>　　响应文件</w:t>
      </w:r>
      <w:r>
        <w:rPr>
          <w:rFonts w:hint="eastAsia" w:ascii="仿宋" w:hAnsi="仿宋" w:eastAsia="仿宋" w:cs="仿宋"/>
          <w:color w:val="221E1F"/>
          <w:spacing w:val="-2"/>
          <w:sz w:val="32"/>
          <w:szCs w:val="32"/>
        </w:rPr>
        <w:t>开启在</w:t>
      </w: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递交截止时间的同一时间进行，地点为</w:t>
      </w: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递交地点。</w:t>
      </w:r>
      <w:r>
        <w:rPr>
          <w:rFonts w:hint="eastAsia" w:ascii="仿宋" w:hAnsi="仿宋" w:eastAsia="仿宋" w:cs="仿宋"/>
          <w:color w:val="221E1F"/>
          <w:sz w:val="32"/>
          <w:szCs w:val="32"/>
        </w:rPr>
        <w:t>邀请所有供应商的法定代表人（单位负责人）或其授权的代理人参</w:t>
      </w:r>
      <w:r>
        <w:rPr>
          <w:rFonts w:hint="eastAsia" w:ascii="仿宋" w:hAnsi="仿宋" w:eastAsia="仿宋" w:cs="仿宋"/>
          <w:color w:val="221E1F"/>
          <w:spacing w:val="-1"/>
          <w:sz w:val="32"/>
          <w:szCs w:val="32"/>
        </w:rPr>
        <w:t>加开启会议，供应商未派代表参加开启会议的，视为默认开启结果。</w:t>
      </w:r>
    </w:p>
    <w:p w14:paraId="1AC3D64F">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color w:val="221E1F"/>
          <w:spacing w:val="-10"/>
          <w:sz w:val="32"/>
          <w:szCs w:val="32"/>
        </w:rPr>
      </w:pPr>
      <w:r>
        <w:rPr>
          <w:rFonts w:hint="eastAsia" w:ascii="仿宋" w:hAnsi="仿宋" w:eastAsia="仿宋" w:cs="仿宋"/>
          <w:color w:val="221E1F"/>
          <w:spacing w:val="-14"/>
          <w:sz w:val="32"/>
          <w:szCs w:val="32"/>
          <w:lang w:eastAsia="zh-CN"/>
        </w:rPr>
        <w:t>　　</w:t>
      </w:r>
      <w:r>
        <w:rPr>
          <w:rFonts w:hint="eastAsia" w:ascii="仿宋" w:hAnsi="仿宋" w:eastAsia="仿宋" w:cs="仿宋"/>
          <w:b/>
          <w:bCs/>
          <w:color w:val="221E1F"/>
          <w:spacing w:val="-14"/>
          <w:sz w:val="32"/>
          <w:szCs w:val="32"/>
          <w:lang w:val="en-US" w:eastAsia="zh-CN"/>
        </w:rPr>
        <w:t>6</w:t>
      </w:r>
      <w:r>
        <w:rPr>
          <w:rFonts w:hint="eastAsia" w:ascii="仿宋" w:hAnsi="仿宋" w:eastAsia="仿宋" w:cs="仿宋"/>
          <w:b/>
          <w:bCs/>
          <w:color w:val="221E1F"/>
          <w:spacing w:val="12"/>
          <w:sz w:val="32"/>
          <w:szCs w:val="32"/>
        </w:rPr>
        <w:t xml:space="preserve"> </w:t>
      </w:r>
      <w:r>
        <w:rPr>
          <w:rFonts w:hint="eastAsia" w:ascii="仿宋" w:hAnsi="仿宋" w:eastAsia="仿宋" w:cs="仿宋"/>
          <w:b/>
          <w:bCs/>
          <w:color w:val="221E1F"/>
          <w:spacing w:val="11"/>
          <w:sz w:val="32"/>
          <w:szCs w:val="32"/>
        </w:rPr>
        <w:t xml:space="preserve"> </w:t>
      </w:r>
      <w:r>
        <w:rPr>
          <w:rFonts w:hint="eastAsia" w:ascii="仿宋" w:hAnsi="仿宋" w:eastAsia="仿宋" w:cs="仿宋"/>
          <w:b/>
          <w:bCs/>
          <w:color w:val="221E1F"/>
          <w:spacing w:val="-10"/>
          <w:sz w:val="32"/>
          <w:szCs w:val="32"/>
        </w:rPr>
        <w:t>联系方式</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029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nil"/>
              <w:left w:val="nil"/>
              <w:bottom w:val="nil"/>
              <w:right w:val="nil"/>
              <w:tl2br w:val="nil"/>
            </w:tcBorders>
            <w:shd w:val="clear" w:color="auto" w:fill="FFFFFF"/>
          </w:tcPr>
          <w:p w14:paraId="520CD3DD">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采购人：</w:t>
            </w:r>
          </w:p>
        </w:tc>
        <w:tc>
          <w:tcPr>
            <w:tcW w:w="4261" w:type="dxa"/>
            <w:tcBorders>
              <w:top w:val="nil"/>
              <w:left w:val="nil"/>
              <w:bottom w:val="nil"/>
              <w:right w:val="nil"/>
            </w:tcBorders>
            <w:shd w:val="clear" w:color="auto" w:fill="FFFFFF"/>
            <w:vAlign w:val="top"/>
          </w:tcPr>
          <w:p w14:paraId="14607DEC">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eastAsia" w:ascii="仿宋" w:hAnsi="仿宋" w:eastAsia="仿宋" w:cs="仿宋"/>
                <w:b w:val="0"/>
                <w:snapToGrid w:val="0"/>
                <w:color w:val="000000"/>
                <w:spacing w:val="-10"/>
                <w:kern w:val="0"/>
                <w:sz w:val="32"/>
                <w:szCs w:val="32"/>
                <w:vertAlign w:val="baseline"/>
                <w:lang w:val="en-US" w:eastAsia="zh-CN" w:bidi="ar-SA"/>
              </w:rPr>
              <w:t>中机国际工程设计研究院有限责任公司</w:t>
            </w:r>
          </w:p>
        </w:tc>
      </w:tr>
      <w:tr w14:paraId="10ED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7AD8CCC4">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地址：</w:t>
            </w:r>
          </w:p>
        </w:tc>
        <w:tc>
          <w:tcPr>
            <w:tcW w:w="4261" w:type="dxa"/>
            <w:tcBorders>
              <w:top w:val="nil"/>
              <w:left w:val="nil"/>
              <w:bottom w:val="nil"/>
              <w:right w:val="nil"/>
            </w:tcBorders>
            <w:shd w:val="clear" w:color="auto" w:fill="FFFFFF"/>
            <w:vAlign w:val="top"/>
          </w:tcPr>
          <w:p w14:paraId="00DABAA8">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000000"/>
                <w:spacing w:val="-10"/>
                <w:kern w:val="0"/>
                <w:sz w:val="32"/>
                <w:szCs w:val="32"/>
                <w:vertAlign w:val="baseline"/>
                <w:lang w:val="en-US" w:eastAsia="en-US" w:bidi="ar-SA"/>
              </w:rPr>
            </w:pPr>
            <w:r>
              <w:rPr>
                <w:rFonts w:hint="eastAsia" w:ascii="仿宋" w:hAnsi="仿宋" w:eastAsia="仿宋" w:cs="仿宋"/>
                <w:b w:val="0"/>
                <w:snapToGrid w:val="0"/>
                <w:color w:val="000000"/>
                <w:spacing w:val="-10"/>
                <w:kern w:val="0"/>
                <w:sz w:val="32"/>
                <w:szCs w:val="32"/>
                <w:vertAlign w:val="baseline"/>
                <w:lang w:val="en-US" w:eastAsia="en-US" w:bidi="ar-SA"/>
              </w:rPr>
              <w:t>长沙市雨花区韶山中路18号</w:t>
            </w:r>
          </w:p>
        </w:tc>
      </w:tr>
      <w:tr w14:paraId="5D57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3DE07F9">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邮政编码：</w:t>
            </w:r>
          </w:p>
        </w:tc>
        <w:tc>
          <w:tcPr>
            <w:tcW w:w="4261" w:type="dxa"/>
            <w:tcBorders>
              <w:top w:val="nil"/>
              <w:left w:val="nil"/>
              <w:bottom w:val="nil"/>
              <w:right w:val="nil"/>
            </w:tcBorders>
            <w:shd w:val="clear" w:color="auto" w:fill="FFFFFF"/>
            <w:vAlign w:val="top"/>
          </w:tcPr>
          <w:p w14:paraId="567092EB">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000000"/>
                <w:spacing w:val="-10"/>
                <w:kern w:val="0"/>
                <w:sz w:val="32"/>
                <w:szCs w:val="32"/>
                <w:vertAlign w:val="baseline"/>
                <w:lang w:val="en-US" w:eastAsia="en-US" w:bidi="ar-SA"/>
              </w:rPr>
            </w:pPr>
            <w:r>
              <w:rPr>
                <w:rFonts w:hint="eastAsia" w:ascii="仿宋" w:hAnsi="仿宋" w:eastAsia="仿宋" w:cs="仿宋"/>
                <w:b w:val="0"/>
                <w:snapToGrid w:val="0"/>
                <w:color w:val="000000"/>
                <w:spacing w:val="-10"/>
                <w:kern w:val="0"/>
                <w:sz w:val="32"/>
                <w:szCs w:val="32"/>
                <w:vertAlign w:val="baseline"/>
                <w:lang w:val="en-US" w:eastAsia="en-US" w:bidi="ar-SA"/>
              </w:rPr>
              <w:t>410007</w:t>
            </w:r>
          </w:p>
        </w:tc>
      </w:tr>
      <w:tr w14:paraId="1557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572E1EC">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联系人：</w:t>
            </w:r>
          </w:p>
        </w:tc>
        <w:tc>
          <w:tcPr>
            <w:tcW w:w="4261" w:type="dxa"/>
            <w:tcBorders>
              <w:top w:val="nil"/>
              <w:left w:val="nil"/>
              <w:bottom w:val="nil"/>
              <w:right w:val="nil"/>
            </w:tcBorders>
            <w:shd w:val="clear" w:color="auto" w:fill="FFFFFF"/>
            <w:vAlign w:val="top"/>
          </w:tcPr>
          <w:p w14:paraId="65578EDD">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eastAsia" w:ascii="仿宋" w:hAnsi="仿宋" w:eastAsia="仿宋" w:cs="仿宋"/>
                <w:b w:val="0"/>
                <w:snapToGrid w:val="0"/>
                <w:color w:val="000000"/>
                <w:spacing w:val="-10"/>
                <w:kern w:val="0"/>
                <w:sz w:val="32"/>
                <w:szCs w:val="32"/>
                <w:vertAlign w:val="baseline"/>
                <w:lang w:val="en-US" w:eastAsia="zh-CN" w:bidi="ar-SA"/>
              </w:rPr>
              <w:t>陈岳鹏</w:t>
            </w:r>
          </w:p>
        </w:tc>
      </w:tr>
      <w:tr w14:paraId="118B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041DBB85">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电话：</w:t>
            </w:r>
          </w:p>
        </w:tc>
        <w:tc>
          <w:tcPr>
            <w:tcW w:w="4261" w:type="dxa"/>
            <w:tcBorders>
              <w:top w:val="nil"/>
              <w:left w:val="nil"/>
              <w:bottom w:val="nil"/>
              <w:right w:val="nil"/>
            </w:tcBorders>
            <w:shd w:val="clear" w:color="auto" w:fill="FFFFFF"/>
            <w:vAlign w:val="top"/>
          </w:tcPr>
          <w:p w14:paraId="31427DEF">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eastAsia" w:ascii="仿宋" w:hAnsi="仿宋" w:eastAsia="仿宋" w:cs="仿宋"/>
                <w:b w:val="0"/>
                <w:snapToGrid w:val="0"/>
                <w:color w:val="000000"/>
                <w:spacing w:val="-10"/>
                <w:kern w:val="0"/>
                <w:sz w:val="32"/>
                <w:szCs w:val="32"/>
                <w:vertAlign w:val="baseline"/>
                <w:lang w:val="en-US" w:eastAsia="en-US" w:bidi="ar-SA"/>
              </w:rPr>
            </w:pPr>
            <w:r>
              <w:rPr>
                <w:rFonts w:hint="default" w:ascii="Times New Roman" w:hAnsi="Times New Roman" w:eastAsia="仿宋" w:cs="Times New Roman"/>
                <w:b w:val="0"/>
                <w:snapToGrid w:val="0"/>
                <w:color w:val="000000"/>
                <w:spacing w:val="-10"/>
                <w:kern w:val="0"/>
                <w:sz w:val="32"/>
                <w:szCs w:val="32"/>
                <w:vertAlign w:val="baseline"/>
                <w:lang w:val="en-US" w:eastAsia="en-US" w:bidi="ar-SA"/>
              </w:rPr>
              <w:t>17798762000</w:t>
            </w:r>
          </w:p>
        </w:tc>
      </w:tr>
      <w:tr w14:paraId="10FE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600394D">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电子邮箱：</w:t>
            </w:r>
          </w:p>
        </w:tc>
        <w:tc>
          <w:tcPr>
            <w:tcW w:w="4261" w:type="dxa"/>
            <w:tcBorders>
              <w:top w:val="nil"/>
              <w:left w:val="nil"/>
              <w:bottom w:val="nil"/>
              <w:right w:val="nil"/>
            </w:tcBorders>
            <w:shd w:val="clear" w:color="auto" w:fill="FFFFFF"/>
            <w:vAlign w:val="top"/>
          </w:tcPr>
          <w:p w14:paraId="5B8C71BE">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eastAsia" w:ascii="仿宋" w:hAnsi="仿宋" w:eastAsia="仿宋" w:cs="仿宋"/>
                <w:b w:val="0"/>
                <w:snapToGrid w:val="0"/>
                <w:color w:val="000000"/>
                <w:spacing w:val="-10"/>
                <w:kern w:val="0"/>
                <w:sz w:val="32"/>
                <w:szCs w:val="32"/>
                <w:vertAlign w:val="baseline"/>
                <w:lang w:val="en-US" w:eastAsia="en-US" w:bidi="ar-SA"/>
              </w:rPr>
            </w:pPr>
            <w:r>
              <w:rPr>
                <w:rFonts w:hint="default" w:ascii="Times New Roman" w:hAnsi="Times New Roman" w:eastAsia="仿宋" w:cs="Times New Roman"/>
                <w:b w:val="0"/>
                <w:snapToGrid w:val="0"/>
                <w:color w:val="000000"/>
                <w:spacing w:val="-10"/>
                <w:kern w:val="0"/>
                <w:sz w:val="32"/>
                <w:szCs w:val="32"/>
                <w:vertAlign w:val="baseline"/>
                <w:lang w:val="en-US" w:eastAsia="en-US" w:bidi="ar-SA"/>
              </w:rPr>
              <w:t>1285473834@qq.com</w:t>
            </w:r>
          </w:p>
        </w:tc>
      </w:tr>
    </w:tbl>
    <w:p w14:paraId="6CE53AA5">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rPr>
          <w:rFonts w:hint="eastAsia" w:ascii="仿宋" w:hAnsi="仿宋" w:eastAsia="仿宋" w:cs="仿宋"/>
          <w:sz w:val="32"/>
          <w:szCs w:val="32"/>
        </w:rPr>
      </w:pPr>
    </w:p>
    <w:p w14:paraId="35C14600">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4"/>
          <w:sz w:val="32"/>
          <w:szCs w:val="32"/>
          <w:u w:val="single"/>
          <w:lang w:val="en-US" w:eastAsia="zh-CN"/>
        </w:rPr>
        <w:t>2025</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17"/>
          <w:sz w:val="32"/>
          <w:szCs w:val="32"/>
        </w:rPr>
        <w:t>年</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4"/>
          <w:sz w:val="32"/>
          <w:szCs w:val="32"/>
          <w:u w:val="single"/>
          <w:lang w:val="en-US" w:eastAsia="zh-CN"/>
        </w:rPr>
        <w:t>1</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17"/>
          <w:sz w:val="32"/>
          <w:szCs w:val="32"/>
        </w:rPr>
        <w:t>月</w:t>
      </w:r>
      <w:r>
        <w:rPr>
          <w:rFonts w:hint="eastAsia" w:ascii="仿宋" w:hAnsi="仿宋" w:eastAsia="仿宋" w:cs="仿宋"/>
          <w:color w:val="221E1F"/>
          <w:spacing w:val="-17"/>
          <w:sz w:val="32"/>
          <w:szCs w:val="32"/>
          <w:u w:val="single"/>
        </w:rPr>
        <w:t xml:space="preserve"> </w:t>
      </w:r>
      <w:r>
        <w:rPr>
          <w:rFonts w:hint="eastAsia" w:ascii="仿宋" w:hAnsi="仿宋" w:eastAsia="仿宋" w:cs="仿宋"/>
          <w:color w:val="221E1F"/>
          <w:spacing w:val="-17"/>
          <w:sz w:val="32"/>
          <w:szCs w:val="32"/>
          <w:u w:val="single"/>
          <w:lang w:val="en-US" w:eastAsia="zh-CN"/>
        </w:rPr>
        <w:t xml:space="preserve">13 </w:t>
      </w:r>
      <w:r>
        <w:rPr>
          <w:rFonts w:hint="eastAsia" w:ascii="仿宋" w:hAnsi="仿宋" w:eastAsia="仿宋" w:cs="仿宋"/>
          <w:color w:val="221E1F"/>
          <w:spacing w:val="-17"/>
          <w:sz w:val="32"/>
          <w:szCs w:val="32"/>
          <w:u w:val="single"/>
        </w:rPr>
        <w:t xml:space="preserve"> </w:t>
      </w:r>
      <w:r>
        <w:rPr>
          <w:rFonts w:hint="eastAsia" w:ascii="仿宋" w:hAnsi="仿宋" w:eastAsia="仿宋" w:cs="仿宋"/>
          <w:color w:val="221E1F"/>
          <w:spacing w:val="-17"/>
          <w:sz w:val="32"/>
          <w:szCs w:val="32"/>
        </w:rPr>
        <w:t>日</w:t>
      </w:r>
    </w:p>
    <w:p w14:paraId="5992871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646F5E1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D60EBF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700B77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38A974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9035D3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B9F369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18A27E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2D3DD34">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第二章    供应商须知</w:t>
      </w:r>
    </w:p>
    <w:p w14:paraId="4528DE0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055AD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供应商须知前附表</w:t>
      </w:r>
    </w:p>
    <w:p w14:paraId="4CFC50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2482"/>
        <w:gridCol w:w="4652"/>
      </w:tblGrid>
      <w:tr w14:paraId="22D0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4" w:type="pct"/>
            <w:tcBorders>
              <w:top w:val="single" w:color="auto" w:sz="4" w:space="0"/>
              <w:left w:val="single" w:color="auto" w:sz="4" w:space="0"/>
              <w:bottom w:val="single" w:color="auto" w:sz="4" w:space="0"/>
              <w:right w:val="single" w:color="auto" w:sz="4" w:space="0"/>
            </w:tcBorders>
          </w:tcPr>
          <w:p w14:paraId="2FED4579">
            <w:pPr>
              <w:keepNext w:val="0"/>
              <w:keepLines w:val="0"/>
              <w:pageBreakBefore w:val="0"/>
              <w:wordWrap/>
              <w:overflowPunct/>
              <w:topLinePunct w:val="0"/>
              <w:bidi w:val="0"/>
              <w:spacing w:line="360" w:lineRule="auto"/>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条款号</w:t>
            </w:r>
          </w:p>
        </w:tc>
        <w:tc>
          <w:tcPr>
            <w:tcW w:w="1456" w:type="pct"/>
            <w:tcBorders>
              <w:top w:val="single" w:color="auto" w:sz="4" w:space="0"/>
              <w:left w:val="single" w:color="auto" w:sz="4" w:space="0"/>
              <w:bottom w:val="single" w:color="auto" w:sz="4" w:space="0"/>
              <w:right w:val="single" w:color="auto" w:sz="4" w:space="0"/>
            </w:tcBorders>
          </w:tcPr>
          <w:p w14:paraId="68669422">
            <w:pPr>
              <w:keepNext w:val="0"/>
              <w:keepLines w:val="0"/>
              <w:pageBreakBefore w:val="0"/>
              <w:wordWrap/>
              <w:overflowPunct/>
              <w:topLinePunct w:val="0"/>
              <w:bidi w:val="0"/>
              <w:spacing w:line="360" w:lineRule="auto"/>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条款内容</w:t>
            </w:r>
          </w:p>
        </w:tc>
        <w:tc>
          <w:tcPr>
            <w:tcW w:w="2729" w:type="pct"/>
            <w:tcBorders>
              <w:top w:val="single" w:color="auto" w:sz="4" w:space="0"/>
              <w:left w:val="single" w:color="auto" w:sz="4" w:space="0"/>
              <w:bottom w:val="single" w:color="auto" w:sz="4" w:space="0"/>
              <w:right w:val="single" w:color="auto" w:sz="4" w:space="0"/>
            </w:tcBorders>
          </w:tcPr>
          <w:p w14:paraId="2C0D05FF">
            <w:pPr>
              <w:keepNext w:val="0"/>
              <w:keepLines w:val="0"/>
              <w:pageBreakBefore w:val="0"/>
              <w:wordWrap/>
              <w:overflowPunct/>
              <w:topLinePunct w:val="0"/>
              <w:bidi w:val="0"/>
              <w:spacing w:line="360" w:lineRule="auto"/>
              <w:jc w:val="left"/>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编列内容</w:t>
            </w:r>
          </w:p>
        </w:tc>
      </w:tr>
      <w:tr w14:paraId="7465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D589E4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1.7.1</w:t>
            </w:r>
          </w:p>
        </w:tc>
        <w:tc>
          <w:tcPr>
            <w:tcW w:w="1456" w:type="pct"/>
            <w:tcBorders>
              <w:top w:val="single" w:color="auto" w:sz="4" w:space="0"/>
              <w:left w:val="single" w:color="auto" w:sz="4" w:space="0"/>
              <w:bottom w:val="single" w:color="auto" w:sz="4" w:space="0"/>
              <w:right w:val="single" w:color="auto" w:sz="4" w:space="0"/>
            </w:tcBorders>
          </w:tcPr>
          <w:p w14:paraId="7900BC9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踏勘现场</w:t>
            </w:r>
          </w:p>
        </w:tc>
        <w:tc>
          <w:tcPr>
            <w:tcW w:w="2729" w:type="pct"/>
            <w:tcBorders>
              <w:top w:val="single" w:color="auto" w:sz="4" w:space="0"/>
              <w:left w:val="single" w:color="auto" w:sz="4" w:space="0"/>
              <w:bottom w:val="single" w:color="auto" w:sz="4" w:space="0"/>
              <w:right w:val="single" w:color="auto" w:sz="4" w:space="0"/>
            </w:tcBorders>
          </w:tcPr>
          <w:p w14:paraId="2A01A4C1">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不组织</w:t>
            </w:r>
          </w:p>
          <w:p w14:paraId="6B4538E2">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组织，踏勘时间：</w:t>
            </w:r>
          </w:p>
          <w:p w14:paraId="09C0AE2F">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踏勘集中地点：</w:t>
            </w:r>
          </w:p>
        </w:tc>
      </w:tr>
      <w:tr w14:paraId="3AAE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45E2B3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1.8</w:t>
            </w:r>
          </w:p>
        </w:tc>
        <w:tc>
          <w:tcPr>
            <w:tcW w:w="1456" w:type="pct"/>
            <w:tcBorders>
              <w:top w:val="single" w:color="auto" w:sz="4" w:space="0"/>
              <w:left w:val="single" w:color="auto" w:sz="4" w:space="0"/>
              <w:bottom w:val="single" w:color="auto" w:sz="4" w:space="0"/>
              <w:right w:val="single" w:color="auto" w:sz="4" w:space="0"/>
            </w:tcBorders>
          </w:tcPr>
          <w:p w14:paraId="06CA094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询比采购预备会</w:t>
            </w:r>
          </w:p>
        </w:tc>
        <w:tc>
          <w:tcPr>
            <w:tcW w:w="2729" w:type="pct"/>
            <w:tcBorders>
              <w:top w:val="single" w:color="auto" w:sz="4" w:space="0"/>
              <w:left w:val="single" w:color="auto" w:sz="4" w:space="0"/>
              <w:bottom w:val="single" w:color="auto" w:sz="4" w:space="0"/>
              <w:right w:val="single" w:color="auto" w:sz="4" w:space="0"/>
            </w:tcBorders>
          </w:tcPr>
          <w:p w14:paraId="575361F8">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不召开</w:t>
            </w:r>
          </w:p>
          <w:p w14:paraId="07434D9C">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□召开，召开时间：</w:t>
            </w:r>
          </w:p>
          <w:p w14:paraId="36140164">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召开地点：</w:t>
            </w:r>
          </w:p>
        </w:tc>
      </w:tr>
      <w:tr w14:paraId="69D8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C2876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1.9（</w:t>
            </w:r>
            <w:r>
              <w:rPr>
                <w:rFonts w:hint="eastAsia" w:ascii="仿宋" w:hAnsi="仿宋" w:eastAsia="仿宋" w:cs="仿宋"/>
                <w:sz w:val="28"/>
                <w:szCs w:val="28"/>
                <w:lang w:eastAsia="zh-CN"/>
              </w:rPr>
              <w:t>工程</w:t>
            </w:r>
            <w:r>
              <w:rPr>
                <w:rFonts w:hint="eastAsia" w:ascii="仿宋" w:hAnsi="仿宋" w:eastAsia="仿宋" w:cs="仿宋"/>
                <w:sz w:val="28"/>
                <w:szCs w:val="28"/>
              </w:rPr>
              <w:t>、</w:t>
            </w:r>
            <w:r>
              <w:rPr>
                <w:rFonts w:hint="eastAsia" w:ascii="仿宋" w:hAnsi="仿宋" w:eastAsia="仿宋" w:cs="仿宋"/>
                <w:sz w:val="28"/>
                <w:szCs w:val="28"/>
                <w:lang w:eastAsia="zh-CN"/>
              </w:rPr>
              <w:t>服务</w:t>
            </w:r>
            <w:r>
              <w:rPr>
                <w:rFonts w:hint="eastAsia" w:ascii="仿宋" w:hAnsi="仿宋" w:eastAsia="仿宋" w:cs="仿宋"/>
                <w:sz w:val="28"/>
                <w:szCs w:val="28"/>
              </w:rPr>
              <w:t>）</w:t>
            </w:r>
          </w:p>
        </w:tc>
        <w:tc>
          <w:tcPr>
            <w:tcW w:w="1456" w:type="pct"/>
            <w:tcBorders>
              <w:top w:val="single" w:color="auto" w:sz="4" w:space="0"/>
              <w:left w:val="single" w:color="auto" w:sz="4" w:space="0"/>
              <w:bottom w:val="single" w:color="auto" w:sz="4" w:space="0"/>
              <w:right w:val="single" w:color="auto" w:sz="4" w:space="0"/>
            </w:tcBorders>
          </w:tcPr>
          <w:p w14:paraId="059B3A7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eastAsia="zh-CN"/>
              </w:rPr>
              <w:t>桩基工程专业</w:t>
            </w:r>
            <w:r>
              <w:rPr>
                <w:rFonts w:hint="eastAsia" w:ascii="仿宋" w:hAnsi="仿宋" w:eastAsia="仿宋" w:cs="仿宋"/>
                <w:sz w:val="28"/>
                <w:szCs w:val="28"/>
              </w:rPr>
              <w:t>分包</w:t>
            </w:r>
          </w:p>
        </w:tc>
        <w:tc>
          <w:tcPr>
            <w:tcW w:w="2729" w:type="pct"/>
            <w:tcBorders>
              <w:top w:val="single" w:color="auto" w:sz="4" w:space="0"/>
              <w:left w:val="single" w:color="auto" w:sz="4" w:space="0"/>
              <w:bottom w:val="single" w:color="auto" w:sz="4" w:space="0"/>
              <w:right w:val="single" w:color="auto" w:sz="4" w:space="0"/>
            </w:tcBorders>
          </w:tcPr>
          <w:p w14:paraId="579C182A">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rPr>
              <w:t>对分包供应商的要求：</w:t>
            </w:r>
            <w:r>
              <w:rPr>
                <w:rFonts w:hint="eastAsia" w:ascii="仿宋" w:hAnsi="仿宋" w:eastAsia="仿宋" w:cs="仿宋"/>
                <w:sz w:val="28"/>
                <w:szCs w:val="28"/>
                <w:lang w:val="en-US" w:eastAsia="zh-CN"/>
              </w:rPr>
              <w:t>投标人必须是具有独立法人资格,具备地基基础工程专业承包二级及以上资质</w:t>
            </w:r>
          </w:p>
        </w:tc>
      </w:tr>
      <w:tr w14:paraId="0071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865727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1.10.2</w:t>
            </w:r>
          </w:p>
        </w:tc>
        <w:tc>
          <w:tcPr>
            <w:tcW w:w="1456" w:type="pct"/>
            <w:tcBorders>
              <w:top w:val="single" w:color="auto" w:sz="4" w:space="0"/>
              <w:left w:val="single" w:color="auto" w:sz="4" w:space="0"/>
              <w:bottom w:val="single" w:color="auto" w:sz="4" w:space="0"/>
              <w:right w:val="single" w:color="auto" w:sz="4" w:space="0"/>
            </w:tcBorders>
          </w:tcPr>
          <w:p w14:paraId="3AC0D2B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对非关键条款的偏差</w:t>
            </w:r>
          </w:p>
        </w:tc>
        <w:tc>
          <w:tcPr>
            <w:tcW w:w="2729" w:type="pct"/>
            <w:tcBorders>
              <w:top w:val="single" w:color="auto" w:sz="4" w:space="0"/>
              <w:left w:val="single" w:color="auto" w:sz="4" w:space="0"/>
              <w:bottom w:val="single" w:color="auto" w:sz="4" w:space="0"/>
              <w:right w:val="single" w:color="auto" w:sz="4" w:space="0"/>
            </w:tcBorders>
          </w:tcPr>
          <w:p w14:paraId="087F388C">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允许偏差的范围：不允许偏差 </w:t>
            </w:r>
          </w:p>
          <w:p w14:paraId="5899ADDB">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允许偏差的项数：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w:t>
            </w:r>
          </w:p>
        </w:tc>
      </w:tr>
      <w:tr w14:paraId="1DCE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58B3C9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2.1（7）</w:t>
            </w:r>
          </w:p>
        </w:tc>
        <w:tc>
          <w:tcPr>
            <w:tcW w:w="1456" w:type="pct"/>
            <w:tcBorders>
              <w:top w:val="single" w:color="auto" w:sz="4" w:space="0"/>
              <w:left w:val="single" w:color="auto" w:sz="4" w:space="0"/>
              <w:bottom w:val="single" w:color="auto" w:sz="4" w:space="0"/>
              <w:right w:val="single" w:color="auto" w:sz="4" w:space="0"/>
            </w:tcBorders>
          </w:tcPr>
          <w:p w14:paraId="76C1572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构成采购文件的其他资料</w:t>
            </w:r>
          </w:p>
        </w:tc>
        <w:tc>
          <w:tcPr>
            <w:tcW w:w="2729" w:type="pct"/>
            <w:tcBorders>
              <w:top w:val="single" w:color="auto" w:sz="4" w:space="0"/>
              <w:left w:val="single" w:color="auto" w:sz="4" w:space="0"/>
              <w:bottom w:val="single" w:color="auto" w:sz="4" w:space="0"/>
              <w:right w:val="single" w:color="auto" w:sz="4" w:space="0"/>
            </w:tcBorders>
          </w:tcPr>
          <w:p w14:paraId="10A1B1D5">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资料名称：</w:t>
            </w:r>
            <w:r>
              <w:rPr>
                <w:rFonts w:hint="eastAsia" w:ascii="仿宋" w:hAnsi="仿宋" w:eastAsia="仿宋" w:cs="仿宋"/>
                <w:sz w:val="28"/>
                <w:szCs w:val="28"/>
                <w:lang w:val="en-US" w:eastAsia="zh-CN"/>
              </w:rPr>
              <w:t>/</w:t>
            </w:r>
          </w:p>
        </w:tc>
      </w:tr>
      <w:tr w14:paraId="46E6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C53B18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2.2.1</w:t>
            </w:r>
          </w:p>
        </w:tc>
        <w:tc>
          <w:tcPr>
            <w:tcW w:w="1456" w:type="pct"/>
            <w:tcBorders>
              <w:top w:val="single" w:color="auto" w:sz="4" w:space="0"/>
              <w:left w:val="single" w:color="auto" w:sz="4" w:space="0"/>
              <w:bottom w:val="single" w:color="auto" w:sz="4" w:space="0"/>
              <w:right w:val="single" w:color="auto" w:sz="4" w:space="0"/>
            </w:tcBorders>
          </w:tcPr>
          <w:p w14:paraId="6EC52005">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供应商要求澄清采购文件的时间</w:t>
            </w:r>
          </w:p>
        </w:tc>
        <w:tc>
          <w:tcPr>
            <w:tcW w:w="2729" w:type="pct"/>
            <w:tcBorders>
              <w:top w:val="single" w:color="auto" w:sz="4" w:space="0"/>
              <w:left w:val="single" w:color="auto" w:sz="4" w:space="0"/>
              <w:bottom w:val="single" w:color="auto" w:sz="4" w:space="0"/>
              <w:right w:val="single" w:color="auto" w:sz="4" w:space="0"/>
            </w:tcBorders>
          </w:tcPr>
          <w:p w14:paraId="78C2B4E5">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截止时间：</w:t>
            </w:r>
            <w:r>
              <w:rPr>
                <w:rFonts w:hint="eastAsia" w:ascii="仿宋" w:hAnsi="仿宋" w:eastAsia="仿宋" w:cs="仿宋"/>
                <w:sz w:val="28"/>
                <w:szCs w:val="28"/>
                <w:lang w:val="en-US" w:eastAsia="zh-CN"/>
              </w:rPr>
              <w:t>/</w:t>
            </w:r>
          </w:p>
        </w:tc>
      </w:tr>
      <w:tr w14:paraId="1EF1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260BB0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3.1.1（9）</w:t>
            </w:r>
          </w:p>
        </w:tc>
        <w:tc>
          <w:tcPr>
            <w:tcW w:w="1456" w:type="pct"/>
            <w:tcBorders>
              <w:top w:val="single" w:color="auto" w:sz="4" w:space="0"/>
              <w:left w:val="single" w:color="auto" w:sz="4" w:space="0"/>
              <w:bottom w:val="single" w:color="auto" w:sz="4" w:space="0"/>
              <w:right w:val="single" w:color="auto" w:sz="4" w:space="0"/>
            </w:tcBorders>
          </w:tcPr>
          <w:p w14:paraId="209D775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构成</w:t>
            </w:r>
            <w:r>
              <w:rPr>
                <w:rFonts w:hint="eastAsia" w:ascii="仿宋" w:hAnsi="仿宋" w:eastAsia="仿宋" w:cs="仿宋"/>
                <w:sz w:val="28"/>
                <w:szCs w:val="28"/>
                <w:lang w:eastAsia="zh-CN"/>
              </w:rPr>
              <w:t>响应文件</w:t>
            </w:r>
            <w:r>
              <w:rPr>
                <w:rFonts w:hint="eastAsia" w:ascii="仿宋" w:hAnsi="仿宋" w:eastAsia="仿宋" w:cs="仿宋"/>
                <w:sz w:val="28"/>
                <w:szCs w:val="28"/>
              </w:rPr>
              <w:t>的其他资料</w:t>
            </w:r>
          </w:p>
        </w:tc>
        <w:tc>
          <w:tcPr>
            <w:tcW w:w="2729" w:type="pct"/>
            <w:tcBorders>
              <w:top w:val="single" w:color="auto" w:sz="4" w:space="0"/>
              <w:left w:val="single" w:color="auto" w:sz="4" w:space="0"/>
              <w:bottom w:val="single" w:color="auto" w:sz="4" w:space="0"/>
              <w:right w:val="single" w:color="auto" w:sz="4" w:space="0"/>
            </w:tcBorders>
          </w:tcPr>
          <w:p w14:paraId="307AE580">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资料名称：</w:t>
            </w:r>
            <w:r>
              <w:rPr>
                <w:rFonts w:hint="eastAsia" w:ascii="仿宋" w:hAnsi="仿宋" w:eastAsia="仿宋" w:cs="仿宋"/>
                <w:sz w:val="28"/>
                <w:szCs w:val="28"/>
                <w:lang w:val="en-US" w:eastAsia="zh-CN"/>
              </w:rPr>
              <w:t>/</w:t>
            </w:r>
          </w:p>
        </w:tc>
      </w:tr>
      <w:tr w14:paraId="2331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97942F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3.2.3</w:t>
            </w:r>
          </w:p>
        </w:tc>
        <w:tc>
          <w:tcPr>
            <w:tcW w:w="1456" w:type="pct"/>
            <w:tcBorders>
              <w:top w:val="single" w:color="auto" w:sz="4" w:space="0"/>
              <w:left w:val="single" w:color="auto" w:sz="4" w:space="0"/>
              <w:bottom w:val="single" w:color="auto" w:sz="4" w:space="0"/>
              <w:right w:val="single" w:color="auto" w:sz="4" w:space="0"/>
            </w:tcBorders>
          </w:tcPr>
          <w:p w14:paraId="5B76D9D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最高限价或其计算方法</w:t>
            </w:r>
          </w:p>
        </w:tc>
        <w:tc>
          <w:tcPr>
            <w:tcW w:w="2729" w:type="pct"/>
            <w:tcBorders>
              <w:top w:val="single" w:color="auto" w:sz="4" w:space="0"/>
              <w:left w:val="single" w:color="auto" w:sz="4" w:space="0"/>
              <w:bottom w:val="single" w:color="auto" w:sz="4" w:space="0"/>
              <w:right w:val="single" w:color="auto" w:sz="4" w:space="0"/>
            </w:tcBorders>
          </w:tcPr>
          <w:p w14:paraId="29F6EAF9">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无</w:t>
            </w:r>
          </w:p>
          <w:p w14:paraId="1687417A">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rPr>
            </w:pPr>
            <w:r>
              <w:rPr>
                <w:rFonts w:hint="eastAsia" w:ascii="仿宋" w:hAnsi="仿宋" w:eastAsia="仿宋" w:cs="仿宋"/>
                <w:sz w:val="28"/>
                <w:szCs w:val="28"/>
              </w:rPr>
              <w:t>□有，最高限价或其计算方法：</w:t>
            </w:r>
          </w:p>
        </w:tc>
      </w:tr>
      <w:tr w14:paraId="0520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FC4AF0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3.2.4</w:t>
            </w:r>
          </w:p>
        </w:tc>
        <w:tc>
          <w:tcPr>
            <w:tcW w:w="1456" w:type="pct"/>
            <w:tcBorders>
              <w:top w:val="single" w:color="auto" w:sz="4" w:space="0"/>
              <w:left w:val="single" w:color="auto" w:sz="4" w:space="0"/>
              <w:bottom w:val="single" w:color="auto" w:sz="4" w:space="0"/>
              <w:right w:val="single" w:color="auto" w:sz="4" w:space="0"/>
            </w:tcBorders>
          </w:tcPr>
          <w:p w14:paraId="17FE631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报价的其他要求</w:t>
            </w:r>
          </w:p>
        </w:tc>
        <w:tc>
          <w:tcPr>
            <w:tcW w:w="2729" w:type="pct"/>
            <w:tcBorders>
              <w:top w:val="single" w:color="auto" w:sz="4" w:space="0"/>
              <w:left w:val="single" w:color="auto" w:sz="4" w:space="0"/>
              <w:bottom w:val="single" w:color="auto" w:sz="4" w:space="0"/>
              <w:right w:val="single" w:color="auto" w:sz="4" w:space="0"/>
            </w:tcBorders>
            <w:vAlign w:val="center"/>
          </w:tcPr>
          <w:p w14:paraId="30F9F5A4">
            <w:pPr>
              <w:keepNext w:val="0"/>
              <w:keepLines w:val="0"/>
              <w:pageBreakBefore w:val="0"/>
              <w:wordWrap/>
              <w:overflowPunct/>
              <w:topLinePunct w:val="0"/>
              <w:bidi w:val="0"/>
              <w:spacing w:line="36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w:t>
            </w:r>
          </w:p>
        </w:tc>
      </w:tr>
      <w:tr w14:paraId="3368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6BC36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3.3.1</w:t>
            </w:r>
          </w:p>
        </w:tc>
        <w:tc>
          <w:tcPr>
            <w:tcW w:w="1456" w:type="pct"/>
            <w:tcBorders>
              <w:top w:val="single" w:color="auto" w:sz="4" w:space="0"/>
              <w:left w:val="single" w:color="auto" w:sz="4" w:space="0"/>
              <w:bottom w:val="single" w:color="auto" w:sz="4" w:space="0"/>
              <w:right w:val="single" w:color="auto" w:sz="4" w:space="0"/>
            </w:tcBorders>
          </w:tcPr>
          <w:p w14:paraId="15A76AE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tc>
        <w:tc>
          <w:tcPr>
            <w:tcW w:w="2729" w:type="pct"/>
            <w:tcBorders>
              <w:top w:val="single" w:color="auto" w:sz="4" w:space="0"/>
              <w:left w:val="single" w:color="auto" w:sz="4" w:space="0"/>
              <w:bottom w:val="single" w:color="auto" w:sz="4" w:space="0"/>
              <w:right w:val="single" w:color="auto" w:sz="4" w:space="0"/>
            </w:tcBorders>
          </w:tcPr>
          <w:p w14:paraId="281AB58A">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rPr>
            </w:pPr>
            <w:r>
              <w:rPr>
                <w:rFonts w:hint="eastAsia" w:ascii="仿宋" w:hAnsi="仿宋" w:eastAsia="仿宋" w:cs="仿宋"/>
                <w:sz w:val="28"/>
                <w:szCs w:val="28"/>
              </w:rPr>
              <w:t>开标时间截止前</w:t>
            </w:r>
          </w:p>
        </w:tc>
      </w:tr>
      <w:tr w14:paraId="576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C8CB6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3.4.1</w:t>
            </w:r>
          </w:p>
        </w:tc>
        <w:tc>
          <w:tcPr>
            <w:tcW w:w="1456" w:type="pct"/>
            <w:tcBorders>
              <w:top w:val="single" w:color="auto" w:sz="4" w:space="0"/>
              <w:left w:val="single" w:color="auto" w:sz="4" w:space="0"/>
              <w:bottom w:val="single" w:color="auto" w:sz="4" w:space="0"/>
              <w:right w:val="single" w:color="auto" w:sz="4" w:space="0"/>
            </w:tcBorders>
          </w:tcPr>
          <w:p w14:paraId="2E510B7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响应保证金</w:t>
            </w:r>
          </w:p>
        </w:tc>
        <w:tc>
          <w:tcPr>
            <w:tcW w:w="2729" w:type="pct"/>
            <w:tcBorders>
              <w:top w:val="single" w:color="auto" w:sz="4" w:space="0"/>
              <w:left w:val="single" w:color="auto" w:sz="4" w:space="0"/>
              <w:bottom w:val="single" w:color="auto" w:sz="4" w:space="0"/>
              <w:right w:val="single" w:color="auto" w:sz="4" w:space="0"/>
            </w:tcBorders>
          </w:tcPr>
          <w:p w14:paraId="78A61BB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不要求递交</w:t>
            </w:r>
          </w:p>
          <w:p w14:paraId="31DBCC5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要求递交</w:t>
            </w:r>
          </w:p>
          <w:p w14:paraId="630F116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保证金的金额：</w:t>
            </w:r>
          </w:p>
          <w:p w14:paraId="1A4E444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保证金的形式：</w:t>
            </w:r>
          </w:p>
        </w:tc>
      </w:tr>
      <w:tr w14:paraId="148C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BDD45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3.4.2</w:t>
            </w:r>
          </w:p>
        </w:tc>
        <w:tc>
          <w:tcPr>
            <w:tcW w:w="1456" w:type="pct"/>
            <w:tcBorders>
              <w:top w:val="single" w:color="auto" w:sz="4" w:space="0"/>
              <w:left w:val="single" w:color="auto" w:sz="4" w:space="0"/>
              <w:bottom w:val="single" w:color="auto" w:sz="4" w:space="0"/>
              <w:right w:val="single" w:color="auto" w:sz="4" w:space="0"/>
            </w:tcBorders>
          </w:tcPr>
          <w:p w14:paraId="4D55CB2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退还响应保证金的时间</w:t>
            </w:r>
          </w:p>
        </w:tc>
        <w:tc>
          <w:tcPr>
            <w:tcW w:w="2729" w:type="pct"/>
            <w:tcBorders>
              <w:top w:val="single" w:color="auto" w:sz="4" w:space="0"/>
              <w:left w:val="single" w:color="auto" w:sz="4" w:space="0"/>
              <w:bottom w:val="single" w:color="auto" w:sz="4" w:space="0"/>
              <w:right w:val="single" w:color="auto" w:sz="4" w:space="0"/>
            </w:tcBorders>
            <w:vAlign w:val="center"/>
          </w:tcPr>
          <w:p w14:paraId="47AA1E33">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25FF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3E2F51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3.4.3（3）</w:t>
            </w:r>
          </w:p>
        </w:tc>
        <w:tc>
          <w:tcPr>
            <w:tcW w:w="1456" w:type="pct"/>
            <w:tcBorders>
              <w:top w:val="single" w:color="auto" w:sz="4" w:space="0"/>
              <w:left w:val="single" w:color="auto" w:sz="4" w:space="0"/>
              <w:bottom w:val="single" w:color="auto" w:sz="4" w:space="0"/>
              <w:right w:val="single" w:color="auto" w:sz="4" w:space="0"/>
            </w:tcBorders>
          </w:tcPr>
          <w:p w14:paraId="51D6909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不退还响应保证金的其他情形</w:t>
            </w:r>
          </w:p>
        </w:tc>
        <w:tc>
          <w:tcPr>
            <w:tcW w:w="2729" w:type="pct"/>
            <w:tcBorders>
              <w:top w:val="single" w:color="auto" w:sz="4" w:space="0"/>
              <w:left w:val="single" w:color="auto" w:sz="4" w:space="0"/>
              <w:bottom w:val="single" w:color="auto" w:sz="4" w:space="0"/>
              <w:right w:val="single" w:color="auto" w:sz="4" w:space="0"/>
            </w:tcBorders>
            <w:vAlign w:val="center"/>
          </w:tcPr>
          <w:p w14:paraId="69B8E6C4">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4B05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9A4717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3.5（1）</w:t>
            </w:r>
          </w:p>
        </w:tc>
        <w:tc>
          <w:tcPr>
            <w:tcW w:w="1456" w:type="pct"/>
            <w:tcBorders>
              <w:top w:val="single" w:color="auto" w:sz="4" w:space="0"/>
              <w:left w:val="single" w:color="auto" w:sz="4" w:space="0"/>
              <w:bottom w:val="single" w:color="auto" w:sz="4" w:space="0"/>
              <w:right w:val="single" w:color="auto" w:sz="4" w:space="0"/>
            </w:tcBorders>
          </w:tcPr>
          <w:p w14:paraId="48A6C383">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依法设立的证明材料</w:t>
            </w:r>
          </w:p>
        </w:tc>
        <w:tc>
          <w:tcPr>
            <w:tcW w:w="2729" w:type="pct"/>
            <w:tcBorders>
              <w:top w:val="single" w:color="auto" w:sz="4" w:space="0"/>
              <w:left w:val="single" w:color="auto" w:sz="4" w:space="0"/>
              <w:bottom w:val="single" w:color="auto" w:sz="4" w:space="0"/>
              <w:right w:val="single" w:color="auto" w:sz="4" w:space="0"/>
            </w:tcBorders>
          </w:tcPr>
          <w:p w14:paraId="6DC8288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供应商应提供市场监管部门或其他行政机关颁发的可以合法开展业务的执照或证书复印件</w:t>
            </w:r>
          </w:p>
        </w:tc>
      </w:tr>
      <w:tr w14:paraId="0E85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0E71D0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3.5（2）</w:t>
            </w:r>
          </w:p>
        </w:tc>
        <w:tc>
          <w:tcPr>
            <w:tcW w:w="1456" w:type="pct"/>
            <w:tcBorders>
              <w:top w:val="single" w:color="auto" w:sz="4" w:space="0"/>
              <w:left w:val="single" w:color="auto" w:sz="4" w:space="0"/>
              <w:bottom w:val="single" w:color="auto" w:sz="4" w:space="0"/>
              <w:right w:val="single" w:color="auto" w:sz="4" w:space="0"/>
            </w:tcBorders>
          </w:tcPr>
          <w:p w14:paraId="3C0761E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资质要求证明材料</w:t>
            </w:r>
          </w:p>
        </w:tc>
        <w:tc>
          <w:tcPr>
            <w:tcW w:w="2729" w:type="pct"/>
            <w:tcBorders>
              <w:top w:val="single" w:color="auto" w:sz="4" w:space="0"/>
              <w:left w:val="single" w:color="auto" w:sz="4" w:space="0"/>
              <w:bottom w:val="single" w:color="auto" w:sz="4" w:space="0"/>
              <w:right w:val="single" w:color="auto" w:sz="4" w:space="0"/>
            </w:tcBorders>
          </w:tcPr>
          <w:p w14:paraId="57332C1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□不适用</w:t>
            </w:r>
          </w:p>
          <w:p w14:paraId="66873DB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适用。供应商应提供相关资质证书副本的复印件，以证明供应商具有承担本项目要求的资质</w:t>
            </w:r>
          </w:p>
        </w:tc>
      </w:tr>
      <w:tr w14:paraId="2A69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CEB18E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3.5（3）</w:t>
            </w:r>
          </w:p>
        </w:tc>
        <w:tc>
          <w:tcPr>
            <w:tcW w:w="1456" w:type="pct"/>
            <w:tcBorders>
              <w:top w:val="single" w:color="auto" w:sz="4" w:space="0"/>
              <w:left w:val="single" w:color="auto" w:sz="4" w:space="0"/>
              <w:bottom w:val="single" w:color="auto" w:sz="4" w:space="0"/>
              <w:right w:val="single" w:color="auto" w:sz="4" w:space="0"/>
            </w:tcBorders>
          </w:tcPr>
          <w:p w14:paraId="7D36C60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财务要求证明材料</w:t>
            </w:r>
          </w:p>
        </w:tc>
        <w:tc>
          <w:tcPr>
            <w:tcW w:w="2729" w:type="pct"/>
            <w:tcBorders>
              <w:top w:val="single" w:color="auto" w:sz="4" w:space="0"/>
              <w:left w:val="single" w:color="auto" w:sz="4" w:space="0"/>
              <w:bottom w:val="single" w:color="auto" w:sz="4" w:space="0"/>
              <w:right w:val="single" w:color="auto" w:sz="4" w:space="0"/>
            </w:tcBorders>
          </w:tcPr>
          <w:p w14:paraId="04FDE73E">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不适用</w:t>
            </w:r>
            <w:r>
              <w:rPr>
                <w:rFonts w:hint="eastAsia" w:ascii="仿宋" w:hAnsi="仿宋" w:eastAsia="仿宋" w:cs="仿宋"/>
                <w:sz w:val="28"/>
                <w:szCs w:val="28"/>
                <w:lang w:eastAsia="zh-CN"/>
              </w:rPr>
              <w:t>。</w:t>
            </w:r>
            <w:r>
              <w:rPr>
                <w:rFonts w:hint="eastAsia" w:ascii="仿宋" w:hAnsi="仿宋" w:eastAsia="仿宋" w:cs="仿宋"/>
                <w:sz w:val="28"/>
                <w:szCs w:val="28"/>
              </w:rPr>
              <w:t>供应商</w:t>
            </w:r>
            <w:r>
              <w:rPr>
                <w:rFonts w:hint="eastAsia" w:ascii="仿宋" w:hAnsi="仿宋" w:eastAsia="仿宋" w:cs="仿宋"/>
                <w:sz w:val="28"/>
                <w:szCs w:val="28"/>
                <w:lang w:eastAsia="zh-CN"/>
              </w:rPr>
              <w:t>提供近一年完税证明。</w:t>
            </w:r>
          </w:p>
          <w:p w14:paraId="76D4637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适用。供应商应提供经会计师事务所或审计机构审计的近年财务会计报表复印件，包括资产负债表、现金流量表、利润表等。近年财务会计报表年份是指：</w:t>
            </w:r>
            <w:r>
              <w:rPr>
                <w:rFonts w:hint="eastAsia" w:ascii="仿宋" w:hAnsi="仿宋" w:eastAsia="仿宋" w:cs="仿宋"/>
                <w:sz w:val="28"/>
                <w:szCs w:val="28"/>
                <w:lang w:val="en-US" w:eastAsia="zh-CN"/>
              </w:rPr>
              <w:t xml:space="preserve">2023 </w:t>
            </w:r>
            <w:r>
              <w:rPr>
                <w:rFonts w:hint="eastAsia" w:ascii="仿宋" w:hAnsi="仿宋" w:eastAsia="仿宋" w:cs="仿宋"/>
                <w:sz w:val="28"/>
                <w:szCs w:val="28"/>
              </w:rPr>
              <w:t xml:space="preserve">至 </w:t>
            </w:r>
            <w:r>
              <w:rPr>
                <w:rFonts w:hint="eastAsia" w:ascii="仿宋" w:hAnsi="仿宋" w:eastAsia="仿宋" w:cs="仿宋"/>
                <w:sz w:val="28"/>
                <w:szCs w:val="28"/>
                <w:lang w:val="en-US" w:eastAsia="zh-CN"/>
              </w:rPr>
              <w:t>2025</w:t>
            </w:r>
            <w:r>
              <w:rPr>
                <w:rFonts w:hint="eastAsia" w:ascii="仿宋" w:hAnsi="仿宋" w:eastAsia="仿宋" w:cs="仿宋"/>
                <w:sz w:val="28"/>
                <w:szCs w:val="28"/>
              </w:rPr>
              <w:t xml:space="preserve"> 年（供应商的成立时间少于该规定年份的，应提供成立以来的财务会计报表）</w:t>
            </w:r>
          </w:p>
          <w:p w14:paraId="7F522BA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□适用。供应商应提供近年财务会计报表复印件，包括资产负债表、利润表。近年财务会计报表年份是指：    至     年（供应商的成立时间少于该规定年份的，应提供成立以来的财务会计报表）</w:t>
            </w:r>
          </w:p>
          <w:p w14:paraId="511DEF5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4"/>
                <w:szCs w:val="24"/>
              </w:rPr>
              <w:t>（注:有财务要求的，应选择两种财务会计报表中的一种作为财务证明资料。）</w:t>
            </w:r>
          </w:p>
        </w:tc>
      </w:tr>
      <w:tr w14:paraId="0FD2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167C58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3.5（4）</w:t>
            </w:r>
          </w:p>
        </w:tc>
        <w:tc>
          <w:tcPr>
            <w:tcW w:w="1456" w:type="pct"/>
            <w:tcBorders>
              <w:top w:val="single" w:color="auto" w:sz="4" w:space="0"/>
              <w:left w:val="single" w:color="auto" w:sz="4" w:space="0"/>
              <w:bottom w:val="single" w:color="auto" w:sz="4" w:space="0"/>
              <w:right w:val="single" w:color="auto" w:sz="4" w:space="0"/>
            </w:tcBorders>
          </w:tcPr>
          <w:p w14:paraId="1D7B52E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业绩要求证明材料</w:t>
            </w:r>
          </w:p>
        </w:tc>
        <w:tc>
          <w:tcPr>
            <w:tcW w:w="2729" w:type="pct"/>
            <w:tcBorders>
              <w:top w:val="single" w:color="auto" w:sz="4" w:space="0"/>
              <w:left w:val="single" w:color="auto" w:sz="4" w:space="0"/>
              <w:bottom w:val="single" w:color="auto" w:sz="4" w:space="0"/>
              <w:right w:val="single" w:color="auto" w:sz="4" w:space="0"/>
            </w:tcBorders>
          </w:tcPr>
          <w:p w14:paraId="4812147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0423E9C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适用。供应商应提供近年的类似项目情况表（格式见第六章“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格式”七、资格审查资料（三）近年的类似项目情况表），以证明供应商具有承担本项目要求的业绩。近年是指：</w:t>
            </w:r>
            <w:r>
              <w:rPr>
                <w:rFonts w:hint="eastAsia" w:ascii="仿宋" w:hAnsi="仿宋" w:eastAsia="仿宋" w:cs="仿宋"/>
                <w:sz w:val="28"/>
                <w:szCs w:val="28"/>
                <w:lang w:val="en-US" w:eastAsia="zh-CN"/>
              </w:rPr>
              <w:t xml:space="preserve">2023 </w:t>
            </w:r>
            <w:r>
              <w:rPr>
                <w:rFonts w:hint="eastAsia" w:ascii="仿宋" w:hAnsi="仿宋" w:eastAsia="仿宋" w:cs="仿宋"/>
                <w:sz w:val="28"/>
                <w:szCs w:val="28"/>
              </w:rPr>
              <w:t xml:space="preserve">至 </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p>
          <w:p w14:paraId="4D0300A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业绩证明材料：</w:t>
            </w:r>
          </w:p>
          <w:p w14:paraId="15C6402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合同/订单</w:t>
            </w:r>
          </w:p>
          <w:p w14:paraId="138E961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中标通知书/成交通知书</w:t>
            </w:r>
          </w:p>
          <w:p w14:paraId="0F248FB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竣工验收报告/验收证明</w:t>
            </w:r>
          </w:p>
          <w:p w14:paraId="4E207FF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业主证明</w:t>
            </w:r>
          </w:p>
          <w:p w14:paraId="652939F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其他材料：</w:t>
            </w:r>
          </w:p>
          <w:p w14:paraId="15D9FB8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业绩证明材料种类要求：</w:t>
            </w:r>
          </w:p>
          <w:p w14:paraId="4ADB8CE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提供上述勾选的任一项证明材料即可</w:t>
            </w:r>
          </w:p>
          <w:p w14:paraId="0835EE9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□需同时提供上述勾选的所有证明材料</w:t>
            </w:r>
          </w:p>
          <w:p w14:paraId="483B8D0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□其他要求：</w:t>
            </w:r>
          </w:p>
        </w:tc>
      </w:tr>
      <w:tr w14:paraId="73A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3A789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3.5（5）</w:t>
            </w:r>
          </w:p>
        </w:tc>
        <w:tc>
          <w:tcPr>
            <w:tcW w:w="1456" w:type="pct"/>
            <w:tcBorders>
              <w:top w:val="single" w:color="auto" w:sz="4" w:space="0"/>
              <w:left w:val="single" w:color="auto" w:sz="4" w:space="0"/>
              <w:bottom w:val="single" w:color="auto" w:sz="4" w:space="0"/>
              <w:right w:val="single" w:color="auto" w:sz="4" w:space="0"/>
            </w:tcBorders>
          </w:tcPr>
          <w:p w14:paraId="6E0955E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信誉要求证明材料</w:t>
            </w:r>
          </w:p>
        </w:tc>
        <w:tc>
          <w:tcPr>
            <w:tcW w:w="2729" w:type="pct"/>
            <w:tcBorders>
              <w:top w:val="single" w:color="auto" w:sz="4" w:space="0"/>
              <w:left w:val="single" w:color="auto" w:sz="4" w:space="0"/>
              <w:bottom w:val="single" w:color="auto" w:sz="4" w:space="0"/>
              <w:right w:val="single" w:color="auto" w:sz="4" w:space="0"/>
            </w:tcBorders>
          </w:tcPr>
          <w:p w14:paraId="62FDD22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□不适用</w:t>
            </w:r>
          </w:p>
          <w:p w14:paraId="388364E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适用。供应商应提供相关信誉情况的证明材料</w:t>
            </w:r>
          </w:p>
        </w:tc>
      </w:tr>
      <w:tr w14:paraId="495E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0632E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3.5（6）</w:t>
            </w:r>
          </w:p>
        </w:tc>
        <w:tc>
          <w:tcPr>
            <w:tcW w:w="1456" w:type="pct"/>
            <w:tcBorders>
              <w:top w:val="single" w:color="auto" w:sz="4" w:space="0"/>
              <w:left w:val="single" w:color="auto" w:sz="4" w:space="0"/>
              <w:bottom w:val="single" w:color="auto" w:sz="4" w:space="0"/>
              <w:right w:val="single" w:color="auto" w:sz="4" w:space="0"/>
            </w:tcBorders>
          </w:tcPr>
          <w:p w14:paraId="5E45E69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承担本项目的主要人员要求证明材料</w:t>
            </w:r>
          </w:p>
        </w:tc>
        <w:tc>
          <w:tcPr>
            <w:tcW w:w="2729" w:type="pct"/>
            <w:tcBorders>
              <w:top w:val="single" w:color="auto" w:sz="4" w:space="0"/>
              <w:left w:val="single" w:color="auto" w:sz="4" w:space="0"/>
              <w:bottom w:val="single" w:color="auto" w:sz="4" w:space="0"/>
              <w:right w:val="single" w:color="auto" w:sz="4" w:space="0"/>
            </w:tcBorders>
          </w:tcPr>
          <w:p w14:paraId="219E36C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15C49D4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□适用。供应商应提供拟委任的主要人员汇总表和主要人员简历表（格式见第六章“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七、资格审查资料（四）拟委任的主要人员汇总表和（五）主要人员简历表）。供应商应填报满足第一章“询比采购公告/询比采购邀请书”规定的项目负责人和其他主要人员的相关信息，并按如下要求提供相关证明文件：</w:t>
            </w:r>
          </w:p>
          <w:p w14:paraId="6BCB714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4"/>
                <w:szCs w:val="24"/>
              </w:rPr>
              <w:t>（注:一般工程和服务项目有本项要求。采购人可在此处明确对有关人员职称证书、执业证书、社保缴费证明及业绩证明等的具体要求。）</w:t>
            </w:r>
          </w:p>
        </w:tc>
      </w:tr>
      <w:tr w14:paraId="4098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F8ACC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3.5（7）</w:t>
            </w:r>
          </w:p>
        </w:tc>
        <w:tc>
          <w:tcPr>
            <w:tcW w:w="1456" w:type="pct"/>
            <w:tcBorders>
              <w:top w:val="single" w:color="auto" w:sz="4" w:space="0"/>
              <w:left w:val="single" w:color="auto" w:sz="4" w:space="0"/>
              <w:bottom w:val="single" w:color="auto" w:sz="4" w:space="0"/>
              <w:right w:val="single" w:color="auto" w:sz="4" w:space="0"/>
            </w:tcBorders>
          </w:tcPr>
          <w:p w14:paraId="02B4329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其他要求的证明材料</w:t>
            </w:r>
          </w:p>
        </w:tc>
        <w:tc>
          <w:tcPr>
            <w:tcW w:w="2729" w:type="pct"/>
            <w:tcBorders>
              <w:top w:val="single" w:color="auto" w:sz="4" w:space="0"/>
              <w:left w:val="single" w:color="auto" w:sz="4" w:space="0"/>
              <w:bottom w:val="single" w:color="auto" w:sz="4" w:space="0"/>
              <w:right w:val="single" w:color="auto" w:sz="4" w:space="0"/>
            </w:tcBorders>
            <w:vAlign w:val="center"/>
          </w:tcPr>
          <w:p w14:paraId="1AB0142B">
            <w:pPr>
              <w:keepNext w:val="0"/>
              <w:keepLines w:val="0"/>
              <w:pageBreakBefore w:val="0"/>
              <w:wordWrap/>
              <w:overflowPunct/>
              <w:topLinePunct w:val="0"/>
              <w:bidi w:val="0"/>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5745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814" w:type="pct"/>
            <w:tcBorders>
              <w:top w:val="single" w:color="auto" w:sz="4" w:space="0"/>
              <w:left w:val="single" w:color="auto" w:sz="4" w:space="0"/>
              <w:bottom w:val="single" w:color="auto" w:sz="4" w:space="0"/>
              <w:right w:val="single" w:color="auto" w:sz="4" w:space="0"/>
            </w:tcBorders>
          </w:tcPr>
          <w:p w14:paraId="71FFE1D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3.5（8）</w:t>
            </w:r>
          </w:p>
        </w:tc>
        <w:tc>
          <w:tcPr>
            <w:tcW w:w="1456" w:type="pct"/>
            <w:tcBorders>
              <w:top w:val="single" w:color="auto" w:sz="4" w:space="0"/>
              <w:left w:val="single" w:color="auto" w:sz="4" w:space="0"/>
              <w:bottom w:val="single" w:color="auto" w:sz="4" w:space="0"/>
              <w:right w:val="single" w:color="auto" w:sz="4" w:space="0"/>
            </w:tcBorders>
          </w:tcPr>
          <w:p w14:paraId="4030DFDF">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供应商不存在第一章</w:t>
            </w:r>
            <w:r>
              <w:rPr>
                <w:rFonts w:hint="eastAsia" w:ascii="仿宋" w:hAnsi="仿宋" w:eastAsia="仿宋" w:cs="仿宋"/>
                <w:sz w:val="28"/>
                <w:szCs w:val="28"/>
                <w:vertAlign w:val="baseline"/>
                <w:lang w:val="en-US" w:eastAsia="zh-CN"/>
              </w:rPr>
              <w:t>3.2条款情形的证明材料</w:t>
            </w:r>
          </w:p>
        </w:tc>
        <w:tc>
          <w:tcPr>
            <w:tcW w:w="2729" w:type="pct"/>
            <w:tcBorders>
              <w:top w:val="single" w:color="auto" w:sz="4" w:space="0"/>
              <w:left w:val="single" w:color="auto" w:sz="4" w:space="0"/>
              <w:bottom w:val="single" w:color="auto" w:sz="4" w:space="0"/>
              <w:right w:val="single" w:color="auto" w:sz="4" w:space="0"/>
            </w:tcBorders>
          </w:tcPr>
          <w:p w14:paraId="595ADC2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不需提供证明材料</w:t>
            </w:r>
          </w:p>
          <w:p w14:paraId="1BEED0F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□需要提供证明材料，包括：</w:t>
            </w:r>
          </w:p>
        </w:tc>
      </w:tr>
      <w:tr w14:paraId="12AD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6DA559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3.5（9）</w:t>
            </w:r>
          </w:p>
        </w:tc>
        <w:tc>
          <w:tcPr>
            <w:tcW w:w="1456" w:type="pct"/>
            <w:tcBorders>
              <w:top w:val="single" w:color="auto" w:sz="4" w:space="0"/>
              <w:left w:val="single" w:color="auto" w:sz="4" w:space="0"/>
              <w:bottom w:val="single" w:color="auto" w:sz="4" w:space="0"/>
              <w:right w:val="single" w:color="auto" w:sz="4" w:space="0"/>
            </w:tcBorders>
          </w:tcPr>
          <w:p w14:paraId="345F377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联合体要求的证明材料</w:t>
            </w:r>
          </w:p>
        </w:tc>
        <w:tc>
          <w:tcPr>
            <w:tcW w:w="2729" w:type="pct"/>
            <w:tcBorders>
              <w:top w:val="single" w:color="auto" w:sz="4" w:space="0"/>
              <w:left w:val="single" w:color="auto" w:sz="4" w:space="0"/>
              <w:bottom w:val="single" w:color="auto" w:sz="4" w:space="0"/>
              <w:right w:val="single" w:color="auto" w:sz="4" w:space="0"/>
            </w:tcBorders>
          </w:tcPr>
          <w:p w14:paraId="5C8DE85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06DD0D1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□适用。供应商应按照采购文件提供的格式（格式见第六章“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格式”三、联合体协议书）拟订联合体协议书，并提供联合体协议书的原件。联合体协议书应明确联合体各方的分工</w:t>
            </w:r>
          </w:p>
        </w:tc>
      </w:tr>
      <w:tr w14:paraId="22F3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F9949F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3.7.5</w:t>
            </w:r>
          </w:p>
        </w:tc>
        <w:tc>
          <w:tcPr>
            <w:tcW w:w="1456" w:type="pct"/>
            <w:tcBorders>
              <w:top w:val="single" w:color="auto" w:sz="4" w:space="0"/>
              <w:left w:val="single" w:color="auto" w:sz="4" w:space="0"/>
              <w:bottom w:val="single" w:color="auto" w:sz="4" w:space="0"/>
              <w:right w:val="single" w:color="auto" w:sz="4" w:space="0"/>
            </w:tcBorders>
          </w:tcPr>
          <w:p w14:paraId="5E64A2D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副本份数及电子版要求</w:t>
            </w:r>
          </w:p>
        </w:tc>
        <w:tc>
          <w:tcPr>
            <w:tcW w:w="2729" w:type="pct"/>
            <w:tcBorders>
              <w:top w:val="single" w:color="auto" w:sz="4" w:space="0"/>
              <w:left w:val="single" w:color="auto" w:sz="4" w:space="0"/>
              <w:bottom w:val="single" w:color="auto" w:sz="4" w:space="0"/>
              <w:right w:val="single" w:color="auto" w:sz="4" w:space="0"/>
            </w:tcBorders>
          </w:tcPr>
          <w:p w14:paraId="1E073EE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响应文件</w:t>
            </w:r>
            <w:r>
              <w:rPr>
                <w:rFonts w:hint="eastAsia" w:ascii="仿宋" w:hAnsi="仿宋" w:eastAsia="仿宋" w:cs="仿宋"/>
                <w:sz w:val="28"/>
                <w:szCs w:val="28"/>
              </w:rPr>
              <w:t>副本</w:t>
            </w:r>
            <w:r>
              <w:rPr>
                <w:rFonts w:hint="eastAsia" w:ascii="仿宋" w:hAnsi="仿宋" w:eastAsia="仿宋" w:cs="仿宋"/>
                <w:sz w:val="28"/>
                <w:szCs w:val="28"/>
                <w:lang w:val="en-US" w:eastAsia="zh-CN"/>
              </w:rPr>
              <w:t>1</w:t>
            </w:r>
            <w:r>
              <w:rPr>
                <w:rFonts w:hint="eastAsia" w:ascii="仿宋" w:hAnsi="仿宋" w:eastAsia="仿宋" w:cs="仿宋"/>
                <w:sz w:val="28"/>
                <w:szCs w:val="28"/>
              </w:rPr>
              <w:t>份</w:t>
            </w:r>
          </w:p>
          <w:p w14:paraId="2E5779B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是否要求提供电子版</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14:paraId="1D1374E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□不要求</w:t>
            </w:r>
          </w:p>
          <w:p w14:paraId="2EB4AD3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要求，提供电子版</w:t>
            </w:r>
            <w:r>
              <w:rPr>
                <w:rFonts w:hint="eastAsia" w:ascii="仿宋" w:hAnsi="仿宋" w:eastAsia="仿宋" w:cs="仿宋"/>
                <w:sz w:val="28"/>
                <w:szCs w:val="28"/>
                <w:lang w:eastAsia="zh-CN"/>
              </w:rPr>
              <w:t>响应文件</w:t>
            </w:r>
            <w:r>
              <w:rPr>
                <w:rFonts w:hint="eastAsia" w:ascii="仿宋" w:hAnsi="仿宋" w:eastAsia="仿宋" w:cs="仿宋"/>
                <w:sz w:val="28"/>
                <w:szCs w:val="28"/>
              </w:rPr>
              <w:t>的形式：</w:t>
            </w:r>
            <w:r>
              <w:rPr>
                <w:rFonts w:hint="eastAsia" w:ascii="仿宋" w:hAnsi="仿宋" w:eastAsia="仿宋" w:cs="仿宋"/>
                <w:sz w:val="28"/>
                <w:szCs w:val="28"/>
                <w:lang w:eastAsia="zh-CN"/>
              </w:rPr>
              <w:t>上传中机国际电子采购平台</w:t>
            </w:r>
          </w:p>
        </w:tc>
      </w:tr>
      <w:tr w14:paraId="0DD0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5E682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4.2.</w:t>
            </w:r>
            <w:r>
              <w:rPr>
                <w:rFonts w:hint="eastAsia" w:ascii="仿宋" w:hAnsi="仿宋" w:eastAsia="仿宋" w:cs="仿宋"/>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tcPr>
          <w:p w14:paraId="00D471E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递交</w:t>
            </w:r>
            <w:r>
              <w:rPr>
                <w:rFonts w:hint="eastAsia" w:ascii="仿宋" w:hAnsi="仿宋" w:eastAsia="仿宋" w:cs="仿宋"/>
                <w:sz w:val="28"/>
                <w:szCs w:val="28"/>
                <w:lang w:eastAsia="zh-CN"/>
              </w:rPr>
              <w:t>响应文件</w:t>
            </w:r>
            <w:r>
              <w:rPr>
                <w:rFonts w:hint="eastAsia" w:ascii="仿宋" w:hAnsi="仿宋" w:eastAsia="仿宋" w:cs="仿宋"/>
                <w:sz w:val="28"/>
                <w:szCs w:val="28"/>
              </w:rPr>
              <w:t>截止时间和地点</w:t>
            </w:r>
          </w:p>
        </w:tc>
        <w:tc>
          <w:tcPr>
            <w:tcW w:w="2729" w:type="pct"/>
            <w:tcBorders>
              <w:top w:val="single" w:color="auto" w:sz="4" w:space="0"/>
              <w:left w:val="single" w:color="auto" w:sz="4" w:space="0"/>
              <w:bottom w:val="single" w:color="auto" w:sz="4" w:space="0"/>
              <w:right w:val="single" w:color="auto" w:sz="4" w:space="0"/>
            </w:tcBorders>
          </w:tcPr>
          <w:p w14:paraId="18E4C90C">
            <w:pPr>
              <w:keepNext w:val="0"/>
              <w:keepLines w:val="0"/>
              <w:pageBreakBefore w:val="0"/>
              <w:wordWrap/>
              <w:overflowPunct/>
              <w:topLinePunct w:val="0"/>
              <w:bidi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截止时间：2026年 1 月 19 日 15:30；</w:t>
            </w:r>
          </w:p>
          <w:p w14:paraId="71EC1224">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递交</w:t>
            </w:r>
            <w:r>
              <w:rPr>
                <w:rFonts w:hint="eastAsia" w:ascii="仿宋" w:hAnsi="仿宋" w:eastAsia="仿宋" w:cs="仿宋"/>
                <w:sz w:val="28"/>
                <w:szCs w:val="28"/>
                <w:lang w:eastAsia="zh-CN"/>
              </w:rPr>
              <w:t>响应文件</w:t>
            </w:r>
            <w:r>
              <w:rPr>
                <w:rFonts w:hint="eastAsia" w:ascii="仿宋" w:hAnsi="仿宋" w:eastAsia="仿宋" w:cs="仿宋"/>
                <w:sz w:val="28"/>
                <w:szCs w:val="28"/>
              </w:rPr>
              <w:t>的地点：</w:t>
            </w:r>
            <w:r>
              <w:rPr>
                <w:rFonts w:hint="eastAsia" w:ascii="仿宋" w:hAnsi="仿宋" w:eastAsia="仿宋" w:cs="仿宋"/>
                <w:sz w:val="28"/>
                <w:szCs w:val="28"/>
                <w:lang w:val="en-US" w:eastAsia="zh-CN"/>
              </w:rPr>
              <w:t>湖南省长沙市雨花区韶山中路18号中机国际B座23楼</w:t>
            </w:r>
          </w:p>
        </w:tc>
      </w:tr>
      <w:tr w14:paraId="03CD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06C2CC">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4.2.2</w:t>
            </w:r>
          </w:p>
        </w:tc>
        <w:tc>
          <w:tcPr>
            <w:tcW w:w="1456" w:type="pct"/>
            <w:tcBorders>
              <w:top w:val="single" w:color="auto" w:sz="4" w:space="0"/>
              <w:left w:val="single" w:color="auto" w:sz="4" w:space="0"/>
              <w:bottom w:val="single" w:color="auto" w:sz="4" w:space="0"/>
              <w:right w:val="single" w:color="auto" w:sz="4" w:space="0"/>
            </w:tcBorders>
          </w:tcPr>
          <w:p w14:paraId="7BB9F36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是否退还响应文件</w:t>
            </w:r>
          </w:p>
        </w:tc>
        <w:tc>
          <w:tcPr>
            <w:tcW w:w="2729" w:type="pct"/>
            <w:tcBorders>
              <w:top w:val="single" w:color="auto" w:sz="4" w:space="0"/>
              <w:left w:val="single" w:color="auto" w:sz="4" w:space="0"/>
              <w:bottom w:val="single" w:color="auto" w:sz="4" w:space="0"/>
              <w:right w:val="single" w:color="auto" w:sz="4" w:space="0"/>
            </w:tcBorders>
          </w:tcPr>
          <w:p w14:paraId="2EFCB242">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否</w:t>
            </w:r>
          </w:p>
          <w:p w14:paraId="76556F0E">
            <w:pPr>
              <w:keepNext w:val="0"/>
              <w:keepLines w:val="0"/>
              <w:pageBreakBefore w:val="0"/>
              <w:wordWrap/>
              <w:overflowPunct/>
              <w:topLinePunct w:val="0"/>
              <w:bidi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eastAsia="zh-CN"/>
              </w:rPr>
              <w:t>是，退还时间：</w:t>
            </w:r>
          </w:p>
        </w:tc>
      </w:tr>
      <w:tr w14:paraId="07B9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3CBEAE8">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4.3.3</w:t>
            </w:r>
          </w:p>
        </w:tc>
        <w:tc>
          <w:tcPr>
            <w:tcW w:w="1456" w:type="pct"/>
            <w:tcBorders>
              <w:top w:val="single" w:color="auto" w:sz="4" w:space="0"/>
              <w:left w:val="single" w:color="auto" w:sz="4" w:space="0"/>
              <w:bottom w:val="single" w:color="auto" w:sz="4" w:space="0"/>
              <w:right w:val="single" w:color="auto" w:sz="4" w:space="0"/>
            </w:tcBorders>
          </w:tcPr>
          <w:p w14:paraId="7723B99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供应商撤回响应文件情况下退还响应保证金的时间</w:t>
            </w:r>
          </w:p>
        </w:tc>
        <w:tc>
          <w:tcPr>
            <w:tcW w:w="2729" w:type="pct"/>
            <w:tcBorders>
              <w:top w:val="single" w:color="auto" w:sz="4" w:space="0"/>
              <w:left w:val="single" w:color="auto" w:sz="4" w:space="0"/>
              <w:bottom w:val="single" w:color="auto" w:sz="4" w:space="0"/>
              <w:right w:val="single" w:color="auto" w:sz="4" w:space="0"/>
            </w:tcBorders>
          </w:tcPr>
          <w:p w14:paraId="72423A51">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自采购人收到供应商的书面通知之日起</w:t>
            </w:r>
            <w:r>
              <w:rPr>
                <w:rFonts w:hint="eastAsia" w:ascii="仿宋" w:hAnsi="仿宋" w:eastAsia="仿宋" w:cs="仿宋"/>
                <w:sz w:val="28"/>
                <w:szCs w:val="28"/>
                <w:vertAlign w:val="baseline"/>
                <w:lang w:val="en-US" w:eastAsia="zh-CN"/>
              </w:rPr>
              <w:t xml:space="preserve"> / 日内</w:t>
            </w:r>
          </w:p>
        </w:tc>
      </w:tr>
      <w:tr w14:paraId="4D68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B15784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7.3</w:t>
            </w:r>
          </w:p>
        </w:tc>
        <w:tc>
          <w:tcPr>
            <w:tcW w:w="1456" w:type="pct"/>
            <w:tcBorders>
              <w:top w:val="single" w:color="auto" w:sz="4" w:space="0"/>
              <w:left w:val="single" w:color="auto" w:sz="4" w:space="0"/>
              <w:bottom w:val="single" w:color="auto" w:sz="4" w:space="0"/>
              <w:right w:val="single" w:color="auto" w:sz="4" w:space="0"/>
            </w:tcBorders>
          </w:tcPr>
          <w:p w14:paraId="06DF222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预成交结果公示</w:t>
            </w:r>
          </w:p>
        </w:tc>
        <w:tc>
          <w:tcPr>
            <w:tcW w:w="2729" w:type="pct"/>
            <w:tcBorders>
              <w:top w:val="single" w:color="auto" w:sz="4" w:space="0"/>
              <w:left w:val="single" w:color="auto" w:sz="4" w:space="0"/>
              <w:bottom w:val="single" w:color="auto" w:sz="4" w:space="0"/>
              <w:right w:val="single" w:color="auto" w:sz="4" w:space="0"/>
            </w:tcBorders>
          </w:tcPr>
          <w:p w14:paraId="74A6508E">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公示媒介：</w:t>
            </w:r>
            <w:r>
              <w:rPr>
                <w:rFonts w:hint="eastAsia" w:ascii="仿宋" w:hAnsi="仿宋" w:eastAsia="仿宋" w:cs="仿宋"/>
                <w:color w:val="auto"/>
                <w:sz w:val="28"/>
                <w:szCs w:val="28"/>
                <w:lang w:val="en-US" w:eastAsia="zh-CN"/>
              </w:rPr>
              <w:t>/</w:t>
            </w:r>
          </w:p>
          <w:p w14:paraId="6A97CF08">
            <w:pPr>
              <w:keepNext w:val="0"/>
              <w:keepLines w:val="0"/>
              <w:pageBreakBefore w:val="0"/>
              <w:wordWrap/>
              <w:overflowPunct/>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公示期限：</w:t>
            </w:r>
            <w:r>
              <w:rPr>
                <w:rFonts w:hint="eastAsia" w:ascii="仿宋" w:hAnsi="仿宋" w:eastAsia="仿宋" w:cs="仿宋"/>
                <w:sz w:val="28"/>
                <w:szCs w:val="28"/>
                <w:lang w:val="en-US" w:eastAsia="zh-CN"/>
              </w:rPr>
              <w:t>/</w:t>
            </w:r>
          </w:p>
          <w:p w14:paraId="61E7CFC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其他应公示的内容：</w:t>
            </w:r>
          </w:p>
          <w:p w14:paraId="600860C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4"/>
                <w:szCs w:val="24"/>
              </w:rPr>
              <w:t>（注：国有资金占控股或主导地位的采购项目，预成交结果公示应在中国招标投标公共服务平台发布，或者通过省级电子招标投标公共服务平台在中国招标投标公共服务平台发布。）</w:t>
            </w:r>
          </w:p>
        </w:tc>
      </w:tr>
      <w:tr w14:paraId="6670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7C5839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7.5</w:t>
            </w:r>
          </w:p>
        </w:tc>
        <w:tc>
          <w:tcPr>
            <w:tcW w:w="1456" w:type="pct"/>
            <w:tcBorders>
              <w:top w:val="single" w:color="auto" w:sz="4" w:space="0"/>
              <w:left w:val="single" w:color="auto" w:sz="4" w:space="0"/>
              <w:bottom w:val="single" w:color="auto" w:sz="4" w:space="0"/>
              <w:right w:val="single" w:color="auto" w:sz="4" w:space="0"/>
            </w:tcBorders>
          </w:tcPr>
          <w:p w14:paraId="0C2E150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发布成交公告</w:t>
            </w:r>
          </w:p>
        </w:tc>
        <w:tc>
          <w:tcPr>
            <w:tcW w:w="2729" w:type="pct"/>
            <w:tcBorders>
              <w:top w:val="single" w:color="auto" w:sz="4" w:space="0"/>
              <w:left w:val="single" w:color="auto" w:sz="4" w:space="0"/>
              <w:bottom w:val="single" w:color="auto" w:sz="4" w:space="0"/>
              <w:right w:val="single" w:color="auto" w:sz="4" w:space="0"/>
            </w:tcBorders>
          </w:tcPr>
          <w:p w14:paraId="02FBA050">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公告媒介：</w:t>
            </w:r>
            <w:r>
              <w:rPr>
                <w:rFonts w:hint="eastAsia" w:ascii="仿宋" w:hAnsi="仿宋" w:eastAsia="仿宋" w:cs="仿宋"/>
                <w:color w:val="auto"/>
                <w:sz w:val="28"/>
                <w:szCs w:val="28"/>
                <w:lang w:val="en-US" w:eastAsia="zh-CN"/>
              </w:rPr>
              <w:t>/</w:t>
            </w:r>
          </w:p>
          <w:p w14:paraId="1528A0D4">
            <w:pPr>
              <w:keepNext w:val="0"/>
              <w:keepLines w:val="0"/>
              <w:pageBreakBefore w:val="0"/>
              <w:wordWrap/>
              <w:overflowPunct/>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其他应公告的内容：</w:t>
            </w:r>
            <w:r>
              <w:rPr>
                <w:rFonts w:hint="eastAsia" w:ascii="仿宋" w:hAnsi="仿宋" w:eastAsia="仿宋" w:cs="仿宋"/>
                <w:sz w:val="28"/>
                <w:szCs w:val="28"/>
                <w:lang w:val="en-US" w:eastAsia="zh-CN"/>
              </w:rPr>
              <w:t>/</w:t>
            </w:r>
          </w:p>
          <w:p w14:paraId="2EB8336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4"/>
                <w:szCs w:val="24"/>
              </w:rPr>
              <w:t>（注：国有资金占控股或主导地位的采购项目，成交公告应在中国招标投标公共服务平台发布，或者通过省级电子招标投标公共服务平台在中国招标投标公共服务平台发布。）</w:t>
            </w:r>
          </w:p>
        </w:tc>
      </w:tr>
      <w:tr w14:paraId="5A86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FA3758E">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7.6</w:t>
            </w:r>
          </w:p>
        </w:tc>
        <w:tc>
          <w:tcPr>
            <w:tcW w:w="1456" w:type="pct"/>
            <w:tcBorders>
              <w:top w:val="single" w:color="auto" w:sz="4" w:space="0"/>
              <w:left w:val="single" w:color="auto" w:sz="4" w:space="0"/>
              <w:bottom w:val="single" w:color="auto" w:sz="4" w:space="0"/>
              <w:right w:val="single" w:color="auto" w:sz="4" w:space="0"/>
            </w:tcBorders>
          </w:tcPr>
          <w:p w14:paraId="6C4A6A33">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履约保证金</w:t>
            </w:r>
          </w:p>
        </w:tc>
        <w:tc>
          <w:tcPr>
            <w:tcW w:w="2729" w:type="pct"/>
            <w:tcBorders>
              <w:top w:val="single" w:color="auto" w:sz="4" w:space="0"/>
              <w:left w:val="single" w:color="auto" w:sz="4" w:space="0"/>
              <w:bottom w:val="single" w:color="auto" w:sz="4" w:space="0"/>
              <w:right w:val="single" w:color="auto" w:sz="4" w:space="0"/>
            </w:tcBorders>
          </w:tcPr>
          <w:p w14:paraId="7D8A206C">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rPr>
              <w:t>不要求递交</w:t>
            </w:r>
          </w:p>
          <w:p w14:paraId="02ABB8BA">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default" w:ascii="仿宋" w:hAnsi="仿宋" w:eastAsia="仿宋" w:cs="仿宋"/>
                <w:sz w:val="28"/>
                <w:szCs w:val="28"/>
                <w:lang w:val="en-US"/>
              </w:rPr>
              <w:t>□要求递交</w:t>
            </w:r>
          </w:p>
          <w:p w14:paraId="31F0B079">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default" w:ascii="仿宋" w:hAnsi="仿宋" w:eastAsia="仿宋" w:cs="仿宋"/>
                <w:sz w:val="28"/>
                <w:szCs w:val="28"/>
                <w:lang w:val="en-US"/>
              </w:rPr>
              <w:t>履约保证金金额：</w:t>
            </w:r>
          </w:p>
          <w:p w14:paraId="7EDB409F">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default" w:ascii="仿宋" w:hAnsi="仿宋" w:eastAsia="仿宋" w:cs="仿宋"/>
                <w:sz w:val="28"/>
                <w:szCs w:val="28"/>
                <w:lang w:val="en-US"/>
              </w:rPr>
              <w:t>履约保证金形式：</w:t>
            </w:r>
          </w:p>
          <w:p w14:paraId="0A32CE6B">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default" w:ascii="仿宋" w:hAnsi="仿宋" w:eastAsia="仿宋" w:cs="仿宋"/>
                <w:sz w:val="28"/>
                <w:szCs w:val="28"/>
                <w:lang w:val="en-US"/>
              </w:rPr>
              <w:t>履约保证金有效期限：</w:t>
            </w:r>
          </w:p>
          <w:p w14:paraId="0A967848">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default" w:ascii="仿宋" w:hAnsi="仿宋" w:eastAsia="仿宋" w:cs="仿宋"/>
                <w:sz w:val="28"/>
                <w:szCs w:val="28"/>
                <w:lang w:val="en-US"/>
              </w:rPr>
              <w:t>递交时间：</w:t>
            </w:r>
          </w:p>
          <w:p w14:paraId="013ADFD7">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其他要求：</w:t>
            </w:r>
          </w:p>
        </w:tc>
      </w:tr>
      <w:tr w14:paraId="2124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88A52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8.1</w:t>
            </w:r>
          </w:p>
        </w:tc>
        <w:tc>
          <w:tcPr>
            <w:tcW w:w="1456" w:type="pct"/>
            <w:tcBorders>
              <w:top w:val="single" w:color="auto" w:sz="4" w:space="0"/>
              <w:left w:val="single" w:color="auto" w:sz="4" w:space="0"/>
              <w:bottom w:val="single" w:color="auto" w:sz="4" w:space="0"/>
              <w:right w:val="single" w:color="auto" w:sz="4" w:space="0"/>
            </w:tcBorders>
          </w:tcPr>
          <w:p w14:paraId="34F5B7D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异议渠道</w:t>
            </w:r>
          </w:p>
        </w:tc>
        <w:tc>
          <w:tcPr>
            <w:tcW w:w="2729" w:type="pct"/>
            <w:tcBorders>
              <w:top w:val="single" w:color="auto" w:sz="4" w:space="0"/>
              <w:left w:val="single" w:color="auto" w:sz="4" w:space="0"/>
              <w:bottom w:val="single" w:color="auto" w:sz="4" w:space="0"/>
              <w:right w:val="single" w:color="auto" w:sz="4" w:space="0"/>
            </w:tcBorders>
          </w:tcPr>
          <w:p w14:paraId="17BCFB94">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rPr>
              <w:t>联系人：</w:t>
            </w:r>
            <w:r>
              <w:rPr>
                <w:rFonts w:hint="eastAsia" w:ascii="仿宋" w:hAnsi="仿宋" w:eastAsia="仿宋" w:cs="仿宋"/>
                <w:sz w:val="28"/>
                <w:szCs w:val="28"/>
                <w:lang w:eastAsia="zh-CN"/>
              </w:rPr>
              <w:t>陈岳鹏</w:t>
            </w:r>
          </w:p>
          <w:p w14:paraId="38C3D77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联系电话：17798762000</w:t>
            </w:r>
          </w:p>
        </w:tc>
      </w:tr>
      <w:tr w14:paraId="6478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A03BE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10.2</w:t>
            </w:r>
          </w:p>
        </w:tc>
        <w:tc>
          <w:tcPr>
            <w:tcW w:w="1456" w:type="pct"/>
            <w:tcBorders>
              <w:top w:val="single" w:color="auto" w:sz="4" w:space="0"/>
              <w:left w:val="single" w:color="auto" w:sz="4" w:space="0"/>
              <w:bottom w:val="single" w:color="auto" w:sz="4" w:space="0"/>
              <w:right w:val="single" w:color="auto" w:sz="4" w:space="0"/>
            </w:tcBorders>
          </w:tcPr>
          <w:p w14:paraId="4F06C9D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需要补充的其他内容</w:t>
            </w:r>
          </w:p>
        </w:tc>
        <w:tc>
          <w:tcPr>
            <w:tcW w:w="2729" w:type="pct"/>
            <w:tcBorders>
              <w:top w:val="single" w:color="auto" w:sz="4" w:space="0"/>
              <w:left w:val="single" w:color="auto" w:sz="4" w:space="0"/>
              <w:bottom w:val="single" w:color="auto" w:sz="4" w:space="0"/>
              <w:right w:val="single" w:color="auto" w:sz="4" w:space="0"/>
            </w:tcBorders>
          </w:tcPr>
          <w:p w14:paraId="6DF87FB5">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bl>
    <w:p w14:paraId="3E05591F">
      <w:pPr>
        <w:rPr>
          <w:rFonts w:hint="eastAsia" w:ascii="仿宋" w:hAnsi="仿宋" w:eastAsia="仿宋" w:cs="仿宋"/>
          <w:sz w:val="32"/>
          <w:szCs w:val="32"/>
        </w:rPr>
      </w:pPr>
      <w:r>
        <w:rPr>
          <w:rFonts w:hint="eastAsia" w:ascii="仿宋" w:hAnsi="仿宋" w:eastAsia="仿宋" w:cs="仿宋"/>
          <w:sz w:val="32"/>
          <w:szCs w:val="32"/>
        </w:rPr>
        <w:br w:type="page"/>
      </w:r>
    </w:p>
    <w:p w14:paraId="7E80BE9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1 总则</w:t>
      </w:r>
    </w:p>
    <w:p w14:paraId="6369310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 采购方式</w:t>
      </w:r>
    </w:p>
    <w:p w14:paraId="2C969B8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本项目采用中国招标投标协会发布的《非招标方式采购代理服务规范》（T/CTB</w:t>
      </w:r>
      <w:r>
        <w:rPr>
          <w:rFonts w:hint="eastAsia" w:ascii="仿宋" w:hAnsi="仿宋" w:eastAsia="仿宋" w:cs="仿宋"/>
          <w:sz w:val="32"/>
          <w:szCs w:val="32"/>
          <w:lang w:eastAsia="zh-CN"/>
        </w:rPr>
        <w:t>工程</w:t>
      </w:r>
      <w:r>
        <w:rPr>
          <w:rFonts w:hint="eastAsia" w:ascii="仿宋" w:hAnsi="仿宋" w:eastAsia="仿宋" w:cs="仿宋"/>
          <w:sz w:val="32"/>
          <w:szCs w:val="32"/>
        </w:rPr>
        <w:t>001—2019）规定的询比采购方式。</w:t>
      </w:r>
    </w:p>
    <w:p w14:paraId="6F3E970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询比采购是指采购人组建评审小组对响应采购的供应商按照采购文件规定的规则和时间一次递交的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进行评审，采购人根据评审小组的评审结果，选择确定成交供应商的采购方式。</w:t>
      </w:r>
    </w:p>
    <w:p w14:paraId="159F41E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1.2 采购项目概况和供应商资格要求</w:t>
      </w:r>
    </w:p>
    <w:p w14:paraId="3952254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采购项目概况和供应商资格要求见第一章“询比采购公告/询比采购邀请书”。</w:t>
      </w:r>
    </w:p>
    <w:p w14:paraId="5781205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1.3 费用承担</w:t>
      </w:r>
    </w:p>
    <w:p w14:paraId="097E360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供应商准备和参加询比采购活动所发生的各种费用由供应商自行承担。</w:t>
      </w:r>
    </w:p>
    <w:p w14:paraId="0737251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1.4 保密</w:t>
      </w:r>
    </w:p>
    <w:p w14:paraId="6C39F4E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参加询比采购活动的各方应对采购文件和</w:t>
      </w:r>
      <w:r>
        <w:rPr>
          <w:rFonts w:hint="eastAsia" w:ascii="仿宋" w:hAnsi="仿宋" w:eastAsia="仿宋" w:cs="仿宋"/>
          <w:sz w:val="32"/>
          <w:szCs w:val="32"/>
          <w:lang w:eastAsia="zh-CN"/>
        </w:rPr>
        <w:t>响应文件</w:t>
      </w:r>
      <w:r>
        <w:rPr>
          <w:rFonts w:hint="eastAsia" w:ascii="仿宋" w:hAnsi="仿宋" w:eastAsia="仿宋" w:cs="仿宋"/>
          <w:sz w:val="32"/>
          <w:szCs w:val="32"/>
        </w:rPr>
        <w:t>中的商业和技术等秘密保密，否则应承担相应的法律责任。</w:t>
      </w:r>
    </w:p>
    <w:p w14:paraId="1EF823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1.5 语言文字</w:t>
      </w:r>
    </w:p>
    <w:p w14:paraId="3FDDFFC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采购文件和</w:t>
      </w:r>
      <w:r>
        <w:rPr>
          <w:rFonts w:hint="eastAsia" w:ascii="仿宋" w:hAnsi="仿宋" w:eastAsia="仿宋" w:cs="仿宋"/>
          <w:sz w:val="32"/>
          <w:szCs w:val="32"/>
          <w:lang w:eastAsia="zh-CN"/>
        </w:rPr>
        <w:t>响应文件</w:t>
      </w:r>
      <w:r>
        <w:rPr>
          <w:rFonts w:hint="eastAsia" w:ascii="仿宋" w:hAnsi="仿宋" w:eastAsia="仿宋" w:cs="仿宋"/>
          <w:sz w:val="32"/>
          <w:szCs w:val="32"/>
        </w:rPr>
        <w:t>使用的语言文字为中文。专用术语使用外文的，应附有中文注释。</w:t>
      </w:r>
    </w:p>
    <w:p w14:paraId="0DABBE2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1.6 计量单位</w:t>
      </w:r>
    </w:p>
    <w:p w14:paraId="0654B0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所有计量均采用中华人民共和国法定计量单位。</w:t>
      </w:r>
    </w:p>
    <w:p w14:paraId="2E90BD0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 踏勘现场</w:t>
      </w:r>
    </w:p>
    <w:p w14:paraId="1C1DD5B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供应商须知前附表规定组织踏勘现场的，采购人按供应商须知前附表规定的时间、地点组织供应商踏勘项目现场。部分供应商未按时参加踏勘现场的，不影响踏勘现场的正常进行。</w:t>
      </w:r>
    </w:p>
    <w:p w14:paraId="161A50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供应商可自愿参加踏勘现场活动。除采购人的原因外，采购人对供应商参加踏勘现场中所发生的人员伤亡和财产损失不承担责任。</w:t>
      </w:r>
    </w:p>
    <w:p w14:paraId="180427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采购人在踏勘现场中介绍的工程场地和相关的周边环境情况，仅作为供应商编制</w:t>
      </w:r>
      <w:r>
        <w:rPr>
          <w:rFonts w:hint="eastAsia" w:ascii="仿宋" w:hAnsi="仿宋" w:eastAsia="仿宋" w:cs="仿宋"/>
          <w:sz w:val="32"/>
          <w:szCs w:val="32"/>
          <w:lang w:eastAsia="zh-CN"/>
        </w:rPr>
        <w:t>响应文件</w:t>
      </w:r>
      <w:r>
        <w:rPr>
          <w:rFonts w:hint="eastAsia" w:ascii="仿宋" w:hAnsi="仿宋" w:eastAsia="仿宋" w:cs="仿宋"/>
          <w:sz w:val="32"/>
          <w:szCs w:val="32"/>
        </w:rPr>
        <w:t>的参考，采购人不对供应商据此作出的判断和决策负责。</w:t>
      </w:r>
    </w:p>
    <w:p w14:paraId="5DD03B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1.8 询比采购预备会</w:t>
      </w:r>
    </w:p>
    <w:p w14:paraId="1A7A3C3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供应商须知前附表规定召开询比采购预备会的，采购人按供应商须知前附表规定的时间和地点召开询比采购预备会。</w:t>
      </w:r>
    </w:p>
    <w:p w14:paraId="00FFD8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1.9 分包（</w:t>
      </w:r>
      <w:r>
        <w:rPr>
          <w:rFonts w:hint="eastAsia" w:ascii="仿宋" w:hAnsi="仿宋" w:eastAsia="仿宋" w:cs="仿宋"/>
          <w:sz w:val="32"/>
          <w:szCs w:val="32"/>
          <w:lang w:eastAsia="zh-CN"/>
        </w:rPr>
        <w:t>工程、服务</w:t>
      </w:r>
      <w:r>
        <w:rPr>
          <w:rFonts w:hint="eastAsia" w:ascii="仿宋" w:hAnsi="仿宋" w:eastAsia="仿宋" w:cs="仿宋"/>
          <w:sz w:val="32"/>
          <w:szCs w:val="32"/>
        </w:rPr>
        <w:t>）</w:t>
      </w:r>
    </w:p>
    <w:p w14:paraId="5FC93B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供应商拟在成交后将成交项目的部分工作进行分包的，应符合供应商须知前附表的规定，并在</w:t>
      </w:r>
      <w:r>
        <w:rPr>
          <w:rFonts w:hint="eastAsia" w:ascii="仿宋" w:hAnsi="仿宋" w:eastAsia="仿宋" w:cs="仿宋"/>
          <w:sz w:val="32"/>
          <w:szCs w:val="32"/>
          <w:lang w:eastAsia="zh-CN"/>
        </w:rPr>
        <w:t>响应文件</w:t>
      </w:r>
      <w:r>
        <w:rPr>
          <w:rFonts w:hint="eastAsia" w:ascii="仿宋" w:hAnsi="仿宋" w:eastAsia="仿宋" w:cs="仿宋"/>
          <w:sz w:val="32"/>
          <w:szCs w:val="32"/>
        </w:rPr>
        <w:t>中作出说明。</w:t>
      </w:r>
    </w:p>
    <w:p w14:paraId="35586D9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分包供应商不得将分包项目再次分包。成交供应商应当就分包项目向采购人负责，分包供应商就分包项目承担连带责任。</w:t>
      </w:r>
    </w:p>
    <w:p w14:paraId="02F5E6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1.9 主要材料和关键部件外购（</w:t>
      </w:r>
      <w:r>
        <w:rPr>
          <w:rFonts w:hint="eastAsia" w:ascii="仿宋" w:hAnsi="仿宋" w:eastAsia="仿宋" w:cs="仿宋"/>
          <w:sz w:val="32"/>
          <w:szCs w:val="32"/>
          <w:lang w:eastAsia="zh-CN"/>
        </w:rPr>
        <w:t>物资</w:t>
      </w:r>
      <w:r>
        <w:rPr>
          <w:rFonts w:hint="eastAsia" w:ascii="仿宋" w:hAnsi="仿宋" w:eastAsia="仿宋" w:cs="仿宋"/>
          <w:sz w:val="32"/>
          <w:szCs w:val="32"/>
        </w:rPr>
        <w:t>）</w:t>
      </w:r>
    </w:p>
    <w:p w14:paraId="086848F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供应商拟对主要材料和关键部件进行外购的，应符合第五章“采购需求”中提出的或允许外购的相关规定，并在</w:t>
      </w:r>
      <w:r>
        <w:rPr>
          <w:rFonts w:hint="eastAsia" w:ascii="仿宋" w:hAnsi="仿宋" w:eastAsia="仿宋" w:cs="仿宋"/>
          <w:sz w:val="32"/>
          <w:szCs w:val="32"/>
          <w:lang w:eastAsia="zh-CN"/>
        </w:rPr>
        <w:t>响应文件</w:t>
      </w:r>
      <w:r>
        <w:rPr>
          <w:rFonts w:hint="eastAsia" w:ascii="仿宋" w:hAnsi="仿宋" w:eastAsia="仿宋" w:cs="仿宋"/>
          <w:sz w:val="32"/>
          <w:szCs w:val="32"/>
        </w:rPr>
        <w:t>中作出说明。</w:t>
      </w:r>
    </w:p>
    <w:p w14:paraId="593231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 响应和偏差</w:t>
      </w:r>
    </w:p>
    <w:p w14:paraId="1D1433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采购需求和合同条款及格式中的关键条款均以“*”符号标记。</w:t>
      </w:r>
      <w:r>
        <w:rPr>
          <w:rFonts w:hint="eastAsia" w:ascii="仿宋" w:hAnsi="仿宋" w:eastAsia="仿宋" w:cs="仿宋"/>
          <w:sz w:val="32"/>
          <w:szCs w:val="32"/>
          <w:lang w:eastAsia="zh-CN"/>
        </w:rPr>
        <w:t>响应文件</w:t>
      </w:r>
      <w:r>
        <w:rPr>
          <w:rFonts w:hint="eastAsia" w:ascii="仿宋" w:hAnsi="仿宋" w:eastAsia="仿宋" w:cs="仿宋"/>
          <w:sz w:val="32"/>
          <w:szCs w:val="32"/>
        </w:rPr>
        <w:t>应当对采购需求和合同条款及格式中的关键条款作出满足性或更有利于采购人的响应，否则，供应商的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3797BB2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供应商须知前附表规定了对非关键条款允许偏差的范围和可以偏差的项数的，如</w:t>
      </w:r>
      <w:r>
        <w:rPr>
          <w:rFonts w:hint="eastAsia" w:ascii="仿宋" w:hAnsi="仿宋" w:eastAsia="仿宋" w:cs="仿宋"/>
          <w:sz w:val="32"/>
          <w:szCs w:val="32"/>
          <w:lang w:eastAsia="zh-CN"/>
        </w:rPr>
        <w:t>响应文件</w:t>
      </w:r>
      <w:r>
        <w:rPr>
          <w:rFonts w:hint="eastAsia" w:ascii="仿宋" w:hAnsi="仿宋" w:eastAsia="仿宋" w:cs="仿宋"/>
          <w:sz w:val="32"/>
          <w:szCs w:val="32"/>
        </w:rPr>
        <w:t>存在的偏差超出上述范围或项数，将被视为无效。</w:t>
      </w:r>
    </w:p>
    <w:p w14:paraId="0DDF36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2 采购文件</w:t>
      </w:r>
    </w:p>
    <w:p w14:paraId="707B5B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 采购文件的组成</w:t>
      </w:r>
    </w:p>
    <w:p w14:paraId="69FDEA1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本采购文件包括：</w:t>
      </w:r>
    </w:p>
    <w:p w14:paraId="5A1CAFF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（1）询比采购公告（或询比采购邀请书）；</w:t>
      </w:r>
    </w:p>
    <w:p w14:paraId="16FAFBF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（2）供应商须知；</w:t>
      </w:r>
    </w:p>
    <w:p w14:paraId="2D359FA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（3）评审办法；</w:t>
      </w:r>
    </w:p>
    <w:p w14:paraId="73A3846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（4）合同条款及格式；</w:t>
      </w:r>
    </w:p>
    <w:p w14:paraId="74BA716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（5）采购需求；</w:t>
      </w:r>
    </w:p>
    <w:p w14:paraId="096EA7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w:t>
      </w:r>
      <w:r>
        <w:rPr>
          <w:rFonts w:hint="eastAsia" w:ascii="仿宋" w:hAnsi="仿宋" w:eastAsia="仿宋" w:cs="仿宋"/>
          <w:sz w:val="32"/>
          <w:szCs w:val="32"/>
          <w:lang w:eastAsia="zh-CN"/>
        </w:rPr>
        <w:t>响应文件</w:t>
      </w:r>
      <w:r>
        <w:rPr>
          <w:rFonts w:hint="eastAsia" w:ascii="仿宋" w:hAnsi="仿宋" w:eastAsia="仿宋" w:cs="仿宋"/>
          <w:sz w:val="32"/>
          <w:szCs w:val="32"/>
        </w:rPr>
        <w:t>格式；</w:t>
      </w:r>
    </w:p>
    <w:p w14:paraId="07C06E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（7）供应商须知前附表规定的其他资料。</w:t>
      </w:r>
    </w:p>
    <w:p w14:paraId="2EA28AC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采购人依照本章规定，对采购文件所作的澄清、修改，构成采购文件的组成部分。</w:t>
      </w:r>
    </w:p>
    <w:p w14:paraId="33EEF39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 采购文件的澄清和修改</w:t>
      </w:r>
    </w:p>
    <w:p w14:paraId="0B880EA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供应商应仔细阅读和检查采购文件的全部内容。如发现缺页或内容不全，应及时向采购人提出，以便补齐。如有疑问，应在供应商须知前附表规定的时间前，以书面形式要求采购人对采购文件予以澄清。</w:t>
      </w:r>
    </w:p>
    <w:p w14:paraId="703CF1F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采购人可根据供应商的要求或主动对采购文件进行澄清或修改。澄清或修改的内容以补充文件的形式发给所有获取采购文件的供应商。采购人可视具体情况在补充文件中通知供应商推迟递交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w:t>
      </w:r>
    </w:p>
    <w:p w14:paraId="66D8417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供应商在收到补充文件后，应按供应商须知前附表规定的时间和方式通知采购人，确认已收到该补充文件。</w:t>
      </w:r>
    </w:p>
    <w:p w14:paraId="5435670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除非确有必要，采购人有权拒绝回复供应商在本章第2.2.1项规定的时间后提出的任何澄清要求。</w:t>
      </w:r>
    </w:p>
    <w:p w14:paraId="46335342">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rPr>
        <w:t xml:space="preserve">3 </w:t>
      </w:r>
      <w:r>
        <w:rPr>
          <w:rFonts w:hint="eastAsia" w:ascii="仿宋" w:hAnsi="仿宋" w:eastAsia="仿宋" w:cs="仿宋"/>
          <w:b/>
          <w:bCs/>
          <w:sz w:val="32"/>
          <w:szCs w:val="32"/>
          <w:lang w:eastAsia="zh-CN"/>
        </w:rPr>
        <w:t>响应文件</w:t>
      </w:r>
    </w:p>
    <w:p w14:paraId="33112D9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3.1 </w:t>
      </w:r>
      <w:r>
        <w:rPr>
          <w:rFonts w:hint="eastAsia" w:ascii="仿宋" w:hAnsi="仿宋" w:eastAsia="仿宋" w:cs="仿宋"/>
          <w:sz w:val="32"/>
          <w:szCs w:val="32"/>
          <w:lang w:eastAsia="zh-CN"/>
        </w:rPr>
        <w:t>响应文件</w:t>
      </w:r>
      <w:r>
        <w:rPr>
          <w:rFonts w:hint="eastAsia" w:ascii="仿宋" w:hAnsi="仿宋" w:eastAsia="仿宋" w:cs="仿宋"/>
          <w:sz w:val="32"/>
          <w:szCs w:val="32"/>
        </w:rPr>
        <w:t>的组成</w:t>
      </w:r>
    </w:p>
    <w:p w14:paraId="7AFC7C5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应包括下列内容：</w:t>
      </w:r>
    </w:p>
    <w:p w14:paraId="602D399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（1）响应函；</w:t>
      </w:r>
    </w:p>
    <w:p w14:paraId="0E13FE4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（2）授权委托书（如有）；</w:t>
      </w:r>
    </w:p>
    <w:p w14:paraId="40E3E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（3）联合体协议书（如有）；</w:t>
      </w:r>
    </w:p>
    <w:p w14:paraId="055AA4E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（4）响应保证金（如有）；</w:t>
      </w:r>
    </w:p>
    <w:p w14:paraId="7A7F09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（5）商务和技术偏差表；</w:t>
      </w:r>
    </w:p>
    <w:p w14:paraId="3998C25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（6）报价表；</w:t>
      </w:r>
    </w:p>
    <w:p w14:paraId="3F2EB1E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（7）资格审查资料；</w:t>
      </w:r>
    </w:p>
    <w:p w14:paraId="4C84EE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（8）供应商须知前附表规定的其他资料。</w:t>
      </w:r>
    </w:p>
    <w:p w14:paraId="50C1A59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供应商在评审过程中作出的符合采购文件要求的澄清、说明和补正，构成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700AD4F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供应商的法定代表人（单位负责人）亲自签署</w:t>
      </w:r>
      <w:r>
        <w:rPr>
          <w:rFonts w:hint="eastAsia" w:ascii="仿宋" w:hAnsi="仿宋" w:eastAsia="仿宋" w:cs="仿宋"/>
          <w:sz w:val="32"/>
          <w:szCs w:val="32"/>
          <w:lang w:eastAsia="zh-CN"/>
        </w:rPr>
        <w:t>响应文件</w:t>
      </w:r>
      <w:r>
        <w:rPr>
          <w:rFonts w:hint="eastAsia" w:ascii="仿宋" w:hAnsi="仿宋" w:eastAsia="仿宋" w:cs="仿宋"/>
          <w:sz w:val="32"/>
          <w:szCs w:val="32"/>
        </w:rPr>
        <w:t>、亲自参加询比的，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不包括第3.1.1（2）目所指的授权委托书。第一章“询比采购公告/询比采购邀请书”规定不接受联合体的，或供应商没有组成联合体的，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不包括第3.1.1（3）目所指的联合体协议书。供应商须知前附表未要求供应商递交响应保证金的，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不包括第3.1.1（4）目所指的响应保证金。</w:t>
      </w:r>
    </w:p>
    <w:p w14:paraId="62B2EEB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 报价</w:t>
      </w:r>
    </w:p>
    <w:p w14:paraId="1B1C07D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供应商应按采购文件提供的格式（见第六章“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785C864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46B9F7B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采购人设有最高限价的，供应商的报价不得超过最高限价。最高限价或最高限价计算方法在供应商须知前附表中载明。</w:t>
      </w:r>
    </w:p>
    <w:p w14:paraId="5BC3686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报价的其他要求见供应商须知前附表。</w:t>
      </w:r>
    </w:p>
    <w:p w14:paraId="241D586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 xml:space="preserve">3.3 </w:t>
      </w:r>
      <w:r>
        <w:rPr>
          <w:rFonts w:hint="eastAsia" w:ascii="仿宋" w:hAnsi="仿宋" w:eastAsia="仿宋" w:cs="仿宋"/>
          <w:sz w:val="32"/>
          <w:szCs w:val="32"/>
          <w:lang w:eastAsia="zh-CN"/>
        </w:rPr>
        <w:t>响应文件</w:t>
      </w:r>
      <w:r>
        <w:rPr>
          <w:rFonts w:hint="eastAsia" w:ascii="仿宋" w:hAnsi="仿宋" w:eastAsia="仿宋" w:cs="仿宋"/>
          <w:sz w:val="32"/>
          <w:szCs w:val="32"/>
        </w:rPr>
        <w:t>有效期</w:t>
      </w:r>
    </w:p>
    <w:p w14:paraId="44B7E33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有效期应为90日，从采购文件规定的递交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的截止时间开始计算。</w:t>
      </w:r>
    </w:p>
    <w:p w14:paraId="1928088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出现特殊情况需要延长</w:t>
      </w:r>
      <w:r>
        <w:rPr>
          <w:rFonts w:hint="eastAsia" w:ascii="仿宋" w:hAnsi="仿宋" w:eastAsia="仿宋" w:cs="仿宋"/>
          <w:sz w:val="32"/>
          <w:szCs w:val="32"/>
          <w:lang w:eastAsia="zh-CN"/>
        </w:rPr>
        <w:t>响应文件</w:t>
      </w:r>
      <w:r>
        <w:rPr>
          <w:rFonts w:hint="eastAsia" w:ascii="仿宋" w:hAnsi="仿宋" w:eastAsia="仿宋" w:cs="仿宋"/>
          <w:sz w:val="32"/>
          <w:szCs w:val="32"/>
        </w:rPr>
        <w:t>有效期的，采购人以书面形式通知所有供应商延长</w:t>
      </w:r>
      <w:r>
        <w:rPr>
          <w:rFonts w:hint="eastAsia" w:ascii="仿宋" w:hAnsi="仿宋" w:eastAsia="仿宋" w:cs="仿宋"/>
          <w:sz w:val="32"/>
          <w:szCs w:val="32"/>
          <w:lang w:eastAsia="zh-CN"/>
        </w:rPr>
        <w:t>响应文件</w:t>
      </w:r>
      <w:r>
        <w:rPr>
          <w:rFonts w:hint="eastAsia" w:ascii="仿宋" w:hAnsi="仿宋" w:eastAsia="仿宋" w:cs="仿宋"/>
          <w:sz w:val="32"/>
          <w:szCs w:val="32"/>
        </w:rPr>
        <w:t>有效期，供应商应予以书面答复。同意延长的，应相应延长其响应保证金的有效期，但不得修改其</w:t>
      </w:r>
      <w:r>
        <w:rPr>
          <w:rFonts w:hint="eastAsia" w:ascii="仿宋" w:hAnsi="仿宋" w:eastAsia="仿宋" w:cs="仿宋"/>
          <w:sz w:val="32"/>
          <w:szCs w:val="32"/>
          <w:lang w:eastAsia="zh-CN"/>
        </w:rPr>
        <w:t>响应文件</w:t>
      </w:r>
      <w:r>
        <w:rPr>
          <w:rFonts w:hint="eastAsia" w:ascii="仿宋" w:hAnsi="仿宋" w:eastAsia="仿宋" w:cs="仿宋"/>
          <w:sz w:val="32"/>
          <w:szCs w:val="32"/>
        </w:rPr>
        <w:t>；供应商拒绝延长的，其</w:t>
      </w:r>
      <w:r>
        <w:rPr>
          <w:rFonts w:hint="eastAsia" w:ascii="仿宋" w:hAnsi="仿宋" w:eastAsia="仿宋" w:cs="仿宋"/>
          <w:sz w:val="32"/>
          <w:szCs w:val="32"/>
          <w:lang w:eastAsia="zh-CN"/>
        </w:rPr>
        <w:t>响应文件</w:t>
      </w:r>
      <w:r>
        <w:rPr>
          <w:rFonts w:hint="eastAsia" w:ascii="仿宋" w:hAnsi="仿宋" w:eastAsia="仿宋" w:cs="仿宋"/>
          <w:sz w:val="32"/>
          <w:szCs w:val="32"/>
        </w:rPr>
        <w:t>在原有效期届满后失效，但供应商有权收回其响应保证金。</w:t>
      </w:r>
    </w:p>
    <w:p w14:paraId="0A3C91C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 响应保证金</w:t>
      </w:r>
    </w:p>
    <w:p w14:paraId="01CB78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供应商须知前附表规定要求递交响应保证金的，供应商在递交</w:t>
      </w:r>
      <w:r>
        <w:rPr>
          <w:rFonts w:hint="eastAsia" w:ascii="仿宋" w:hAnsi="仿宋" w:eastAsia="仿宋" w:cs="仿宋"/>
          <w:sz w:val="32"/>
          <w:szCs w:val="32"/>
          <w:lang w:eastAsia="zh-CN"/>
        </w:rPr>
        <w:t>响应文件</w:t>
      </w:r>
      <w:r>
        <w:rPr>
          <w:rFonts w:hint="eastAsia" w:ascii="仿宋" w:hAnsi="仿宋" w:eastAsia="仿宋" w:cs="仿宋"/>
          <w:sz w:val="32"/>
          <w:szCs w:val="32"/>
        </w:rPr>
        <w:t>的同时，应按供应商须知前附表规定的金额、形式和采购文件提供的格式（见第六章“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格式”四、响应保证金）递交响应保证金，并作为其</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的组成部分。供应商不按要求递交响应保证金的，其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119EFC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51B35A9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有下列情形之一的，响应保证金将不予退还：</w:t>
      </w:r>
    </w:p>
    <w:p w14:paraId="1595A1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（1）供应商在</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有效期内撤销</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36E50A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（2）成交供应商在收到成交通知书后，无正当理由不与采购人订立合同，在签订合同时向采购人提出附加条件，或者不按照采购文件要求递交履约保证金；</w:t>
      </w:r>
    </w:p>
    <w:p w14:paraId="243CE57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（3）发生供应商须知前附表规定的其他不予退还响应保证金的情形。</w:t>
      </w:r>
    </w:p>
    <w:p w14:paraId="3F8E09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3.5 资格审查资料</w:t>
      </w:r>
    </w:p>
    <w:p w14:paraId="75F6DD4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供应商应提供供应商须知前附表3.5（1）—3.5（9）中规定的资格审查资料，以证明其满足第一章“询比采购公告/询比采购邀请书”对供应商的各项资格要求。</w:t>
      </w:r>
    </w:p>
    <w:p w14:paraId="54B20CA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 响应方案</w:t>
      </w:r>
    </w:p>
    <w:p w14:paraId="12042E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应当对采购文件中的实质性内容作出响应。采购需求中明确为关键条款（标记“*”）的，供应商还应按照供应商须知前附表的规定提供有关证据或证明材料。</w:t>
      </w:r>
    </w:p>
    <w:p w14:paraId="4D901BE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供应商只能提出唯一的响应方案。供应商在</w:t>
      </w:r>
      <w:r>
        <w:rPr>
          <w:rFonts w:hint="eastAsia" w:ascii="仿宋" w:hAnsi="仿宋" w:eastAsia="仿宋" w:cs="仿宋"/>
          <w:sz w:val="32"/>
          <w:szCs w:val="32"/>
          <w:lang w:eastAsia="zh-CN"/>
        </w:rPr>
        <w:t>响应文件</w:t>
      </w:r>
      <w:r>
        <w:rPr>
          <w:rFonts w:hint="eastAsia" w:ascii="仿宋" w:hAnsi="仿宋" w:eastAsia="仿宋" w:cs="仿宋"/>
          <w:sz w:val="32"/>
          <w:szCs w:val="32"/>
        </w:rPr>
        <w:t>中提出多个响应方案的，其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75ABA0B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对采购文件的全部偏差，均应在</w:t>
      </w:r>
      <w:r>
        <w:rPr>
          <w:rFonts w:hint="eastAsia" w:ascii="仿宋" w:hAnsi="仿宋" w:eastAsia="仿宋" w:cs="仿宋"/>
          <w:sz w:val="32"/>
          <w:szCs w:val="32"/>
          <w:lang w:eastAsia="zh-CN"/>
        </w:rPr>
        <w:t>响应文件</w:t>
      </w:r>
      <w:r>
        <w:rPr>
          <w:rFonts w:hint="eastAsia" w:ascii="仿宋" w:hAnsi="仿宋" w:eastAsia="仿宋" w:cs="仿宋"/>
          <w:sz w:val="32"/>
          <w:szCs w:val="32"/>
        </w:rPr>
        <w:t>的商务和技术偏差表中列明。</w:t>
      </w:r>
      <w:r>
        <w:rPr>
          <w:rFonts w:hint="eastAsia" w:ascii="仿宋" w:hAnsi="仿宋" w:eastAsia="仿宋" w:cs="仿宋"/>
          <w:sz w:val="32"/>
          <w:szCs w:val="32"/>
          <w:lang w:eastAsia="zh-CN"/>
        </w:rPr>
        <w:t>响应文件</w:t>
      </w:r>
      <w:r>
        <w:rPr>
          <w:rFonts w:hint="eastAsia" w:ascii="仿宋" w:hAnsi="仿宋" w:eastAsia="仿宋" w:cs="仿宋"/>
          <w:sz w:val="32"/>
          <w:szCs w:val="32"/>
        </w:rPr>
        <w:t>偏差表中未列明的内容，将视为供应商响应采购文件的要求；但如发现</w:t>
      </w:r>
      <w:r>
        <w:rPr>
          <w:rFonts w:hint="eastAsia" w:ascii="仿宋" w:hAnsi="仿宋" w:eastAsia="仿宋" w:cs="仿宋"/>
          <w:sz w:val="32"/>
          <w:szCs w:val="32"/>
          <w:lang w:eastAsia="zh-CN"/>
        </w:rPr>
        <w:t>响应文件</w:t>
      </w:r>
      <w:r>
        <w:rPr>
          <w:rFonts w:hint="eastAsia" w:ascii="仿宋" w:hAnsi="仿宋" w:eastAsia="仿宋" w:cs="仿宋"/>
          <w:sz w:val="32"/>
          <w:szCs w:val="32"/>
        </w:rPr>
        <w:t>的其他部分与商务和技术偏差表的描述不一致或供应商的响应缺乏支持性文件，则评审小组有权要求供应商对相关问题进行澄清，并根据澄清结果对供应商的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w:t>
      </w:r>
    </w:p>
    <w:p w14:paraId="2BA26B8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3.7 </w:t>
      </w:r>
      <w:r>
        <w:rPr>
          <w:rFonts w:hint="eastAsia" w:ascii="仿宋" w:hAnsi="仿宋" w:eastAsia="仿宋" w:cs="仿宋"/>
          <w:sz w:val="32"/>
          <w:szCs w:val="32"/>
          <w:lang w:eastAsia="zh-CN"/>
        </w:rPr>
        <w:t>响应文件</w:t>
      </w:r>
      <w:r>
        <w:rPr>
          <w:rFonts w:hint="eastAsia" w:ascii="仿宋" w:hAnsi="仿宋" w:eastAsia="仿宋" w:cs="仿宋"/>
          <w:sz w:val="32"/>
          <w:szCs w:val="32"/>
        </w:rPr>
        <w:t>的编制</w:t>
      </w:r>
    </w:p>
    <w:p w14:paraId="701FB6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应按第六章“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格式”进行编写，如有必要，可以增加附页，作为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54DDCD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应用不褪色的材料书写或打印。</w:t>
      </w:r>
    </w:p>
    <w:p w14:paraId="42E2F8A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响应函应由供应商的法定代表人（单位负责人）或其授权的代理人签字并加盖单位章。</w:t>
      </w:r>
    </w:p>
    <w:p w14:paraId="027A174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联合体协议书（如有）应由联合体各方的法定代表人（单位负责人）或其授权的代理人签字并加盖单位章。</w:t>
      </w:r>
    </w:p>
    <w:p w14:paraId="6EE2A9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响应函或联合体协议书（如有）由代理人签字的，应在</w:t>
      </w:r>
      <w:r>
        <w:rPr>
          <w:rFonts w:hint="eastAsia" w:ascii="仿宋" w:hAnsi="仿宋" w:eastAsia="仿宋" w:cs="仿宋"/>
          <w:sz w:val="32"/>
          <w:szCs w:val="32"/>
          <w:lang w:eastAsia="zh-CN"/>
        </w:rPr>
        <w:t>响应文件</w:t>
      </w:r>
      <w:r>
        <w:rPr>
          <w:rFonts w:hint="eastAsia" w:ascii="仿宋" w:hAnsi="仿宋" w:eastAsia="仿宋" w:cs="仿宋"/>
          <w:sz w:val="32"/>
          <w:szCs w:val="32"/>
        </w:rPr>
        <w:t>中附授权委托书，授权委托书应由供应商或联合体各方的法定代表人（单位负责人）签字并加盖单位章。</w:t>
      </w:r>
    </w:p>
    <w:p w14:paraId="0F29579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评审过程中供应商对</w:t>
      </w:r>
      <w:r>
        <w:rPr>
          <w:rFonts w:hint="eastAsia" w:ascii="仿宋" w:hAnsi="仿宋" w:eastAsia="仿宋" w:cs="仿宋"/>
          <w:sz w:val="32"/>
          <w:szCs w:val="32"/>
          <w:lang w:eastAsia="zh-CN"/>
        </w:rPr>
        <w:t>响应文件</w:t>
      </w:r>
      <w:r>
        <w:rPr>
          <w:rFonts w:hint="eastAsia" w:ascii="仿宋" w:hAnsi="仿宋" w:eastAsia="仿宋" w:cs="仿宋"/>
          <w:sz w:val="32"/>
          <w:szCs w:val="32"/>
        </w:rPr>
        <w:t>的澄清、说明和补正应由供应商的法定代表人（单位负责人）或其授权的代理人签字或加盖单位章。</w:t>
      </w:r>
    </w:p>
    <w:p w14:paraId="1B294FB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应尽量避免涂改、行间插字或删除。如果出现上述情况，改动之处应由供应商的法定代表人（单位负责人）或其授权的代理人签字或加盖单位章。</w:t>
      </w:r>
    </w:p>
    <w:p w14:paraId="691E15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正本一份，副本份数见供应商须知前附表。正本和副本的封面右上角应清楚地标记“正本”或“副本”的字样。供应商应根据供应商须知前附表要求提供电子版文件。当副本和正本不一致或电子版文件和纸质正本文件不一致时，以纸质正本文件为准。</w:t>
      </w:r>
    </w:p>
    <w:p w14:paraId="71DA62A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3.7.6</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的正本与副本应分别装订，并编制目录。</w:t>
      </w:r>
      <w:r>
        <w:rPr>
          <w:rFonts w:hint="eastAsia" w:ascii="仿宋" w:hAnsi="仿宋" w:eastAsia="仿宋" w:cs="仿宋"/>
          <w:sz w:val="32"/>
          <w:szCs w:val="32"/>
          <w:lang w:eastAsia="zh-CN"/>
        </w:rPr>
        <w:t>响应文件</w:t>
      </w:r>
      <w:r>
        <w:rPr>
          <w:rFonts w:hint="eastAsia" w:ascii="仿宋" w:hAnsi="仿宋" w:eastAsia="仿宋" w:cs="仿宋"/>
          <w:sz w:val="32"/>
          <w:szCs w:val="32"/>
        </w:rPr>
        <w:t>需分册装订的，具体分册装订要求见供应商须知前附表规定。</w:t>
      </w:r>
    </w:p>
    <w:p w14:paraId="3073B06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 xml:space="preserve">4 </w:t>
      </w:r>
      <w:r>
        <w:rPr>
          <w:rFonts w:hint="eastAsia" w:ascii="仿宋" w:hAnsi="仿宋" w:eastAsia="仿宋" w:cs="仿宋"/>
          <w:b/>
          <w:bCs/>
          <w:sz w:val="32"/>
          <w:szCs w:val="32"/>
          <w:lang w:eastAsia="zh-CN"/>
        </w:rPr>
        <w:t>响应文件</w:t>
      </w:r>
      <w:r>
        <w:rPr>
          <w:rFonts w:hint="eastAsia" w:ascii="仿宋" w:hAnsi="仿宋" w:eastAsia="仿宋" w:cs="仿宋"/>
          <w:b/>
          <w:bCs/>
          <w:sz w:val="32"/>
          <w:szCs w:val="32"/>
        </w:rPr>
        <w:t>的递交</w:t>
      </w:r>
    </w:p>
    <w:p w14:paraId="07AAD2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4.1 </w:t>
      </w:r>
      <w:r>
        <w:rPr>
          <w:rFonts w:hint="eastAsia" w:ascii="仿宋" w:hAnsi="仿宋" w:eastAsia="仿宋" w:cs="仿宋"/>
          <w:sz w:val="32"/>
          <w:szCs w:val="32"/>
          <w:lang w:eastAsia="zh-CN"/>
        </w:rPr>
        <w:t>响应文件</w:t>
      </w:r>
      <w:r>
        <w:rPr>
          <w:rFonts w:hint="eastAsia" w:ascii="仿宋" w:hAnsi="仿宋" w:eastAsia="仿宋" w:cs="仿宋"/>
          <w:sz w:val="32"/>
          <w:szCs w:val="32"/>
        </w:rPr>
        <w:t>的包装与标记</w:t>
      </w:r>
    </w:p>
    <w:p w14:paraId="21E244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应密封包装，未密封的</w:t>
      </w:r>
      <w:r>
        <w:rPr>
          <w:rFonts w:hint="eastAsia" w:ascii="仿宋" w:hAnsi="仿宋" w:eastAsia="仿宋" w:cs="仿宋"/>
          <w:sz w:val="32"/>
          <w:szCs w:val="32"/>
          <w:lang w:eastAsia="zh-CN"/>
        </w:rPr>
        <w:t>响应文件</w:t>
      </w:r>
      <w:r>
        <w:rPr>
          <w:rFonts w:hint="eastAsia" w:ascii="仿宋" w:hAnsi="仿宋" w:eastAsia="仿宋" w:cs="仿宋"/>
          <w:sz w:val="32"/>
          <w:szCs w:val="32"/>
        </w:rPr>
        <w:t>，采购人将拒绝接收。</w:t>
      </w:r>
    </w:p>
    <w:p w14:paraId="17B4234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封套上应载明的内容见供应商须知前附表。</w:t>
      </w:r>
    </w:p>
    <w:p w14:paraId="1C989AA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4.2 </w:t>
      </w:r>
      <w:r>
        <w:rPr>
          <w:rFonts w:hint="eastAsia" w:ascii="仿宋" w:hAnsi="仿宋" w:eastAsia="仿宋" w:cs="仿宋"/>
          <w:sz w:val="32"/>
          <w:szCs w:val="32"/>
          <w:lang w:eastAsia="zh-CN"/>
        </w:rPr>
        <w:t>响应文件</w:t>
      </w:r>
      <w:r>
        <w:rPr>
          <w:rFonts w:hint="eastAsia" w:ascii="仿宋" w:hAnsi="仿宋" w:eastAsia="仿宋" w:cs="仿宋"/>
          <w:sz w:val="32"/>
          <w:szCs w:val="32"/>
        </w:rPr>
        <w:t>的递交</w:t>
      </w:r>
    </w:p>
    <w:p w14:paraId="60416DB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供应商应在供应商须知前附表规定的递交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的截止时间前，将</w:t>
      </w:r>
      <w:r>
        <w:rPr>
          <w:rFonts w:hint="eastAsia" w:ascii="仿宋" w:hAnsi="仿宋" w:eastAsia="仿宋" w:cs="仿宋"/>
          <w:sz w:val="32"/>
          <w:szCs w:val="32"/>
          <w:lang w:eastAsia="zh-CN"/>
        </w:rPr>
        <w:t>响应文件</w:t>
      </w:r>
      <w:r>
        <w:rPr>
          <w:rFonts w:hint="eastAsia" w:ascii="仿宋" w:hAnsi="仿宋" w:eastAsia="仿宋" w:cs="仿宋"/>
          <w:sz w:val="32"/>
          <w:szCs w:val="32"/>
        </w:rPr>
        <w:t>递交到供应商须知前附表规定的地点。逾期送达的或者未送达指定地点的</w:t>
      </w:r>
      <w:r>
        <w:rPr>
          <w:rFonts w:hint="eastAsia" w:ascii="仿宋" w:hAnsi="仿宋" w:eastAsia="仿宋" w:cs="仿宋"/>
          <w:sz w:val="32"/>
          <w:szCs w:val="32"/>
          <w:lang w:eastAsia="zh-CN"/>
        </w:rPr>
        <w:t>响应文件</w:t>
      </w:r>
      <w:r>
        <w:rPr>
          <w:rFonts w:hint="eastAsia" w:ascii="仿宋" w:hAnsi="仿宋" w:eastAsia="仿宋" w:cs="仿宋"/>
          <w:sz w:val="32"/>
          <w:szCs w:val="32"/>
        </w:rPr>
        <w:t>，采购人将拒绝接收。采购人收到</w:t>
      </w:r>
      <w:r>
        <w:rPr>
          <w:rFonts w:hint="eastAsia" w:ascii="仿宋" w:hAnsi="仿宋" w:eastAsia="仿宋" w:cs="仿宋"/>
          <w:sz w:val="32"/>
          <w:szCs w:val="32"/>
          <w:lang w:eastAsia="zh-CN"/>
        </w:rPr>
        <w:t>响应文件</w:t>
      </w:r>
      <w:r>
        <w:rPr>
          <w:rFonts w:hint="eastAsia" w:ascii="仿宋" w:hAnsi="仿宋" w:eastAsia="仿宋" w:cs="仿宋"/>
          <w:sz w:val="32"/>
          <w:szCs w:val="32"/>
        </w:rPr>
        <w:t>后，向供应商出具接收凭证。</w:t>
      </w:r>
    </w:p>
    <w:p w14:paraId="59B12B2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除供应商须知前附表另有规定外，供应商所递交的</w:t>
      </w:r>
      <w:r>
        <w:rPr>
          <w:rFonts w:hint="eastAsia" w:ascii="仿宋" w:hAnsi="仿宋" w:eastAsia="仿宋" w:cs="仿宋"/>
          <w:sz w:val="32"/>
          <w:szCs w:val="32"/>
          <w:lang w:eastAsia="zh-CN"/>
        </w:rPr>
        <w:t>响应文件</w:t>
      </w:r>
      <w:r>
        <w:rPr>
          <w:rFonts w:hint="eastAsia" w:ascii="仿宋" w:hAnsi="仿宋" w:eastAsia="仿宋" w:cs="仿宋"/>
          <w:sz w:val="32"/>
          <w:szCs w:val="32"/>
        </w:rPr>
        <w:t>不予退还。</w:t>
      </w:r>
    </w:p>
    <w:p w14:paraId="48E26A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4.3 </w:t>
      </w:r>
      <w:r>
        <w:rPr>
          <w:rFonts w:hint="eastAsia" w:ascii="仿宋" w:hAnsi="仿宋" w:eastAsia="仿宋" w:cs="仿宋"/>
          <w:sz w:val="32"/>
          <w:szCs w:val="32"/>
          <w:lang w:eastAsia="zh-CN"/>
        </w:rPr>
        <w:t>响应文件</w:t>
      </w:r>
      <w:r>
        <w:rPr>
          <w:rFonts w:hint="eastAsia" w:ascii="仿宋" w:hAnsi="仿宋" w:eastAsia="仿宋" w:cs="仿宋"/>
          <w:sz w:val="32"/>
          <w:szCs w:val="32"/>
        </w:rPr>
        <w:t>的修改与撤回</w:t>
      </w:r>
    </w:p>
    <w:p w14:paraId="6812EE4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在本章第4.2.1项规定的递交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的截止时间前，供应商可以修改或撤回已递交的</w:t>
      </w:r>
      <w:r>
        <w:rPr>
          <w:rFonts w:hint="eastAsia" w:ascii="仿宋" w:hAnsi="仿宋" w:eastAsia="仿宋" w:cs="仿宋"/>
          <w:sz w:val="32"/>
          <w:szCs w:val="32"/>
          <w:lang w:eastAsia="zh-CN"/>
        </w:rPr>
        <w:t>响应文件</w:t>
      </w:r>
      <w:r>
        <w:rPr>
          <w:rFonts w:hint="eastAsia" w:ascii="仿宋" w:hAnsi="仿宋" w:eastAsia="仿宋" w:cs="仿宋"/>
          <w:sz w:val="32"/>
          <w:szCs w:val="32"/>
        </w:rPr>
        <w:t>，但应以书面形式通知采购人。</w:t>
      </w:r>
    </w:p>
    <w:p w14:paraId="34FD272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的修改文件或供应商撤回已递交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的书面通知应由供应商的法定代表人（单位负责人）或其授权的代理人签字并加盖单位章。采购人收到供应商修改</w:t>
      </w:r>
      <w:r>
        <w:rPr>
          <w:rFonts w:hint="eastAsia" w:ascii="仿宋" w:hAnsi="仿宋" w:eastAsia="仿宋" w:cs="仿宋"/>
          <w:sz w:val="32"/>
          <w:szCs w:val="32"/>
          <w:lang w:eastAsia="zh-CN"/>
        </w:rPr>
        <w:t>响应文件</w:t>
      </w:r>
      <w:r>
        <w:rPr>
          <w:rFonts w:hint="eastAsia" w:ascii="仿宋" w:hAnsi="仿宋" w:eastAsia="仿宋" w:cs="仿宋"/>
          <w:sz w:val="32"/>
          <w:szCs w:val="32"/>
        </w:rPr>
        <w:t>的书面文件后，向供应商出具接收凭证；采购人收到供应商撤回</w:t>
      </w:r>
      <w:r>
        <w:rPr>
          <w:rFonts w:hint="eastAsia" w:ascii="仿宋" w:hAnsi="仿宋" w:eastAsia="仿宋" w:cs="仿宋"/>
          <w:sz w:val="32"/>
          <w:szCs w:val="32"/>
          <w:lang w:eastAsia="zh-CN"/>
        </w:rPr>
        <w:t>响应文件</w:t>
      </w:r>
      <w:r>
        <w:rPr>
          <w:rFonts w:hint="eastAsia" w:ascii="仿宋" w:hAnsi="仿宋" w:eastAsia="仿宋" w:cs="仿宋"/>
          <w:sz w:val="32"/>
          <w:szCs w:val="32"/>
        </w:rPr>
        <w:t>的书面通知后，退回供应商的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2546C0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除供应商须知前附表另有规定外，供应商撤回</w:t>
      </w:r>
      <w:r>
        <w:rPr>
          <w:rFonts w:hint="eastAsia" w:ascii="仿宋" w:hAnsi="仿宋" w:eastAsia="仿宋" w:cs="仿宋"/>
          <w:sz w:val="32"/>
          <w:szCs w:val="32"/>
          <w:lang w:eastAsia="zh-CN"/>
        </w:rPr>
        <w:t>响应文件</w:t>
      </w:r>
      <w:r>
        <w:rPr>
          <w:rFonts w:hint="eastAsia" w:ascii="仿宋" w:hAnsi="仿宋" w:eastAsia="仿宋" w:cs="仿宋"/>
          <w:sz w:val="32"/>
          <w:szCs w:val="32"/>
        </w:rPr>
        <w:t>的，采购人应在5日内退还已收取的响应保证金。</w:t>
      </w:r>
    </w:p>
    <w:p w14:paraId="0EDDF8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修改的内容为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r>
        <w:rPr>
          <w:rFonts w:hint="eastAsia" w:ascii="仿宋" w:hAnsi="仿宋" w:eastAsia="仿宋" w:cs="仿宋"/>
          <w:sz w:val="32"/>
          <w:szCs w:val="32"/>
          <w:lang w:eastAsia="zh-CN"/>
        </w:rPr>
        <w:t>响应文件</w:t>
      </w:r>
      <w:r>
        <w:rPr>
          <w:rFonts w:hint="eastAsia" w:ascii="仿宋" w:hAnsi="仿宋" w:eastAsia="仿宋" w:cs="仿宋"/>
          <w:sz w:val="32"/>
          <w:szCs w:val="32"/>
        </w:rPr>
        <w:t>的修改文件应按照本章第3条、第4条的规定进行编制、包装、标记和递交，并标明“修改”字样。</w:t>
      </w:r>
    </w:p>
    <w:p w14:paraId="7A268339">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rPr>
        <w:t>5 开启</w:t>
      </w:r>
      <w:r>
        <w:rPr>
          <w:rFonts w:hint="eastAsia" w:ascii="仿宋" w:hAnsi="仿宋" w:eastAsia="仿宋" w:cs="仿宋"/>
          <w:b/>
          <w:bCs/>
          <w:sz w:val="32"/>
          <w:szCs w:val="32"/>
          <w:lang w:eastAsia="zh-CN"/>
        </w:rPr>
        <w:t>响应文件</w:t>
      </w:r>
    </w:p>
    <w:p w14:paraId="4EC143D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 开启</w:t>
      </w:r>
      <w:r>
        <w:rPr>
          <w:rFonts w:hint="eastAsia" w:ascii="仿宋" w:hAnsi="仿宋" w:eastAsia="仿宋" w:cs="仿宋"/>
          <w:sz w:val="32"/>
          <w:szCs w:val="32"/>
          <w:lang w:eastAsia="zh-CN"/>
        </w:rPr>
        <w:t>响应文件</w:t>
      </w:r>
      <w:r>
        <w:rPr>
          <w:rFonts w:hint="eastAsia" w:ascii="仿宋" w:hAnsi="仿宋" w:eastAsia="仿宋" w:cs="仿宋"/>
          <w:sz w:val="32"/>
          <w:szCs w:val="32"/>
        </w:rPr>
        <w:t>的时间和地点</w:t>
      </w:r>
    </w:p>
    <w:p w14:paraId="28A866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采购人在本章第4.2.1项规定的递交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的截止时间和地点公开开启</w:t>
      </w:r>
      <w:r>
        <w:rPr>
          <w:rFonts w:hint="eastAsia" w:ascii="仿宋" w:hAnsi="仿宋" w:eastAsia="仿宋" w:cs="仿宋"/>
          <w:sz w:val="32"/>
          <w:szCs w:val="32"/>
          <w:lang w:eastAsia="zh-CN"/>
        </w:rPr>
        <w:t>响应文件</w:t>
      </w:r>
      <w:r>
        <w:rPr>
          <w:rFonts w:hint="eastAsia" w:ascii="仿宋" w:hAnsi="仿宋" w:eastAsia="仿宋" w:cs="仿宋"/>
          <w:sz w:val="32"/>
          <w:szCs w:val="32"/>
        </w:rPr>
        <w:t>，并邀请所有供应商的法定代表人（单位负责人）或其授权的代理人参加开启会议，供应商未派代表参加的，视为默认开启结果。</w:t>
      </w:r>
    </w:p>
    <w:p w14:paraId="283A0DB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 开启程序</w:t>
      </w:r>
    </w:p>
    <w:p w14:paraId="4DC54FA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主持人按下列程序公开开启</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7F3D46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（1）宣布开启会议纪律；</w:t>
      </w:r>
    </w:p>
    <w:p w14:paraId="347A631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（2）宣布参加开启会议的工作人员姓名；</w:t>
      </w:r>
    </w:p>
    <w:p w14:paraId="5AE73AF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（3）供应商代表检查确认</w:t>
      </w:r>
      <w:r>
        <w:rPr>
          <w:rFonts w:hint="eastAsia" w:ascii="仿宋" w:hAnsi="仿宋" w:eastAsia="仿宋" w:cs="仿宋"/>
          <w:sz w:val="32"/>
          <w:szCs w:val="32"/>
          <w:lang w:eastAsia="zh-CN"/>
        </w:rPr>
        <w:t>响应文件</w:t>
      </w:r>
      <w:r>
        <w:rPr>
          <w:rFonts w:hint="eastAsia" w:ascii="仿宋" w:hAnsi="仿宋" w:eastAsia="仿宋" w:cs="仿宋"/>
          <w:sz w:val="32"/>
          <w:szCs w:val="32"/>
        </w:rPr>
        <w:t>的密封情况；</w:t>
      </w:r>
    </w:p>
    <w:p w14:paraId="49EDF3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（4）按照供应商须知前附表规定的开启顺序开启</w:t>
      </w:r>
      <w:r>
        <w:rPr>
          <w:rFonts w:hint="eastAsia" w:ascii="仿宋" w:hAnsi="仿宋" w:eastAsia="仿宋" w:cs="仿宋"/>
          <w:sz w:val="32"/>
          <w:szCs w:val="32"/>
          <w:lang w:eastAsia="zh-CN"/>
        </w:rPr>
        <w:t>响应文件</w:t>
      </w:r>
      <w:r>
        <w:rPr>
          <w:rFonts w:hint="eastAsia" w:ascii="仿宋" w:hAnsi="仿宋" w:eastAsia="仿宋" w:cs="仿宋"/>
          <w:sz w:val="32"/>
          <w:szCs w:val="32"/>
        </w:rPr>
        <w:t>，公布递交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的供应商名称、响应报价及供应商须知前附表规定的其他应公布的信息，并记录在案；</w:t>
      </w:r>
    </w:p>
    <w:p w14:paraId="38AEFE2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（5）供应商代表及相关工作人员等在</w:t>
      </w:r>
      <w:r>
        <w:rPr>
          <w:rFonts w:hint="eastAsia" w:ascii="仿宋" w:hAnsi="仿宋" w:eastAsia="仿宋" w:cs="仿宋"/>
          <w:sz w:val="32"/>
          <w:szCs w:val="32"/>
          <w:lang w:eastAsia="zh-CN"/>
        </w:rPr>
        <w:t>响应文件</w:t>
      </w:r>
      <w:r>
        <w:rPr>
          <w:rFonts w:hint="eastAsia" w:ascii="仿宋" w:hAnsi="仿宋" w:eastAsia="仿宋" w:cs="仿宋"/>
          <w:sz w:val="32"/>
          <w:szCs w:val="32"/>
        </w:rPr>
        <w:t>开启记录上签字确认；</w:t>
      </w:r>
    </w:p>
    <w:p w14:paraId="784BEE5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（6）宣布有关注意事项；</w:t>
      </w:r>
    </w:p>
    <w:p w14:paraId="0028D4A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（7）开启会议结束。</w:t>
      </w:r>
    </w:p>
    <w:p w14:paraId="071004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5.3 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的供应商不足的情形</w:t>
      </w:r>
    </w:p>
    <w:p w14:paraId="5EFEFD3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采购项目选择一家成交供应商时，递交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的供应商数量不足三家的，或采购项目选择多家成交供应商时，递交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的供应商数量少于供应商须知前附表规定数量的，采购人可按照下述情形分别处理：</w:t>
      </w:r>
    </w:p>
    <w:p w14:paraId="01EE3F6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（1）终止询比并重新组织采购</w:t>
      </w:r>
    </w:p>
    <w:p w14:paraId="006D179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采购项目存在影响公平竞争情形的，采购人应当终止询比采购，并根据不同情形和原因，采取相应纠正措施，重新组织采购。</w:t>
      </w:r>
    </w:p>
    <w:p w14:paraId="4AFBA0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采购项目不存在影响公平竞争情形的，采购人也可以选择终止询比采购，采取相应完善措施，重新组织采购。</w:t>
      </w:r>
    </w:p>
    <w:p w14:paraId="19D4386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（2）继续询比采购</w:t>
      </w:r>
    </w:p>
    <w:p w14:paraId="367FFA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采购项目不存在应该终止询比情形，且采购人也没有自行选择终止询比采购的，采购人应按照本章第5.2款规定的程序继续开启</w:t>
      </w:r>
      <w:r>
        <w:rPr>
          <w:rFonts w:hint="eastAsia" w:ascii="仿宋" w:hAnsi="仿宋" w:eastAsia="仿宋" w:cs="仿宋"/>
          <w:sz w:val="32"/>
          <w:szCs w:val="32"/>
          <w:lang w:eastAsia="zh-CN"/>
        </w:rPr>
        <w:t>响应文件</w:t>
      </w:r>
      <w:r>
        <w:rPr>
          <w:rFonts w:hint="eastAsia" w:ascii="仿宋" w:hAnsi="仿宋" w:eastAsia="仿宋" w:cs="仿宋"/>
          <w:sz w:val="32"/>
          <w:szCs w:val="32"/>
        </w:rPr>
        <w:t>，并按第三章“评审办法”规定的 规则组织</w:t>
      </w:r>
      <w:r>
        <w:rPr>
          <w:rFonts w:hint="eastAsia" w:ascii="仿宋" w:hAnsi="仿宋" w:eastAsia="仿宋" w:cs="仿宋"/>
          <w:sz w:val="32"/>
          <w:szCs w:val="32"/>
          <w:lang w:eastAsia="zh-CN"/>
        </w:rPr>
        <w:t>响应文件</w:t>
      </w:r>
      <w:r>
        <w:rPr>
          <w:rFonts w:hint="eastAsia" w:ascii="仿宋" w:hAnsi="仿宋" w:eastAsia="仿宋" w:cs="仿宋"/>
          <w:sz w:val="32"/>
          <w:szCs w:val="32"/>
        </w:rPr>
        <w:t>评审，完成询比采购后续程序。</w:t>
      </w:r>
    </w:p>
    <w:p w14:paraId="614ED90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6 评审</w:t>
      </w:r>
    </w:p>
    <w:p w14:paraId="7FE967C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 评审小组</w:t>
      </w:r>
    </w:p>
    <w:p w14:paraId="7FC76C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评审由采购人组建的评审小组负责。</w:t>
      </w:r>
    </w:p>
    <w:p w14:paraId="068086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评审小组成员有下列情形之一的，应当回避：</w:t>
      </w:r>
    </w:p>
    <w:p w14:paraId="3684E0D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（1）供应商主要负责人或供应商主要负责人的近亲属；</w:t>
      </w:r>
    </w:p>
    <w:p w14:paraId="674600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（2）与供应商有经济利益关系或其他利害关系，可能影响公正评审的。</w:t>
      </w:r>
    </w:p>
    <w:p w14:paraId="575D8D6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评审小组组建后，评审小组成员共同推选或由采购人指定评审小组组长，评审小组组长负责组织评审工作。</w:t>
      </w:r>
    </w:p>
    <w:p w14:paraId="63FDDA0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在评审过程中，评审小组成员对需要共同认定的事项存在争议的，将按照少数服从多数的原则作出结论。持不同意见的评审小组成员应当在评审报告上签署不同意见及理由，否则视为同意评审报告。</w:t>
      </w:r>
    </w:p>
    <w:p w14:paraId="1AA0BC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 评审</w:t>
      </w:r>
    </w:p>
    <w:p w14:paraId="389470E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评审小组按照第三章“评审办法”规定的评审标准和程序对</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进行评审和比较。</w:t>
      </w:r>
    </w:p>
    <w:p w14:paraId="512F1F9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评审完成后，评审小组应当向采购人提交书面评审报告和候选成交供应商名单。评审小组推荐候选成交供应商的排序要求及数量见供应商须知前附表。</w:t>
      </w:r>
    </w:p>
    <w:p w14:paraId="28F2DF9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7</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合同授予</w:t>
      </w:r>
    </w:p>
    <w:p w14:paraId="5DD61E5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7.1 候选成交供应商履约能力核查</w:t>
      </w:r>
    </w:p>
    <w:p w14:paraId="2F422A7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采购人可对候选成交供应商的相关证明材料原件进行核验或组织现场考察，以确认候选成交供应商的生产经营、财务等实际状况与</w:t>
      </w:r>
      <w:r>
        <w:rPr>
          <w:rFonts w:hint="eastAsia" w:ascii="仿宋" w:hAnsi="仿宋" w:eastAsia="仿宋" w:cs="仿宋"/>
          <w:sz w:val="32"/>
          <w:szCs w:val="32"/>
          <w:lang w:eastAsia="zh-CN"/>
        </w:rPr>
        <w:t>响应文件</w:t>
      </w:r>
      <w:r>
        <w:rPr>
          <w:rFonts w:hint="eastAsia" w:ascii="仿宋" w:hAnsi="仿宋" w:eastAsia="仿宋" w:cs="仿宋"/>
          <w:sz w:val="32"/>
          <w:szCs w:val="32"/>
        </w:rPr>
        <w:t>是否一致及是否存在其他可能影响供应商履约能力的情况。核查结果将作为采购人选择确定预成交供应商的依据之一。</w:t>
      </w:r>
    </w:p>
    <w:p w14:paraId="2E43E56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7.2 确定预成交供应商</w:t>
      </w:r>
    </w:p>
    <w:p w14:paraId="1239198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采购人将根据评审报告及核查结果（如有），对候选成交供应商综合评估后从中选择确定预成交供应商。</w:t>
      </w:r>
    </w:p>
    <w:p w14:paraId="7FE410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7.3 预成交结果公示</w:t>
      </w:r>
    </w:p>
    <w:p w14:paraId="3094570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预成交供应商选定后，采购人将按照供应商须知前附表规定的公示媒介和公示期限进行公示，公示信息包括如下内容：</w:t>
      </w:r>
    </w:p>
    <w:p w14:paraId="2C25C2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（1）所有候选成交供应商名称、响应价格及工期/交货期/服务期限；</w:t>
      </w:r>
    </w:p>
    <w:p w14:paraId="5E15673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（2）预成交供应商名称、预成交份额（如有）及选择原因；</w:t>
      </w:r>
    </w:p>
    <w:p w14:paraId="5C15AE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（3）供应商须知前附表规定的其他内容。</w:t>
      </w:r>
    </w:p>
    <w:p w14:paraId="0DB374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7.4 发出成交通知书</w:t>
      </w:r>
    </w:p>
    <w:p w14:paraId="40044C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公示期结束后，在本章第3.3款规定的</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有效期内，采购人以书面形式向预成交供应商发出成交通知书。</w:t>
      </w:r>
    </w:p>
    <w:p w14:paraId="70AB2F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7.5 发布成交公告</w:t>
      </w:r>
    </w:p>
    <w:p w14:paraId="31060F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1B40618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7.6 履约保证金</w:t>
      </w:r>
    </w:p>
    <w:p w14:paraId="0389AFE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供应商须知前附表规定递交履约保证金的，成交供应商应按供应商须知前附表规定的形式、有效期限和递交时间向采购人递交履约保证金。除供应商须知前附表另有规定外，履约保证金为采购合同金额的5%。</w:t>
      </w:r>
    </w:p>
    <w:p w14:paraId="0F066EA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 签订合同</w:t>
      </w:r>
    </w:p>
    <w:p w14:paraId="617E26E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采购人和成交供应商应当在成交通知书规定的期限内，根据采购文件和成交供应商的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7BDE6E8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发出成交通知书后，采购人无正当理由拒绝签订合同，或者在签订合同时向成交供应商提出附加条件的，采购人向成交供应商退还响应保证金；给成交供应商造成损失的，还应当赔偿损失。</w:t>
      </w:r>
    </w:p>
    <w:p w14:paraId="5CA0619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联合体成交的，联合体各方应当共同与采购人签订合同，就成交项目向采购人承担连带责任。</w:t>
      </w:r>
    </w:p>
    <w:p w14:paraId="3059ACC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除供应商须知前附表另有规定外，按照第三章“评审办法”第2</w:t>
      </w:r>
      <w:r>
        <w:rPr>
          <w:rFonts w:hint="eastAsia" w:ascii="仿宋" w:hAnsi="仿宋" w:eastAsia="仿宋" w:cs="仿宋"/>
          <w:sz w:val="32"/>
          <w:szCs w:val="32"/>
          <w:lang w:val="en-US"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3项规定对响应报价进行修正后，若修正后的响应报价小于按照第三章“评审办法”第2</w:t>
      </w:r>
      <w:r>
        <w:rPr>
          <w:rFonts w:hint="eastAsia" w:ascii="仿宋" w:hAnsi="仿宋" w:eastAsia="仿宋" w:cs="仿宋"/>
          <w:sz w:val="32"/>
          <w:szCs w:val="32"/>
          <w:lang w:val="en-US"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453CF4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7.8 特殊情形处理</w:t>
      </w:r>
    </w:p>
    <w:p w14:paraId="4BB9A9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预成交供应商、进行公示并公告。</w:t>
      </w:r>
    </w:p>
    <w:p w14:paraId="633C1D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8</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异议</w:t>
      </w:r>
    </w:p>
    <w:p w14:paraId="6B4D41B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8.1 提出异议</w:t>
      </w:r>
    </w:p>
    <w:p w14:paraId="031937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供应商或者其他利害关系人可以对预成交结果提出异议。异议应在预成交结果公示期间通过供应商须知前附表规定的异议渠道提出，并递交异议函和必要的证明材料。异议函包括但不限于下列内容：</w:t>
      </w:r>
    </w:p>
    <w:p w14:paraId="44D3BA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（1）异议人名称、地址、邮政编码、联系人及联系电话；</w:t>
      </w:r>
    </w:p>
    <w:p w14:paraId="73C7F7C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（2）具体、明确的异议事项、事实依据及与异议事项相关的请求。</w:t>
      </w:r>
    </w:p>
    <w:p w14:paraId="4BC7370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异议函应由异议人的法定代表人（单位负责人）或其授权的代理人签字并加盖单位章。</w:t>
      </w:r>
    </w:p>
    <w:p w14:paraId="4CB113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8.2 异议处理</w:t>
      </w:r>
    </w:p>
    <w:p w14:paraId="734C873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采购人将针对异议事项进行核查，经过核查，发现异议人对相关问题理解有误的，应作出解释；发现采购活动中确实存在错误或不当行为的，应及时予以改正或补救。</w:t>
      </w:r>
    </w:p>
    <w:p w14:paraId="5065208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异议人与采购人对异议事项无法达成一致的，异议人可向供应商须知前附表规定的行业组织或专业咨询机构申请调解或进行反映。</w:t>
      </w:r>
    </w:p>
    <w:p w14:paraId="38364D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采购人认为异议不成立或不影响采购结果的，可以继续进行采购活动。</w:t>
      </w:r>
    </w:p>
    <w:p w14:paraId="02AD7A1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9</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纪律要求</w:t>
      </w:r>
    </w:p>
    <w:p w14:paraId="3C840F3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9.1 对采购人的纪律要求</w:t>
      </w:r>
    </w:p>
    <w:p w14:paraId="0100471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采购人不得泄露询比采购活动中应当保密的情况和资料，不得与供应商串通损害国家利益、社会公共利益或者他人合法权益。</w:t>
      </w:r>
    </w:p>
    <w:p w14:paraId="4BC671B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9.2 对供应商的纪律要求</w:t>
      </w:r>
    </w:p>
    <w:p w14:paraId="1D075D4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34B0959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9.3 对评审小组成员的纪律要求</w:t>
      </w:r>
    </w:p>
    <w:p w14:paraId="4B65AFD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评审小组成员不得收受他人的财物或者其他好处，不得向他人透露对</w:t>
      </w:r>
      <w:r>
        <w:rPr>
          <w:rFonts w:hint="eastAsia" w:ascii="仿宋" w:hAnsi="仿宋" w:eastAsia="仿宋" w:cs="仿宋"/>
          <w:sz w:val="32"/>
          <w:szCs w:val="32"/>
          <w:lang w:eastAsia="zh-CN"/>
        </w:rPr>
        <w:t>响应文件</w:t>
      </w:r>
      <w:r>
        <w:rPr>
          <w:rFonts w:hint="eastAsia" w:ascii="仿宋" w:hAnsi="仿宋" w:eastAsia="仿宋" w:cs="仿宋"/>
          <w:sz w:val="32"/>
          <w:szCs w:val="32"/>
        </w:rPr>
        <w:t>的评审和比较、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14:paraId="2B88B6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9.4 对与询比活动有关的工作人员的纪律要求</w:t>
      </w:r>
    </w:p>
    <w:p w14:paraId="7216E91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与询比活动有关的工作人员不得收受他人的财物或者其他好处，不得向他人透露对</w:t>
      </w:r>
      <w:r>
        <w:rPr>
          <w:rFonts w:hint="eastAsia" w:ascii="仿宋" w:hAnsi="仿宋" w:eastAsia="仿宋" w:cs="仿宋"/>
          <w:sz w:val="32"/>
          <w:szCs w:val="32"/>
          <w:lang w:eastAsia="zh-CN"/>
        </w:rPr>
        <w:t>响应文件</w:t>
      </w:r>
      <w:r>
        <w:rPr>
          <w:rFonts w:hint="eastAsia" w:ascii="仿宋" w:hAnsi="仿宋" w:eastAsia="仿宋" w:cs="仿宋"/>
          <w:sz w:val="32"/>
          <w:szCs w:val="32"/>
        </w:rPr>
        <w:t>的评审和比较、候选成交供应商的推荐情况以及询比有关的其他情况。在询比活动中，与询比活动有关的工作人员不得擅离职守，影响评审工作正常进行。</w:t>
      </w:r>
    </w:p>
    <w:p w14:paraId="26B9C76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64D176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893494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68CE8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B3F55A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FBA076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36E3F5D">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第三章    评审办法</w:t>
      </w:r>
    </w:p>
    <w:p w14:paraId="5E80C44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F2138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评审办法前附表</w:t>
      </w:r>
    </w:p>
    <w:p w14:paraId="78A52F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2177"/>
        <w:gridCol w:w="4425"/>
      </w:tblGrid>
      <w:tr w14:paraId="4CEA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147D65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条款号及名称</w:t>
            </w:r>
          </w:p>
        </w:tc>
        <w:tc>
          <w:tcPr>
            <w:tcW w:w="1277" w:type="pct"/>
            <w:tcBorders>
              <w:top w:val="single" w:color="auto" w:sz="4" w:space="0"/>
              <w:left w:val="single" w:color="auto" w:sz="4" w:space="0"/>
              <w:bottom w:val="single" w:color="auto" w:sz="4" w:space="0"/>
              <w:right w:val="single" w:color="auto" w:sz="4" w:space="0"/>
            </w:tcBorders>
          </w:tcPr>
          <w:p w14:paraId="7FD46A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评审因素</w:t>
            </w:r>
          </w:p>
        </w:tc>
        <w:tc>
          <w:tcPr>
            <w:tcW w:w="2595" w:type="pct"/>
            <w:tcBorders>
              <w:top w:val="single" w:color="auto" w:sz="4" w:space="0"/>
              <w:left w:val="single" w:color="auto" w:sz="4" w:space="0"/>
              <w:bottom w:val="single" w:color="auto" w:sz="4" w:space="0"/>
              <w:right w:val="single" w:color="auto" w:sz="4" w:space="0"/>
            </w:tcBorders>
          </w:tcPr>
          <w:p w14:paraId="24802D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评审标准</w:t>
            </w:r>
          </w:p>
        </w:tc>
      </w:tr>
      <w:tr w14:paraId="73B6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40D70F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 评审方法</w:t>
            </w:r>
          </w:p>
        </w:tc>
        <w:tc>
          <w:tcPr>
            <w:tcW w:w="1277" w:type="pct"/>
            <w:tcBorders>
              <w:top w:val="single" w:color="auto" w:sz="4" w:space="0"/>
              <w:left w:val="single" w:color="auto" w:sz="4" w:space="0"/>
              <w:bottom w:val="single" w:color="auto" w:sz="4" w:space="0"/>
              <w:right w:val="single" w:color="auto" w:sz="4" w:space="0"/>
            </w:tcBorders>
          </w:tcPr>
          <w:p w14:paraId="3EF5C14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评审方法</w:t>
            </w:r>
          </w:p>
        </w:tc>
        <w:tc>
          <w:tcPr>
            <w:tcW w:w="2595" w:type="pct"/>
            <w:tcBorders>
              <w:top w:val="single" w:color="auto" w:sz="4" w:space="0"/>
              <w:left w:val="single" w:color="auto" w:sz="4" w:space="0"/>
              <w:bottom w:val="single" w:color="auto" w:sz="4" w:space="0"/>
              <w:right w:val="single" w:color="auto" w:sz="4" w:space="0"/>
            </w:tcBorders>
          </w:tcPr>
          <w:p w14:paraId="7A3245C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最低价法</w:t>
            </w:r>
          </w:p>
          <w:p w14:paraId="662229D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□综合评分法</w:t>
            </w:r>
          </w:p>
        </w:tc>
      </w:tr>
      <w:tr w14:paraId="01E3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22F5C0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2.1.1 形式评审标准</w:t>
            </w:r>
          </w:p>
        </w:tc>
        <w:tc>
          <w:tcPr>
            <w:tcW w:w="1277" w:type="pct"/>
            <w:tcBorders>
              <w:top w:val="single" w:color="auto" w:sz="4" w:space="0"/>
              <w:left w:val="single" w:color="auto" w:sz="4" w:space="0"/>
              <w:bottom w:val="single" w:color="auto" w:sz="4" w:space="0"/>
              <w:right w:val="single" w:color="auto" w:sz="4" w:space="0"/>
            </w:tcBorders>
          </w:tcPr>
          <w:p w14:paraId="1D52362B">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供应商名称</w:t>
            </w:r>
          </w:p>
        </w:tc>
        <w:tc>
          <w:tcPr>
            <w:tcW w:w="2595" w:type="pct"/>
            <w:tcBorders>
              <w:top w:val="single" w:color="auto" w:sz="4" w:space="0"/>
              <w:left w:val="single" w:color="auto" w:sz="4" w:space="0"/>
              <w:bottom w:val="single" w:color="auto" w:sz="4" w:space="0"/>
              <w:right w:val="single" w:color="auto" w:sz="4" w:space="0"/>
            </w:tcBorders>
          </w:tcPr>
          <w:p w14:paraId="30E4E1D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与市场监管部门或其他行政机关颁发的可以合法开展业务的执照或证书一致</w:t>
            </w:r>
          </w:p>
        </w:tc>
      </w:tr>
      <w:tr w14:paraId="402B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7BFE6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6D10A7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响应文件</w:t>
            </w:r>
            <w:r>
              <w:rPr>
                <w:rFonts w:hint="eastAsia" w:ascii="仿宋" w:hAnsi="仿宋" w:eastAsia="仿宋" w:cs="仿宋"/>
                <w:b w:val="0"/>
                <w:bCs w:val="0"/>
                <w:sz w:val="28"/>
                <w:szCs w:val="28"/>
              </w:rPr>
              <w:t>签字盖章</w:t>
            </w:r>
          </w:p>
        </w:tc>
        <w:tc>
          <w:tcPr>
            <w:tcW w:w="2595" w:type="pct"/>
            <w:tcBorders>
              <w:top w:val="single" w:color="auto" w:sz="4" w:space="0"/>
              <w:left w:val="single" w:color="auto" w:sz="4" w:space="0"/>
              <w:bottom w:val="single" w:color="auto" w:sz="4" w:space="0"/>
              <w:right w:val="single" w:color="auto" w:sz="4" w:space="0"/>
            </w:tcBorders>
          </w:tcPr>
          <w:p w14:paraId="2846E62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p>
        </w:tc>
      </w:tr>
      <w:tr w14:paraId="13AB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706F5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B2526A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联合体协议书</w:t>
            </w:r>
          </w:p>
        </w:tc>
        <w:tc>
          <w:tcPr>
            <w:tcW w:w="2595" w:type="pct"/>
            <w:tcBorders>
              <w:top w:val="single" w:color="auto" w:sz="4" w:space="0"/>
              <w:left w:val="single" w:color="auto" w:sz="4" w:space="0"/>
              <w:bottom w:val="single" w:color="auto" w:sz="4" w:space="0"/>
              <w:right w:val="single" w:color="auto" w:sz="4" w:space="0"/>
            </w:tcBorders>
          </w:tcPr>
          <w:p w14:paraId="56EFA3DA">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递交联合体协议书，并明确联合体牵头人</w:t>
            </w:r>
          </w:p>
        </w:tc>
      </w:tr>
      <w:tr w14:paraId="41E5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F5B02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7ED5D1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响应函中实质性内容</w:t>
            </w:r>
          </w:p>
        </w:tc>
        <w:tc>
          <w:tcPr>
            <w:tcW w:w="2595" w:type="pct"/>
            <w:tcBorders>
              <w:top w:val="single" w:color="auto" w:sz="4" w:space="0"/>
              <w:left w:val="single" w:color="auto" w:sz="4" w:space="0"/>
              <w:bottom w:val="single" w:color="auto" w:sz="4" w:space="0"/>
              <w:right w:val="single" w:color="auto" w:sz="4" w:space="0"/>
            </w:tcBorders>
          </w:tcPr>
          <w:p w14:paraId="25A071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r>
      <w:tr w14:paraId="0D67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B5A0F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68AC32E">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w:t>
            </w:r>
          </w:p>
        </w:tc>
        <w:tc>
          <w:tcPr>
            <w:tcW w:w="2595" w:type="pct"/>
            <w:tcBorders>
              <w:top w:val="single" w:color="auto" w:sz="4" w:space="0"/>
              <w:left w:val="single" w:color="auto" w:sz="4" w:space="0"/>
              <w:bottom w:val="single" w:color="auto" w:sz="4" w:space="0"/>
              <w:right w:val="single" w:color="auto" w:sz="4" w:space="0"/>
            </w:tcBorders>
          </w:tcPr>
          <w:p w14:paraId="6B29CE0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w:t>
            </w:r>
          </w:p>
        </w:tc>
      </w:tr>
      <w:tr w14:paraId="1886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1BA007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2.1.2 资格评审标准</w:t>
            </w:r>
          </w:p>
        </w:tc>
        <w:tc>
          <w:tcPr>
            <w:tcW w:w="1277" w:type="pct"/>
            <w:tcBorders>
              <w:top w:val="single" w:color="auto" w:sz="4" w:space="0"/>
              <w:left w:val="single" w:color="auto" w:sz="4" w:space="0"/>
              <w:bottom w:val="single" w:color="auto" w:sz="4" w:space="0"/>
              <w:right w:val="single" w:color="auto" w:sz="4" w:space="0"/>
            </w:tcBorders>
          </w:tcPr>
          <w:p w14:paraId="22EB213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依法设立</w:t>
            </w:r>
          </w:p>
        </w:tc>
        <w:tc>
          <w:tcPr>
            <w:tcW w:w="2595" w:type="pct"/>
            <w:tcBorders>
              <w:top w:val="single" w:color="auto" w:sz="4" w:space="0"/>
              <w:left w:val="single" w:color="auto" w:sz="4" w:space="0"/>
              <w:bottom w:val="single" w:color="auto" w:sz="4" w:space="0"/>
              <w:right w:val="single" w:color="auto" w:sz="4" w:space="0"/>
            </w:tcBorders>
          </w:tcPr>
          <w:p w14:paraId="6516B7B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符合第一章第3.1款及供应商须知前附表第3.5（1）款规定</w:t>
            </w:r>
          </w:p>
        </w:tc>
      </w:tr>
      <w:tr w14:paraId="3C0F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30EC5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90825B0">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资质要求</w:t>
            </w:r>
          </w:p>
        </w:tc>
        <w:tc>
          <w:tcPr>
            <w:tcW w:w="2595" w:type="pct"/>
            <w:tcBorders>
              <w:top w:val="single" w:color="auto" w:sz="4" w:space="0"/>
              <w:left w:val="single" w:color="auto" w:sz="4" w:space="0"/>
              <w:bottom w:val="single" w:color="auto" w:sz="4" w:space="0"/>
              <w:right w:val="single" w:color="auto" w:sz="4" w:space="0"/>
            </w:tcBorders>
          </w:tcPr>
          <w:p w14:paraId="39FD6A3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符合第一章第3.1款及供应商须知前附表第3.5（2）款规定</w:t>
            </w:r>
          </w:p>
        </w:tc>
      </w:tr>
      <w:tr w14:paraId="0A31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B26D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6DBAF0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财务要求</w:t>
            </w:r>
          </w:p>
        </w:tc>
        <w:tc>
          <w:tcPr>
            <w:tcW w:w="2595" w:type="pct"/>
            <w:tcBorders>
              <w:top w:val="single" w:color="auto" w:sz="4" w:space="0"/>
              <w:left w:val="single" w:color="auto" w:sz="4" w:space="0"/>
              <w:bottom w:val="single" w:color="auto" w:sz="4" w:space="0"/>
              <w:right w:val="single" w:color="auto" w:sz="4" w:space="0"/>
            </w:tcBorders>
          </w:tcPr>
          <w:p w14:paraId="66A3A71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w:t>
            </w:r>
            <w:r>
              <w:rPr>
                <w:rFonts w:hint="eastAsia" w:ascii="仿宋" w:hAnsi="仿宋" w:eastAsia="仿宋" w:cs="仿宋"/>
                <w:sz w:val="28"/>
                <w:szCs w:val="28"/>
                <w:lang w:val="en-US" w:eastAsia="zh-CN"/>
              </w:rPr>
              <w:t>3</w:t>
            </w:r>
            <w:r>
              <w:rPr>
                <w:rFonts w:hint="eastAsia" w:ascii="仿宋" w:hAnsi="仿宋" w:eastAsia="仿宋" w:cs="仿宋"/>
                <w:sz w:val="28"/>
                <w:szCs w:val="28"/>
              </w:rPr>
              <w:t>.1款及供应商须知前附表第3.5（3）款规定</w:t>
            </w:r>
          </w:p>
        </w:tc>
      </w:tr>
      <w:tr w14:paraId="0791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B0489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DD15B1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业绩要求</w:t>
            </w:r>
          </w:p>
        </w:tc>
        <w:tc>
          <w:tcPr>
            <w:tcW w:w="2595" w:type="pct"/>
            <w:tcBorders>
              <w:top w:val="single" w:color="auto" w:sz="4" w:space="0"/>
              <w:left w:val="single" w:color="auto" w:sz="4" w:space="0"/>
              <w:bottom w:val="single" w:color="auto" w:sz="4" w:space="0"/>
              <w:right w:val="single" w:color="auto" w:sz="4" w:space="0"/>
            </w:tcBorders>
          </w:tcPr>
          <w:p w14:paraId="744C4EB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符合第一章第3.1款及供应商须知前附表第3.5（4）款规定</w:t>
            </w:r>
          </w:p>
        </w:tc>
      </w:tr>
      <w:tr w14:paraId="692B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F63F0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A4E17F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信誉要求</w:t>
            </w:r>
          </w:p>
        </w:tc>
        <w:tc>
          <w:tcPr>
            <w:tcW w:w="2595" w:type="pct"/>
            <w:tcBorders>
              <w:top w:val="single" w:color="auto" w:sz="4" w:space="0"/>
              <w:left w:val="single" w:color="auto" w:sz="4" w:space="0"/>
              <w:bottom w:val="single" w:color="auto" w:sz="4" w:space="0"/>
              <w:right w:val="single" w:color="auto" w:sz="4" w:space="0"/>
            </w:tcBorders>
          </w:tcPr>
          <w:p w14:paraId="180DB35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符合第一章第3.1款及供应商须知前附表第3.5（5）款规定</w:t>
            </w:r>
          </w:p>
        </w:tc>
      </w:tr>
      <w:tr w14:paraId="4042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270B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EF6F76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人员要求</w:t>
            </w:r>
          </w:p>
        </w:tc>
        <w:tc>
          <w:tcPr>
            <w:tcW w:w="2595" w:type="pct"/>
            <w:tcBorders>
              <w:top w:val="single" w:color="auto" w:sz="4" w:space="0"/>
              <w:left w:val="single" w:color="auto" w:sz="4" w:space="0"/>
              <w:bottom w:val="single" w:color="auto" w:sz="4" w:space="0"/>
              <w:right w:val="single" w:color="auto" w:sz="4" w:space="0"/>
            </w:tcBorders>
          </w:tcPr>
          <w:p w14:paraId="4981368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符合第一章第3.1款及供应商须知前附表第3.5（6）款规定</w:t>
            </w:r>
          </w:p>
        </w:tc>
      </w:tr>
      <w:tr w14:paraId="5604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241F97B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CFC4E3B">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其他要求</w:t>
            </w:r>
          </w:p>
        </w:tc>
        <w:tc>
          <w:tcPr>
            <w:tcW w:w="2595" w:type="pct"/>
            <w:tcBorders>
              <w:top w:val="single" w:color="auto" w:sz="4" w:space="0"/>
              <w:left w:val="single" w:color="auto" w:sz="4" w:space="0"/>
              <w:bottom w:val="single" w:color="auto" w:sz="4" w:space="0"/>
              <w:right w:val="single" w:color="auto" w:sz="4" w:space="0"/>
            </w:tcBorders>
          </w:tcPr>
          <w:p w14:paraId="01A9A39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符合第一章第3.1款及供应商须知前附表第3.5（7）款规定</w:t>
            </w:r>
          </w:p>
        </w:tc>
      </w:tr>
      <w:tr w14:paraId="26D3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382ABF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56813E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不存在第一章第3.2款情形</w:t>
            </w:r>
          </w:p>
        </w:tc>
        <w:tc>
          <w:tcPr>
            <w:tcW w:w="2595" w:type="pct"/>
            <w:tcBorders>
              <w:top w:val="single" w:color="auto" w:sz="4" w:space="0"/>
              <w:left w:val="single" w:color="auto" w:sz="4" w:space="0"/>
              <w:bottom w:val="single" w:color="auto" w:sz="4" w:space="0"/>
              <w:right w:val="single" w:color="auto" w:sz="4" w:space="0"/>
            </w:tcBorders>
          </w:tcPr>
          <w:p w14:paraId="7FD9CC9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符合第一章第3.2款及供应商须知前附表第3.5（8）款规定</w:t>
            </w:r>
          </w:p>
        </w:tc>
      </w:tr>
      <w:tr w14:paraId="1C74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09F04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9C5899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联合体供应商</w:t>
            </w:r>
          </w:p>
        </w:tc>
        <w:tc>
          <w:tcPr>
            <w:tcW w:w="2595" w:type="pct"/>
            <w:tcBorders>
              <w:top w:val="single" w:color="auto" w:sz="4" w:space="0"/>
              <w:left w:val="single" w:color="auto" w:sz="4" w:space="0"/>
              <w:bottom w:val="single" w:color="auto" w:sz="4" w:space="0"/>
              <w:right w:val="single" w:color="auto" w:sz="4" w:space="0"/>
            </w:tcBorders>
          </w:tcPr>
          <w:p w14:paraId="206A6B9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符合第一章第3.3款及供应商须知前附表第3.5（9）款规定</w:t>
            </w:r>
          </w:p>
        </w:tc>
      </w:tr>
      <w:tr w14:paraId="5EB6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3109D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D76BC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w:t>
            </w:r>
          </w:p>
        </w:tc>
        <w:tc>
          <w:tcPr>
            <w:tcW w:w="2595" w:type="pct"/>
            <w:tcBorders>
              <w:top w:val="single" w:color="auto" w:sz="4" w:space="0"/>
              <w:left w:val="single" w:color="auto" w:sz="4" w:space="0"/>
              <w:bottom w:val="single" w:color="auto" w:sz="4" w:space="0"/>
              <w:right w:val="single" w:color="auto" w:sz="4" w:space="0"/>
            </w:tcBorders>
          </w:tcPr>
          <w:p w14:paraId="010BC66E">
            <w:pPr>
              <w:keepNext w:val="0"/>
              <w:keepLines w:val="0"/>
              <w:pageBreakBefore w:val="0"/>
              <w:tabs>
                <w:tab w:val="left" w:pos="1643"/>
              </w:tabs>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w:t>
            </w:r>
          </w:p>
        </w:tc>
      </w:tr>
      <w:tr w14:paraId="7AC8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5847DE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2.1.3 响应性评审标准</w:t>
            </w:r>
          </w:p>
        </w:tc>
        <w:tc>
          <w:tcPr>
            <w:tcW w:w="1277" w:type="pct"/>
            <w:tcBorders>
              <w:top w:val="single" w:color="auto" w:sz="4" w:space="0"/>
              <w:left w:val="single" w:color="auto" w:sz="4" w:space="0"/>
              <w:bottom w:val="single" w:color="auto" w:sz="4" w:space="0"/>
              <w:right w:val="single" w:color="auto" w:sz="4" w:space="0"/>
            </w:tcBorders>
          </w:tcPr>
          <w:p w14:paraId="5DF3DB9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报价</w:t>
            </w:r>
          </w:p>
        </w:tc>
        <w:tc>
          <w:tcPr>
            <w:tcW w:w="2595" w:type="pct"/>
            <w:tcBorders>
              <w:top w:val="single" w:color="auto" w:sz="4" w:space="0"/>
              <w:left w:val="single" w:color="auto" w:sz="4" w:space="0"/>
              <w:bottom w:val="single" w:color="auto" w:sz="4" w:space="0"/>
              <w:right w:val="single" w:color="auto" w:sz="4" w:space="0"/>
            </w:tcBorders>
          </w:tcPr>
          <w:p w14:paraId="1DF3B99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符合第二章第3.2款规定</w:t>
            </w:r>
          </w:p>
        </w:tc>
      </w:tr>
      <w:tr w14:paraId="2E05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08BA7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FE5F5D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tc>
        <w:tc>
          <w:tcPr>
            <w:tcW w:w="2595" w:type="pct"/>
            <w:tcBorders>
              <w:top w:val="single" w:color="auto" w:sz="4" w:space="0"/>
              <w:left w:val="single" w:color="auto" w:sz="4" w:space="0"/>
              <w:bottom w:val="single" w:color="auto" w:sz="4" w:space="0"/>
              <w:right w:val="single" w:color="auto" w:sz="4" w:space="0"/>
            </w:tcBorders>
          </w:tcPr>
          <w:p w14:paraId="79B5396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符合第二章第3.3.1项规定</w:t>
            </w:r>
          </w:p>
        </w:tc>
      </w:tr>
      <w:tr w14:paraId="49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EBF6E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E5DD371">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响应保证金</w:t>
            </w:r>
          </w:p>
        </w:tc>
        <w:tc>
          <w:tcPr>
            <w:tcW w:w="2595" w:type="pct"/>
            <w:tcBorders>
              <w:top w:val="single" w:color="auto" w:sz="4" w:space="0"/>
              <w:left w:val="single" w:color="auto" w:sz="4" w:space="0"/>
              <w:bottom w:val="single" w:color="auto" w:sz="4" w:space="0"/>
              <w:right w:val="single" w:color="auto" w:sz="4" w:space="0"/>
            </w:tcBorders>
          </w:tcPr>
          <w:p w14:paraId="5F0F48D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符合第二章第3.4.1项规定</w:t>
            </w:r>
          </w:p>
        </w:tc>
      </w:tr>
      <w:tr w14:paraId="3B06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6FAE0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909ED6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响应方案</w:t>
            </w:r>
          </w:p>
        </w:tc>
        <w:tc>
          <w:tcPr>
            <w:tcW w:w="2595" w:type="pct"/>
            <w:tcBorders>
              <w:top w:val="single" w:color="auto" w:sz="4" w:space="0"/>
              <w:left w:val="single" w:color="auto" w:sz="4" w:space="0"/>
              <w:bottom w:val="single" w:color="auto" w:sz="4" w:space="0"/>
              <w:right w:val="single" w:color="auto" w:sz="4" w:space="0"/>
            </w:tcBorders>
          </w:tcPr>
          <w:p w14:paraId="20A6FC1E">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符合第二章第3.6款规定</w:t>
            </w:r>
          </w:p>
        </w:tc>
      </w:tr>
      <w:tr w14:paraId="581D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6D8421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59AF0B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质量标准</w:t>
            </w:r>
          </w:p>
        </w:tc>
        <w:tc>
          <w:tcPr>
            <w:tcW w:w="2595" w:type="pct"/>
            <w:tcBorders>
              <w:top w:val="single" w:color="auto" w:sz="4" w:space="0"/>
              <w:left w:val="single" w:color="auto" w:sz="4" w:space="0"/>
              <w:bottom w:val="single" w:color="auto" w:sz="4" w:space="0"/>
              <w:right w:val="single" w:color="auto" w:sz="4" w:space="0"/>
            </w:tcBorders>
          </w:tcPr>
          <w:p w14:paraId="151C490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符合第一章第2条规定</w:t>
            </w:r>
          </w:p>
        </w:tc>
      </w:tr>
      <w:tr w14:paraId="0639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82726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DD0359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完成期限</w:t>
            </w:r>
          </w:p>
        </w:tc>
        <w:tc>
          <w:tcPr>
            <w:tcW w:w="2595" w:type="pct"/>
            <w:tcBorders>
              <w:top w:val="single" w:color="auto" w:sz="4" w:space="0"/>
              <w:left w:val="single" w:color="auto" w:sz="4" w:space="0"/>
              <w:bottom w:val="single" w:color="auto" w:sz="4" w:space="0"/>
              <w:right w:val="single" w:color="auto" w:sz="4" w:space="0"/>
            </w:tcBorders>
          </w:tcPr>
          <w:p w14:paraId="0FFBFE6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符合第一章第2条规定</w:t>
            </w:r>
          </w:p>
        </w:tc>
      </w:tr>
      <w:tr w14:paraId="1722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7113D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4496CBA">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合同条款</w:t>
            </w:r>
          </w:p>
        </w:tc>
        <w:tc>
          <w:tcPr>
            <w:tcW w:w="2595" w:type="pct"/>
            <w:tcBorders>
              <w:top w:val="single" w:color="auto" w:sz="4" w:space="0"/>
              <w:left w:val="single" w:color="auto" w:sz="4" w:space="0"/>
              <w:bottom w:val="single" w:color="auto" w:sz="4" w:space="0"/>
              <w:right w:val="single" w:color="auto" w:sz="4" w:space="0"/>
            </w:tcBorders>
          </w:tcPr>
          <w:p w14:paraId="0ECF3B7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符合第二章第1.10.1项规定</w:t>
            </w:r>
          </w:p>
        </w:tc>
      </w:tr>
      <w:tr w14:paraId="2084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0C4214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1277" w:type="pct"/>
            <w:tcBorders>
              <w:top w:val="single" w:color="auto" w:sz="4" w:space="0"/>
              <w:left w:val="single" w:color="auto" w:sz="4" w:space="0"/>
              <w:bottom w:val="single" w:color="auto" w:sz="4" w:space="0"/>
              <w:right w:val="single" w:color="auto" w:sz="4" w:space="0"/>
            </w:tcBorders>
            <w:shd w:val="clear" w:color="auto" w:fill="auto"/>
            <w:vAlign w:val="top"/>
          </w:tcPr>
          <w:p w14:paraId="16357A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对非关键条款的偏差</w:t>
            </w:r>
          </w:p>
        </w:tc>
        <w:tc>
          <w:tcPr>
            <w:tcW w:w="2595" w:type="pct"/>
            <w:tcBorders>
              <w:top w:val="single" w:color="auto" w:sz="4" w:space="0"/>
              <w:left w:val="single" w:color="auto" w:sz="4" w:space="0"/>
              <w:bottom w:val="single" w:color="auto" w:sz="4" w:space="0"/>
              <w:right w:val="single" w:color="auto" w:sz="4" w:space="0"/>
            </w:tcBorders>
            <w:shd w:val="clear" w:color="auto" w:fill="auto"/>
            <w:vAlign w:val="top"/>
          </w:tcPr>
          <w:p w14:paraId="1B60FAAC">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偏差范围和偏差项数符合第二章第1.10.2项的规定</w:t>
            </w:r>
          </w:p>
        </w:tc>
      </w:tr>
      <w:tr w14:paraId="129F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7949A1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1277" w:type="pct"/>
            <w:shd w:val="clear" w:color="auto" w:fill="auto"/>
            <w:vAlign w:val="top"/>
          </w:tcPr>
          <w:p w14:paraId="15FBF3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w:t>
            </w:r>
          </w:p>
        </w:tc>
        <w:tc>
          <w:tcPr>
            <w:tcW w:w="2595" w:type="pct"/>
            <w:shd w:val="clear" w:color="auto" w:fill="auto"/>
            <w:vAlign w:val="top"/>
          </w:tcPr>
          <w:p w14:paraId="2C6B4B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w:t>
            </w:r>
          </w:p>
        </w:tc>
      </w:tr>
      <w:tr w14:paraId="2C40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A193C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2.2.2 评审价格</w:t>
            </w:r>
          </w:p>
        </w:tc>
        <w:tc>
          <w:tcPr>
            <w:tcW w:w="1277" w:type="pct"/>
            <w:shd w:val="clear" w:color="auto" w:fill="auto"/>
            <w:vAlign w:val="top"/>
          </w:tcPr>
          <w:p w14:paraId="12B3BA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4588CC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4696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28536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条款号</w:t>
            </w:r>
          </w:p>
        </w:tc>
        <w:tc>
          <w:tcPr>
            <w:tcW w:w="1277" w:type="pct"/>
            <w:shd w:val="clear" w:color="auto" w:fill="auto"/>
            <w:vAlign w:val="top"/>
          </w:tcPr>
          <w:p w14:paraId="24CBC6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条款内容</w:t>
            </w:r>
          </w:p>
        </w:tc>
        <w:tc>
          <w:tcPr>
            <w:tcW w:w="2595" w:type="pct"/>
            <w:shd w:val="clear" w:color="auto" w:fill="auto"/>
            <w:vAlign w:val="top"/>
          </w:tcPr>
          <w:p w14:paraId="62DFD0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编列内容</w:t>
            </w:r>
          </w:p>
        </w:tc>
      </w:tr>
      <w:tr w14:paraId="27E5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738467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 评审价格比较和排序（最低价法）</w:t>
            </w:r>
          </w:p>
        </w:tc>
      </w:tr>
      <w:tr w14:paraId="0FFC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4F59F4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w:t>
            </w:r>
          </w:p>
        </w:tc>
        <w:tc>
          <w:tcPr>
            <w:tcW w:w="1277" w:type="pct"/>
            <w:shd w:val="clear" w:color="auto" w:fill="auto"/>
            <w:vAlign w:val="top"/>
          </w:tcPr>
          <w:p w14:paraId="51A4A7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供应商并列时确定供应商优先顺序的规则</w:t>
            </w:r>
          </w:p>
        </w:tc>
        <w:tc>
          <w:tcPr>
            <w:tcW w:w="2595" w:type="pct"/>
            <w:shd w:val="clear" w:color="auto" w:fill="auto"/>
            <w:vAlign w:val="top"/>
          </w:tcPr>
          <w:p w14:paraId="3B0DA8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由谈判小组投票决定</w:t>
            </w:r>
          </w:p>
          <w:p w14:paraId="61EC98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w:t>
            </w:r>
            <w:r>
              <w:rPr>
                <w:rFonts w:hint="eastAsia" w:ascii="仿宋" w:hAnsi="仿宋" w:eastAsia="仿宋" w:cs="仿宋"/>
                <w:sz w:val="28"/>
                <w:szCs w:val="28"/>
                <w:lang w:eastAsia="zh-CN"/>
              </w:rPr>
              <w:t>抽签</w:t>
            </w:r>
            <w:r>
              <w:rPr>
                <w:rFonts w:hint="eastAsia" w:ascii="仿宋" w:hAnsi="仿宋" w:eastAsia="仿宋" w:cs="仿宋"/>
                <w:sz w:val="28"/>
                <w:szCs w:val="28"/>
              </w:rPr>
              <w:t>决定</w:t>
            </w:r>
          </w:p>
          <w:p w14:paraId="04C286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eastAsia="zh-CN"/>
              </w:rPr>
              <w:t>其他方法：</w:t>
            </w:r>
          </w:p>
        </w:tc>
      </w:tr>
      <w:tr w14:paraId="394D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597295BC">
            <w:pPr>
              <w:keepNext w:val="0"/>
              <w:keepLines w:val="0"/>
              <w:pageBreakBefore w:val="0"/>
              <w:wordWrap/>
              <w:overflowPunct/>
              <w:topLinePunct w:val="0"/>
              <w:bidi w:val="0"/>
              <w:spacing w:line="360" w:lineRule="auto"/>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3.2综合评分和排序（综合评分法）</w:t>
            </w:r>
          </w:p>
        </w:tc>
      </w:tr>
      <w:tr w14:paraId="6C4A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BD3A3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3.2.1</w:t>
            </w:r>
          </w:p>
        </w:tc>
        <w:tc>
          <w:tcPr>
            <w:tcW w:w="1277" w:type="pct"/>
            <w:shd w:val="clear" w:color="auto" w:fill="auto"/>
            <w:vAlign w:val="top"/>
          </w:tcPr>
          <w:p w14:paraId="0E8E85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分值构成（总分100分）</w:t>
            </w:r>
          </w:p>
        </w:tc>
        <w:tc>
          <w:tcPr>
            <w:tcW w:w="2595" w:type="pct"/>
            <w:shd w:val="clear" w:color="auto" w:fill="auto"/>
            <w:vAlign w:val="top"/>
          </w:tcPr>
          <w:p w14:paraId="032EDE32">
            <w:pPr>
              <w:keepNext w:val="0"/>
              <w:keepLines w:val="0"/>
              <w:pageBreakBefore w:val="0"/>
              <w:numPr>
                <w:ilvl w:val="0"/>
                <w:numId w:val="1"/>
              </w:numPr>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商务部分：    分</w:t>
            </w:r>
          </w:p>
          <w:p w14:paraId="5AB18AA6">
            <w:pPr>
              <w:keepNext w:val="0"/>
              <w:keepLines w:val="0"/>
              <w:pageBreakBefore w:val="0"/>
              <w:numPr>
                <w:ilvl w:val="0"/>
                <w:numId w:val="0"/>
              </w:numPr>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（2）技术部分：    分</w:t>
            </w:r>
          </w:p>
          <w:p w14:paraId="369AA24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（3）报价：    分</w:t>
            </w:r>
          </w:p>
          <w:p w14:paraId="3937571C">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（4）其他评分因素：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分（如有）</w:t>
            </w:r>
          </w:p>
        </w:tc>
      </w:tr>
      <w:tr w14:paraId="512C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6F67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3.2.2（2）</w:t>
            </w:r>
          </w:p>
        </w:tc>
        <w:tc>
          <w:tcPr>
            <w:tcW w:w="1277" w:type="pct"/>
            <w:shd w:val="clear" w:color="auto" w:fill="auto"/>
            <w:vAlign w:val="top"/>
          </w:tcPr>
          <w:p w14:paraId="71F162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评审基准价计算方法</w:t>
            </w:r>
          </w:p>
        </w:tc>
        <w:tc>
          <w:tcPr>
            <w:tcW w:w="2595" w:type="pct"/>
            <w:shd w:val="clear" w:color="auto" w:fill="auto"/>
            <w:vAlign w:val="top"/>
          </w:tcPr>
          <w:p w14:paraId="1264540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□方法一</w:t>
            </w:r>
          </w:p>
          <w:p w14:paraId="738680E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□方法二：评审基准价系数=</w:t>
            </w:r>
          </w:p>
          <w:p w14:paraId="2765C75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□方法三</w:t>
            </w:r>
          </w:p>
          <w:p w14:paraId="21061787">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□方法四：具体方法为</w:t>
            </w:r>
            <w:r>
              <w:rPr>
                <w:rFonts w:hint="eastAsia" w:ascii="仿宋" w:hAnsi="仿宋" w:eastAsia="仿宋" w:cs="仿宋"/>
                <w:sz w:val="28"/>
                <w:szCs w:val="28"/>
                <w:lang w:val="en-US" w:eastAsia="zh-CN"/>
              </w:rPr>
              <w:t xml:space="preserve">         </w:t>
            </w:r>
          </w:p>
        </w:tc>
      </w:tr>
      <w:tr w14:paraId="6040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2A814E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条款号及名称</w:t>
            </w:r>
          </w:p>
        </w:tc>
        <w:tc>
          <w:tcPr>
            <w:tcW w:w="1277" w:type="pct"/>
            <w:shd w:val="clear" w:color="auto" w:fill="auto"/>
            <w:vAlign w:val="top"/>
          </w:tcPr>
          <w:p w14:paraId="1F4DBA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评分因素</w:t>
            </w:r>
          </w:p>
        </w:tc>
        <w:tc>
          <w:tcPr>
            <w:tcW w:w="2595" w:type="pct"/>
            <w:shd w:val="clear" w:color="auto" w:fill="auto"/>
            <w:vAlign w:val="top"/>
          </w:tcPr>
          <w:p w14:paraId="333CA5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评分标准</w:t>
            </w:r>
          </w:p>
        </w:tc>
      </w:tr>
      <w:tr w14:paraId="2E9E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1CCD0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3.3（1） 商务评分标准</w:t>
            </w:r>
          </w:p>
        </w:tc>
        <w:tc>
          <w:tcPr>
            <w:tcW w:w="1277" w:type="pct"/>
            <w:shd w:val="clear" w:color="auto" w:fill="auto"/>
            <w:vAlign w:val="top"/>
          </w:tcPr>
          <w:p w14:paraId="001784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757D0A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441B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0AC49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3.3（2） 技术评分标准</w:t>
            </w:r>
          </w:p>
        </w:tc>
        <w:tc>
          <w:tcPr>
            <w:tcW w:w="1277" w:type="pct"/>
            <w:shd w:val="clear" w:color="auto" w:fill="auto"/>
            <w:vAlign w:val="top"/>
          </w:tcPr>
          <w:p w14:paraId="217BEB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29E860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5EA8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3A4121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3.3（3） 报价评分标准</w:t>
            </w:r>
          </w:p>
        </w:tc>
        <w:tc>
          <w:tcPr>
            <w:tcW w:w="1277" w:type="pct"/>
            <w:shd w:val="clear" w:color="auto" w:fill="auto"/>
            <w:vAlign w:val="top"/>
          </w:tcPr>
          <w:p w14:paraId="27A379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 xml:space="preserve">□方法一：E1=        ，E2=        </w:t>
            </w:r>
          </w:p>
          <w:p w14:paraId="50C00D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□方法二</w:t>
            </w:r>
          </w:p>
          <w:p w14:paraId="6AF11A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 xml:space="preserve">□方法三：具体方法为        </w:t>
            </w:r>
          </w:p>
        </w:tc>
        <w:tc>
          <w:tcPr>
            <w:tcW w:w="2595" w:type="pct"/>
            <w:shd w:val="clear" w:color="auto" w:fill="auto"/>
            <w:vAlign w:val="top"/>
          </w:tcPr>
          <w:p w14:paraId="42ACE6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5F2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5801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3.3（4） 其他因素评分标准</w:t>
            </w:r>
          </w:p>
        </w:tc>
        <w:tc>
          <w:tcPr>
            <w:tcW w:w="1277" w:type="pct"/>
            <w:shd w:val="clear" w:color="auto" w:fill="auto"/>
            <w:vAlign w:val="top"/>
          </w:tcPr>
          <w:p w14:paraId="46AE85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61E2C3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6048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939F0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条款号</w:t>
            </w:r>
          </w:p>
        </w:tc>
        <w:tc>
          <w:tcPr>
            <w:tcW w:w="1277" w:type="pct"/>
            <w:shd w:val="clear" w:color="auto" w:fill="auto"/>
            <w:vAlign w:val="top"/>
          </w:tcPr>
          <w:p w14:paraId="528985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条款内容</w:t>
            </w:r>
          </w:p>
        </w:tc>
        <w:tc>
          <w:tcPr>
            <w:tcW w:w="2595" w:type="pct"/>
            <w:shd w:val="clear" w:color="auto" w:fill="auto"/>
            <w:vAlign w:val="top"/>
          </w:tcPr>
          <w:p w14:paraId="356382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编列内容</w:t>
            </w:r>
          </w:p>
        </w:tc>
      </w:tr>
      <w:tr w14:paraId="79C5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61EDC6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3.2.6</w:t>
            </w:r>
          </w:p>
        </w:tc>
        <w:tc>
          <w:tcPr>
            <w:tcW w:w="1277" w:type="pct"/>
            <w:shd w:val="clear" w:color="auto" w:fill="auto"/>
            <w:vAlign w:val="top"/>
          </w:tcPr>
          <w:p w14:paraId="262BAD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供应商并列时确定供应商优先顺序的规则</w:t>
            </w:r>
          </w:p>
        </w:tc>
        <w:tc>
          <w:tcPr>
            <w:tcW w:w="2595" w:type="pct"/>
            <w:shd w:val="clear" w:color="auto" w:fill="auto"/>
            <w:vAlign w:val="top"/>
          </w:tcPr>
          <w:p w14:paraId="347313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□由谈判小组投票决定</w:t>
            </w:r>
          </w:p>
          <w:p w14:paraId="25AE10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w:t>
            </w:r>
            <w:r>
              <w:rPr>
                <w:rFonts w:hint="eastAsia" w:ascii="仿宋" w:hAnsi="仿宋" w:eastAsia="仿宋" w:cs="仿宋"/>
                <w:sz w:val="28"/>
                <w:szCs w:val="28"/>
                <w:lang w:eastAsia="zh-CN"/>
              </w:rPr>
              <w:t>抽签</w:t>
            </w:r>
            <w:r>
              <w:rPr>
                <w:rFonts w:hint="eastAsia" w:ascii="仿宋" w:hAnsi="仿宋" w:eastAsia="仿宋" w:cs="仿宋"/>
                <w:sz w:val="28"/>
                <w:szCs w:val="28"/>
              </w:rPr>
              <w:t>决定</w:t>
            </w:r>
          </w:p>
          <w:p w14:paraId="2AB497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w:t>
            </w:r>
            <w:r>
              <w:rPr>
                <w:rFonts w:hint="eastAsia" w:ascii="仿宋" w:hAnsi="仿宋" w:eastAsia="仿宋" w:cs="仿宋"/>
                <w:sz w:val="28"/>
                <w:szCs w:val="28"/>
                <w:lang w:eastAsia="zh-CN"/>
              </w:rPr>
              <w:t>其他方法：</w:t>
            </w:r>
          </w:p>
        </w:tc>
      </w:tr>
    </w:tbl>
    <w:p w14:paraId="6C42B4D3">
      <w:pPr>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14:paraId="2CB8848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1 评审方法（最低价法）</w:t>
      </w:r>
    </w:p>
    <w:p w14:paraId="215904A2">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32"/>
          <w:szCs w:val="32"/>
          <w:lang w:eastAsia="zh-CN"/>
        </w:rPr>
        <w:t>　　</w:t>
      </w:r>
      <w:r>
        <w:rPr>
          <w:rFonts w:hint="eastAsia" w:ascii="仿宋" w:hAnsi="仿宋" w:eastAsia="仿宋" w:cs="仿宋"/>
          <w:sz w:val="32"/>
          <w:szCs w:val="32"/>
        </w:rPr>
        <w:t>本次评审采用最低价法。评审小组对满足采购文件实质性要求的</w:t>
      </w:r>
      <w:r>
        <w:rPr>
          <w:rFonts w:hint="eastAsia" w:ascii="仿宋" w:hAnsi="仿宋" w:eastAsia="仿宋" w:cs="仿宋"/>
          <w:sz w:val="32"/>
          <w:szCs w:val="32"/>
          <w:lang w:eastAsia="zh-CN"/>
        </w:rPr>
        <w:t>响应文件</w:t>
      </w:r>
      <w:r>
        <w:rPr>
          <w:rFonts w:hint="eastAsia" w:ascii="仿宋" w:hAnsi="仿宋" w:eastAsia="仿宋" w:cs="仿宋"/>
          <w:sz w:val="32"/>
          <w:szCs w:val="32"/>
        </w:rPr>
        <w:t>，按照本章第2.2.2项规定的方法确定供应商响应报价的评审价格，并按照评审价格由低到高的顺序推荐候选成交供应商。</w:t>
      </w:r>
    </w:p>
    <w:p w14:paraId="69C886E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2 初步评审标准和程序</w:t>
      </w:r>
    </w:p>
    <w:p w14:paraId="5CFD999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 初步评审标准</w:t>
      </w:r>
    </w:p>
    <w:p w14:paraId="4DAEA27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形式评审标准：见评审办法前附表。</w:t>
      </w:r>
    </w:p>
    <w:p w14:paraId="25AFAD4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资格评审标准：见评审办法前附表。</w:t>
      </w:r>
    </w:p>
    <w:p w14:paraId="5FB6A4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响应性评审标准：见评审办法前附表。</w:t>
      </w:r>
    </w:p>
    <w:p w14:paraId="668C7AF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 初步评审程序</w:t>
      </w:r>
    </w:p>
    <w:p w14:paraId="11DD5B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评审小组依据本章第2.1款规定的标准对供应商递交的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进行初步评审，判断</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的形式是否符合要求、供应商是否符合资格条件、</w:t>
      </w:r>
      <w:r>
        <w:rPr>
          <w:rFonts w:hint="eastAsia" w:ascii="仿宋" w:hAnsi="仿宋" w:eastAsia="仿宋" w:cs="仿宋"/>
          <w:sz w:val="32"/>
          <w:szCs w:val="32"/>
          <w:lang w:eastAsia="zh-CN"/>
        </w:rPr>
        <w:t>响应文件</w:t>
      </w:r>
      <w:r>
        <w:rPr>
          <w:rFonts w:hint="eastAsia" w:ascii="仿宋" w:hAnsi="仿宋" w:eastAsia="仿宋" w:cs="仿宋"/>
          <w:sz w:val="32"/>
          <w:szCs w:val="32"/>
        </w:rPr>
        <w:t>是否实质性响应采购文件的要求。只有以上评审合格的</w:t>
      </w:r>
      <w:r>
        <w:rPr>
          <w:rFonts w:hint="eastAsia" w:ascii="仿宋" w:hAnsi="仿宋" w:eastAsia="仿宋" w:cs="仿宋"/>
          <w:sz w:val="32"/>
          <w:szCs w:val="32"/>
          <w:lang w:eastAsia="zh-CN"/>
        </w:rPr>
        <w:t>响应文件</w:t>
      </w:r>
      <w:r>
        <w:rPr>
          <w:rFonts w:hint="eastAsia" w:ascii="仿宋" w:hAnsi="仿宋" w:eastAsia="仿宋" w:cs="仿宋"/>
          <w:sz w:val="32"/>
          <w:szCs w:val="32"/>
        </w:rPr>
        <w:t>才可通过初步评审。</w:t>
      </w:r>
    </w:p>
    <w:p w14:paraId="2AD4C1E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除评审办法前附表另有规定外，评审价格为供应商在响应函中填报的大写含税价格。</w:t>
      </w:r>
    </w:p>
    <w:p w14:paraId="617B72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评审价格若超过最高限价（如有），其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5BDC00D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1872F23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w:t>
      </w:r>
      <w:r>
        <w:rPr>
          <w:rFonts w:hint="eastAsia" w:ascii="仿宋" w:hAnsi="仿宋" w:eastAsia="仿宋" w:cs="仿宋"/>
          <w:sz w:val="32"/>
          <w:szCs w:val="32"/>
          <w:lang w:eastAsia="zh-CN"/>
        </w:rPr>
        <w:t>响应文件</w:t>
      </w:r>
      <w:r>
        <w:rPr>
          <w:rFonts w:hint="eastAsia" w:ascii="仿宋" w:hAnsi="仿宋" w:eastAsia="仿宋" w:cs="仿宋"/>
          <w:sz w:val="32"/>
          <w:szCs w:val="32"/>
        </w:rPr>
        <w:t>的范围且不得改变</w:t>
      </w:r>
      <w:r>
        <w:rPr>
          <w:rFonts w:hint="eastAsia" w:ascii="仿宋" w:hAnsi="仿宋" w:eastAsia="仿宋" w:cs="仿宋"/>
          <w:sz w:val="32"/>
          <w:szCs w:val="32"/>
          <w:lang w:eastAsia="zh-CN"/>
        </w:rPr>
        <w:t>响应文件</w:t>
      </w:r>
      <w:r>
        <w:rPr>
          <w:rFonts w:hint="eastAsia" w:ascii="仿宋" w:hAnsi="仿宋" w:eastAsia="仿宋" w:cs="仿宋"/>
          <w:sz w:val="32"/>
          <w:szCs w:val="32"/>
        </w:rPr>
        <w:t>的实质性内容，并构成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69A7544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响应报价有算术错误及其他错误的，评审小组按以下原则要求供应商对响应报价进行修正，并要求供应商书面澄清确认。供应商拒不澄清确认的，其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2AA801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（1）大写金额与小写金额不一致的，以大写金额为准；</w:t>
      </w:r>
    </w:p>
    <w:p w14:paraId="6564B50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（2）总价金额与单价金额不一致的，以单价金额为准，但单价金额小数点有明显错误的除外；</w:t>
      </w:r>
    </w:p>
    <w:p w14:paraId="772977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（3）报价表合计报价与分项报价的合计不一致的，以各分项报价的合价累计数为准；</w:t>
      </w:r>
    </w:p>
    <w:p w14:paraId="4C87528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（4）如果分项报价中存在缺漏项，且缺漏项内容不属于实质性偏差的，则视为缺漏项内容的价格已包含在其他分项报价之中。</w:t>
      </w:r>
    </w:p>
    <w:p w14:paraId="2C34E58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353818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供应商有串通、弄虚作假、行贿等违法行为的，其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7C33EA2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特殊情形处理</w:t>
      </w:r>
    </w:p>
    <w:p w14:paraId="1F9F480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初步评审后，如评审小组认为所有</w:t>
      </w:r>
      <w:r>
        <w:rPr>
          <w:rFonts w:hint="eastAsia" w:ascii="仿宋" w:hAnsi="仿宋" w:eastAsia="仿宋" w:cs="仿宋"/>
          <w:sz w:val="32"/>
          <w:szCs w:val="32"/>
          <w:lang w:eastAsia="zh-CN"/>
        </w:rPr>
        <w:t>响应文件</w:t>
      </w:r>
      <w:r>
        <w:rPr>
          <w:rFonts w:hint="eastAsia" w:ascii="仿宋" w:hAnsi="仿宋" w:eastAsia="仿宋" w:cs="仿宋"/>
          <w:sz w:val="32"/>
          <w:szCs w:val="32"/>
        </w:rPr>
        <w:t>均无效，或者所有响应报价竞争性不足，高于市场预期价格，评审小组应当终止评审，或经采购人同意，直接转换选择其他采购方式，与原供应商共同完成后续采购程序。</w:t>
      </w:r>
    </w:p>
    <w:p w14:paraId="7F6CF43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选择直接转换采购方式采购的，评审小组按照本章第5条“直接转换采购方式评审程序”重新评审。除了采购人与供应商双方提出修改补充并接受新的条件和要求外，原采购文件与原</w:t>
      </w:r>
      <w:r>
        <w:rPr>
          <w:rFonts w:hint="eastAsia" w:ascii="仿宋" w:hAnsi="仿宋" w:eastAsia="仿宋" w:cs="仿宋"/>
          <w:sz w:val="32"/>
          <w:szCs w:val="32"/>
          <w:lang w:eastAsia="zh-CN"/>
        </w:rPr>
        <w:t>响应文件</w:t>
      </w:r>
      <w:r>
        <w:rPr>
          <w:rFonts w:hint="eastAsia" w:ascii="仿宋" w:hAnsi="仿宋" w:eastAsia="仿宋" w:cs="仿宋"/>
          <w:sz w:val="32"/>
          <w:szCs w:val="32"/>
        </w:rPr>
        <w:t>对采购人和供应商仍然具有相应约束力。</w:t>
      </w:r>
    </w:p>
    <w:p w14:paraId="2EE5B2F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3 详细评审标准和程序（最低价法）</w:t>
      </w:r>
    </w:p>
    <w:p w14:paraId="4DF732F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评审小组对评审价格进行比较后，按照评审价格由低到高的顺序对供应商排序。供应商评审价格相等时，按照评审办法前附表的规定确定供应商优先顺序。</w:t>
      </w:r>
    </w:p>
    <w:p w14:paraId="3D55A47A">
      <w:pPr>
        <w:keepNext w:val="0"/>
        <w:keepLines w:val="0"/>
        <w:pageBreakBefore w:val="0"/>
        <w:wordWrap/>
        <w:overflowPunct/>
        <w:topLinePunct w:val="0"/>
        <w:bidi w:val="0"/>
        <w:spacing w:line="360" w:lineRule="auto"/>
        <w:rPr>
          <w:rFonts w:hint="eastAsia" w:ascii="仿宋" w:hAnsi="仿宋" w:eastAsia="仿宋" w:cs="仿宋"/>
          <w:b/>
          <w:bCs/>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4 评审结果</w:t>
      </w:r>
    </w:p>
    <w:p w14:paraId="7D6BCFE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 提交书面评审报告</w:t>
      </w:r>
    </w:p>
    <w:p w14:paraId="6F7685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评审小组完成评审后，应当向采购人提交书面评审报告。</w:t>
      </w:r>
    </w:p>
    <w:p w14:paraId="52B3A5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 推荐候选成交供应商排序要求及数量</w:t>
      </w:r>
    </w:p>
    <w:p w14:paraId="67BF396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评审小组应在书面评审报告中按照供应商排列的优先顺序向采购人推荐候选成交供应商（排序或不排序）。候选成交供应商的排序要求及数量见第二章“供应商须知”。</w:t>
      </w:r>
    </w:p>
    <w:p w14:paraId="28FADFA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5 直接转换采购方式评审程序</w:t>
      </w:r>
    </w:p>
    <w:p w14:paraId="338B11B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 初步评审</w:t>
      </w:r>
    </w:p>
    <w:p w14:paraId="37F6783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评审小组依据本章第2.1款规定的标准对供应商递交的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进行初步评审，判断</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的形式是否符合要求，供应商是否符合资格条件，</w:t>
      </w:r>
      <w:r>
        <w:rPr>
          <w:rFonts w:hint="eastAsia" w:ascii="仿宋" w:hAnsi="仿宋" w:eastAsia="仿宋" w:cs="仿宋"/>
          <w:sz w:val="32"/>
          <w:szCs w:val="32"/>
          <w:lang w:eastAsia="zh-CN"/>
        </w:rPr>
        <w:t>响应文件</w:t>
      </w:r>
      <w:r>
        <w:rPr>
          <w:rFonts w:hint="eastAsia" w:ascii="仿宋" w:hAnsi="仿宋" w:eastAsia="仿宋" w:cs="仿宋"/>
          <w:sz w:val="32"/>
          <w:szCs w:val="32"/>
        </w:rPr>
        <w:t>是否实质性响应采购文件的要求。只有以上评审合格的</w:t>
      </w:r>
      <w:r>
        <w:rPr>
          <w:rFonts w:hint="eastAsia" w:ascii="仿宋" w:hAnsi="仿宋" w:eastAsia="仿宋" w:cs="仿宋"/>
          <w:sz w:val="32"/>
          <w:szCs w:val="32"/>
          <w:lang w:eastAsia="zh-CN"/>
        </w:rPr>
        <w:t>响应文件</w:t>
      </w:r>
      <w:r>
        <w:rPr>
          <w:rFonts w:hint="eastAsia" w:ascii="仿宋" w:hAnsi="仿宋" w:eastAsia="仿宋" w:cs="仿宋"/>
          <w:sz w:val="32"/>
          <w:szCs w:val="32"/>
        </w:rPr>
        <w:t>才可通过初步评审。</w:t>
      </w:r>
    </w:p>
    <w:p w14:paraId="52E1030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的形式或供应商资格不符合采购文件的要求、</w:t>
      </w:r>
      <w:r>
        <w:rPr>
          <w:rFonts w:hint="eastAsia" w:ascii="仿宋" w:hAnsi="仿宋" w:eastAsia="仿宋" w:cs="仿宋"/>
          <w:sz w:val="32"/>
          <w:szCs w:val="32"/>
          <w:lang w:eastAsia="zh-CN"/>
        </w:rPr>
        <w:t>响应文件</w:t>
      </w:r>
      <w:r>
        <w:rPr>
          <w:rFonts w:hint="eastAsia" w:ascii="仿宋" w:hAnsi="仿宋" w:eastAsia="仿宋" w:cs="仿宋"/>
          <w:sz w:val="32"/>
          <w:szCs w:val="32"/>
        </w:rPr>
        <w:t>未实质性响应采购文件的要求，或</w:t>
      </w:r>
      <w:r>
        <w:rPr>
          <w:rFonts w:hint="eastAsia" w:ascii="仿宋" w:hAnsi="仿宋" w:eastAsia="仿宋" w:cs="仿宋"/>
          <w:sz w:val="32"/>
          <w:szCs w:val="32"/>
          <w:lang w:eastAsia="zh-CN"/>
        </w:rPr>
        <w:t>响应文件</w:t>
      </w:r>
      <w:r>
        <w:rPr>
          <w:rFonts w:hint="eastAsia" w:ascii="仿宋" w:hAnsi="仿宋" w:eastAsia="仿宋" w:cs="仿宋"/>
          <w:sz w:val="32"/>
          <w:szCs w:val="32"/>
        </w:rPr>
        <w:t>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w:t>
      </w:r>
    </w:p>
    <w:p w14:paraId="4368BA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澄清、说明和补正的内容作为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06F6504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只有形式评审和资格评审合格且实质性响应采购文件要求的供应商才可通过初步评审。经供应商澄清、说明和补正后仍未通过初步评审的</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将被视为无效，评审小组应告知有关供应商。</w:t>
      </w:r>
    </w:p>
    <w:p w14:paraId="19CED13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当通过初步评审的供应商数量大于询比采购公告/询比采购邀请书第1.6款规定的成交供应商数量时，可以改为参照谈判方式继续评审选择成交供应商。</w:t>
      </w:r>
    </w:p>
    <w:p w14:paraId="41410C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当通过初步评审的供应商数量等于询比采购公告/询比采购邀请书第1.6款规定的成交供应商数量时，可以改为参照直接采购方式继续评审选择成交供应商。</w:t>
      </w:r>
    </w:p>
    <w:p w14:paraId="3DFE6D2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当询比采购公告/询比采购邀请书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47A98BA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初步评审后，当所有</w:t>
      </w:r>
      <w:r>
        <w:rPr>
          <w:rFonts w:hint="eastAsia" w:ascii="仿宋" w:hAnsi="仿宋" w:eastAsia="仿宋" w:cs="仿宋"/>
          <w:sz w:val="32"/>
          <w:szCs w:val="32"/>
          <w:lang w:eastAsia="zh-CN"/>
        </w:rPr>
        <w:t>响应文件</w:t>
      </w:r>
      <w:r>
        <w:rPr>
          <w:rFonts w:hint="eastAsia" w:ascii="仿宋" w:hAnsi="仿宋" w:eastAsia="仿宋" w:cs="仿宋"/>
          <w:sz w:val="32"/>
          <w:szCs w:val="32"/>
        </w:rPr>
        <w:t>均无效时，应重新组织采购。</w:t>
      </w:r>
    </w:p>
    <w:p w14:paraId="020C5FB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 转换采购方式</w:t>
      </w:r>
    </w:p>
    <w:p w14:paraId="7768217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参照谈判采购方式评审</w:t>
      </w:r>
    </w:p>
    <w:p w14:paraId="3F8A622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（1）谈判。</w:t>
      </w:r>
    </w:p>
    <w:p w14:paraId="5D8B7A3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1）评审小组应按照供应商递交</w:t>
      </w:r>
      <w:r>
        <w:rPr>
          <w:rFonts w:hint="eastAsia" w:ascii="仿宋" w:hAnsi="仿宋" w:eastAsia="仿宋" w:cs="仿宋"/>
          <w:sz w:val="32"/>
          <w:szCs w:val="32"/>
          <w:lang w:eastAsia="zh-CN"/>
        </w:rPr>
        <w:t>响应文件</w:t>
      </w:r>
      <w:r>
        <w:rPr>
          <w:rFonts w:hint="eastAsia" w:ascii="仿宋" w:hAnsi="仿宋" w:eastAsia="仿宋" w:cs="仿宋"/>
          <w:sz w:val="32"/>
          <w:szCs w:val="32"/>
        </w:rPr>
        <w:t>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14:paraId="5ABFAB5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2）供应商的法定代表人（单位负责人）或其授权的代理人应参加谈判。供应商的法定代表人（单位负责人）或其授权的代理人在谈判中作出的承诺构成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5146030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3）谈判结束后，评审小组将要求所有参加谈判的供应商在规定时间内递交最终报价。最终报价应由供应商的法定代表人（单位负责人）或其授权的代理人签字或加盖单位章。最终报价是供应商</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2A0570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（2）公开开启最终报价。</w:t>
      </w:r>
    </w:p>
    <w:p w14:paraId="083184F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评审小组将在递交最终报价的截止时间公开开启最终报价，供应商未派代表参加开启会议的，视为默认开启结果。</w:t>
      </w:r>
    </w:p>
    <w:p w14:paraId="43C2DC6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（3）详细评审。</w:t>
      </w:r>
    </w:p>
    <w:p w14:paraId="32AA136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评审小组将按本章第3条规定对</w:t>
      </w:r>
      <w:r>
        <w:rPr>
          <w:rFonts w:hint="eastAsia" w:ascii="仿宋" w:hAnsi="仿宋" w:eastAsia="仿宋" w:cs="仿宋"/>
          <w:sz w:val="32"/>
          <w:szCs w:val="32"/>
          <w:lang w:eastAsia="zh-CN"/>
        </w:rPr>
        <w:t>响应文件</w:t>
      </w:r>
      <w:r>
        <w:rPr>
          <w:rFonts w:hint="eastAsia" w:ascii="仿宋" w:hAnsi="仿宋" w:eastAsia="仿宋" w:cs="仿宋"/>
          <w:sz w:val="32"/>
          <w:szCs w:val="32"/>
        </w:rPr>
        <w:t>及其最终报价进行详细评审。采用综合评分法的，评审小组有权对本章第3.2项规定的评审基准价和第3.3（3）目规定的报价评分标准进行调整，但评审小组应在谈判开始前向供应商公布，未公布的，视为评审基准价和报价评分标准不作调整；详细评审标准中除报价评审标准外的其他评审标准不作调整。</w:t>
      </w:r>
    </w:p>
    <w:p w14:paraId="36AAA24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通过谈判后，评审小组认为所有供应商的最终报价仍然不合理的，应向采购人提出终止采购建议。</w:t>
      </w:r>
    </w:p>
    <w:p w14:paraId="676011A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（4）编写评审报告。</w:t>
      </w:r>
    </w:p>
    <w:p w14:paraId="3354444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评审小组按本章第4.2款规定推荐候选成交供应商或按本章第5.2.1（3）规定提出终止采购建议，并向采购人提交书面评审报告。</w:t>
      </w:r>
    </w:p>
    <w:p w14:paraId="6D9101F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参照直接采购方式评审</w:t>
      </w:r>
    </w:p>
    <w:p w14:paraId="43752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（1）谈判。</w:t>
      </w:r>
    </w:p>
    <w:p w14:paraId="34E40AD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所有成员集中与供应商进行谈判，供应商的法定代表人（单位负责人）或其授权的代理人应参加谈判。在谈判过程中，评审小组可根据谈判情况修改和补充采购文件中的非实质性内容，但不得改变可能影响初步评审结果的内容。供应商的法定代表人（单位负责人）或其授权的代理人在谈判中作出的承诺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的组成部分。评审小组可根据需要，安排多轮谈判。</w:t>
      </w:r>
    </w:p>
    <w:p w14:paraId="63ED8BE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（2）详细评审。</w:t>
      </w:r>
    </w:p>
    <w:p w14:paraId="310CB2C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评审小组通过对采购成本、供应能力、风险管控、采购目标等的分析，对供应商拟提供标的的技术、商务进行物有所值综合评价。</w:t>
      </w:r>
    </w:p>
    <w:p w14:paraId="5047CF3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（3）编写评审报告。</w:t>
      </w:r>
    </w:p>
    <w:p w14:paraId="3E4BF6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评审小组根据预期的谈判目标综合谈判纪要编写评审报告，推荐候选成交供应商或提出谈判终止建议。</w:t>
      </w:r>
    </w:p>
    <w:p w14:paraId="1F8A7C7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F751E8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58B0AD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2D2F51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754AF7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625FC5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3D4707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A46134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1BFBEA1">
      <w:pPr>
        <w:keepNext w:val="0"/>
        <w:keepLines w:val="0"/>
        <w:pageBreakBefore w:val="0"/>
        <w:numPr>
          <w:ilvl w:val="0"/>
          <w:numId w:val="2"/>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 xml:space="preserve">   主要合同条款</w:t>
      </w:r>
    </w:p>
    <w:p w14:paraId="6D6BF4BC">
      <w:pPr>
        <w:keepNext w:val="0"/>
        <w:keepLines w:val="0"/>
        <w:pageBreakBefore w:val="0"/>
        <w:numPr>
          <w:ilvl w:val="0"/>
          <w:numId w:val="0"/>
        </w:numPr>
        <w:wordWrap/>
        <w:overflowPunct/>
        <w:topLinePunct w:val="0"/>
        <w:bidi w:val="0"/>
        <w:spacing w:line="360" w:lineRule="auto"/>
        <w:jc w:val="both"/>
        <w:rPr>
          <w:rFonts w:hint="eastAsia" w:ascii="仿宋" w:hAnsi="仿宋" w:eastAsia="仿宋" w:cs="仿宋"/>
          <w:b/>
          <w:bCs/>
          <w:kern w:val="2"/>
          <w:sz w:val="32"/>
          <w:szCs w:val="32"/>
          <w:lang w:val="en-US" w:eastAsia="zh-CN" w:bidi="ar-SA"/>
        </w:rPr>
      </w:pPr>
    </w:p>
    <w:p w14:paraId="3E7BC206">
      <w:pPr>
        <w:keepNext w:val="0"/>
        <w:keepLines w:val="0"/>
        <w:pageBreakBefore w:val="0"/>
        <w:wordWrap/>
        <w:overflowPunct/>
        <w:topLinePunct w:val="0"/>
        <w:bidi w:val="0"/>
        <w:spacing w:line="360" w:lineRule="auto"/>
        <w:rPr>
          <w:rFonts w:hint="eastAsia" w:ascii="仿宋" w:hAnsi="仿宋" w:eastAsia="仿宋" w:cs="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br w:type="page"/>
      </w:r>
    </w:p>
    <w:p w14:paraId="3C6D72E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、工程概况</w:t>
      </w:r>
    </w:p>
    <w:p w14:paraId="798CF17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总包工程名称：</w:t>
      </w:r>
      <w:r>
        <w:rPr>
          <w:rFonts w:hint="eastAsia" w:ascii="仿宋" w:hAnsi="仿宋" w:eastAsia="仿宋" w:cs="仿宋"/>
          <w:sz w:val="32"/>
          <w:szCs w:val="32"/>
          <w:u w:val="single"/>
          <w:lang w:eastAsia="zh-CN"/>
        </w:rPr>
        <w:t xml:space="preserve">国联零碳科创园（华光环能科创中心）项目 </w:t>
      </w:r>
      <w:r>
        <w:rPr>
          <w:rFonts w:hint="eastAsia" w:ascii="仿宋" w:hAnsi="仿宋" w:eastAsia="仿宋" w:cs="仿宋"/>
          <w:sz w:val="32"/>
          <w:szCs w:val="32"/>
          <w:lang w:eastAsia="zh-CN"/>
        </w:rPr>
        <w:t>。</w:t>
      </w:r>
    </w:p>
    <w:p w14:paraId="472FE29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分包工程名称：</w:t>
      </w:r>
      <w:r>
        <w:rPr>
          <w:rFonts w:hint="eastAsia" w:ascii="仿宋" w:hAnsi="仿宋" w:eastAsia="仿宋" w:cs="仿宋"/>
          <w:sz w:val="32"/>
          <w:szCs w:val="32"/>
          <w:u w:val="single"/>
          <w:lang w:eastAsia="zh-CN"/>
        </w:rPr>
        <w:t xml:space="preserve">桩基工程专业分包 </w:t>
      </w:r>
      <w:r>
        <w:rPr>
          <w:rFonts w:hint="eastAsia" w:ascii="仿宋" w:hAnsi="仿宋" w:eastAsia="仿宋" w:cs="仿宋"/>
          <w:sz w:val="32"/>
          <w:szCs w:val="32"/>
          <w:lang w:eastAsia="zh-CN"/>
        </w:rPr>
        <w:t>。</w:t>
      </w:r>
    </w:p>
    <w:p w14:paraId="23F67D4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分包工程地点：</w:t>
      </w:r>
      <w:r>
        <w:rPr>
          <w:rFonts w:hint="eastAsia" w:ascii="仿宋" w:hAnsi="仿宋" w:eastAsia="仿宋" w:cs="仿宋"/>
          <w:sz w:val="32"/>
          <w:szCs w:val="32"/>
          <w:u w:val="single"/>
          <w:lang w:eastAsia="zh-CN"/>
        </w:rPr>
        <w:t>无锡市新吴区旺庄街道城南路3号</w:t>
      </w:r>
      <w:r>
        <w:rPr>
          <w:rFonts w:hint="eastAsia" w:ascii="仿宋" w:hAnsi="仿宋" w:eastAsia="仿宋" w:cs="仿宋"/>
          <w:sz w:val="32"/>
          <w:szCs w:val="32"/>
          <w:lang w:eastAsia="zh-CN"/>
        </w:rPr>
        <w:t xml:space="preserve"> 。</w:t>
      </w:r>
    </w:p>
    <w:p w14:paraId="249C841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分包工程承包范围：</w:t>
      </w:r>
      <w:r>
        <w:rPr>
          <w:rFonts w:hint="eastAsia" w:ascii="仿宋" w:hAnsi="仿宋" w:eastAsia="仿宋" w:cs="仿宋"/>
          <w:sz w:val="32"/>
          <w:szCs w:val="32"/>
          <w:u w:val="single"/>
          <w:lang w:eastAsia="zh-CN"/>
        </w:rPr>
        <w:t xml:space="preserve">本次招标范围为桩基工程部分，详情见报价清单 </w:t>
      </w:r>
      <w:r>
        <w:rPr>
          <w:rFonts w:hint="eastAsia" w:ascii="仿宋" w:hAnsi="仿宋" w:eastAsia="仿宋" w:cs="仿宋"/>
          <w:sz w:val="32"/>
          <w:szCs w:val="32"/>
          <w:lang w:eastAsia="zh-CN"/>
        </w:rPr>
        <w:t>。</w:t>
      </w:r>
    </w:p>
    <w:p w14:paraId="1AFA815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承包人有权根据分包人的施工组织情况、配给情况合理调整分包人的施工范围，分包人有义务予以配合、协助。</w:t>
      </w:r>
    </w:p>
    <w:p w14:paraId="6ACD30E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2、合同工期</w:t>
      </w:r>
    </w:p>
    <w:p w14:paraId="531404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计划2026年1月15日至2026年3月15日（根据现场情况</w:t>
      </w:r>
      <w:r>
        <w:rPr>
          <w:rFonts w:hint="eastAsia" w:ascii="仿宋" w:hAnsi="仿宋" w:eastAsia="仿宋" w:cs="仿宋"/>
          <w:sz w:val="32"/>
          <w:szCs w:val="32"/>
          <w:lang w:val="en-US" w:eastAsia="zh-CN"/>
        </w:rPr>
        <w:t>动态调整，询价时承包人按照绝对工期考量</w:t>
      </w:r>
      <w:r>
        <w:rPr>
          <w:rFonts w:hint="eastAsia" w:ascii="仿宋" w:hAnsi="仿宋" w:eastAsia="仿宋" w:cs="仿宋"/>
          <w:sz w:val="32"/>
          <w:szCs w:val="32"/>
        </w:rPr>
        <w:t>）。</w:t>
      </w:r>
    </w:p>
    <w:p w14:paraId="5F7B75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具体进场日期以承包方通知为准，作业总日历天数与前述计划开工、完工计算的天数不一致的，以</w:t>
      </w:r>
      <w:r>
        <w:rPr>
          <w:rFonts w:hint="eastAsia" w:ascii="仿宋" w:hAnsi="仿宋" w:eastAsia="仿宋" w:cs="仿宋"/>
          <w:sz w:val="32"/>
          <w:szCs w:val="32"/>
          <w:lang w:val="en-US" w:eastAsia="zh-CN"/>
        </w:rPr>
        <w:t>承包方通知进场日期为始计算后，</w:t>
      </w:r>
      <w:r>
        <w:rPr>
          <w:rFonts w:hint="eastAsia" w:ascii="仿宋" w:hAnsi="仿宋" w:eastAsia="仿宋" w:cs="仿宋"/>
          <w:sz w:val="32"/>
          <w:szCs w:val="32"/>
        </w:rPr>
        <w:t>作业总日历天数为准。</w:t>
      </w:r>
    </w:p>
    <w:p w14:paraId="57989A36">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（3）非因承包人原因或不可抗力导致工期延误的，每逾期 1 日，分包人按合同总价款 5‰支付违约金；逾期累计 10 日的，承包人有权单方面解除合同。</w:t>
      </w:r>
    </w:p>
    <w:p w14:paraId="36241DAD">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（4）因设计变更、异常恶劣气候条件等合规情形导致工期延误的，按实际情况协商调整。</w:t>
      </w:r>
    </w:p>
    <w:p w14:paraId="7C0C3DEC">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（5）合同签订期限：自确定本项目中选供应商之日起 15 日内，双方需完成本合同签订工作；逾期未签订且无正当理由的，承包人有权另行选择供应商，由此产生的责任由未履约方承担。</w:t>
      </w:r>
    </w:p>
    <w:p w14:paraId="46212924">
      <w:pPr>
        <w:rPr>
          <w:rFonts w:hint="eastAsia"/>
          <w:lang w:val="en-US" w:eastAsia="zh-CN"/>
        </w:rPr>
      </w:pPr>
    </w:p>
    <w:p w14:paraId="23DF949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3、质量标准</w:t>
      </w:r>
    </w:p>
    <w:p w14:paraId="0676F95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 xml:space="preserve">分包工程质量应符合以下质量验收标准：工程质量标准满足图纸要求及国家、行业、地方等验收标准。 </w:t>
      </w:r>
    </w:p>
    <w:p w14:paraId="0EDDF57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《建筑桩基技木规范》(JCJ94-2008)</w:t>
      </w:r>
    </w:p>
    <w:p w14:paraId="3457D36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《建筑基桩检测技木规范》(JCJ106-2014)</w:t>
      </w:r>
    </w:p>
    <w:p w14:paraId="658F56E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《建筑地基基础工程施工规范》(GB51004-2015)</w:t>
      </w:r>
    </w:p>
    <w:p w14:paraId="2032D6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《建筑与市政地基基础通用规范》(GB55003-2021)</w:t>
      </w:r>
    </w:p>
    <w:p w14:paraId="561ED07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《建筑地基基础工程施工质量验收规范》(GB50202-2018)</w:t>
      </w:r>
    </w:p>
    <w:p w14:paraId="38AFBEA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中华人民共和国国家、行业其他现行的有效设计标准、规范、规程和标准图集。</w:t>
      </w:r>
    </w:p>
    <w:p w14:paraId="16DAC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（2）分包人对施工质量负总责，因断桩、桩位偏差等质量问题导致返工的，费用由分包人承担，并赔偿承包人相关损失。</w:t>
      </w:r>
    </w:p>
    <w:p w14:paraId="5D08CD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（3）工程完工后需通过承包人组织的验收，未经验收或验收不合格的，不视为此部分工程量完成，不得移交。</w:t>
      </w:r>
    </w:p>
    <w:p w14:paraId="3260A20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（4）质量保修期为竣工验收合格后 2 年，保修期内分包人需及时履行保修义务。</w:t>
      </w:r>
    </w:p>
    <w:p w14:paraId="3C39AA1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4、安全标准</w:t>
      </w:r>
    </w:p>
    <w:p w14:paraId="7C3CB3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w:t>
      </w:r>
      <w:r>
        <w:rPr>
          <w:rFonts w:hint="default" w:ascii="仿宋" w:hAnsi="仿宋" w:eastAsia="仿宋" w:cs="仿宋"/>
          <w:color w:val="auto"/>
          <w:kern w:val="2"/>
          <w:sz w:val="32"/>
          <w:szCs w:val="32"/>
          <w:lang w:val="en-US" w:eastAsia="zh-CN" w:bidi="ar-SA"/>
        </w:rPr>
        <w:t>施工过程中发生安全事故的，分包人需立即上报并组织处置，承担全部人员伤亡及财产损失责任；造成承包人损失的，另行赔偿。</w:t>
      </w:r>
    </w:p>
    <w:p w14:paraId="4BFF77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w:t>
      </w:r>
      <w:r>
        <w:rPr>
          <w:rFonts w:hint="default" w:ascii="仿宋" w:hAnsi="仿宋" w:eastAsia="仿宋" w:cs="仿宋"/>
          <w:color w:val="auto"/>
          <w:kern w:val="2"/>
          <w:sz w:val="32"/>
          <w:szCs w:val="32"/>
          <w:lang w:val="en-US" w:eastAsia="zh-CN" w:bidi="ar-SA"/>
        </w:rPr>
        <w:t>分包人负责施工场地内自有设备、人员的安全管理，对毗邻建筑物、地下管线等做好保护，损坏的承担全额赔偿责任。</w:t>
      </w:r>
    </w:p>
    <w:p w14:paraId="32F5440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5、报价要求</w:t>
      </w:r>
    </w:p>
    <w:p w14:paraId="1A911B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w:t>
      </w:r>
      <w:r>
        <w:rPr>
          <w:rFonts w:hint="default" w:ascii="仿宋" w:hAnsi="仿宋" w:eastAsia="仿宋" w:cs="仿宋"/>
          <w:color w:val="auto"/>
          <w:kern w:val="2"/>
          <w:sz w:val="32"/>
          <w:szCs w:val="32"/>
          <w:lang w:val="en-US" w:eastAsia="zh-CN" w:bidi="ar-SA"/>
        </w:rPr>
        <w:t>合同采用综合单价包干、工程量按实结算模式，增值税税率 9%。</w:t>
      </w:r>
    </w:p>
    <w:p w14:paraId="66D63B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w:t>
      </w:r>
      <w:r>
        <w:rPr>
          <w:rFonts w:hint="default" w:ascii="仿宋" w:hAnsi="仿宋" w:eastAsia="仿宋" w:cs="仿宋"/>
          <w:color w:val="auto"/>
          <w:kern w:val="2"/>
          <w:sz w:val="32"/>
          <w:szCs w:val="32"/>
          <w:lang w:val="en-US" w:eastAsia="zh-CN" w:bidi="ar-SA"/>
        </w:rPr>
        <w:t>综合单价包含人工费、辅材费、机械费、管理费、利润、安全文明施工费、成品保护费等全部费用，市场价格波动、天气影响等风险已包含在内，合同履行期内不作调整。</w:t>
      </w:r>
    </w:p>
    <w:p w14:paraId="7016B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w:t>
      </w:r>
      <w:r>
        <w:rPr>
          <w:rFonts w:hint="default" w:ascii="仿宋" w:hAnsi="仿宋" w:eastAsia="仿宋" w:cs="仿宋"/>
          <w:color w:val="auto"/>
          <w:kern w:val="2"/>
          <w:sz w:val="32"/>
          <w:szCs w:val="32"/>
          <w:lang w:val="en-US" w:eastAsia="zh-CN" w:bidi="ar-SA"/>
        </w:rPr>
        <w:t>工程量清单为暂定，因设计优化导致工作内容取消或减少的，按实际</w:t>
      </w:r>
      <w:r>
        <w:rPr>
          <w:rFonts w:hint="eastAsia" w:ascii="仿宋" w:hAnsi="仿宋" w:eastAsia="仿宋" w:cs="仿宋"/>
          <w:color w:val="auto"/>
          <w:kern w:val="2"/>
          <w:sz w:val="32"/>
          <w:szCs w:val="32"/>
          <w:lang w:val="en-US" w:eastAsia="zh-CN" w:bidi="ar-SA"/>
        </w:rPr>
        <w:t>结算清单</w:t>
      </w:r>
      <w:r>
        <w:rPr>
          <w:rFonts w:hint="default" w:ascii="仿宋" w:hAnsi="仿宋" w:eastAsia="仿宋" w:cs="仿宋"/>
          <w:color w:val="auto"/>
          <w:kern w:val="2"/>
          <w:sz w:val="32"/>
          <w:szCs w:val="32"/>
          <w:lang w:val="en-US" w:eastAsia="zh-CN" w:bidi="ar-SA"/>
        </w:rPr>
        <w:t>完成量结算，单价不变，分包人不得索赔。</w:t>
      </w:r>
    </w:p>
    <w:p w14:paraId="76B0F5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w:t>
      </w:r>
      <w:r>
        <w:rPr>
          <w:rFonts w:hint="default" w:ascii="仿宋" w:hAnsi="仿宋" w:eastAsia="仿宋" w:cs="仿宋"/>
          <w:color w:val="auto"/>
          <w:kern w:val="2"/>
          <w:sz w:val="32"/>
          <w:szCs w:val="32"/>
          <w:lang w:val="en-US" w:eastAsia="zh-CN" w:bidi="ar-SA"/>
        </w:rPr>
        <w:t>单项变更或签证金额不足 500 元的不予办理，超过 500 元的按约定程序审批后计入结算。</w:t>
      </w:r>
    </w:p>
    <w:p w14:paraId="3A04B09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6、</w:t>
      </w:r>
      <w:r>
        <w:rPr>
          <w:rFonts w:hint="default" w:ascii="仿宋" w:hAnsi="仿宋" w:eastAsia="仿宋" w:cs="仿宋"/>
          <w:b/>
          <w:bCs/>
          <w:sz w:val="32"/>
          <w:szCs w:val="32"/>
          <w:lang w:val="en-US" w:eastAsia="zh-CN"/>
        </w:rPr>
        <w:t>付款方式</w:t>
      </w:r>
    </w:p>
    <w:p w14:paraId="679B01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（1）付款方式</w:t>
      </w:r>
      <w:r>
        <w:rPr>
          <w:rFonts w:hint="default" w:ascii="仿宋" w:hAnsi="仿宋" w:eastAsia="仿宋" w:cs="仿宋"/>
          <w:color w:val="auto"/>
          <w:kern w:val="2"/>
          <w:sz w:val="32"/>
          <w:szCs w:val="32"/>
          <w:lang w:val="en-US" w:eastAsia="zh-CN" w:bidi="ar-SA"/>
        </w:rPr>
        <w:t>：过程付款70%（当月完成产值），完工后支付至完成产值的80%，办理完工结算后支付至结算金额的97%，2年质保期满后无息支付剩余3%。</w:t>
      </w:r>
    </w:p>
    <w:p w14:paraId="0FD6E7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w:t>
      </w:r>
      <w:r>
        <w:rPr>
          <w:rFonts w:hint="default" w:ascii="仿宋" w:hAnsi="仿宋" w:eastAsia="仿宋" w:cs="仿宋"/>
          <w:color w:val="auto"/>
          <w:kern w:val="2"/>
          <w:sz w:val="32"/>
          <w:szCs w:val="32"/>
          <w:lang w:val="en-US" w:eastAsia="zh-CN" w:bidi="ar-SA"/>
        </w:rPr>
        <w:t>质量保证金：按结算金额的 3% 预留，缺陷责任期（2 年）满后 1 个月内无息返还。</w:t>
      </w:r>
    </w:p>
    <w:p w14:paraId="517D88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w:t>
      </w:r>
      <w:r>
        <w:rPr>
          <w:rFonts w:hint="default" w:ascii="仿宋" w:hAnsi="仿宋" w:eastAsia="仿宋" w:cs="仿宋"/>
          <w:color w:val="auto"/>
          <w:kern w:val="2"/>
          <w:sz w:val="32"/>
          <w:szCs w:val="32"/>
          <w:lang w:val="en-US" w:eastAsia="zh-CN" w:bidi="ar-SA"/>
        </w:rPr>
        <w:t>分包人需提供合法有效的 9% 增值税专用发票，否则承包人有权延迟付款，并按应开票金额的 20% 收取违约金；付款账户为分包人约定账户。</w:t>
      </w:r>
    </w:p>
    <w:p w14:paraId="30DB5F6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7、</w:t>
      </w:r>
      <w:r>
        <w:rPr>
          <w:rFonts w:hint="default" w:ascii="仿宋" w:hAnsi="仿宋" w:eastAsia="仿宋" w:cs="仿宋"/>
          <w:b/>
          <w:bCs/>
          <w:sz w:val="32"/>
          <w:szCs w:val="32"/>
          <w:lang w:val="en-US" w:eastAsia="zh-CN"/>
        </w:rPr>
        <w:t>结算规则</w:t>
      </w:r>
    </w:p>
    <w:p w14:paraId="5EAD57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w:t>
      </w:r>
      <w:r>
        <w:rPr>
          <w:rFonts w:hint="default" w:ascii="仿宋" w:hAnsi="仿宋" w:eastAsia="仿宋" w:cs="仿宋"/>
          <w:color w:val="auto"/>
          <w:kern w:val="2"/>
          <w:sz w:val="32"/>
          <w:szCs w:val="32"/>
          <w:lang w:val="en-US" w:eastAsia="zh-CN" w:bidi="ar-SA"/>
        </w:rPr>
        <w:t>分包人需在工程竣工验收合格后 28 日内，提交完整的结算申请单及相关资料；结算量不得超过承包人对上结算有效桩长，超钻部分不予计量。</w:t>
      </w:r>
    </w:p>
    <w:p w14:paraId="78312C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w:t>
      </w:r>
      <w:r>
        <w:rPr>
          <w:rFonts w:hint="default" w:ascii="仿宋" w:hAnsi="仿宋" w:eastAsia="仿宋" w:cs="仿宋"/>
          <w:color w:val="auto"/>
          <w:kern w:val="2"/>
          <w:sz w:val="32"/>
          <w:szCs w:val="32"/>
          <w:lang w:val="en-US" w:eastAsia="zh-CN" w:bidi="ar-SA"/>
        </w:rPr>
        <w:t>承包人在收到结算申请后</w:t>
      </w:r>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完成审核7 日内未提出异议的，视为认可结算金额。</w:t>
      </w:r>
    </w:p>
    <w:p w14:paraId="364F53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w:t>
      </w:r>
      <w:r>
        <w:rPr>
          <w:rFonts w:hint="default" w:ascii="仿宋" w:hAnsi="仿宋" w:eastAsia="仿宋" w:cs="仿宋"/>
          <w:color w:val="auto"/>
          <w:kern w:val="2"/>
          <w:sz w:val="32"/>
          <w:szCs w:val="32"/>
          <w:lang w:val="en-US" w:eastAsia="zh-CN" w:bidi="ar-SA"/>
        </w:rPr>
        <w:t>最终结清：缺陷责任期终止后 7 日内，分包人提交最终结清申请，承包人审核通过后 7 日内支付剩余款项。</w:t>
      </w:r>
    </w:p>
    <w:p w14:paraId="4EF3BE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kern w:val="2"/>
          <w:sz w:val="32"/>
          <w:szCs w:val="32"/>
          <w:lang w:val="en-US" w:eastAsia="zh-CN" w:bidi="ar-SA"/>
        </w:rPr>
        <w:t>（4）</w:t>
      </w:r>
      <w:r>
        <w:rPr>
          <w:rFonts w:hint="default" w:ascii="仿宋" w:hAnsi="仿宋" w:eastAsia="仿宋" w:cs="仿宋"/>
          <w:color w:val="auto"/>
          <w:kern w:val="2"/>
          <w:sz w:val="32"/>
          <w:szCs w:val="32"/>
          <w:lang w:val="en-US" w:eastAsia="zh-CN" w:bidi="ar-SA"/>
        </w:rPr>
        <w:t>若承包人超付工程款，分包人需在收到通知后 3 日内退还，逾期按人民银行同期贷款利率 4 倍支付资金占用利息</w:t>
      </w:r>
    </w:p>
    <w:p w14:paraId="144EB0A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FCA2DA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32C88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D32CE8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BC33A7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8EE9AD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759D9C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CD6C5B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第五章    响应文件格式</w:t>
      </w:r>
    </w:p>
    <w:p w14:paraId="1A735A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6165388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529B60A">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lang w:eastAsia="zh-CN"/>
        </w:rPr>
        <w:t>国联零碳科创园(华光环能科创中心)项目桩基工程专业分包采购</w:t>
      </w:r>
    </w:p>
    <w:p w14:paraId="1226312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895205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4242A5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D7FBD1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387F241">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响　应　文　件</w:t>
      </w:r>
    </w:p>
    <w:p w14:paraId="12395AD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021B99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F100AD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212D3B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352BC0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76659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11EAE1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8F47548">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r>
        <w:rPr>
          <w:rFonts w:hint="eastAsia" w:ascii="仿宋" w:hAnsi="仿宋" w:eastAsia="仿宋" w:cs="仿宋"/>
          <w:sz w:val="32"/>
          <w:szCs w:val="32"/>
        </w:rPr>
        <w:t>供应商：</w:t>
      </w:r>
    </w:p>
    <w:p w14:paraId="2F2716CC">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p>
    <w:p w14:paraId="707BA6DE">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年    月    日</w:t>
      </w:r>
    </w:p>
    <w:p w14:paraId="787D3DC8">
      <w:pPr>
        <w:rPr>
          <w:rFonts w:hint="eastAsia" w:ascii="仿宋" w:hAnsi="仿宋" w:eastAsia="仿宋" w:cs="仿宋"/>
          <w:sz w:val="32"/>
          <w:szCs w:val="32"/>
        </w:rPr>
      </w:pPr>
      <w:r>
        <w:rPr>
          <w:rFonts w:hint="eastAsia" w:ascii="仿宋" w:hAnsi="仿宋" w:eastAsia="仿宋" w:cs="仿宋"/>
          <w:sz w:val="32"/>
          <w:szCs w:val="32"/>
        </w:rPr>
        <w:br w:type="page"/>
      </w:r>
    </w:p>
    <w:p w14:paraId="6DA93378">
      <w:pPr>
        <w:keepNext w:val="0"/>
        <w:keepLines w:val="0"/>
        <w:pageBreakBefore w:val="0"/>
        <w:wordWrap/>
        <w:overflowPunct/>
        <w:topLinePunct w:val="0"/>
        <w:bidi w:val="0"/>
        <w:spacing w:line="360"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目录</w:t>
      </w:r>
    </w:p>
    <w:p w14:paraId="6A23DE56">
      <w:pPr>
        <w:keepNext w:val="0"/>
        <w:keepLines w:val="0"/>
        <w:pageBreakBefore w:val="0"/>
        <w:wordWrap/>
        <w:overflowPunct/>
        <w:topLinePunct w:val="0"/>
        <w:bidi w:val="0"/>
        <w:spacing w:line="360" w:lineRule="auto"/>
        <w:jc w:val="center"/>
        <w:rPr>
          <w:rFonts w:hint="eastAsia" w:ascii="仿宋" w:hAnsi="仿宋" w:eastAsia="仿宋" w:cs="仿宋"/>
          <w:b/>
          <w:bCs/>
          <w:sz w:val="32"/>
          <w:szCs w:val="32"/>
          <w:lang w:val="en-US" w:eastAsia="zh-CN"/>
        </w:rPr>
      </w:pPr>
    </w:p>
    <w:p w14:paraId="662FDF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一、响应函</w:t>
      </w:r>
    </w:p>
    <w:p w14:paraId="0AA0AD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二、授权委托书（适用于有委托代理人的情况）</w:t>
      </w:r>
    </w:p>
    <w:p w14:paraId="694D5FF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三、商务和技术偏差表</w:t>
      </w:r>
    </w:p>
    <w:p w14:paraId="7D80D9B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桩基工程报价单</w:t>
      </w:r>
    </w:p>
    <w:p w14:paraId="565635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、资格审查资料</w:t>
      </w:r>
    </w:p>
    <w:p w14:paraId="48F48A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7FBE710">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b w:val="0"/>
          <w:bCs w:val="0"/>
          <w:sz w:val="32"/>
          <w:szCs w:val="32"/>
        </w:rPr>
        <w:t>一、响应函</w:t>
      </w:r>
    </w:p>
    <w:p w14:paraId="0C56066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（采购人名称）：</w:t>
      </w:r>
    </w:p>
    <w:p w14:paraId="2C7ED78D">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1．我方已仔细研究了                （项目名称）采购文件的全部内容，愿意以含税价人民币（大写）           (￥           )的报价（其中不含税价为：            ；增值税税额为：            ）完成/提供本项目工程/货物/服务，并按合同约定履行义务。</w:t>
      </w:r>
    </w:p>
    <w:p w14:paraId="689B74F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2.我方的</w:t>
      </w:r>
      <w:r>
        <w:rPr>
          <w:rFonts w:hint="eastAsia" w:ascii="仿宋" w:hAnsi="仿宋" w:eastAsia="仿宋" w:cs="仿宋"/>
          <w:sz w:val="32"/>
          <w:szCs w:val="32"/>
          <w:lang w:eastAsia="zh-CN"/>
        </w:rPr>
        <w:t>响应文件</w:t>
      </w:r>
      <w:r>
        <w:rPr>
          <w:rFonts w:hint="eastAsia" w:ascii="仿宋" w:hAnsi="仿宋" w:eastAsia="仿宋" w:cs="仿宋"/>
          <w:sz w:val="32"/>
          <w:szCs w:val="32"/>
        </w:rPr>
        <w:t>包括下列内容：</w:t>
      </w:r>
    </w:p>
    <w:p w14:paraId="661CBE0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（1）响应函；</w:t>
      </w:r>
    </w:p>
    <w:p w14:paraId="346FC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（2）授权委托书（如有）；</w:t>
      </w:r>
    </w:p>
    <w:p w14:paraId="09B010A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（3）联合体协议书（如有）；</w:t>
      </w:r>
    </w:p>
    <w:p w14:paraId="4793A77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（4）响应保证金（如有）；</w:t>
      </w:r>
    </w:p>
    <w:p w14:paraId="477F969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（5）商务和技术偏差表；</w:t>
      </w:r>
    </w:p>
    <w:p w14:paraId="1D9C52A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（6）报价表；</w:t>
      </w:r>
    </w:p>
    <w:p w14:paraId="0BFFFD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（7）资格审查资料；</w:t>
      </w:r>
    </w:p>
    <w:p w14:paraId="6029B2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w:t>
      </w:r>
    </w:p>
    <w:p w14:paraId="60D2B85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响应文件</w:t>
      </w:r>
      <w:r>
        <w:rPr>
          <w:rFonts w:hint="eastAsia" w:ascii="仿宋" w:hAnsi="仿宋" w:eastAsia="仿宋" w:cs="仿宋"/>
          <w:sz w:val="32"/>
          <w:szCs w:val="32"/>
        </w:rPr>
        <w:t>的上述组成部分如存在内容不一致的，以响应函为准。</w:t>
      </w:r>
    </w:p>
    <w:p w14:paraId="27DE30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3．我方承诺除商务和技术偏差表列出的偏差外，我方响应采购文件的全部要求。</w:t>
      </w:r>
    </w:p>
    <w:p w14:paraId="1F38D51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4．我方承诺在采购文件规定的</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有效期内不撤销</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7120DE5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5．如我方成交，我方承诺：</w:t>
      </w:r>
    </w:p>
    <w:p w14:paraId="50529C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（1）在收到成交通知书后，在成交通知书规定的期限内与你方签订合同；</w:t>
      </w:r>
    </w:p>
    <w:p w14:paraId="067DE31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（2）在签订合同时不向你方提出附加条件；</w:t>
      </w:r>
    </w:p>
    <w:p w14:paraId="44D1A36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（3）按照采购文件要求递交履约保证金；</w:t>
      </w:r>
    </w:p>
    <w:p w14:paraId="3B0E9D8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（4）在合同约定的期限内完成合同规定的全部义务。</w:t>
      </w:r>
    </w:p>
    <w:p w14:paraId="26DE28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6．我方在此声明，所递交的</w:t>
      </w:r>
      <w:r>
        <w:rPr>
          <w:rFonts w:hint="eastAsia" w:ascii="仿宋" w:hAnsi="仿宋" w:eastAsia="仿宋" w:cs="仿宋"/>
          <w:sz w:val="32"/>
          <w:szCs w:val="32"/>
          <w:lang w:eastAsia="zh-CN"/>
        </w:rPr>
        <w:t>响应文件</w:t>
      </w:r>
      <w:r>
        <w:rPr>
          <w:rFonts w:hint="eastAsia" w:ascii="仿宋" w:hAnsi="仿宋" w:eastAsia="仿宋" w:cs="仿宋"/>
          <w:sz w:val="32"/>
          <w:szCs w:val="32"/>
        </w:rPr>
        <w:t>及有关资料内容完整、真实和准确，且不存在第一章“询比采购公告/询比采购邀请书”中规定的供应商不得存在的情形。</w:t>
      </w:r>
    </w:p>
    <w:p w14:paraId="3A1C72E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7．（其他补充说明）。</w:t>
      </w:r>
    </w:p>
    <w:p w14:paraId="7FB3376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7FA4C43">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供应商：                （盖单位章）</w:t>
      </w:r>
    </w:p>
    <w:p w14:paraId="395D73A9">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法定代表人（单位负责人）或其授权的代理人：            （签字）</w:t>
      </w:r>
    </w:p>
    <w:p w14:paraId="60E147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地</w:t>
      </w:r>
      <w:r>
        <w:rPr>
          <w:rFonts w:hint="eastAsia" w:ascii="仿宋" w:hAnsi="仿宋" w:eastAsia="仿宋" w:cs="仿宋"/>
          <w:sz w:val="32"/>
          <w:szCs w:val="32"/>
          <w:lang w:eastAsia="zh-CN"/>
        </w:rPr>
        <w:t>　　</w:t>
      </w:r>
      <w:r>
        <w:rPr>
          <w:rFonts w:hint="eastAsia" w:ascii="仿宋" w:hAnsi="仿宋" w:eastAsia="仿宋" w:cs="仿宋"/>
          <w:sz w:val="32"/>
          <w:szCs w:val="32"/>
        </w:rPr>
        <w:t>址：</w:t>
      </w:r>
    </w:p>
    <w:p w14:paraId="7AAB270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电子邮箱：</w:t>
      </w:r>
    </w:p>
    <w:p w14:paraId="511D10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电</w:t>
      </w:r>
      <w:r>
        <w:rPr>
          <w:rFonts w:hint="eastAsia" w:ascii="仿宋" w:hAnsi="仿宋" w:eastAsia="仿宋" w:cs="仿宋"/>
          <w:sz w:val="32"/>
          <w:szCs w:val="32"/>
          <w:lang w:eastAsia="zh-CN"/>
        </w:rPr>
        <w:t>　　</w:t>
      </w:r>
      <w:r>
        <w:rPr>
          <w:rFonts w:hint="eastAsia" w:ascii="仿宋" w:hAnsi="仿宋" w:eastAsia="仿宋" w:cs="仿宋"/>
          <w:sz w:val="32"/>
          <w:szCs w:val="32"/>
        </w:rPr>
        <w:t>话：</w:t>
      </w:r>
    </w:p>
    <w:p w14:paraId="649763E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传</w:t>
      </w:r>
      <w:r>
        <w:rPr>
          <w:rFonts w:hint="eastAsia" w:ascii="仿宋" w:hAnsi="仿宋" w:eastAsia="仿宋" w:cs="仿宋"/>
          <w:sz w:val="32"/>
          <w:szCs w:val="32"/>
          <w:lang w:eastAsia="zh-CN"/>
        </w:rPr>
        <w:t>　　</w:t>
      </w:r>
      <w:r>
        <w:rPr>
          <w:rFonts w:hint="eastAsia" w:ascii="仿宋" w:hAnsi="仿宋" w:eastAsia="仿宋" w:cs="仿宋"/>
          <w:sz w:val="32"/>
          <w:szCs w:val="32"/>
        </w:rPr>
        <w:t>真：</w:t>
      </w:r>
    </w:p>
    <w:p w14:paraId="6DDD2FC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邮政编码：</w:t>
      </w:r>
    </w:p>
    <w:p w14:paraId="7DD9E82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C44E60B">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 xml:space="preserve">    年    月    日</w:t>
      </w:r>
    </w:p>
    <w:p w14:paraId="65F498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50B9FF4">
      <w:pPr>
        <w:keepNext w:val="0"/>
        <w:keepLines w:val="0"/>
        <w:pageBreakBefore w:val="0"/>
        <w:numPr>
          <w:ilvl w:val="0"/>
          <w:numId w:val="3"/>
        </w:numPr>
        <w:wordWrap/>
        <w:overflowPunct/>
        <w:topLinePunct w:val="0"/>
        <w:bidi w:val="0"/>
        <w:spacing w:line="36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授权委托书</w:t>
      </w:r>
    </w:p>
    <w:p w14:paraId="71610C9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（适用于有委托代理人的情况）</w:t>
      </w:r>
    </w:p>
    <w:p w14:paraId="5359DF1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本人      （姓名）系                  （供应商名称）的法定代表人（单位负责人），现委托              （姓名）为我方代理人。代理人根据授权，以我方名义签署、澄清确认、递交、撤回、修改                  询比采购项目</w:t>
      </w:r>
      <w:r>
        <w:rPr>
          <w:rFonts w:hint="eastAsia" w:ascii="仿宋" w:hAnsi="仿宋" w:eastAsia="仿宋" w:cs="仿宋"/>
          <w:sz w:val="32"/>
          <w:szCs w:val="32"/>
          <w:lang w:eastAsia="zh-CN"/>
        </w:rPr>
        <w:t>响应文件</w:t>
      </w:r>
      <w:r>
        <w:rPr>
          <w:rFonts w:hint="eastAsia" w:ascii="仿宋" w:hAnsi="仿宋" w:eastAsia="仿宋" w:cs="仿宋"/>
          <w:sz w:val="32"/>
          <w:szCs w:val="32"/>
        </w:rPr>
        <w:t>、签订合同和处理有关事宜，其法律后果由我方承担。</w:t>
      </w:r>
    </w:p>
    <w:p w14:paraId="1F8F13C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委托期限：自本委托书签署之日起至              询比采购项目签订采购合同之日止。</w:t>
      </w:r>
      <w:r>
        <w:rPr>
          <w:rFonts w:hint="eastAsia" w:ascii="仿宋" w:hAnsi="仿宋" w:eastAsia="仿宋" w:cs="仿宋"/>
          <w:sz w:val="32"/>
          <w:szCs w:val="32"/>
        </w:rPr>
        <w:tab/>
      </w:r>
    </w:p>
    <w:p w14:paraId="637548C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代理人无转委托权。</w:t>
      </w:r>
      <w:r>
        <w:rPr>
          <w:rFonts w:hint="eastAsia" w:ascii="仿宋" w:hAnsi="仿宋" w:eastAsia="仿宋" w:cs="仿宋"/>
          <w:sz w:val="32"/>
          <w:szCs w:val="32"/>
        </w:rPr>
        <w:tab/>
      </w:r>
    </w:p>
    <w:p w14:paraId="65BCC4B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873A6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附：法定代表人（单位负责人）身份证复印件及委托代理人身份证复印件。</w:t>
      </w:r>
    </w:p>
    <w:p w14:paraId="01AA2E2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CF31DA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供应商：                    （盖单位章）</w:t>
      </w:r>
    </w:p>
    <w:p w14:paraId="4200942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法定代表人（单位负责人）：                 （签字）</w:t>
      </w:r>
    </w:p>
    <w:p w14:paraId="4DD1B3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身份证号码：</w:t>
      </w:r>
    </w:p>
    <w:p w14:paraId="6584F44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委托代理人：                             （签字）</w:t>
      </w:r>
    </w:p>
    <w:p w14:paraId="726695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身份证号码：</w:t>
      </w:r>
    </w:p>
    <w:p w14:paraId="00772A4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BC5C885">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年     月      日</w:t>
      </w:r>
    </w:p>
    <w:p w14:paraId="68F62F4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5052F95F">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、商务和技术偏差表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033"/>
        <w:gridCol w:w="3100"/>
        <w:gridCol w:w="1586"/>
      </w:tblGrid>
      <w:tr w14:paraId="5866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88701F">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rPr>
            </w:pPr>
            <w:r>
              <w:rPr>
                <w:rFonts w:hint="eastAsia" w:ascii="仿宋" w:hAnsi="仿宋" w:eastAsia="仿宋" w:cs="仿宋"/>
                <w:sz w:val="28"/>
                <w:szCs w:val="28"/>
              </w:rPr>
              <w:t>序号</w:t>
            </w:r>
          </w:p>
        </w:tc>
        <w:tc>
          <w:tcPr>
            <w:tcW w:w="3033" w:type="dxa"/>
          </w:tcPr>
          <w:p w14:paraId="448D9B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采购文件章节及条款号</w:t>
            </w:r>
          </w:p>
        </w:tc>
        <w:tc>
          <w:tcPr>
            <w:tcW w:w="3100" w:type="dxa"/>
          </w:tcPr>
          <w:p w14:paraId="39C65EE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章节及条款号</w:t>
            </w:r>
          </w:p>
        </w:tc>
        <w:tc>
          <w:tcPr>
            <w:tcW w:w="1586" w:type="dxa"/>
          </w:tcPr>
          <w:p w14:paraId="68161CC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偏差说明</w:t>
            </w:r>
          </w:p>
        </w:tc>
      </w:tr>
      <w:tr w14:paraId="426B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5439141">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１</w:t>
            </w:r>
          </w:p>
        </w:tc>
        <w:tc>
          <w:tcPr>
            <w:tcW w:w="3033" w:type="dxa"/>
          </w:tcPr>
          <w:p w14:paraId="740FB26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0D5EB74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1C78DB5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476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ABF6AF3">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２</w:t>
            </w:r>
          </w:p>
        </w:tc>
        <w:tc>
          <w:tcPr>
            <w:tcW w:w="3033" w:type="dxa"/>
          </w:tcPr>
          <w:p w14:paraId="2C3C551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0D8F9CB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09F32EF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690B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AC985E0">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３</w:t>
            </w:r>
          </w:p>
        </w:tc>
        <w:tc>
          <w:tcPr>
            <w:tcW w:w="3033" w:type="dxa"/>
          </w:tcPr>
          <w:p w14:paraId="5D77F37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3FDE933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2474FD7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685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E819710">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４</w:t>
            </w:r>
          </w:p>
        </w:tc>
        <w:tc>
          <w:tcPr>
            <w:tcW w:w="3033" w:type="dxa"/>
          </w:tcPr>
          <w:p w14:paraId="718C5C4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46C200BD">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3D77DDD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22C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CC20CA7">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５</w:t>
            </w:r>
          </w:p>
        </w:tc>
        <w:tc>
          <w:tcPr>
            <w:tcW w:w="3033" w:type="dxa"/>
          </w:tcPr>
          <w:p w14:paraId="73C0CA6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39BC41B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413AA5F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300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38EAF1">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w:t>
            </w:r>
          </w:p>
        </w:tc>
        <w:tc>
          <w:tcPr>
            <w:tcW w:w="3033" w:type="dxa"/>
          </w:tcPr>
          <w:p w14:paraId="43C6032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7CF5140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7FFA8CA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bl>
    <w:p w14:paraId="4BE20EC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供应商保证：除商务和技术偏差表列出的偏差外，供应商响应采购文件的全部要求。</w:t>
      </w:r>
    </w:p>
    <w:p w14:paraId="4A77A3B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0BF62ED">
      <w:pPr>
        <w:keepNext w:val="0"/>
        <w:keepLines w:val="0"/>
        <w:pageBreakBefore w:val="0"/>
        <w:wordWrap/>
        <w:overflowPunct/>
        <w:topLinePunct w:val="0"/>
        <w:bidi w:val="0"/>
        <w:spacing w:line="360" w:lineRule="auto"/>
        <w:jc w:val="center"/>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72AFA6D7">
      <w:pPr>
        <w:keepNext w:val="0"/>
        <w:keepLines w:val="0"/>
        <w:pageBreakBefore w:val="0"/>
        <w:wordWrap/>
        <w:overflowPunct/>
        <w:topLinePunct w:val="0"/>
        <w:bidi w:val="0"/>
        <w:spacing w:line="360" w:lineRule="auto"/>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四、桩基工程报价单</w:t>
      </w:r>
    </w:p>
    <w:tbl>
      <w:tblPr>
        <w:tblStyle w:val="4"/>
        <w:tblW w:w="14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15"/>
        <w:gridCol w:w="2344"/>
        <w:gridCol w:w="4264"/>
        <w:gridCol w:w="464"/>
        <w:gridCol w:w="1234"/>
        <w:gridCol w:w="1579"/>
        <w:gridCol w:w="1763"/>
        <w:gridCol w:w="1741"/>
      </w:tblGrid>
      <w:tr w14:paraId="5DAD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07" w:hRule="atLeast"/>
        </w:trPr>
        <w:tc>
          <w:tcPr>
            <w:tcW w:w="615" w:type="dxa"/>
            <w:noWrap w:val="0"/>
            <w:vAlign w:val="center"/>
          </w:tcPr>
          <w:p w14:paraId="7EBC4EC0">
            <w:pPr>
              <w:keepNext w:val="0"/>
              <w:keepLines w:val="0"/>
              <w:widowControl/>
              <w:numPr>
                <w:ilvl w:val="0"/>
                <w:numId w:val="0"/>
              </w:numPr>
              <w:suppressLineNumbers w:val="0"/>
              <w:snapToGrid w:val="0"/>
              <w:spacing w:line="240" w:lineRule="auto"/>
              <w:jc w:val="center"/>
              <w:textAlignment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序号</w:t>
            </w:r>
          </w:p>
        </w:tc>
        <w:tc>
          <w:tcPr>
            <w:tcW w:w="2344" w:type="dxa"/>
            <w:noWrap w:val="0"/>
            <w:vAlign w:val="center"/>
          </w:tcPr>
          <w:p w14:paraId="7BE45376">
            <w:pPr>
              <w:keepNext w:val="0"/>
              <w:keepLines w:val="0"/>
              <w:widowControl/>
              <w:numPr>
                <w:ilvl w:val="0"/>
                <w:numId w:val="0"/>
              </w:numPr>
              <w:suppressLineNumbers w:val="0"/>
              <w:snapToGrid w:val="0"/>
              <w:spacing w:line="240" w:lineRule="auto"/>
              <w:jc w:val="center"/>
              <w:textAlignment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名称</w:t>
            </w:r>
          </w:p>
        </w:tc>
        <w:tc>
          <w:tcPr>
            <w:tcW w:w="4264" w:type="dxa"/>
            <w:noWrap w:val="0"/>
            <w:vAlign w:val="center"/>
          </w:tcPr>
          <w:p w14:paraId="7AEB3EAC">
            <w:pPr>
              <w:keepNext w:val="0"/>
              <w:keepLines w:val="0"/>
              <w:widowControl/>
              <w:numPr>
                <w:ilvl w:val="0"/>
                <w:numId w:val="0"/>
              </w:numPr>
              <w:suppressLineNumbers w:val="0"/>
              <w:snapToGrid w:val="0"/>
              <w:spacing w:line="240" w:lineRule="auto"/>
              <w:jc w:val="center"/>
              <w:textAlignment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项目特征</w:t>
            </w:r>
          </w:p>
        </w:tc>
        <w:tc>
          <w:tcPr>
            <w:tcW w:w="464" w:type="dxa"/>
            <w:noWrap w:val="0"/>
            <w:vAlign w:val="center"/>
          </w:tcPr>
          <w:p w14:paraId="3C82B33A">
            <w:pPr>
              <w:keepNext w:val="0"/>
              <w:keepLines w:val="0"/>
              <w:widowControl/>
              <w:numPr>
                <w:ilvl w:val="0"/>
                <w:numId w:val="0"/>
              </w:numPr>
              <w:suppressLineNumbers w:val="0"/>
              <w:snapToGrid w:val="0"/>
              <w:spacing w:line="240" w:lineRule="auto"/>
              <w:jc w:val="center"/>
              <w:textAlignment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单位</w:t>
            </w:r>
          </w:p>
        </w:tc>
        <w:tc>
          <w:tcPr>
            <w:tcW w:w="1234" w:type="dxa"/>
            <w:noWrap w:val="0"/>
            <w:vAlign w:val="center"/>
          </w:tcPr>
          <w:p w14:paraId="69D8C62A">
            <w:pPr>
              <w:keepNext w:val="0"/>
              <w:keepLines w:val="0"/>
              <w:widowControl/>
              <w:numPr>
                <w:ilvl w:val="0"/>
                <w:numId w:val="0"/>
              </w:numPr>
              <w:suppressLineNumbers w:val="0"/>
              <w:snapToGrid w:val="0"/>
              <w:spacing w:line="240" w:lineRule="auto"/>
              <w:jc w:val="center"/>
              <w:textAlignment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工程量</w:t>
            </w:r>
          </w:p>
        </w:tc>
        <w:tc>
          <w:tcPr>
            <w:tcW w:w="1579" w:type="dxa"/>
            <w:noWrap w:val="0"/>
            <w:vAlign w:val="center"/>
          </w:tcPr>
          <w:p w14:paraId="31FB5C57">
            <w:pPr>
              <w:keepNext w:val="0"/>
              <w:keepLines w:val="0"/>
              <w:widowControl/>
              <w:numPr>
                <w:ilvl w:val="0"/>
                <w:numId w:val="0"/>
              </w:numPr>
              <w:suppressLineNumbers w:val="0"/>
              <w:snapToGrid w:val="0"/>
              <w:spacing w:line="240" w:lineRule="auto"/>
              <w:jc w:val="center"/>
              <w:textAlignment w:val="center"/>
              <w:rPr>
                <w:rFonts w:hint="default"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含税单价（元）</w:t>
            </w:r>
          </w:p>
        </w:tc>
        <w:tc>
          <w:tcPr>
            <w:tcW w:w="1763" w:type="dxa"/>
            <w:noWrap w:val="0"/>
            <w:vAlign w:val="center"/>
          </w:tcPr>
          <w:p w14:paraId="09E2BAB1">
            <w:pPr>
              <w:keepNext w:val="0"/>
              <w:keepLines w:val="0"/>
              <w:widowControl/>
              <w:numPr>
                <w:ilvl w:val="0"/>
                <w:numId w:val="0"/>
              </w:numPr>
              <w:suppressLineNumbers w:val="0"/>
              <w:snapToGrid w:val="0"/>
              <w:spacing w:line="240" w:lineRule="auto"/>
              <w:jc w:val="center"/>
              <w:textAlignment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含税合价（元）</w:t>
            </w:r>
          </w:p>
        </w:tc>
        <w:tc>
          <w:tcPr>
            <w:tcW w:w="1741" w:type="dxa"/>
            <w:noWrap w:val="0"/>
            <w:vAlign w:val="center"/>
          </w:tcPr>
          <w:p w14:paraId="29B604E3">
            <w:pPr>
              <w:keepNext w:val="0"/>
              <w:keepLines w:val="0"/>
              <w:widowControl/>
              <w:numPr>
                <w:ilvl w:val="0"/>
                <w:numId w:val="0"/>
              </w:numPr>
              <w:suppressLineNumbers w:val="0"/>
              <w:snapToGrid w:val="0"/>
              <w:spacing w:line="240" w:lineRule="auto"/>
              <w:jc w:val="center"/>
              <w:textAlignment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备注</w:t>
            </w:r>
          </w:p>
        </w:tc>
      </w:tr>
      <w:tr w14:paraId="40E7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15" w:type="dxa"/>
            <w:noWrap w:val="0"/>
            <w:vAlign w:val="center"/>
          </w:tcPr>
          <w:p w14:paraId="564CE75A">
            <w:pPr>
              <w:keepNext w:val="0"/>
              <w:keepLines w:val="0"/>
              <w:widowControl/>
              <w:suppressLineNumbers w:val="0"/>
              <w:jc w:val="center"/>
              <w:textAlignment w:val="center"/>
              <w:rPr>
                <w:rFonts w:hint="eastAsia" w:ascii="仿宋" w:hAnsi="仿宋" w:eastAsia="仿宋" w:cs="仿宋"/>
                <w:b w:val="0"/>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2344" w:type="dxa"/>
            <w:noWrap w:val="0"/>
            <w:vAlign w:val="center"/>
          </w:tcPr>
          <w:p w14:paraId="3AA4ADBE">
            <w:pPr>
              <w:keepNext w:val="0"/>
              <w:keepLines w:val="0"/>
              <w:widowControl/>
              <w:numPr>
                <w:ilvl w:val="0"/>
                <w:numId w:val="0"/>
              </w:numPr>
              <w:suppressLineNumbers w:val="0"/>
              <w:snapToGrid w:val="0"/>
              <w:spacing w:line="240" w:lineRule="auto"/>
              <w:jc w:val="left"/>
              <w:textAlignment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预制混凝土方桩</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YZH-400B-15S,7N(C60)</w:t>
            </w:r>
          </w:p>
        </w:tc>
        <w:tc>
          <w:tcPr>
            <w:tcW w:w="4264" w:type="dxa"/>
            <w:noWrap w:val="0"/>
            <w:vAlign w:val="center"/>
          </w:tcPr>
          <w:p w14:paraId="2B113B80">
            <w:pPr>
              <w:keepNext w:val="0"/>
              <w:keepLines w:val="0"/>
              <w:widowControl/>
              <w:numPr>
                <w:ilvl w:val="0"/>
                <w:numId w:val="0"/>
              </w:numPr>
              <w:suppressLineNumbers w:val="0"/>
              <w:snapToGrid w:val="0"/>
              <w:spacing w:line="240" w:lineRule="auto"/>
              <w:jc w:val="left"/>
              <w:textAlignment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1、地层情况:综合地质情况(不论土石分类)；</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2、沉桩方法:静压；</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3、含桩尖、接桩；</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4、送桩深度按图纸综合考虑；</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5、方桩接桩详见20G361，接头选用焊接；</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6、具体详见设计图纸要求</w:t>
            </w:r>
          </w:p>
        </w:tc>
        <w:tc>
          <w:tcPr>
            <w:tcW w:w="464" w:type="dxa"/>
            <w:noWrap w:val="0"/>
            <w:vAlign w:val="center"/>
          </w:tcPr>
          <w:p w14:paraId="6426FA52">
            <w:pPr>
              <w:keepNext w:val="0"/>
              <w:keepLines w:val="0"/>
              <w:widowControl/>
              <w:suppressLineNumbers w:val="0"/>
              <w:jc w:val="center"/>
              <w:textAlignment w:val="center"/>
              <w:rPr>
                <w:rFonts w:hint="eastAsia" w:ascii="仿宋" w:hAnsi="仿宋" w:eastAsia="仿宋" w:cs="仿宋"/>
                <w:b w:val="0"/>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m</w:t>
            </w:r>
          </w:p>
        </w:tc>
        <w:tc>
          <w:tcPr>
            <w:tcW w:w="1234" w:type="dxa"/>
            <w:noWrap w:val="0"/>
            <w:vAlign w:val="center"/>
          </w:tcPr>
          <w:p w14:paraId="15A7A672">
            <w:pPr>
              <w:keepNext w:val="0"/>
              <w:keepLines w:val="0"/>
              <w:widowControl/>
              <w:suppressLineNumbers w:val="0"/>
              <w:jc w:val="center"/>
              <w:textAlignment w:val="center"/>
              <w:rPr>
                <w:rFonts w:hint="eastAsia" w:ascii="仿宋" w:hAnsi="仿宋" w:eastAsia="仿宋" w:cs="仿宋"/>
                <w:b w:val="0"/>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8052</w:t>
            </w:r>
          </w:p>
        </w:tc>
        <w:tc>
          <w:tcPr>
            <w:tcW w:w="1579" w:type="dxa"/>
            <w:noWrap w:val="0"/>
            <w:vAlign w:val="center"/>
          </w:tcPr>
          <w:p w14:paraId="1FD98554">
            <w:pPr>
              <w:keepNext w:val="0"/>
              <w:keepLines w:val="0"/>
              <w:widowControl/>
              <w:suppressLineNumbers w:val="0"/>
              <w:jc w:val="center"/>
              <w:textAlignment w:val="center"/>
              <w:rPr>
                <w:rFonts w:hint="eastAsia" w:ascii="仿宋" w:hAnsi="仿宋" w:eastAsia="仿宋" w:cs="仿宋"/>
                <w:b w:val="0"/>
                <w:bCs/>
                <w:i w:val="0"/>
                <w:iCs w:val="0"/>
                <w:color w:val="000000" w:themeColor="text1"/>
                <w:sz w:val="21"/>
                <w:szCs w:val="21"/>
                <w:u w:val="none"/>
                <w:lang w:val="en-US" w:eastAsia="zh-CN"/>
                <w14:textFill>
                  <w14:solidFill>
                    <w14:schemeClr w14:val="tx1"/>
                  </w14:solidFill>
                </w14:textFill>
              </w:rPr>
            </w:pPr>
          </w:p>
        </w:tc>
        <w:tc>
          <w:tcPr>
            <w:tcW w:w="1763" w:type="dxa"/>
            <w:noWrap w:val="0"/>
            <w:vAlign w:val="center"/>
          </w:tcPr>
          <w:p w14:paraId="1FF65AFC">
            <w:pPr>
              <w:keepNext w:val="0"/>
              <w:keepLines w:val="0"/>
              <w:widowControl/>
              <w:suppressLineNumbers w:val="0"/>
              <w:jc w:val="center"/>
              <w:textAlignment w:val="center"/>
              <w:rPr>
                <w:rFonts w:hint="eastAsia" w:ascii="仿宋" w:hAnsi="仿宋" w:eastAsia="仿宋" w:cs="仿宋"/>
                <w:b w:val="0"/>
                <w:bCs/>
                <w:i w:val="0"/>
                <w:iCs w:val="0"/>
                <w:color w:val="000000" w:themeColor="text1"/>
                <w:sz w:val="21"/>
                <w:szCs w:val="21"/>
                <w:u w:val="none"/>
                <w14:textFill>
                  <w14:solidFill>
                    <w14:schemeClr w14:val="tx1"/>
                  </w14:solidFill>
                </w14:textFill>
              </w:rPr>
            </w:pPr>
          </w:p>
        </w:tc>
        <w:tc>
          <w:tcPr>
            <w:tcW w:w="1741" w:type="dxa"/>
            <w:noWrap w:val="0"/>
            <w:vAlign w:val="center"/>
          </w:tcPr>
          <w:p w14:paraId="339AA582">
            <w:pPr>
              <w:rPr>
                <w:rFonts w:hint="eastAsia" w:ascii="仿宋" w:hAnsi="仿宋" w:eastAsia="仿宋" w:cs="仿宋"/>
                <w:b w:val="0"/>
                <w:bCs/>
                <w:i w:val="0"/>
                <w:iCs w:val="0"/>
                <w:color w:val="000000" w:themeColor="text1"/>
                <w:sz w:val="21"/>
                <w:szCs w:val="21"/>
                <w:u w:val="none"/>
                <w:lang w:val="en-US" w:eastAsia="zh-CN"/>
                <w14:textFill>
                  <w14:solidFill>
                    <w14:schemeClr w14:val="tx1"/>
                  </w14:solidFill>
                </w14:textFill>
              </w:rPr>
            </w:pPr>
          </w:p>
        </w:tc>
      </w:tr>
      <w:tr w14:paraId="14BC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15" w:type="dxa"/>
            <w:noWrap w:val="0"/>
            <w:vAlign w:val="center"/>
          </w:tcPr>
          <w:p w14:paraId="1A9F3DE3">
            <w:pPr>
              <w:keepNext w:val="0"/>
              <w:keepLines w:val="0"/>
              <w:widowControl/>
              <w:suppressLineNumbers w:val="0"/>
              <w:jc w:val="center"/>
              <w:textAlignment w:val="center"/>
              <w:rPr>
                <w:rFonts w:hint="eastAsia" w:ascii="仿宋" w:hAnsi="仿宋" w:eastAsia="仿宋" w:cs="仿宋"/>
                <w:b w:val="0"/>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2344" w:type="dxa"/>
            <w:noWrap w:val="0"/>
            <w:vAlign w:val="center"/>
          </w:tcPr>
          <w:p w14:paraId="2EACD9E8">
            <w:pPr>
              <w:keepNext w:val="0"/>
              <w:keepLines w:val="0"/>
              <w:widowControl/>
              <w:numPr>
                <w:ilvl w:val="0"/>
                <w:numId w:val="0"/>
              </w:numPr>
              <w:suppressLineNumbers w:val="0"/>
              <w:snapToGrid w:val="0"/>
              <w:spacing w:line="240" w:lineRule="auto"/>
              <w:jc w:val="left"/>
              <w:textAlignment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预制混凝土方桩</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YZH-400B-15S,6N(C60)</w:t>
            </w:r>
          </w:p>
        </w:tc>
        <w:tc>
          <w:tcPr>
            <w:tcW w:w="4264" w:type="dxa"/>
            <w:noWrap w:val="0"/>
            <w:vAlign w:val="center"/>
          </w:tcPr>
          <w:p w14:paraId="6F7ADE3A">
            <w:pPr>
              <w:keepNext w:val="0"/>
              <w:keepLines w:val="0"/>
              <w:widowControl/>
              <w:numPr>
                <w:ilvl w:val="0"/>
                <w:numId w:val="0"/>
              </w:numPr>
              <w:suppressLineNumbers w:val="0"/>
              <w:snapToGrid w:val="0"/>
              <w:spacing w:line="240" w:lineRule="auto"/>
              <w:jc w:val="left"/>
              <w:textAlignment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1、地层情况:综合地质情况(不论土石分类)；</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2、沉桩方法:静压；</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3、含桩尖、接桩；</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4、送桩深度按图纸综合考虑；</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5、方桩接桩详见20G361，接头选用焊接；</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6、具体详见设计图纸要求</w:t>
            </w:r>
          </w:p>
        </w:tc>
        <w:tc>
          <w:tcPr>
            <w:tcW w:w="464" w:type="dxa"/>
            <w:noWrap w:val="0"/>
            <w:vAlign w:val="center"/>
          </w:tcPr>
          <w:p w14:paraId="22260241">
            <w:pPr>
              <w:keepNext w:val="0"/>
              <w:keepLines w:val="0"/>
              <w:widowControl/>
              <w:suppressLineNumbers w:val="0"/>
              <w:jc w:val="center"/>
              <w:textAlignment w:val="center"/>
              <w:rPr>
                <w:rFonts w:hint="eastAsia" w:ascii="仿宋" w:hAnsi="仿宋" w:eastAsia="仿宋" w:cs="仿宋"/>
                <w:b w:val="0"/>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m</w:t>
            </w:r>
          </w:p>
        </w:tc>
        <w:tc>
          <w:tcPr>
            <w:tcW w:w="1234" w:type="dxa"/>
            <w:noWrap w:val="0"/>
            <w:vAlign w:val="center"/>
          </w:tcPr>
          <w:p w14:paraId="116694EB">
            <w:pPr>
              <w:keepNext w:val="0"/>
              <w:keepLines w:val="0"/>
              <w:widowControl/>
              <w:suppressLineNumbers w:val="0"/>
              <w:jc w:val="center"/>
              <w:textAlignment w:val="center"/>
              <w:rPr>
                <w:rFonts w:hint="eastAsia" w:ascii="仿宋" w:hAnsi="仿宋" w:eastAsia="仿宋" w:cs="仿宋"/>
                <w:b w:val="0"/>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2940</w:t>
            </w:r>
          </w:p>
        </w:tc>
        <w:tc>
          <w:tcPr>
            <w:tcW w:w="1579" w:type="dxa"/>
            <w:noWrap w:val="0"/>
            <w:vAlign w:val="center"/>
          </w:tcPr>
          <w:p w14:paraId="365DE865">
            <w:pPr>
              <w:keepNext w:val="0"/>
              <w:keepLines w:val="0"/>
              <w:widowControl/>
              <w:suppressLineNumbers w:val="0"/>
              <w:jc w:val="center"/>
              <w:textAlignment w:val="center"/>
              <w:rPr>
                <w:rFonts w:hint="eastAsia" w:ascii="仿宋" w:hAnsi="仿宋" w:eastAsia="仿宋" w:cs="仿宋"/>
                <w:b w:val="0"/>
                <w:bCs/>
                <w:i w:val="0"/>
                <w:iCs w:val="0"/>
                <w:color w:val="000000" w:themeColor="text1"/>
                <w:sz w:val="21"/>
                <w:szCs w:val="21"/>
                <w:u w:val="none"/>
                <w:lang w:val="en-US" w:eastAsia="zh-CN"/>
                <w14:textFill>
                  <w14:solidFill>
                    <w14:schemeClr w14:val="tx1"/>
                  </w14:solidFill>
                </w14:textFill>
              </w:rPr>
            </w:pPr>
          </w:p>
        </w:tc>
        <w:tc>
          <w:tcPr>
            <w:tcW w:w="1763" w:type="dxa"/>
            <w:noWrap w:val="0"/>
            <w:vAlign w:val="center"/>
          </w:tcPr>
          <w:p w14:paraId="6745BEBC">
            <w:pPr>
              <w:keepNext w:val="0"/>
              <w:keepLines w:val="0"/>
              <w:widowControl/>
              <w:suppressLineNumbers w:val="0"/>
              <w:jc w:val="center"/>
              <w:textAlignment w:val="center"/>
              <w:rPr>
                <w:rFonts w:hint="eastAsia" w:ascii="仿宋" w:hAnsi="仿宋" w:eastAsia="仿宋" w:cs="仿宋"/>
                <w:b w:val="0"/>
                <w:bCs/>
                <w:i w:val="0"/>
                <w:iCs w:val="0"/>
                <w:color w:val="000000" w:themeColor="text1"/>
                <w:sz w:val="21"/>
                <w:szCs w:val="21"/>
                <w:u w:val="none"/>
                <w14:textFill>
                  <w14:solidFill>
                    <w14:schemeClr w14:val="tx1"/>
                  </w14:solidFill>
                </w14:textFill>
              </w:rPr>
            </w:pPr>
          </w:p>
        </w:tc>
        <w:tc>
          <w:tcPr>
            <w:tcW w:w="1741" w:type="dxa"/>
            <w:noWrap w:val="0"/>
            <w:vAlign w:val="center"/>
          </w:tcPr>
          <w:p w14:paraId="219E436D">
            <w:pPr>
              <w:rPr>
                <w:rFonts w:hint="eastAsia" w:ascii="仿宋" w:hAnsi="仿宋" w:eastAsia="仿宋" w:cs="仿宋"/>
                <w:b w:val="0"/>
                <w:bCs/>
                <w:i w:val="0"/>
                <w:iCs w:val="0"/>
                <w:color w:val="000000" w:themeColor="text1"/>
                <w:sz w:val="21"/>
                <w:szCs w:val="21"/>
                <w:u w:val="none"/>
                <w:lang w:val="en-US" w:eastAsia="zh-CN"/>
                <w14:textFill>
                  <w14:solidFill>
                    <w14:schemeClr w14:val="tx1"/>
                  </w14:solidFill>
                </w14:textFill>
              </w:rPr>
            </w:pPr>
          </w:p>
        </w:tc>
      </w:tr>
      <w:tr w14:paraId="328B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15" w:type="dxa"/>
            <w:noWrap w:val="0"/>
            <w:vAlign w:val="center"/>
          </w:tcPr>
          <w:p w14:paraId="6A1276FA">
            <w:pPr>
              <w:keepNext w:val="0"/>
              <w:keepLines w:val="0"/>
              <w:widowControl/>
              <w:suppressLineNumbers w:val="0"/>
              <w:jc w:val="center"/>
              <w:textAlignment w:val="center"/>
              <w:rPr>
                <w:rFonts w:hint="eastAsia" w:ascii="仿宋" w:hAnsi="仿宋" w:eastAsia="仿宋" w:cs="仿宋"/>
                <w:b w:val="0"/>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2344" w:type="dxa"/>
            <w:noWrap w:val="0"/>
            <w:vAlign w:val="center"/>
          </w:tcPr>
          <w:p w14:paraId="4B420914">
            <w:pPr>
              <w:keepNext w:val="0"/>
              <w:keepLines w:val="0"/>
              <w:widowControl/>
              <w:numPr>
                <w:ilvl w:val="0"/>
                <w:numId w:val="0"/>
              </w:numPr>
              <w:suppressLineNumbers w:val="0"/>
              <w:snapToGrid w:val="0"/>
              <w:spacing w:line="240" w:lineRule="auto"/>
              <w:jc w:val="left"/>
              <w:textAlignment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预制混凝土方桩</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YZH-400B-11S(C60）</w:t>
            </w:r>
          </w:p>
        </w:tc>
        <w:tc>
          <w:tcPr>
            <w:tcW w:w="4264" w:type="dxa"/>
            <w:noWrap w:val="0"/>
            <w:vAlign w:val="center"/>
          </w:tcPr>
          <w:p w14:paraId="214641EA">
            <w:pPr>
              <w:keepNext w:val="0"/>
              <w:keepLines w:val="0"/>
              <w:widowControl/>
              <w:numPr>
                <w:ilvl w:val="0"/>
                <w:numId w:val="0"/>
              </w:numPr>
              <w:suppressLineNumbers w:val="0"/>
              <w:snapToGrid w:val="0"/>
              <w:spacing w:line="240" w:lineRule="auto"/>
              <w:jc w:val="left"/>
              <w:textAlignment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1、地层情况:综合地质情况(不论土石分类)；</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2、沉桩方法:静压；</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3、含桩尖、接桩；</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4、送桩深度按图纸综合考虑；</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5、方桩接桩详见20G361，接头选用焊接；</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6、具体详见设计图纸要求</w:t>
            </w:r>
          </w:p>
        </w:tc>
        <w:tc>
          <w:tcPr>
            <w:tcW w:w="464" w:type="dxa"/>
            <w:noWrap w:val="0"/>
            <w:vAlign w:val="center"/>
          </w:tcPr>
          <w:p w14:paraId="7DC0A0DC">
            <w:pPr>
              <w:keepNext w:val="0"/>
              <w:keepLines w:val="0"/>
              <w:widowControl/>
              <w:suppressLineNumbers w:val="0"/>
              <w:jc w:val="center"/>
              <w:textAlignment w:val="center"/>
              <w:rPr>
                <w:rFonts w:hint="eastAsia" w:ascii="仿宋" w:hAnsi="仿宋" w:eastAsia="仿宋" w:cs="仿宋"/>
                <w:b w:val="0"/>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m</w:t>
            </w:r>
          </w:p>
        </w:tc>
        <w:tc>
          <w:tcPr>
            <w:tcW w:w="1234" w:type="dxa"/>
            <w:noWrap w:val="0"/>
            <w:vAlign w:val="center"/>
          </w:tcPr>
          <w:p w14:paraId="03B7CD55">
            <w:pPr>
              <w:keepNext w:val="0"/>
              <w:keepLines w:val="0"/>
              <w:widowControl/>
              <w:suppressLineNumbers w:val="0"/>
              <w:jc w:val="center"/>
              <w:textAlignment w:val="center"/>
              <w:rPr>
                <w:rFonts w:hint="eastAsia" w:ascii="仿宋" w:hAnsi="仿宋" w:eastAsia="仿宋" w:cs="仿宋"/>
                <w:b w:val="0"/>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52</w:t>
            </w:r>
          </w:p>
        </w:tc>
        <w:tc>
          <w:tcPr>
            <w:tcW w:w="1579" w:type="dxa"/>
            <w:noWrap w:val="0"/>
            <w:vAlign w:val="center"/>
          </w:tcPr>
          <w:p w14:paraId="5694F265">
            <w:pPr>
              <w:keepNext w:val="0"/>
              <w:keepLines w:val="0"/>
              <w:widowControl/>
              <w:suppressLineNumbers w:val="0"/>
              <w:jc w:val="center"/>
              <w:textAlignment w:val="center"/>
              <w:rPr>
                <w:rFonts w:hint="eastAsia" w:ascii="仿宋" w:hAnsi="仿宋" w:eastAsia="仿宋" w:cs="仿宋"/>
                <w:b w:val="0"/>
                <w:bCs/>
                <w:i w:val="0"/>
                <w:iCs w:val="0"/>
                <w:color w:val="000000" w:themeColor="text1"/>
                <w:sz w:val="21"/>
                <w:szCs w:val="21"/>
                <w:u w:val="none"/>
                <w:lang w:val="en-US" w:eastAsia="zh-CN"/>
                <w14:textFill>
                  <w14:solidFill>
                    <w14:schemeClr w14:val="tx1"/>
                  </w14:solidFill>
                </w14:textFill>
              </w:rPr>
            </w:pPr>
          </w:p>
        </w:tc>
        <w:tc>
          <w:tcPr>
            <w:tcW w:w="1763" w:type="dxa"/>
            <w:noWrap w:val="0"/>
            <w:vAlign w:val="center"/>
          </w:tcPr>
          <w:p w14:paraId="1E312037">
            <w:pPr>
              <w:keepNext w:val="0"/>
              <w:keepLines w:val="0"/>
              <w:widowControl/>
              <w:suppressLineNumbers w:val="0"/>
              <w:jc w:val="center"/>
              <w:textAlignment w:val="center"/>
              <w:rPr>
                <w:rFonts w:hint="eastAsia" w:ascii="仿宋" w:hAnsi="仿宋" w:eastAsia="仿宋" w:cs="仿宋"/>
                <w:b w:val="0"/>
                <w:bCs/>
                <w:i w:val="0"/>
                <w:iCs w:val="0"/>
                <w:color w:val="000000" w:themeColor="text1"/>
                <w:sz w:val="21"/>
                <w:szCs w:val="21"/>
                <w:u w:val="none"/>
                <w14:textFill>
                  <w14:solidFill>
                    <w14:schemeClr w14:val="tx1"/>
                  </w14:solidFill>
                </w14:textFill>
              </w:rPr>
            </w:pPr>
          </w:p>
        </w:tc>
        <w:tc>
          <w:tcPr>
            <w:tcW w:w="1741" w:type="dxa"/>
            <w:noWrap w:val="0"/>
            <w:vAlign w:val="center"/>
          </w:tcPr>
          <w:p w14:paraId="50027C6D">
            <w:pPr>
              <w:rPr>
                <w:rFonts w:hint="eastAsia" w:ascii="仿宋" w:hAnsi="仿宋" w:eastAsia="仿宋" w:cs="仿宋"/>
                <w:b w:val="0"/>
                <w:bCs/>
                <w:i w:val="0"/>
                <w:iCs w:val="0"/>
                <w:color w:val="000000" w:themeColor="text1"/>
                <w:sz w:val="21"/>
                <w:szCs w:val="21"/>
                <w:u w:val="none"/>
                <w:lang w:val="en-US" w:eastAsia="zh-CN"/>
                <w14:textFill>
                  <w14:solidFill>
                    <w14:schemeClr w14:val="tx1"/>
                  </w14:solidFill>
                </w14:textFill>
              </w:rPr>
            </w:pPr>
          </w:p>
        </w:tc>
      </w:tr>
      <w:tr w14:paraId="2C63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15" w:type="dxa"/>
            <w:noWrap w:val="0"/>
            <w:vAlign w:val="center"/>
          </w:tcPr>
          <w:p w14:paraId="1A729072">
            <w:pPr>
              <w:keepNext w:val="0"/>
              <w:keepLines w:val="0"/>
              <w:widowControl/>
              <w:suppressLineNumbers w:val="0"/>
              <w:jc w:val="center"/>
              <w:textAlignment w:val="center"/>
              <w:rPr>
                <w:rFonts w:hint="eastAsia" w:ascii="仿宋" w:hAnsi="仿宋" w:eastAsia="仿宋" w:cs="仿宋"/>
                <w:b w:val="0"/>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w:t>
            </w:r>
          </w:p>
        </w:tc>
        <w:tc>
          <w:tcPr>
            <w:tcW w:w="2344" w:type="dxa"/>
            <w:noWrap w:val="0"/>
            <w:vAlign w:val="center"/>
          </w:tcPr>
          <w:p w14:paraId="3374DC41">
            <w:pPr>
              <w:keepNext w:val="0"/>
              <w:keepLines w:val="0"/>
              <w:widowControl/>
              <w:numPr>
                <w:ilvl w:val="0"/>
                <w:numId w:val="0"/>
              </w:numPr>
              <w:suppressLineNumbers w:val="0"/>
              <w:snapToGrid w:val="0"/>
              <w:spacing w:line="240" w:lineRule="auto"/>
              <w:jc w:val="left"/>
              <w:textAlignment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预制混凝土方桩</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YZH-400B-12S(C60）</w:t>
            </w:r>
          </w:p>
        </w:tc>
        <w:tc>
          <w:tcPr>
            <w:tcW w:w="4264" w:type="dxa"/>
            <w:noWrap w:val="0"/>
            <w:vAlign w:val="center"/>
          </w:tcPr>
          <w:p w14:paraId="1D70170B">
            <w:pPr>
              <w:keepNext w:val="0"/>
              <w:keepLines w:val="0"/>
              <w:widowControl/>
              <w:numPr>
                <w:ilvl w:val="0"/>
                <w:numId w:val="0"/>
              </w:numPr>
              <w:suppressLineNumbers w:val="0"/>
              <w:snapToGrid w:val="0"/>
              <w:spacing w:line="240" w:lineRule="auto"/>
              <w:jc w:val="left"/>
              <w:textAlignment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1、地层情况:综合地质情况(不论土石分类)；</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2、沉桩方法:静压；</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3、含桩尖、接桩；</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4、送桩深度按图纸综合考虑；</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5、方桩接桩详见20G361，接头选用焊接；</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6、具体详见设计图纸要求</w:t>
            </w:r>
          </w:p>
        </w:tc>
        <w:tc>
          <w:tcPr>
            <w:tcW w:w="464" w:type="dxa"/>
            <w:noWrap w:val="0"/>
            <w:vAlign w:val="center"/>
          </w:tcPr>
          <w:p w14:paraId="0DE229B5">
            <w:pPr>
              <w:keepNext w:val="0"/>
              <w:keepLines w:val="0"/>
              <w:widowControl/>
              <w:suppressLineNumbers w:val="0"/>
              <w:jc w:val="center"/>
              <w:textAlignment w:val="center"/>
              <w:rPr>
                <w:rFonts w:hint="eastAsia" w:ascii="仿宋" w:hAnsi="仿宋" w:eastAsia="仿宋" w:cs="仿宋"/>
                <w:b w:val="0"/>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m</w:t>
            </w:r>
          </w:p>
        </w:tc>
        <w:tc>
          <w:tcPr>
            <w:tcW w:w="1234" w:type="dxa"/>
            <w:noWrap w:val="0"/>
            <w:vAlign w:val="center"/>
          </w:tcPr>
          <w:p w14:paraId="3F313347">
            <w:pPr>
              <w:keepNext w:val="0"/>
              <w:keepLines w:val="0"/>
              <w:widowControl/>
              <w:suppressLineNumbers w:val="0"/>
              <w:jc w:val="center"/>
              <w:textAlignment w:val="center"/>
              <w:rPr>
                <w:rFonts w:hint="eastAsia" w:ascii="仿宋" w:hAnsi="仿宋" w:eastAsia="仿宋" w:cs="仿宋"/>
                <w:b w:val="0"/>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108</w:t>
            </w:r>
          </w:p>
        </w:tc>
        <w:tc>
          <w:tcPr>
            <w:tcW w:w="1579" w:type="dxa"/>
            <w:noWrap w:val="0"/>
            <w:vAlign w:val="center"/>
          </w:tcPr>
          <w:p w14:paraId="4FC86ED4">
            <w:pPr>
              <w:keepNext w:val="0"/>
              <w:keepLines w:val="0"/>
              <w:widowControl/>
              <w:suppressLineNumbers w:val="0"/>
              <w:jc w:val="center"/>
              <w:textAlignment w:val="center"/>
              <w:rPr>
                <w:rFonts w:hint="eastAsia" w:ascii="仿宋" w:hAnsi="仿宋" w:eastAsia="仿宋" w:cs="仿宋"/>
                <w:b w:val="0"/>
                <w:bCs/>
                <w:i w:val="0"/>
                <w:iCs w:val="0"/>
                <w:color w:val="000000" w:themeColor="text1"/>
                <w:sz w:val="21"/>
                <w:szCs w:val="21"/>
                <w:u w:val="none"/>
                <w:lang w:val="en-US" w:eastAsia="zh-CN"/>
                <w14:textFill>
                  <w14:solidFill>
                    <w14:schemeClr w14:val="tx1"/>
                  </w14:solidFill>
                </w14:textFill>
              </w:rPr>
            </w:pPr>
          </w:p>
        </w:tc>
        <w:tc>
          <w:tcPr>
            <w:tcW w:w="1763" w:type="dxa"/>
            <w:noWrap w:val="0"/>
            <w:vAlign w:val="center"/>
          </w:tcPr>
          <w:p w14:paraId="5A12B26A">
            <w:pPr>
              <w:keepNext w:val="0"/>
              <w:keepLines w:val="0"/>
              <w:widowControl/>
              <w:suppressLineNumbers w:val="0"/>
              <w:jc w:val="center"/>
              <w:textAlignment w:val="center"/>
              <w:rPr>
                <w:rFonts w:hint="eastAsia" w:ascii="仿宋" w:hAnsi="仿宋" w:eastAsia="仿宋" w:cs="仿宋"/>
                <w:b w:val="0"/>
                <w:bCs/>
                <w:i w:val="0"/>
                <w:iCs w:val="0"/>
                <w:color w:val="000000" w:themeColor="text1"/>
                <w:sz w:val="21"/>
                <w:szCs w:val="21"/>
                <w:u w:val="none"/>
                <w14:textFill>
                  <w14:solidFill>
                    <w14:schemeClr w14:val="tx1"/>
                  </w14:solidFill>
                </w14:textFill>
              </w:rPr>
            </w:pPr>
          </w:p>
        </w:tc>
        <w:tc>
          <w:tcPr>
            <w:tcW w:w="1741" w:type="dxa"/>
            <w:noWrap w:val="0"/>
            <w:vAlign w:val="center"/>
          </w:tcPr>
          <w:p w14:paraId="6F84C867">
            <w:pPr>
              <w:rPr>
                <w:rFonts w:hint="eastAsia" w:ascii="仿宋" w:hAnsi="仿宋" w:eastAsia="仿宋" w:cs="仿宋"/>
                <w:b w:val="0"/>
                <w:bCs/>
                <w:i w:val="0"/>
                <w:iCs w:val="0"/>
                <w:color w:val="000000" w:themeColor="text1"/>
                <w:sz w:val="21"/>
                <w:szCs w:val="21"/>
                <w:u w:val="none"/>
                <w:lang w:val="en-US" w:eastAsia="zh-CN"/>
                <w14:textFill>
                  <w14:solidFill>
                    <w14:schemeClr w14:val="tx1"/>
                  </w14:solidFill>
                </w14:textFill>
              </w:rPr>
            </w:pPr>
          </w:p>
        </w:tc>
      </w:tr>
      <w:tr w14:paraId="2EE8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15" w:type="dxa"/>
            <w:noWrap w:val="0"/>
            <w:vAlign w:val="center"/>
          </w:tcPr>
          <w:p w14:paraId="5EF38EC4">
            <w:pPr>
              <w:keepNext w:val="0"/>
              <w:keepLines w:val="0"/>
              <w:widowControl/>
              <w:suppressLineNumbers w:val="0"/>
              <w:jc w:val="center"/>
              <w:textAlignment w:val="center"/>
              <w:rPr>
                <w:rFonts w:hint="eastAsia" w:ascii="仿宋" w:hAnsi="仿宋" w:eastAsia="仿宋" w:cs="仿宋"/>
                <w:b w:val="0"/>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w:t>
            </w:r>
          </w:p>
        </w:tc>
        <w:tc>
          <w:tcPr>
            <w:tcW w:w="2344" w:type="dxa"/>
            <w:noWrap w:val="0"/>
            <w:vAlign w:val="center"/>
          </w:tcPr>
          <w:p w14:paraId="60681640">
            <w:pPr>
              <w:keepNext w:val="0"/>
              <w:keepLines w:val="0"/>
              <w:widowControl/>
              <w:numPr>
                <w:ilvl w:val="0"/>
                <w:numId w:val="0"/>
              </w:numPr>
              <w:suppressLineNumbers w:val="0"/>
              <w:snapToGrid w:val="0"/>
              <w:spacing w:line="240" w:lineRule="auto"/>
              <w:jc w:val="left"/>
              <w:textAlignment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预制混凝土方桩</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YZH-400 B-15S(C60)</w:t>
            </w:r>
          </w:p>
        </w:tc>
        <w:tc>
          <w:tcPr>
            <w:tcW w:w="4264" w:type="dxa"/>
            <w:noWrap w:val="0"/>
            <w:vAlign w:val="center"/>
          </w:tcPr>
          <w:p w14:paraId="66C1FFB9">
            <w:pPr>
              <w:keepNext w:val="0"/>
              <w:keepLines w:val="0"/>
              <w:widowControl/>
              <w:numPr>
                <w:ilvl w:val="0"/>
                <w:numId w:val="0"/>
              </w:numPr>
              <w:suppressLineNumbers w:val="0"/>
              <w:snapToGrid w:val="0"/>
              <w:spacing w:line="240" w:lineRule="auto"/>
              <w:jc w:val="left"/>
              <w:textAlignment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1、地层情况:综合地质情况(不论土石分类)；</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2、沉桩方法:静压；</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3、含桩尖、接桩；</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4、送桩深度按图纸综合考虑；</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5、方桩接桩详见20G361，接头选用焊接；</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6、具体详见设计图纸要求</w:t>
            </w:r>
          </w:p>
        </w:tc>
        <w:tc>
          <w:tcPr>
            <w:tcW w:w="464" w:type="dxa"/>
            <w:noWrap w:val="0"/>
            <w:vAlign w:val="center"/>
          </w:tcPr>
          <w:p w14:paraId="39780A67">
            <w:pPr>
              <w:keepNext w:val="0"/>
              <w:keepLines w:val="0"/>
              <w:widowControl/>
              <w:suppressLineNumbers w:val="0"/>
              <w:jc w:val="center"/>
              <w:textAlignment w:val="center"/>
              <w:rPr>
                <w:rFonts w:hint="eastAsia" w:ascii="仿宋" w:hAnsi="仿宋" w:eastAsia="仿宋" w:cs="仿宋"/>
                <w:b w:val="0"/>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m</w:t>
            </w:r>
          </w:p>
        </w:tc>
        <w:tc>
          <w:tcPr>
            <w:tcW w:w="1234" w:type="dxa"/>
            <w:noWrap w:val="0"/>
            <w:vAlign w:val="center"/>
          </w:tcPr>
          <w:p w14:paraId="64C32753">
            <w:pPr>
              <w:keepNext w:val="0"/>
              <w:keepLines w:val="0"/>
              <w:widowControl/>
              <w:suppressLineNumbers w:val="0"/>
              <w:jc w:val="center"/>
              <w:textAlignment w:val="center"/>
              <w:rPr>
                <w:rFonts w:hint="eastAsia" w:ascii="仿宋" w:hAnsi="仿宋" w:eastAsia="仿宋" w:cs="仿宋"/>
                <w:b w:val="0"/>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13305</w:t>
            </w:r>
          </w:p>
        </w:tc>
        <w:tc>
          <w:tcPr>
            <w:tcW w:w="1579" w:type="dxa"/>
            <w:noWrap w:val="0"/>
            <w:vAlign w:val="center"/>
          </w:tcPr>
          <w:p w14:paraId="1BF2DA6F">
            <w:pPr>
              <w:keepNext w:val="0"/>
              <w:keepLines w:val="0"/>
              <w:widowControl/>
              <w:suppressLineNumbers w:val="0"/>
              <w:jc w:val="center"/>
              <w:textAlignment w:val="center"/>
              <w:rPr>
                <w:rFonts w:hint="eastAsia" w:ascii="仿宋" w:hAnsi="仿宋" w:eastAsia="仿宋" w:cs="仿宋"/>
                <w:b w:val="0"/>
                <w:bCs/>
                <w:i w:val="0"/>
                <w:iCs w:val="0"/>
                <w:color w:val="000000" w:themeColor="text1"/>
                <w:sz w:val="21"/>
                <w:szCs w:val="21"/>
                <w:u w:val="none"/>
                <w:lang w:val="en-US" w:eastAsia="zh-CN"/>
                <w14:textFill>
                  <w14:solidFill>
                    <w14:schemeClr w14:val="tx1"/>
                  </w14:solidFill>
                </w14:textFill>
              </w:rPr>
            </w:pPr>
          </w:p>
        </w:tc>
        <w:tc>
          <w:tcPr>
            <w:tcW w:w="1763" w:type="dxa"/>
            <w:noWrap w:val="0"/>
            <w:vAlign w:val="center"/>
          </w:tcPr>
          <w:p w14:paraId="432DA187">
            <w:pPr>
              <w:keepNext w:val="0"/>
              <w:keepLines w:val="0"/>
              <w:widowControl/>
              <w:suppressLineNumbers w:val="0"/>
              <w:jc w:val="center"/>
              <w:textAlignment w:val="center"/>
              <w:rPr>
                <w:rFonts w:hint="eastAsia" w:ascii="仿宋" w:hAnsi="仿宋" w:eastAsia="仿宋" w:cs="仿宋"/>
                <w:b w:val="0"/>
                <w:bCs/>
                <w:i w:val="0"/>
                <w:iCs w:val="0"/>
                <w:color w:val="000000" w:themeColor="text1"/>
                <w:sz w:val="21"/>
                <w:szCs w:val="21"/>
                <w:u w:val="none"/>
                <w14:textFill>
                  <w14:solidFill>
                    <w14:schemeClr w14:val="tx1"/>
                  </w14:solidFill>
                </w14:textFill>
              </w:rPr>
            </w:pPr>
          </w:p>
        </w:tc>
        <w:tc>
          <w:tcPr>
            <w:tcW w:w="1741" w:type="dxa"/>
            <w:noWrap w:val="0"/>
            <w:vAlign w:val="center"/>
          </w:tcPr>
          <w:p w14:paraId="5EB49C90">
            <w:pPr>
              <w:rPr>
                <w:rFonts w:hint="eastAsia" w:ascii="仿宋" w:hAnsi="仿宋" w:eastAsia="仿宋" w:cs="仿宋"/>
                <w:b w:val="0"/>
                <w:bCs/>
                <w:i w:val="0"/>
                <w:iCs w:val="0"/>
                <w:color w:val="000000" w:themeColor="text1"/>
                <w:sz w:val="21"/>
                <w:szCs w:val="21"/>
                <w:u w:val="none"/>
                <w:lang w:val="en-US" w:eastAsia="zh-CN"/>
                <w14:textFill>
                  <w14:solidFill>
                    <w14:schemeClr w14:val="tx1"/>
                  </w14:solidFill>
                </w14:textFill>
              </w:rPr>
            </w:pPr>
          </w:p>
        </w:tc>
      </w:tr>
      <w:tr w14:paraId="15E9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0" w:hRule="atLeast"/>
        </w:trPr>
        <w:tc>
          <w:tcPr>
            <w:tcW w:w="615" w:type="dxa"/>
            <w:noWrap w:val="0"/>
            <w:vAlign w:val="center"/>
          </w:tcPr>
          <w:p w14:paraId="5180F07E">
            <w:pPr>
              <w:keepNext w:val="0"/>
              <w:keepLines w:val="0"/>
              <w:widowControl/>
              <w:suppressLineNumbers w:val="0"/>
              <w:jc w:val="center"/>
              <w:textAlignment w:val="center"/>
              <w:rPr>
                <w:rFonts w:hint="eastAsia" w:ascii="仿宋" w:hAnsi="仿宋" w:eastAsia="仿宋" w:cs="仿宋"/>
                <w:b w:val="0"/>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w:t>
            </w:r>
          </w:p>
        </w:tc>
        <w:tc>
          <w:tcPr>
            <w:tcW w:w="2344" w:type="dxa"/>
            <w:noWrap w:val="0"/>
            <w:vAlign w:val="center"/>
          </w:tcPr>
          <w:p w14:paraId="6033DC41">
            <w:pPr>
              <w:keepNext w:val="0"/>
              <w:keepLines w:val="0"/>
              <w:widowControl/>
              <w:numPr>
                <w:ilvl w:val="0"/>
                <w:numId w:val="0"/>
              </w:numPr>
              <w:suppressLineNumbers w:val="0"/>
              <w:snapToGrid w:val="0"/>
              <w:spacing w:line="240" w:lineRule="auto"/>
              <w:jc w:val="left"/>
              <w:textAlignment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预制混凝土方桩</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YZH-400B-15S,5N(C60)</w:t>
            </w:r>
          </w:p>
        </w:tc>
        <w:tc>
          <w:tcPr>
            <w:tcW w:w="4264" w:type="dxa"/>
            <w:noWrap w:val="0"/>
            <w:vAlign w:val="center"/>
          </w:tcPr>
          <w:p w14:paraId="018493C8">
            <w:pPr>
              <w:keepNext w:val="0"/>
              <w:keepLines w:val="0"/>
              <w:widowControl/>
              <w:numPr>
                <w:ilvl w:val="0"/>
                <w:numId w:val="0"/>
              </w:numPr>
              <w:suppressLineNumbers w:val="0"/>
              <w:snapToGrid w:val="0"/>
              <w:spacing w:line="240" w:lineRule="auto"/>
              <w:jc w:val="left"/>
              <w:textAlignment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1、地层情况:综合地质情况(不论土石分类)；</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2、沉桩方法:静压；</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3、含桩尖、接桩；</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4、送桩深度按图纸综合考虑；</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5、方桩接桩详见20G361，接头选用焊接；</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6、具体详见设计图纸要求</w:t>
            </w:r>
          </w:p>
        </w:tc>
        <w:tc>
          <w:tcPr>
            <w:tcW w:w="464" w:type="dxa"/>
            <w:noWrap w:val="0"/>
            <w:vAlign w:val="center"/>
          </w:tcPr>
          <w:p w14:paraId="63571183">
            <w:pPr>
              <w:keepNext w:val="0"/>
              <w:keepLines w:val="0"/>
              <w:widowControl/>
              <w:suppressLineNumbers w:val="0"/>
              <w:jc w:val="center"/>
              <w:textAlignment w:val="center"/>
              <w:rPr>
                <w:rFonts w:hint="eastAsia" w:ascii="仿宋" w:hAnsi="仿宋" w:eastAsia="仿宋" w:cs="仿宋"/>
                <w:b w:val="0"/>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m</w:t>
            </w:r>
          </w:p>
        </w:tc>
        <w:tc>
          <w:tcPr>
            <w:tcW w:w="1234" w:type="dxa"/>
            <w:noWrap w:val="0"/>
            <w:vAlign w:val="center"/>
          </w:tcPr>
          <w:p w14:paraId="064C03A3">
            <w:pPr>
              <w:keepNext w:val="0"/>
              <w:keepLines w:val="0"/>
              <w:widowControl/>
              <w:suppressLineNumbers w:val="0"/>
              <w:jc w:val="center"/>
              <w:textAlignment w:val="center"/>
              <w:rPr>
                <w:rFonts w:hint="eastAsia" w:ascii="仿宋" w:hAnsi="仿宋" w:eastAsia="仿宋" w:cs="仿宋"/>
                <w:b w:val="0"/>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240</w:t>
            </w:r>
          </w:p>
        </w:tc>
        <w:tc>
          <w:tcPr>
            <w:tcW w:w="1579" w:type="dxa"/>
            <w:noWrap w:val="0"/>
            <w:vAlign w:val="center"/>
          </w:tcPr>
          <w:p w14:paraId="4F8C4C22">
            <w:pPr>
              <w:keepNext w:val="0"/>
              <w:keepLines w:val="0"/>
              <w:widowControl/>
              <w:suppressLineNumbers w:val="0"/>
              <w:jc w:val="center"/>
              <w:textAlignment w:val="center"/>
              <w:rPr>
                <w:rFonts w:hint="eastAsia" w:ascii="仿宋" w:hAnsi="仿宋" w:eastAsia="仿宋" w:cs="仿宋"/>
                <w:b w:val="0"/>
                <w:bCs/>
                <w:i w:val="0"/>
                <w:iCs w:val="0"/>
                <w:color w:val="000000" w:themeColor="text1"/>
                <w:sz w:val="21"/>
                <w:szCs w:val="21"/>
                <w:u w:val="none"/>
                <w:lang w:val="en-US" w:eastAsia="zh-CN"/>
                <w14:textFill>
                  <w14:solidFill>
                    <w14:schemeClr w14:val="tx1"/>
                  </w14:solidFill>
                </w14:textFill>
              </w:rPr>
            </w:pPr>
          </w:p>
        </w:tc>
        <w:tc>
          <w:tcPr>
            <w:tcW w:w="1763" w:type="dxa"/>
            <w:noWrap w:val="0"/>
            <w:vAlign w:val="center"/>
          </w:tcPr>
          <w:p w14:paraId="10656377">
            <w:pPr>
              <w:keepNext w:val="0"/>
              <w:keepLines w:val="0"/>
              <w:widowControl/>
              <w:suppressLineNumbers w:val="0"/>
              <w:jc w:val="center"/>
              <w:textAlignment w:val="center"/>
              <w:rPr>
                <w:rFonts w:hint="eastAsia" w:ascii="仿宋" w:hAnsi="仿宋" w:eastAsia="仿宋" w:cs="仿宋"/>
                <w:b w:val="0"/>
                <w:bCs/>
                <w:i w:val="0"/>
                <w:iCs w:val="0"/>
                <w:color w:val="000000" w:themeColor="text1"/>
                <w:sz w:val="21"/>
                <w:szCs w:val="21"/>
                <w:u w:val="none"/>
                <w14:textFill>
                  <w14:solidFill>
                    <w14:schemeClr w14:val="tx1"/>
                  </w14:solidFill>
                </w14:textFill>
              </w:rPr>
            </w:pPr>
          </w:p>
        </w:tc>
        <w:tc>
          <w:tcPr>
            <w:tcW w:w="1741" w:type="dxa"/>
            <w:noWrap w:val="0"/>
            <w:vAlign w:val="center"/>
          </w:tcPr>
          <w:p w14:paraId="583137D5">
            <w:pPr>
              <w:rPr>
                <w:rFonts w:hint="eastAsia" w:ascii="仿宋" w:hAnsi="仿宋" w:eastAsia="仿宋" w:cs="仿宋"/>
                <w:b w:val="0"/>
                <w:bCs/>
                <w:i w:val="0"/>
                <w:iCs w:val="0"/>
                <w:color w:val="000000" w:themeColor="text1"/>
                <w:sz w:val="21"/>
                <w:szCs w:val="21"/>
                <w:u w:val="none"/>
                <w:lang w:val="en-US" w:eastAsia="zh-CN"/>
                <w14:textFill>
                  <w14:solidFill>
                    <w14:schemeClr w14:val="tx1"/>
                  </w14:solidFill>
                </w14:textFill>
              </w:rPr>
            </w:pPr>
          </w:p>
        </w:tc>
      </w:tr>
      <w:tr w14:paraId="6BBC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15" w:type="dxa"/>
            <w:noWrap w:val="0"/>
            <w:vAlign w:val="center"/>
          </w:tcPr>
          <w:p w14:paraId="139DBD3A">
            <w:pPr>
              <w:keepNext w:val="0"/>
              <w:keepLines w:val="0"/>
              <w:widowControl/>
              <w:suppressLineNumbers w:val="0"/>
              <w:jc w:val="center"/>
              <w:textAlignment w:val="center"/>
              <w:rPr>
                <w:rFonts w:hint="default" w:ascii="仿宋" w:hAnsi="仿宋" w:eastAsia="仿宋" w:cs="仿宋"/>
                <w:b w:val="0"/>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7</w:t>
            </w:r>
          </w:p>
        </w:tc>
        <w:tc>
          <w:tcPr>
            <w:tcW w:w="2344" w:type="dxa"/>
            <w:noWrap w:val="0"/>
            <w:vAlign w:val="center"/>
          </w:tcPr>
          <w:p w14:paraId="0B83165D">
            <w:pPr>
              <w:keepNext w:val="0"/>
              <w:keepLines w:val="0"/>
              <w:widowControl/>
              <w:numPr>
                <w:ilvl w:val="0"/>
                <w:numId w:val="0"/>
              </w:numPr>
              <w:suppressLineNumbers w:val="0"/>
              <w:snapToGrid w:val="0"/>
              <w:spacing w:line="240" w:lineRule="auto"/>
              <w:jc w:val="left"/>
              <w:textAlignment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预制混凝土方桩</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YZH-400B-12S,6N(C60)</w:t>
            </w:r>
          </w:p>
        </w:tc>
        <w:tc>
          <w:tcPr>
            <w:tcW w:w="4264" w:type="dxa"/>
            <w:noWrap w:val="0"/>
            <w:vAlign w:val="center"/>
          </w:tcPr>
          <w:p w14:paraId="61ABED80">
            <w:pPr>
              <w:keepNext w:val="0"/>
              <w:keepLines w:val="0"/>
              <w:widowControl/>
              <w:numPr>
                <w:ilvl w:val="0"/>
                <w:numId w:val="0"/>
              </w:numPr>
              <w:suppressLineNumbers w:val="0"/>
              <w:snapToGrid w:val="0"/>
              <w:spacing w:line="240" w:lineRule="auto"/>
              <w:jc w:val="left"/>
              <w:textAlignment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1、地层情况:综合地质情况(不论土石分类)；</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2、沉桩方法:静压；</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3、含桩尖、接桩；</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4、送桩深度按图纸综合考虑；</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5、方桩接桩详见20G361，接头选用焊接；</w:t>
            </w:r>
            <w:r>
              <w:rPr>
                <w:rFonts w:hint="eastAsia" w:ascii="仿宋" w:hAnsi="仿宋" w:eastAsia="仿宋" w:cs="仿宋"/>
                <w:b w:val="0"/>
                <w:bCs/>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color w:val="000000" w:themeColor="text1"/>
                <w:sz w:val="21"/>
                <w:szCs w:val="21"/>
                <w:lang w:val="en-US" w:eastAsia="zh-CN"/>
                <w14:textFill>
                  <w14:solidFill>
                    <w14:schemeClr w14:val="tx1"/>
                  </w14:solidFill>
                </w14:textFill>
              </w:rPr>
              <w:t>6、具体详见设计图纸要求</w:t>
            </w:r>
          </w:p>
        </w:tc>
        <w:tc>
          <w:tcPr>
            <w:tcW w:w="464" w:type="dxa"/>
            <w:noWrap w:val="0"/>
            <w:vAlign w:val="center"/>
          </w:tcPr>
          <w:p w14:paraId="02FF6E0B">
            <w:pPr>
              <w:keepNext w:val="0"/>
              <w:keepLines w:val="0"/>
              <w:widowControl/>
              <w:suppressLineNumbers w:val="0"/>
              <w:jc w:val="center"/>
              <w:textAlignment w:val="center"/>
              <w:rPr>
                <w:rFonts w:hint="eastAsia" w:ascii="仿宋" w:hAnsi="仿宋" w:eastAsia="仿宋" w:cs="仿宋"/>
                <w:b w:val="0"/>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m</w:t>
            </w:r>
          </w:p>
        </w:tc>
        <w:tc>
          <w:tcPr>
            <w:tcW w:w="1234" w:type="dxa"/>
            <w:noWrap w:val="0"/>
            <w:vAlign w:val="center"/>
          </w:tcPr>
          <w:p w14:paraId="0880E958">
            <w:pPr>
              <w:keepNext w:val="0"/>
              <w:keepLines w:val="0"/>
              <w:widowControl/>
              <w:suppressLineNumbers w:val="0"/>
              <w:jc w:val="center"/>
              <w:textAlignment w:val="center"/>
              <w:rPr>
                <w:rFonts w:hint="eastAsia" w:ascii="仿宋" w:hAnsi="仿宋" w:eastAsia="仿宋" w:cs="仿宋"/>
                <w:b w:val="0"/>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882</w:t>
            </w:r>
          </w:p>
        </w:tc>
        <w:tc>
          <w:tcPr>
            <w:tcW w:w="1579" w:type="dxa"/>
            <w:noWrap w:val="0"/>
            <w:vAlign w:val="center"/>
          </w:tcPr>
          <w:p w14:paraId="3BCB542F">
            <w:pPr>
              <w:keepNext w:val="0"/>
              <w:keepLines w:val="0"/>
              <w:widowControl/>
              <w:suppressLineNumbers w:val="0"/>
              <w:jc w:val="center"/>
              <w:textAlignment w:val="center"/>
              <w:rPr>
                <w:rFonts w:hint="eastAsia" w:ascii="仿宋" w:hAnsi="仿宋" w:eastAsia="仿宋" w:cs="仿宋"/>
                <w:b w:val="0"/>
                <w:bCs/>
                <w:i w:val="0"/>
                <w:iCs w:val="0"/>
                <w:color w:val="000000" w:themeColor="text1"/>
                <w:sz w:val="21"/>
                <w:szCs w:val="21"/>
                <w:u w:val="none"/>
                <w:lang w:val="en-US" w:eastAsia="zh-CN"/>
                <w14:textFill>
                  <w14:solidFill>
                    <w14:schemeClr w14:val="tx1"/>
                  </w14:solidFill>
                </w14:textFill>
              </w:rPr>
            </w:pPr>
          </w:p>
        </w:tc>
        <w:tc>
          <w:tcPr>
            <w:tcW w:w="1763" w:type="dxa"/>
            <w:noWrap w:val="0"/>
            <w:vAlign w:val="center"/>
          </w:tcPr>
          <w:p w14:paraId="2740B05F">
            <w:pPr>
              <w:keepNext w:val="0"/>
              <w:keepLines w:val="0"/>
              <w:widowControl/>
              <w:suppressLineNumbers w:val="0"/>
              <w:jc w:val="center"/>
              <w:textAlignment w:val="center"/>
              <w:rPr>
                <w:rFonts w:hint="eastAsia" w:ascii="仿宋" w:hAnsi="仿宋" w:eastAsia="仿宋" w:cs="仿宋"/>
                <w:b w:val="0"/>
                <w:bCs/>
                <w:i w:val="0"/>
                <w:iCs w:val="0"/>
                <w:color w:val="000000" w:themeColor="text1"/>
                <w:sz w:val="21"/>
                <w:szCs w:val="21"/>
                <w:u w:val="none"/>
                <w14:textFill>
                  <w14:solidFill>
                    <w14:schemeClr w14:val="tx1"/>
                  </w14:solidFill>
                </w14:textFill>
              </w:rPr>
            </w:pPr>
          </w:p>
        </w:tc>
        <w:tc>
          <w:tcPr>
            <w:tcW w:w="1741" w:type="dxa"/>
            <w:noWrap w:val="0"/>
            <w:vAlign w:val="center"/>
          </w:tcPr>
          <w:p w14:paraId="32D5C80C">
            <w:pPr>
              <w:rPr>
                <w:rFonts w:hint="eastAsia" w:ascii="仿宋" w:hAnsi="仿宋" w:eastAsia="仿宋" w:cs="仿宋"/>
                <w:b w:val="0"/>
                <w:bCs/>
                <w:i w:val="0"/>
                <w:iCs w:val="0"/>
                <w:color w:val="000000" w:themeColor="text1"/>
                <w:sz w:val="21"/>
                <w:szCs w:val="21"/>
                <w:u w:val="none"/>
                <w:lang w:val="en-US" w:eastAsia="zh-CN"/>
                <w14:textFill>
                  <w14:solidFill>
                    <w14:schemeClr w14:val="tx1"/>
                  </w14:solidFill>
                </w14:textFill>
              </w:rPr>
            </w:pPr>
          </w:p>
        </w:tc>
      </w:tr>
      <w:tr w14:paraId="160A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15" w:type="dxa"/>
            <w:noWrap w:val="0"/>
            <w:vAlign w:val="center"/>
          </w:tcPr>
          <w:p w14:paraId="5187B40B">
            <w:pPr>
              <w:keepNext w:val="0"/>
              <w:keepLines w:val="0"/>
              <w:widowControl/>
              <w:suppressLineNumbers w:val="0"/>
              <w:jc w:val="center"/>
              <w:textAlignment w:val="center"/>
              <w:rPr>
                <w:rFonts w:hint="default" w:ascii="仿宋" w:hAnsi="仿宋" w:eastAsia="仿宋" w:cs="仿宋"/>
                <w:b w:val="0"/>
                <w:bCs/>
                <w:i w:val="0"/>
                <w:iCs w:val="0"/>
                <w:color w:val="000000" w:themeColor="text1"/>
                <w:kern w:val="0"/>
                <w:sz w:val="21"/>
                <w:szCs w:val="21"/>
                <w:u w:val="none"/>
                <w:lang w:val="en-US" w:eastAsia="zh-CN" w:bidi="ar"/>
                <w14:textFill>
                  <w14:solidFill>
                    <w14:schemeClr w14:val="tx1"/>
                  </w14:solidFill>
                </w14:textFill>
              </w:rPr>
            </w:pPr>
          </w:p>
        </w:tc>
        <w:tc>
          <w:tcPr>
            <w:tcW w:w="2344" w:type="dxa"/>
            <w:noWrap w:val="0"/>
            <w:vAlign w:val="center"/>
          </w:tcPr>
          <w:p w14:paraId="3B1B2273">
            <w:pPr>
              <w:rPr>
                <w:rFonts w:hint="eastAsia" w:ascii="仿宋" w:hAnsi="仿宋" w:eastAsia="仿宋" w:cs="仿宋"/>
                <w:b w:val="0"/>
                <w:bCs/>
                <w:i w:val="0"/>
                <w:iCs w:val="0"/>
                <w:color w:val="000000" w:themeColor="text1"/>
                <w:kern w:val="0"/>
                <w:sz w:val="21"/>
                <w:szCs w:val="21"/>
                <w:u w:val="none"/>
                <w:lang w:val="en-US" w:eastAsia="zh-CN" w:bidi="ar"/>
                <w14:textFill>
                  <w14:solidFill>
                    <w14:schemeClr w14:val="tx1"/>
                  </w14:solidFill>
                </w14:textFill>
              </w:rPr>
            </w:pPr>
          </w:p>
        </w:tc>
        <w:tc>
          <w:tcPr>
            <w:tcW w:w="4264" w:type="dxa"/>
            <w:noWrap w:val="0"/>
            <w:vAlign w:val="center"/>
          </w:tcPr>
          <w:p w14:paraId="392B9F85">
            <w:pPr>
              <w:rPr>
                <w:rFonts w:hint="eastAsia" w:ascii="仿宋" w:hAnsi="仿宋" w:eastAsia="仿宋" w:cs="仿宋"/>
                <w:b w:val="0"/>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cs="宋体"/>
                <w:i w:val="0"/>
                <w:iCs w:val="0"/>
                <w:color w:val="000000"/>
                <w:kern w:val="0"/>
                <w:sz w:val="22"/>
                <w:szCs w:val="22"/>
                <w:u w:val="none"/>
                <w:lang w:val="en-US" w:eastAsia="zh-CN" w:bidi="ar"/>
              </w:rPr>
              <w:t>（含增值税9%）</w:t>
            </w:r>
          </w:p>
        </w:tc>
        <w:tc>
          <w:tcPr>
            <w:tcW w:w="464" w:type="dxa"/>
            <w:noWrap w:val="0"/>
            <w:vAlign w:val="center"/>
          </w:tcPr>
          <w:p w14:paraId="3910D5F8">
            <w:pPr>
              <w:rPr>
                <w:rFonts w:hint="eastAsia" w:ascii="仿宋" w:hAnsi="仿宋" w:eastAsia="仿宋" w:cs="仿宋"/>
                <w:b w:val="0"/>
                <w:bCs/>
                <w:i w:val="0"/>
                <w:iCs w:val="0"/>
                <w:color w:val="000000" w:themeColor="text1"/>
                <w:kern w:val="0"/>
                <w:sz w:val="21"/>
                <w:szCs w:val="21"/>
                <w:u w:val="none"/>
                <w:lang w:val="en-US" w:eastAsia="zh-CN" w:bidi="ar"/>
                <w14:textFill>
                  <w14:solidFill>
                    <w14:schemeClr w14:val="tx1"/>
                  </w14:solidFill>
                </w14:textFill>
              </w:rPr>
            </w:pPr>
          </w:p>
        </w:tc>
        <w:tc>
          <w:tcPr>
            <w:tcW w:w="1234" w:type="dxa"/>
            <w:noWrap w:val="0"/>
            <w:vAlign w:val="center"/>
          </w:tcPr>
          <w:p w14:paraId="12CD5933">
            <w:pPr>
              <w:rPr>
                <w:rFonts w:hint="eastAsia" w:ascii="仿宋" w:hAnsi="仿宋" w:eastAsia="仿宋" w:cs="仿宋"/>
                <w:b w:val="0"/>
                <w:bCs/>
                <w:i w:val="0"/>
                <w:iCs w:val="0"/>
                <w:color w:val="000000" w:themeColor="text1"/>
                <w:kern w:val="0"/>
                <w:sz w:val="21"/>
                <w:szCs w:val="21"/>
                <w:u w:val="none"/>
                <w:lang w:val="en-US" w:eastAsia="zh-CN" w:bidi="ar"/>
                <w14:textFill>
                  <w14:solidFill>
                    <w14:schemeClr w14:val="tx1"/>
                  </w14:solidFill>
                </w14:textFill>
              </w:rPr>
            </w:pPr>
          </w:p>
        </w:tc>
        <w:tc>
          <w:tcPr>
            <w:tcW w:w="5083" w:type="dxa"/>
            <w:gridSpan w:val="3"/>
            <w:noWrap w:val="0"/>
            <w:vAlign w:val="center"/>
          </w:tcPr>
          <w:p w14:paraId="43829384">
            <w:pPr>
              <w:keepNext w:val="0"/>
              <w:keepLines w:val="0"/>
              <w:widowControl/>
              <w:suppressLineNumbers w:val="0"/>
              <w:jc w:val="center"/>
              <w:textAlignment w:val="center"/>
              <w:rPr>
                <w:rFonts w:hint="eastAsia" w:ascii="仿宋" w:hAnsi="仿宋" w:eastAsia="仿宋" w:cs="仿宋"/>
                <w:b w:val="0"/>
                <w:bCs/>
                <w:i w:val="0"/>
                <w:iCs w:val="0"/>
                <w:color w:val="000000" w:themeColor="text1"/>
                <w:sz w:val="21"/>
                <w:szCs w:val="21"/>
                <w:u w:val="none"/>
                <w:lang w:val="en-US" w:eastAsia="zh-CN"/>
                <w14:textFill>
                  <w14:solidFill>
                    <w14:schemeClr w14:val="tx1"/>
                  </w14:solidFill>
                </w14:textFill>
              </w:rPr>
            </w:pPr>
          </w:p>
        </w:tc>
      </w:tr>
      <w:tr w14:paraId="7F99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14004" w:type="dxa"/>
            <w:gridSpan w:val="8"/>
            <w:noWrap w:val="0"/>
            <w:vAlign w:val="center"/>
          </w:tcPr>
          <w:p w14:paraId="3DF49462">
            <w:pPr>
              <w:keepNext w:val="0"/>
              <w:keepLines w:val="0"/>
              <w:widowControl/>
              <w:suppressLineNumbers w:val="0"/>
              <w:snapToGrid w:val="0"/>
              <w:spacing w:line="240" w:lineRule="auto"/>
              <w:jc w:val="left"/>
              <w:textAlignment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注：</w:t>
            </w:r>
          </w:p>
          <w:p w14:paraId="7E6DE3EA">
            <w:pPr>
              <w:keepNext w:val="0"/>
              <w:keepLines w:val="0"/>
              <w:widowControl/>
              <w:numPr>
                <w:ilvl w:val="0"/>
                <w:numId w:val="0"/>
              </w:numPr>
              <w:suppressLineNumbers w:val="0"/>
              <w:snapToGrid w:val="0"/>
              <w:spacing w:line="240" w:lineRule="auto"/>
              <w:jc w:val="left"/>
              <w:textAlignment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kern w:val="2"/>
                <w:sz w:val="21"/>
                <w:szCs w:val="21"/>
                <w:lang w:val="en-US" w:eastAsia="zh-CN" w:bidi="ar-SA"/>
                <w14:textFill>
                  <w14:solidFill>
                    <w14:schemeClr w14:val="tx1"/>
                  </w14:solidFill>
                </w14:textFill>
              </w:rPr>
              <w:t>1、</w:t>
            </w:r>
            <w:r>
              <w:rPr>
                <w:rFonts w:hint="eastAsia" w:ascii="仿宋" w:hAnsi="仿宋" w:eastAsia="仿宋" w:cs="仿宋"/>
                <w:b w:val="0"/>
                <w:bCs/>
                <w:color w:val="000000" w:themeColor="text1"/>
                <w:sz w:val="21"/>
                <w:szCs w:val="21"/>
                <w:lang w:val="en-US" w:eastAsia="zh-CN"/>
                <w14:textFill>
                  <w14:solidFill>
                    <w14:schemeClr w14:val="tx1"/>
                  </w14:solidFill>
                </w14:textFill>
              </w:rPr>
              <w:t>本次招标采用清单单价报价方式，最终结算的工程量，以发包人对本招标范围内完成的工作内容最终审定的结算价为准，并扣除合同约定应扣款项后作为本合同的结算价款。</w:t>
            </w:r>
          </w:p>
          <w:p w14:paraId="53972CE1">
            <w:pPr>
              <w:pStyle w:val="2"/>
              <w:snapToGrid w:val="0"/>
              <w:spacing w:line="240" w:lineRule="auto"/>
              <w:ind w:left="0" w:leftChars="0" w:firstLine="0" w:firstLineChars="0"/>
              <w:jc w:val="left"/>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2、包括（但不仅限于）完成承包范围及内容中所需的劳务、主材、辅材、卸货、二次转运、机械、机械进出场、管理、维护、措施费，保险（安全责任险除外）、利润、缺陷修复、临时设施与临时工程、人员、设备进退场、工完场清及合同履约过程中突发情况的处理、风险、不可预见等承包工作所需的一切费用。</w:t>
            </w:r>
          </w:p>
          <w:p w14:paraId="349F1797">
            <w:pPr>
              <w:snapToGrid w:val="0"/>
              <w:spacing w:line="240" w:lineRule="auto"/>
              <w:jc w:val="left"/>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4、增值税税率9%</w:t>
            </w:r>
          </w:p>
        </w:tc>
      </w:tr>
    </w:tbl>
    <w:p w14:paraId="0C5C77F3">
      <w:pPr>
        <w:spacing w:line="360" w:lineRule="auto"/>
        <w:rPr>
          <w:rFonts w:hint="eastAsia" w:ascii="宋体" w:hAnsi="宋体" w:eastAsia="宋体" w:cs="宋体"/>
          <w:color w:val="auto"/>
          <w:highlight w:val="none"/>
        </w:rPr>
      </w:pPr>
    </w:p>
    <w:p w14:paraId="061A4162">
      <w:pPr>
        <w:ind w:firstLine="3570" w:firstLineChars="1700"/>
        <w:jc w:val="center"/>
        <w:rPr>
          <w:rFonts w:hint="eastAsia" w:eastAsia="宋体"/>
          <w:lang w:eastAsia="zh-CN"/>
        </w:rPr>
      </w:pPr>
      <w:r>
        <w:rPr>
          <w:rFonts w:hint="eastAsia"/>
        </w:rPr>
        <w:t>报价单位</w:t>
      </w:r>
      <w:r>
        <w:rPr>
          <w:rFonts w:hint="eastAsia"/>
          <w:lang w:eastAsia="zh-CN"/>
        </w:rPr>
        <w:t>：</w:t>
      </w:r>
    </w:p>
    <w:p w14:paraId="3FF874A6">
      <w:pPr>
        <w:ind w:firstLine="3570" w:firstLineChars="1700"/>
        <w:jc w:val="center"/>
        <w:rPr>
          <w:rFonts w:hint="eastAsia" w:eastAsia="宋体"/>
          <w:lang w:eastAsia="zh-CN"/>
        </w:rPr>
      </w:pPr>
      <w:r>
        <w:rPr>
          <w:rFonts w:hint="eastAsia"/>
        </w:rPr>
        <w:t>联系人</w:t>
      </w:r>
      <w:r>
        <w:rPr>
          <w:rFonts w:hint="eastAsia"/>
          <w:lang w:eastAsia="zh-CN"/>
        </w:rPr>
        <w:t>：</w:t>
      </w:r>
    </w:p>
    <w:p w14:paraId="690AFF16">
      <w:pPr>
        <w:ind w:firstLine="3570" w:firstLineChars="1700"/>
        <w:jc w:val="center"/>
      </w:pPr>
      <w:r>
        <w:rPr>
          <w:rFonts w:hint="eastAsia"/>
        </w:rPr>
        <w:t>联系</w:t>
      </w:r>
      <w:r>
        <w:t>方式：</w:t>
      </w:r>
    </w:p>
    <w:p w14:paraId="2C9B04F6">
      <w:pPr>
        <w:ind w:firstLine="5460" w:firstLineChars="2600"/>
        <w:jc w:val="center"/>
        <w:rPr>
          <w:rFonts w:hint="eastAsia"/>
        </w:rPr>
      </w:pPr>
      <w:r>
        <w:rPr>
          <w:rFonts w:hint="eastAsia"/>
          <w:lang w:val="en-US" w:eastAsia="zh-CN"/>
        </w:rPr>
        <w:t xml:space="preserve">   </w:t>
      </w:r>
      <w:r>
        <w:t xml:space="preserve">年  </w:t>
      </w:r>
      <w:r>
        <w:rPr>
          <w:rFonts w:hint="eastAsia"/>
          <w:lang w:val="en-US" w:eastAsia="zh-CN"/>
        </w:rPr>
        <w:t xml:space="preserve"> </w:t>
      </w:r>
      <w:r>
        <w:t xml:space="preserve">  月   </w:t>
      </w:r>
      <w:r>
        <w:rPr>
          <w:rFonts w:hint="eastAsia"/>
          <w:lang w:val="en-US" w:eastAsia="zh-CN"/>
        </w:rPr>
        <w:t xml:space="preserve">  </w:t>
      </w:r>
      <w:r>
        <w:t>日</w:t>
      </w:r>
    </w:p>
    <w:p w14:paraId="085F48D2">
      <w:pPr>
        <w:keepNext w:val="0"/>
        <w:keepLines w:val="0"/>
        <w:pageBreakBefore w:val="0"/>
        <w:wordWrap/>
        <w:overflowPunct/>
        <w:topLinePunct w:val="0"/>
        <w:bidi w:val="0"/>
        <w:spacing w:line="360" w:lineRule="auto"/>
        <w:jc w:val="center"/>
        <w:rPr>
          <w:rFonts w:hint="eastAsia" w:ascii="黑体" w:hAnsi="黑体" w:eastAsia="黑体" w:cs="黑体"/>
          <w:sz w:val="32"/>
          <w:szCs w:val="32"/>
        </w:rPr>
        <w:sectPr>
          <w:pgSz w:w="16838" w:h="11906" w:orient="landscape"/>
          <w:pgMar w:top="1406" w:right="1440" w:bottom="1633" w:left="1440" w:header="851" w:footer="992" w:gutter="0"/>
          <w:cols w:space="425" w:num="1"/>
          <w:docGrid w:type="lines" w:linePitch="312" w:charSpace="0"/>
        </w:sectPr>
      </w:pPr>
    </w:p>
    <w:p w14:paraId="05AF8B73">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、资格审查资料</w:t>
      </w:r>
    </w:p>
    <w:p w14:paraId="7C7C9D62">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（一）基本情况</w:t>
      </w:r>
    </w:p>
    <w:p w14:paraId="1957AC4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供应商应根据供应商须知前附表第3.5（1）项和第3.5（2）项的要求提供主体资格证明及相关资质证明材料。</w:t>
      </w:r>
    </w:p>
    <w:p w14:paraId="0E71BAB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供应商还应根据供应商须知前附表第3.5（5）项、第3.5（7）项和第3.5（8）项的要求提供其他相关证明材料。</w:t>
      </w:r>
    </w:p>
    <w:p w14:paraId="57719C1E">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（二）近年财务状况</w:t>
      </w:r>
    </w:p>
    <w:p w14:paraId="42FF070A">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供应商</w:t>
      </w:r>
      <w:r>
        <w:rPr>
          <w:rFonts w:hint="eastAsia" w:ascii="仿宋" w:hAnsi="仿宋" w:eastAsia="仿宋" w:cs="仿宋"/>
          <w:sz w:val="32"/>
          <w:szCs w:val="32"/>
          <w:lang w:eastAsia="zh-CN"/>
        </w:rPr>
        <w:t>提供近一年完税证明。</w:t>
      </w:r>
    </w:p>
    <w:p w14:paraId="1183FFAB">
      <w:pPr>
        <w:keepNext w:val="0"/>
        <w:keepLines w:val="0"/>
        <w:pageBreakBefore w:val="0"/>
        <w:wordWrap/>
        <w:overflowPunct/>
        <w:topLinePunct w:val="0"/>
        <w:bidi w:val="0"/>
        <w:spacing w:line="360" w:lineRule="auto"/>
        <w:jc w:val="left"/>
        <w:rPr>
          <w:rFonts w:hint="default" w:ascii="仿宋" w:hAnsi="仿宋" w:eastAsia="仿宋" w:cs="仿宋"/>
          <w:sz w:val="32"/>
          <w:szCs w:val="32"/>
          <w:lang w:val="en-US" w:eastAsia="zh-CN"/>
        </w:rPr>
      </w:pPr>
      <w:r>
        <w:rPr>
          <w:rFonts w:hint="eastAsia" w:ascii="仿宋" w:hAnsi="仿宋" w:eastAsia="仿宋" w:cs="仿宋"/>
          <w:sz w:val="32"/>
          <w:szCs w:val="32"/>
        </w:rPr>
        <w:t>（三）近年的类似项目情况表</w:t>
      </w:r>
      <w:r>
        <w:rPr>
          <w:rFonts w:hint="eastAsia" w:ascii="仿宋" w:hAnsi="仿宋" w:eastAsia="仿宋" w:cs="仿宋"/>
          <w:sz w:val="32"/>
          <w:szCs w:val="32"/>
          <w:lang w:val="en-US" w:eastAsia="zh-CN"/>
        </w:rPr>
        <w:t>(如有)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0"/>
        <w:gridCol w:w="4902"/>
      </w:tblGrid>
      <w:tr w14:paraId="7730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08E2CB8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项目名称</w:t>
            </w:r>
          </w:p>
        </w:tc>
        <w:tc>
          <w:tcPr>
            <w:tcW w:w="4902" w:type="dxa"/>
          </w:tcPr>
          <w:p w14:paraId="2F753009">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985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00166E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发包人名称</w:t>
            </w:r>
          </w:p>
        </w:tc>
        <w:tc>
          <w:tcPr>
            <w:tcW w:w="4902" w:type="dxa"/>
          </w:tcPr>
          <w:p w14:paraId="0213E46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23E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52E78A3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发包人联系人及电话</w:t>
            </w:r>
          </w:p>
        </w:tc>
        <w:tc>
          <w:tcPr>
            <w:tcW w:w="4902" w:type="dxa"/>
          </w:tcPr>
          <w:p w14:paraId="7B98092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6A65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3F73C9B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合同价格</w:t>
            </w:r>
          </w:p>
        </w:tc>
        <w:tc>
          <w:tcPr>
            <w:tcW w:w="4902" w:type="dxa"/>
          </w:tcPr>
          <w:p w14:paraId="11E0D01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450B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0D1D192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是否竣工</w:t>
            </w:r>
          </w:p>
        </w:tc>
        <w:tc>
          <w:tcPr>
            <w:tcW w:w="4902" w:type="dxa"/>
          </w:tcPr>
          <w:p w14:paraId="033514B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B36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665B27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项目负责人（如有）</w:t>
            </w:r>
          </w:p>
        </w:tc>
        <w:tc>
          <w:tcPr>
            <w:tcW w:w="4902" w:type="dxa"/>
          </w:tcPr>
          <w:p w14:paraId="5A9F512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3FF5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BB06A9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项目概况及供应商履约情况</w:t>
            </w:r>
          </w:p>
        </w:tc>
        <w:tc>
          <w:tcPr>
            <w:tcW w:w="4902" w:type="dxa"/>
          </w:tcPr>
          <w:p w14:paraId="73DB935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4FF4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321BC0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备注</w:t>
            </w:r>
          </w:p>
        </w:tc>
        <w:tc>
          <w:tcPr>
            <w:tcW w:w="4902" w:type="dxa"/>
          </w:tcPr>
          <w:p w14:paraId="5B1C039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bl>
    <w:p w14:paraId="394EF438">
      <w:pPr>
        <w:keepNext w:val="0"/>
        <w:keepLines w:val="0"/>
        <w:pageBreakBefore w:val="0"/>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t>注：供应商应根据供应商须知前附表第3.5（4）项的要求在本表后附相关证明材料。</w:t>
      </w:r>
    </w:p>
    <w:p w14:paraId="601AFB79">
      <w:pPr>
        <w:keepNext w:val="0"/>
        <w:keepLines w:val="0"/>
        <w:pageBreakBefore w:val="0"/>
        <w:wordWrap/>
        <w:overflowPunct/>
        <w:topLinePunct w:val="0"/>
        <w:bidi w:val="0"/>
        <w:spacing w:line="360" w:lineRule="auto"/>
        <w:rPr>
          <w:rFonts w:hint="eastAsia" w:ascii="仿宋" w:hAnsi="仿宋" w:eastAsia="仿宋" w:cs="仿宋"/>
          <w:sz w:val="24"/>
          <w:szCs w:val="24"/>
        </w:rPr>
      </w:pPr>
    </w:p>
    <w:p w14:paraId="41C9827B">
      <w:pPr>
        <w:keepNext w:val="0"/>
        <w:keepLines w:val="0"/>
        <w:pageBreakBefore w:val="0"/>
        <w:wordWrap/>
        <w:overflowPunct/>
        <w:topLinePunct w:val="0"/>
        <w:bidi w:val="0"/>
        <w:spacing w:line="360" w:lineRule="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EC899"/>
    <w:multiLevelType w:val="singleLevel"/>
    <w:tmpl w:val="FD9EC899"/>
    <w:lvl w:ilvl="0" w:tentative="0">
      <w:start w:val="2"/>
      <w:numFmt w:val="chineseCounting"/>
      <w:suff w:val="nothing"/>
      <w:lvlText w:val="%1、"/>
      <w:lvlJc w:val="left"/>
      <w:rPr>
        <w:rFonts w:hint="eastAsia"/>
      </w:rPr>
    </w:lvl>
  </w:abstractNum>
  <w:abstractNum w:abstractNumId="1">
    <w:nsid w:val="728FF0DC"/>
    <w:multiLevelType w:val="singleLevel"/>
    <w:tmpl w:val="728FF0DC"/>
    <w:lvl w:ilvl="0" w:tentative="0">
      <w:start w:val="4"/>
      <w:numFmt w:val="chineseCounting"/>
      <w:suff w:val="space"/>
      <w:lvlText w:val="第%1章"/>
      <w:lvlJc w:val="left"/>
      <w:rPr>
        <w:rFonts w:hint="eastAsia"/>
      </w:rPr>
    </w:lvl>
  </w:abstractNum>
  <w:abstractNum w:abstractNumId="2">
    <w:nsid w:val="7BA1169A"/>
    <w:multiLevelType w:val="singleLevel"/>
    <w:tmpl w:val="7BA1169A"/>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13DC7"/>
    <w:rsid w:val="006316E8"/>
    <w:rsid w:val="00C16A96"/>
    <w:rsid w:val="01087D3F"/>
    <w:rsid w:val="012F4AD8"/>
    <w:rsid w:val="02432BE9"/>
    <w:rsid w:val="041C018D"/>
    <w:rsid w:val="046154E2"/>
    <w:rsid w:val="08BE3015"/>
    <w:rsid w:val="09325578"/>
    <w:rsid w:val="0C2D10BD"/>
    <w:rsid w:val="0C79108A"/>
    <w:rsid w:val="0CB60A5B"/>
    <w:rsid w:val="10442109"/>
    <w:rsid w:val="10C07025"/>
    <w:rsid w:val="12552E37"/>
    <w:rsid w:val="12E758A2"/>
    <w:rsid w:val="13DA7FEC"/>
    <w:rsid w:val="1771145C"/>
    <w:rsid w:val="19B62BD6"/>
    <w:rsid w:val="1C3256A1"/>
    <w:rsid w:val="1E3A25BA"/>
    <w:rsid w:val="1E5005B6"/>
    <w:rsid w:val="1EA4474E"/>
    <w:rsid w:val="27E62FAC"/>
    <w:rsid w:val="29BA16CF"/>
    <w:rsid w:val="306871A9"/>
    <w:rsid w:val="32013DC7"/>
    <w:rsid w:val="33B93BC7"/>
    <w:rsid w:val="36A069CA"/>
    <w:rsid w:val="3E28224C"/>
    <w:rsid w:val="40BB4A38"/>
    <w:rsid w:val="40FC510A"/>
    <w:rsid w:val="44E6547E"/>
    <w:rsid w:val="471F2C66"/>
    <w:rsid w:val="479D5FDF"/>
    <w:rsid w:val="484E4529"/>
    <w:rsid w:val="498F45C3"/>
    <w:rsid w:val="49953347"/>
    <w:rsid w:val="4ADB01AB"/>
    <w:rsid w:val="4D1B1248"/>
    <w:rsid w:val="50FD535B"/>
    <w:rsid w:val="51732634"/>
    <w:rsid w:val="520E2002"/>
    <w:rsid w:val="52CD0741"/>
    <w:rsid w:val="55A51B63"/>
    <w:rsid w:val="55C81229"/>
    <w:rsid w:val="57F725D5"/>
    <w:rsid w:val="5AD75716"/>
    <w:rsid w:val="5E9F56FC"/>
    <w:rsid w:val="5FBE11AC"/>
    <w:rsid w:val="60DB1C73"/>
    <w:rsid w:val="659D2AA6"/>
    <w:rsid w:val="66E0214B"/>
    <w:rsid w:val="69977773"/>
    <w:rsid w:val="69DE70ED"/>
    <w:rsid w:val="6DDD7BE1"/>
    <w:rsid w:val="6EB955BA"/>
    <w:rsid w:val="6F961AE8"/>
    <w:rsid w:val="719F32E4"/>
    <w:rsid w:val="71C86C3F"/>
    <w:rsid w:val="78641CB4"/>
    <w:rsid w:val="79990A0D"/>
    <w:rsid w:val="799F1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2428</Words>
  <Characters>2532</Characters>
  <Lines>0</Lines>
  <Paragraphs>0</Paragraphs>
  <TotalTime>67</TotalTime>
  <ScaleCrop>false</ScaleCrop>
  <LinksUpToDate>false</LinksUpToDate>
  <CharactersWithSpaces>3259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2025-06-27T03:05:00Z</dcterms:created>
  <dc:creator>Eissel</dc:creator>
  <cp:lastModifiedBy>liuriu998</cp:lastModifiedBy>
  <dcterms:modified xsi:type="dcterms:W3CDTF">2026-01-13T02:15:35Z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3C8BB004E1A5423F97207E2945C0DD91_13</vt:lpwstr>
  </property>
  <property fmtid="{D5CDD505-2E9C-101B-9397-08002B2CF9AE}" pid="4" name="KSOTemplateDocerSaveRecord">
    <vt:lpwstr>eyJoZGlkIjoiYzgzMTJhM2UxMGFhMmZjNjg4NTVhZjZlZTI0M2Y2YzQiLCJ1c2VySWQiOiI4OTE5Nzk2MzUifQ==</vt:lpwstr>
  </property>
</Properties>
</file>