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惠州宏琛200MW/400MWh储能电站建设项目</w:t>
      </w:r>
      <w:r>
        <w:rPr>
          <w:rFonts w:hint="eastAsia" w:ascii="宋体" w:hAnsi="宋体" w:cs="宋体"/>
          <w:b/>
          <w:bCs/>
          <w:color w:val="auto"/>
          <w:sz w:val="36"/>
          <w:szCs w:val="36"/>
          <w:highlight w:val="none"/>
          <w:lang w:val="en-US" w:eastAsia="zh-CN"/>
        </w:rPr>
        <w:t xml:space="preserve">          储能设备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2372ABDC">
      <w:pPr>
        <w:ind w:left="480" w:leftChars="200"/>
        <w:rPr>
          <w:rFonts w:ascii="宋体" w:hAnsi="宋体" w:cs="宋体"/>
          <w:color w:val="auto"/>
          <w:highlight w:val="none"/>
        </w:rPr>
      </w:pPr>
    </w:p>
    <w:p w14:paraId="6A799AB8">
      <w:pPr>
        <w:pStyle w:val="21"/>
        <w:rPr>
          <w:rFonts w:asciiTheme="minorHAnsi" w:hAnsiTheme="minorHAnsi" w:eastAsiaTheme="minorEastAsia" w:cstheme="minorBidi"/>
          <w:b w:val="0"/>
          <w:bCs w:val="0"/>
          <w:caps w:val="0"/>
          <w:color w:val="auto"/>
          <w:sz w:val="21"/>
          <w:szCs w:val="22"/>
          <w:highlight w:val="none"/>
        </w:rPr>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"_Toc165223389" </w:instrText>
      </w:r>
      <w:r>
        <w:rPr>
          <w:color w:val="auto"/>
          <w:highlight w:val="none"/>
        </w:rPr>
        <w:fldChar w:fldCharType="separate"/>
      </w:r>
      <w:r>
        <w:rPr>
          <w:rStyle w:val="31"/>
          <w:rFonts w:hint="eastAsia" w:hAnsi="宋体" w:cs="宋体"/>
          <w:color w:val="auto"/>
          <w:highlight w:val="none"/>
        </w:rPr>
        <w:t>第一章</w:t>
      </w:r>
      <w:r>
        <w:rPr>
          <w:rStyle w:val="31"/>
          <w:rFonts w:hAnsi="宋体" w:cs="宋体"/>
          <w:color w:val="auto"/>
          <w:highlight w:val="none"/>
        </w:rPr>
        <w:t xml:space="preserve"> </w:t>
      </w:r>
      <w:r>
        <w:rPr>
          <w:rStyle w:val="31"/>
          <w:rFonts w:hint="eastAsia" w:hAnsi="宋体" w:cs="宋体"/>
          <w:color w:val="auto"/>
          <w:highlight w:val="none"/>
        </w:rPr>
        <w:t>竞谈邀请</w:t>
      </w:r>
      <w:r>
        <w:rPr>
          <w:color w:val="auto"/>
          <w:highlight w:val="none"/>
        </w:rPr>
        <w:tab/>
      </w:r>
      <w:r>
        <w:rPr>
          <w:color w:val="auto"/>
          <w:highlight w:val="none"/>
        </w:rPr>
        <w:fldChar w:fldCharType="begin"/>
      </w:r>
      <w:r>
        <w:rPr>
          <w:color w:val="auto"/>
          <w:highlight w:val="none"/>
        </w:rPr>
        <w:instrText xml:space="preserve"> PAGEREF _Toc165223389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33CB15">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"_Toc165223390" </w:instrText>
      </w:r>
      <w:r>
        <w:rPr>
          <w:color w:val="auto"/>
          <w:highlight w:val="none"/>
        </w:rPr>
        <w:fldChar w:fldCharType="separate"/>
      </w:r>
      <w:r>
        <w:rPr>
          <w:rStyle w:val="31"/>
          <w:rFonts w:hint="eastAsia" w:hAnsi="宋体" w:cs="宋体"/>
          <w:color w:val="auto"/>
          <w:highlight w:val="none"/>
        </w:rPr>
        <w:t>第二章</w:t>
      </w:r>
      <w:r>
        <w:rPr>
          <w:rStyle w:val="31"/>
          <w:rFonts w:hAnsi="宋体" w:cs="宋体"/>
          <w:color w:val="auto"/>
          <w:highlight w:val="none"/>
        </w:rPr>
        <w:t xml:space="preserve"> </w:t>
      </w:r>
      <w:r>
        <w:rPr>
          <w:rStyle w:val="31"/>
          <w:rFonts w:hint="eastAsia" w:hAnsi="宋体" w:cs="宋体"/>
          <w:color w:val="auto"/>
          <w:highlight w:val="none"/>
        </w:rPr>
        <w:t>竞谈须知</w:t>
      </w:r>
      <w:r>
        <w:rPr>
          <w:color w:val="auto"/>
          <w:highlight w:val="none"/>
        </w:rPr>
        <w:tab/>
      </w:r>
      <w:r>
        <w:rPr>
          <w:color w:val="auto"/>
          <w:highlight w:val="none"/>
        </w:rPr>
        <w:fldChar w:fldCharType="begin"/>
      </w:r>
      <w:r>
        <w:rPr>
          <w:color w:val="auto"/>
          <w:highlight w:val="none"/>
        </w:rPr>
        <w:instrText xml:space="preserve"> PAGEREF _Toc165223390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EC73427">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"_Toc165223391" </w:instrText>
      </w:r>
      <w:r>
        <w:rPr>
          <w:color w:val="auto"/>
          <w:highlight w:val="none"/>
        </w:rPr>
        <w:fldChar w:fldCharType="separate"/>
      </w:r>
      <w:r>
        <w:rPr>
          <w:rStyle w:val="31"/>
          <w:rFonts w:ascii="宋体" w:hAnsi="宋体" w:cs="宋体"/>
          <w:color w:val="auto"/>
          <w:highlight w:val="none"/>
        </w:rPr>
        <w:t xml:space="preserve">2.1 </w:t>
      </w:r>
      <w:r>
        <w:rPr>
          <w:rStyle w:val="31"/>
          <w:rFonts w:hint="eastAsia" w:ascii="宋体" w:hAnsi="宋体" w:cs="宋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_Toc165223391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71CAECA">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"_Toc165223392" </w:instrText>
      </w:r>
      <w:r>
        <w:rPr>
          <w:color w:val="auto"/>
          <w:highlight w:val="none"/>
        </w:rPr>
        <w:fldChar w:fldCharType="separate"/>
      </w:r>
      <w:r>
        <w:rPr>
          <w:rStyle w:val="31"/>
          <w:rFonts w:ascii="宋体" w:hAnsi="宋体" w:cs="宋体"/>
          <w:color w:val="auto"/>
          <w:highlight w:val="none"/>
        </w:rPr>
        <w:t xml:space="preserve">2.2 </w:t>
      </w:r>
      <w:r>
        <w:rPr>
          <w:rStyle w:val="31"/>
          <w:rFonts w:hint="eastAsia" w:ascii="宋体" w:hAnsi="宋体" w:cs="宋体"/>
          <w:color w:val="auto"/>
          <w:highlight w:val="none"/>
        </w:rPr>
        <w:t>竞谈文件</w:t>
      </w:r>
      <w:r>
        <w:rPr>
          <w:color w:val="auto"/>
          <w:highlight w:val="none"/>
        </w:rPr>
        <w:tab/>
      </w:r>
      <w:r>
        <w:rPr>
          <w:color w:val="auto"/>
          <w:highlight w:val="none"/>
        </w:rPr>
        <w:fldChar w:fldCharType="begin"/>
      </w:r>
      <w:r>
        <w:rPr>
          <w:color w:val="auto"/>
          <w:highlight w:val="none"/>
        </w:rPr>
        <w:instrText xml:space="preserve"> PAGEREF _Toc165223392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02CF903">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"_Toc165223393" </w:instrText>
      </w:r>
      <w:r>
        <w:rPr>
          <w:color w:val="auto"/>
          <w:highlight w:val="none"/>
        </w:rPr>
        <w:fldChar w:fldCharType="separate"/>
      </w:r>
      <w:r>
        <w:rPr>
          <w:rStyle w:val="31"/>
          <w:rFonts w:ascii="宋体" w:hAnsi="宋体" w:cs="宋体"/>
          <w:color w:val="auto"/>
          <w:highlight w:val="none"/>
        </w:rPr>
        <w:t xml:space="preserve">2.3 </w:t>
      </w:r>
      <w:r>
        <w:rPr>
          <w:rStyle w:val="31"/>
          <w:rFonts w:hint="eastAsia" w:ascii="宋体" w:hAnsi="宋体" w:cs="宋体"/>
          <w:color w:val="auto"/>
          <w:highlight w:val="none"/>
        </w:rPr>
        <w:t>响应竞谈文件的编制</w:t>
      </w:r>
      <w:r>
        <w:rPr>
          <w:color w:val="auto"/>
          <w:highlight w:val="none"/>
        </w:rPr>
        <w:tab/>
      </w:r>
      <w:r>
        <w:rPr>
          <w:color w:val="auto"/>
          <w:highlight w:val="none"/>
        </w:rPr>
        <w:fldChar w:fldCharType="begin"/>
      </w:r>
      <w:r>
        <w:rPr>
          <w:color w:val="auto"/>
          <w:highlight w:val="none"/>
        </w:rPr>
        <w:instrText xml:space="preserve"> PAGEREF _Toc165223393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3FE5F1">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"_Toc165223394" </w:instrText>
      </w:r>
      <w:r>
        <w:rPr>
          <w:color w:val="auto"/>
          <w:highlight w:val="none"/>
        </w:rPr>
        <w:fldChar w:fldCharType="separate"/>
      </w:r>
      <w:r>
        <w:rPr>
          <w:rStyle w:val="31"/>
          <w:rFonts w:ascii="宋体" w:hAnsi="宋体" w:cs="宋体"/>
          <w:color w:val="auto"/>
          <w:highlight w:val="none"/>
        </w:rPr>
        <w:t xml:space="preserve">2.4 </w:t>
      </w:r>
      <w:r>
        <w:rPr>
          <w:rStyle w:val="31"/>
          <w:rFonts w:hint="eastAsia" w:ascii="宋体" w:hAnsi="宋体" w:cs="宋体"/>
          <w:color w:val="auto"/>
          <w:highlight w:val="none"/>
        </w:rPr>
        <w:t>响应竞谈文件的递交</w:t>
      </w:r>
      <w:r>
        <w:rPr>
          <w:color w:val="auto"/>
          <w:highlight w:val="none"/>
        </w:rPr>
        <w:tab/>
      </w:r>
      <w:r>
        <w:rPr>
          <w:color w:val="auto"/>
          <w:highlight w:val="none"/>
        </w:rPr>
        <w:fldChar w:fldCharType="begin"/>
      </w:r>
      <w:r>
        <w:rPr>
          <w:color w:val="auto"/>
          <w:highlight w:val="none"/>
        </w:rPr>
        <w:instrText xml:space="preserve"> PAGEREF _Toc165223394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C585249">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"_Toc165223395" </w:instrText>
      </w:r>
      <w:r>
        <w:rPr>
          <w:color w:val="auto"/>
          <w:highlight w:val="none"/>
        </w:rPr>
        <w:fldChar w:fldCharType="separate"/>
      </w:r>
      <w:r>
        <w:rPr>
          <w:rStyle w:val="31"/>
          <w:rFonts w:ascii="宋体" w:hAnsi="宋体" w:cs="宋体"/>
          <w:color w:val="auto"/>
          <w:highlight w:val="none"/>
        </w:rPr>
        <w:t xml:space="preserve">2.5 </w:t>
      </w:r>
      <w:r>
        <w:rPr>
          <w:rStyle w:val="31"/>
          <w:rFonts w:hint="eastAsia" w:ascii="宋体" w:hAnsi="宋体" w:cs="宋体"/>
          <w:color w:val="auto"/>
          <w:highlight w:val="none"/>
        </w:rPr>
        <w:t>竞谈与评审</w:t>
      </w:r>
      <w:r>
        <w:rPr>
          <w:color w:val="auto"/>
          <w:highlight w:val="none"/>
        </w:rPr>
        <w:tab/>
      </w:r>
      <w:r>
        <w:rPr>
          <w:color w:val="auto"/>
          <w:highlight w:val="none"/>
        </w:rPr>
        <w:fldChar w:fldCharType="begin"/>
      </w:r>
      <w:r>
        <w:rPr>
          <w:color w:val="auto"/>
          <w:highlight w:val="none"/>
        </w:rPr>
        <w:instrText xml:space="preserve"> PAGEREF _Toc165223395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C2FC11C">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"_Toc165223396" </w:instrText>
      </w:r>
      <w:r>
        <w:rPr>
          <w:color w:val="auto"/>
          <w:highlight w:val="none"/>
        </w:rPr>
        <w:fldChar w:fldCharType="separate"/>
      </w:r>
      <w:r>
        <w:rPr>
          <w:rStyle w:val="31"/>
          <w:rFonts w:ascii="宋体" w:hAnsi="宋体" w:cs="宋体"/>
          <w:color w:val="auto"/>
          <w:highlight w:val="none"/>
        </w:rPr>
        <w:t xml:space="preserve">2.6 </w:t>
      </w:r>
      <w:r>
        <w:rPr>
          <w:rStyle w:val="31"/>
          <w:rFonts w:hint="eastAsia" w:ascii="宋体" w:hAnsi="宋体" w:cs="宋体"/>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_Toc165223396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1D8FF3A">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"_Toc165223397" </w:instrText>
      </w:r>
      <w:r>
        <w:rPr>
          <w:color w:val="auto"/>
          <w:highlight w:val="none"/>
        </w:rPr>
        <w:fldChar w:fldCharType="separate"/>
      </w:r>
      <w:r>
        <w:rPr>
          <w:rStyle w:val="31"/>
          <w:rFonts w:ascii="宋体" w:hAnsi="宋体" w:cs="宋体"/>
          <w:color w:val="auto"/>
          <w:highlight w:val="none"/>
        </w:rPr>
        <w:t xml:space="preserve">2.7 </w:t>
      </w:r>
      <w:r>
        <w:rPr>
          <w:rStyle w:val="31"/>
          <w:rFonts w:hint="eastAsia" w:ascii="宋体" w:hAnsi="宋体" w:cs="宋体"/>
          <w:color w:val="auto"/>
          <w:highlight w:val="none"/>
        </w:rPr>
        <w:t>分包</w:t>
      </w:r>
      <w:r>
        <w:rPr>
          <w:rStyle w:val="31"/>
          <w:rFonts w:ascii="宋体" w:hAnsi="宋体" w:cs="宋体"/>
          <w:color w:val="auto"/>
          <w:highlight w:val="none"/>
        </w:rPr>
        <w:t>/</w:t>
      </w:r>
      <w:r>
        <w:rPr>
          <w:rStyle w:val="31"/>
          <w:rFonts w:hint="eastAsia" w:ascii="宋体" w:hAnsi="宋体" w:cs="宋体"/>
          <w:color w:val="auto"/>
          <w:highlight w:val="none"/>
        </w:rPr>
        <w:t>采购廉政告知书</w:t>
      </w:r>
      <w:r>
        <w:rPr>
          <w:color w:val="auto"/>
          <w:highlight w:val="none"/>
        </w:rPr>
        <w:tab/>
      </w:r>
      <w:r>
        <w:rPr>
          <w:color w:val="auto"/>
          <w:highlight w:val="none"/>
        </w:rPr>
        <w:fldChar w:fldCharType="begin"/>
      </w:r>
      <w:r>
        <w:rPr>
          <w:color w:val="auto"/>
          <w:highlight w:val="none"/>
        </w:rPr>
        <w:instrText xml:space="preserve"> PAGEREF _Toc165223397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7D7E8A3">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"_Toc165223398" </w:instrText>
      </w:r>
      <w:r>
        <w:rPr>
          <w:color w:val="auto"/>
          <w:highlight w:val="none"/>
        </w:rPr>
        <w:fldChar w:fldCharType="separate"/>
      </w:r>
      <w:r>
        <w:rPr>
          <w:rStyle w:val="31"/>
          <w:rFonts w:hint="eastAsia" w:hAnsi="宋体" w:cs="宋体"/>
          <w:color w:val="auto"/>
          <w:highlight w:val="none"/>
        </w:rPr>
        <w:t>第四章</w:t>
      </w:r>
      <w:r>
        <w:rPr>
          <w:rStyle w:val="31"/>
          <w:rFonts w:hAnsi="宋体" w:cs="宋体"/>
          <w:color w:val="auto"/>
          <w:highlight w:val="none"/>
        </w:rPr>
        <w:t xml:space="preserve"> </w:t>
      </w:r>
      <w:r>
        <w:rPr>
          <w:rStyle w:val="31"/>
          <w:rFonts w:hint="eastAsia" w:hAnsi="宋体" w:cs="宋体"/>
          <w:color w:val="auto"/>
          <w:highlight w:val="none"/>
        </w:rPr>
        <w:t>响应竞谈文件的组成</w:t>
      </w:r>
      <w:r>
        <w:rPr>
          <w:color w:val="auto"/>
          <w:highlight w:val="none"/>
        </w:rPr>
        <w:tab/>
      </w:r>
      <w:r>
        <w:rPr>
          <w:color w:val="auto"/>
          <w:highlight w:val="none"/>
        </w:rPr>
        <w:fldChar w:fldCharType="begin"/>
      </w:r>
      <w:r>
        <w:rPr>
          <w:color w:val="auto"/>
          <w:highlight w:val="none"/>
        </w:rPr>
        <w:instrText xml:space="preserve"> PAGEREF _Toc165223398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46DC42">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"_Toc165223399" </w:instrText>
      </w:r>
      <w:r>
        <w:rPr>
          <w:color w:val="auto"/>
          <w:highlight w:val="none"/>
        </w:rPr>
        <w:fldChar w:fldCharType="separate"/>
      </w:r>
      <w:r>
        <w:rPr>
          <w:rStyle w:val="31"/>
          <w:rFonts w:hint="eastAsia" w:ascii="宋体" w:hAnsi="宋体" w:cs="宋体"/>
          <w:color w:val="auto"/>
          <w:highlight w:val="none"/>
        </w:rPr>
        <w:t>文件一</w:t>
      </w:r>
      <w:r>
        <w:rPr>
          <w:rStyle w:val="31"/>
          <w:rFonts w:ascii="宋体" w:hAnsi="宋体" w:cs="宋体"/>
          <w:color w:val="auto"/>
          <w:highlight w:val="none"/>
        </w:rPr>
        <w:t xml:space="preserve">  </w:t>
      </w:r>
      <w:r>
        <w:rPr>
          <w:rStyle w:val="31"/>
          <w:rFonts w:hint="eastAsia" w:ascii="宋体" w:hAnsi="宋体" w:cs="宋体"/>
          <w:color w:val="auto"/>
          <w:highlight w:val="none"/>
        </w:rPr>
        <w:t>响应竞谈声明</w:t>
      </w:r>
      <w:r>
        <w:rPr>
          <w:color w:val="auto"/>
          <w:highlight w:val="none"/>
        </w:rPr>
        <w:tab/>
      </w:r>
      <w:r>
        <w:rPr>
          <w:color w:val="auto"/>
          <w:highlight w:val="none"/>
        </w:rPr>
        <w:fldChar w:fldCharType="begin"/>
      </w:r>
      <w:r>
        <w:rPr>
          <w:color w:val="auto"/>
          <w:highlight w:val="none"/>
        </w:rPr>
        <w:instrText xml:space="preserve"> PAGEREF _Toc165223399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627BEEB">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"_Toc165223400" </w:instrText>
      </w:r>
      <w:r>
        <w:rPr>
          <w:color w:val="auto"/>
          <w:highlight w:val="none"/>
        </w:rPr>
        <w:fldChar w:fldCharType="separate"/>
      </w:r>
      <w:r>
        <w:rPr>
          <w:rStyle w:val="31"/>
          <w:rFonts w:hint="eastAsia" w:ascii="宋体" w:hAnsi="宋体" w:cs="宋体"/>
          <w:color w:val="auto"/>
          <w:highlight w:val="none"/>
        </w:rPr>
        <w:t>文件三</w:t>
      </w:r>
      <w:r>
        <w:rPr>
          <w:rStyle w:val="31"/>
          <w:rFonts w:ascii="宋体" w:hAnsi="宋体" w:cs="宋体"/>
          <w:color w:val="auto"/>
          <w:highlight w:val="none"/>
        </w:rPr>
        <w:t xml:space="preserve">  </w:t>
      </w:r>
      <w:r>
        <w:rPr>
          <w:rStyle w:val="31"/>
          <w:rFonts w:hint="eastAsia" w:ascii="宋体" w:hAnsi="宋体" w:cs="宋体"/>
          <w:color w:val="auto"/>
          <w:highlight w:val="none"/>
        </w:rPr>
        <w:t>报价表</w:t>
      </w:r>
      <w:r>
        <w:rPr>
          <w:color w:val="auto"/>
          <w:highlight w:val="none"/>
        </w:rPr>
        <w:tab/>
      </w:r>
      <w:r>
        <w:rPr>
          <w:color w:val="auto"/>
          <w:highlight w:val="none"/>
        </w:rPr>
        <w:fldChar w:fldCharType="begin"/>
      </w:r>
      <w:r>
        <w:rPr>
          <w:color w:val="auto"/>
          <w:highlight w:val="none"/>
        </w:rPr>
        <w:instrText xml:space="preserve"> PAGEREF _Toc165223400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72169F1">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"_Toc165223401" </w:instrText>
      </w:r>
      <w:r>
        <w:rPr>
          <w:color w:val="auto"/>
          <w:highlight w:val="none"/>
        </w:rPr>
        <w:fldChar w:fldCharType="separate"/>
      </w:r>
      <w:r>
        <w:rPr>
          <w:rStyle w:val="31"/>
          <w:rFonts w:hint="eastAsia" w:ascii="宋体" w:hAnsi="宋体" w:cs="宋体"/>
          <w:color w:val="auto"/>
          <w:highlight w:val="none"/>
        </w:rPr>
        <w:t>文件五</w:t>
      </w:r>
      <w:r>
        <w:rPr>
          <w:rStyle w:val="31"/>
          <w:rFonts w:ascii="宋体" w:hAnsi="宋体" w:cs="宋体"/>
          <w:color w:val="auto"/>
          <w:highlight w:val="none"/>
        </w:rPr>
        <w:t xml:space="preserve">  </w:t>
      </w:r>
      <w:r>
        <w:rPr>
          <w:rStyle w:val="31"/>
          <w:rFonts w:hint="eastAsia" w:ascii="宋体" w:hAnsi="宋体" w:cs="宋体"/>
          <w:color w:val="auto"/>
          <w:highlight w:val="none"/>
        </w:rPr>
        <w:t>授权书格式</w:t>
      </w:r>
      <w:r>
        <w:rPr>
          <w:color w:val="auto"/>
          <w:highlight w:val="none"/>
        </w:rPr>
        <w:tab/>
      </w:r>
      <w:r>
        <w:rPr>
          <w:color w:val="auto"/>
          <w:highlight w:val="none"/>
        </w:rPr>
        <w:fldChar w:fldCharType="begin"/>
      </w:r>
      <w:r>
        <w:rPr>
          <w:color w:val="auto"/>
          <w:highlight w:val="none"/>
        </w:rPr>
        <w:instrText xml:space="preserve"> PAGEREF _Toc165223401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D38B38C">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"_Toc165223402" </w:instrText>
      </w:r>
      <w:r>
        <w:rPr>
          <w:color w:val="auto"/>
          <w:highlight w:val="none"/>
        </w:rPr>
        <w:fldChar w:fldCharType="separate"/>
      </w:r>
      <w:r>
        <w:rPr>
          <w:rStyle w:val="31"/>
          <w:rFonts w:hint="eastAsia" w:ascii="宋体" w:hAnsi="宋体" w:cs="宋体"/>
          <w:color w:val="auto"/>
          <w:highlight w:val="none"/>
        </w:rPr>
        <w:t>文件七</w:t>
      </w:r>
      <w:r>
        <w:rPr>
          <w:rStyle w:val="31"/>
          <w:rFonts w:ascii="宋体" w:hAnsi="宋体" w:cs="宋体"/>
          <w:color w:val="auto"/>
          <w:highlight w:val="none"/>
        </w:rPr>
        <w:t xml:space="preserve">  </w:t>
      </w:r>
      <w:r>
        <w:rPr>
          <w:rStyle w:val="31"/>
          <w:rFonts w:hint="eastAsia" w:ascii="宋体" w:hAnsi="宋体" w:cs="宋体"/>
          <w:color w:val="auto"/>
          <w:highlight w:val="none"/>
        </w:rPr>
        <w:t>技术偏差表</w:t>
      </w:r>
      <w:r>
        <w:rPr>
          <w:color w:val="auto"/>
          <w:highlight w:val="none"/>
        </w:rPr>
        <w:tab/>
      </w:r>
      <w:r>
        <w:rPr>
          <w:color w:val="auto"/>
          <w:highlight w:val="none"/>
        </w:rPr>
        <w:fldChar w:fldCharType="begin"/>
      </w:r>
      <w:r>
        <w:rPr>
          <w:color w:val="auto"/>
          <w:highlight w:val="none"/>
        </w:rPr>
        <w:instrText xml:space="preserve"> PAGEREF _Toc165223402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A75DD22">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"_Toc165223403" </w:instrText>
      </w:r>
      <w:r>
        <w:rPr>
          <w:color w:val="auto"/>
          <w:highlight w:val="none"/>
        </w:rPr>
        <w:fldChar w:fldCharType="separate"/>
      </w:r>
      <w:r>
        <w:rPr>
          <w:rStyle w:val="31"/>
          <w:rFonts w:hint="eastAsia" w:ascii="宋体" w:hAnsi="宋体" w:cs="宋体"/>
          <w:color w:val="auto"/>
          <w:highlight w:val="none"/>
        </w:rPr>
        <w:t>文件八</w:t>
      </w:r>
      <w:r>
        <w:rPr>
          <w:rStyle w:val="31"/>
          <w:rFonts w:ascii="宋体" w:hAnsi="宋体" w:cs="宋体"/>
          <w:color w:val="auto"/>
          <w:highlight w:val="none"/>
        </w:rPr>
        <w:t xml:space="preserve">  </w:t>
      </w:r>
      <w:r>
        <w:rPr>
          <w:rStyle w:val="31"/>
          <w:rFonts w:hint="eastAsia" w:ascii="宋体" w:hAnsi="宋体" w:cs="宋体"/>
          <w:color w:val="auto"/>
          <w:highlight w:val="none"/>
        </w:rPr>
        <w:t>响应竞谈设备汇总表</w:t>
      </w:r>
      <w:r>
        <w:rPr>
          <w:color w:val="auto"/>
          <w:highlight w:val="none"/>
        </w:rPr>
        <w:tab/>
      </w:r>
      <w:r>
        <w:rPr>
          <w:color w:val="auto"/>
          <w:highlight w:val="none"/>
        </w:rPr>
        <w:fldChar w:fldCharType="begin"/>
      </w:r>
      <w:r>
        <w:rPr>
          <w:color w:val="auto"/>
          <w:highlight w:val="none"/>
        </w:rPr>
        <w:instrText xml:space="preserve"> PAGEREF _Toc165223403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52E6811">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"_Toc165223404" </w:instrText>
      </w:r>
      <w:r>
        <w:rPr>
          <w:color w:val="auto"/>
          <w:highlight w:val="none"/>
        </w:rPr>
        <w:fldChar w:fldCharType="separate"/>
      </w:r>
      <w:r>
        <w:rPr>
          <w:rStyle w:val="31"/>
          <w:rFonts w:hint="eastAsia" w:ascii="宋体" w:hAnsi="宋体" w:cs="宋体"/>
          <w:color w:val="auto"/>
          <w:highlight w:val="none"/>
        </w:rPr>
        <w:t>文件九</w:t>
      </w:r>
      <w:r>
        <w:rPr>
          <w:rStyle w:val="31"/>
          <w:rFonts w:ascii="宋体" w:hAnsi="宋体" w:cs="宋体"/>
          <w:color w:val="auto"/>
          <w:highlight w:val="none"/>
        </w:rPr>
        <w:t xml:space="preserve">  </w:t>
      </w:r>
      <w:r>
        <w:rPr>
          <w:rStyle w:val="31"/>
          <w:rFonts w:hint="eastAsia" w:ascii="宋体" w:hAnsi="宋体" w:cs="宋体"/>
          <w:color w:val="auto"/>
          <w:highlight w:val="none"/>
        </w:rPr>
        <w:t>设备特性及性能保证</w:t>
      </w:r>
      <w:r>
        <w:rPr>
          <w:color w:val="auto"/>
          <w:highlight w:val="none"/>
        </w:rPr>
        <w:tab/>
      </w:r>
      <w:r>
        <w:rPr>
          <w:color w:val="auto"/>
          <w:highlight w:val="none"/>
        </w:rPr>
        <w:fldChar w:fldCharType="begin"/>
      </w:r>
      <w:r>
        <w:rPr>
          <w:color w:val="auto"/>
          <w:highlight w:val="none"/>
        </w:rPr>
        <w:instrText xml:space="preserve"> PAGEREF _Toc165223404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C361639">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"_Toc165223405" </w:instrText>
      </w:r>
      <w:r>
        <w:rPr>
          <w:color w:val="auto"/>
          <w:highlight w:val="none"/>
        </w:rPr>
        <w:fldChar w:fldCharType="separate"/>
      </w:r>
      <w:r>
        <w:rPr>
          <w:rStyle w:val="31"/>
          <w:rFonts w:hint="eastAsia" w:ascii="宋体" w:hAnsi="宋体" w:cs="宋体"/>
          <w:color w:val="auto"/>
          <w:highlight w:val="none"/>
        </w:rPr>
        <w:t>文件十</w:t>
      </w:r>
      <w:r>
        <w:rPr>
          <w:rStyle w:val="31"/>
          <w:rFonts w:ascii="宋体" w:hAnsi="宋体" w:cs="宋体"/>
          <w:color w:val="auto"/>
          <w:highlight w:val="none"/>
        </w:rPr>
        <w:t xml:space="preserve">  </w:t>
      </w:r>
      <w:r>
        <w:rPr>
          <w:rStyle w:val="31"/>
          <w:rFonts w:hint="eastAsia" w:ascii="宋体" w:hAnsi="宋体" w:cs="宋体"/>
          <w:color w:val="auto"/>
          <w:highlight w:val="none"/>
        </w:rPr>
        <w:t>分包商清单</w:t>
      </w:r>
      <w:r>
        <w:rPr>
          <w:color w:val="auto"/>
          <w:highlight w:val="none"/>
        </w:rPr>
        <w:tab/>
      </w:r>
      <w:r>
        <w:rPr>
          <w:color w:val="auto"/>
          <w:highlight w:val="none"/>
        </w:rPr>
        <w:fldChar w:fldCharType="begin"/>
      </w:r>
      <w:r>
        <w:rPr>
          <w:color w:val="auto"/>
          <w:highlight w:val="none"/>
        </w:rPr>
        <w:instrText xml:space="preserve"> PAGEREF _Toc165223405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3210AC9">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"_Toc165223406" </w:instrText>
      </w:r>
      <w:r>
        <w:rPr>
          <w:color w:val="auto"/>
          <w:highlight w:val="none"/>
        </w:rPr>
        <w:fldChar w:fldCharType="separate"/>
      </w:r>
      <w:r>
        <w:rPr>
          <w:rStyle w:val="31"/>
          <w:rFonts w:hint="eastAsia" w:ascii="宋体" w:hAnsi="宋体" w:cs="宋体"/>
          <w:color w:val="auto"/>
          <w:highlight w:val="none"/>
        </w:rPr>
        <w:t>文件十一</w:t>
      </w:r>
      <w:r>
        <w:rPr>
          <w:rStyle w:val="31"/>
          <w:rFonts w:ascii="宋体" w:hAnsi="宋体" w:cs="宋体"/>
          <w:color w:val="auto"/>
          <w:highlight w:val="none"/>
        </w:rPr>
        <w:t xml:space="preserve">  </w:t>
      </w:r>
      <w:r>
        <w:rPr>
          <w:rStyle w:val="31"/>
          <w:rFonts w:hint="eastAsia" w:ascii="宋体" w:hAnsi="宋体" w:cs="宋体"/>
          <w:color w:val="auto"/>
          <w:highlight w:val="none"/>
        </w:rPr>
        <w:t>运维方案</w:t>
      </w:r>
      <w:r>
        <w:rPr>
          <w:color w:val="auto"/>
          <w:highlight w:val="none"/>
        </w:rPr>
        <w:tab/>
      </w:r>
      <w:r>
        <w:rPr>
          <w:color w:val="auto"/>
          <w:highlight w:val="none"/>
        </w:rPr>
        <w:fldChar w:fldCharType="begin"/>
      </w:r>
      <w:r>
        <w:rPr>
          <w:color w:val="auto"/>
          <w:highlight w:val="none"/>
        </w:rPr>
        <w:instrText xml:space="preserve"> PAGEREF _Toc165223406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DD01CD7">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"_Toc165223407" </w:instrText>
      </w:r>
      <w:r>
        <w:rPr>
          <w:color w:val="auto"/>
          <w:highlight w:val="none"/>
        </w:rPr>
        <w:fldChar w:fldCharType="separate"/>
      </w:r>
      <w:r>
        <w:rPr>
          <w:rStyle w:val="31"/>
          <w:rFonts w:hint="eastAsia" w:ascii="宋体" w:hAnsi="宋体" w:cs="宋体"/>
          <w:color w:val="auto"/>
          <w:highlight w:val="none"/>
        </w:rPr>
        <w:t>文件十二</w:t>
      </w:r>
      <w:r>
        <w:rPr>
          <w:rStyle w:val="31"/>
          <w:rFonts w:ascii="宋体" w:hAnsi="宋体" w:cs="宋体"/>
          <w:color w:val="auto"/>
          <w:highlight w:val="none"/>
        </w:rPr>
        <w:t xml:space="preserve">  </w:t>
      </w:r>
      <w:r>
        <w:rPr>
          <w:rStyle w:val="31"/>
          <w:rFonts w:hint="eastAsia" w:ascii="宋体" w:hAnsi="宋体" w:cs="宋体"/>
          <w:color w:val="auto"/>
          <w:highlight w:val="none"/>
        </w:rPr>
        <w:t>技术服务</w:t>
      </w:r>
      <w:r>
        <w:rPr>
          <w:color w:val="auto"/>
          <w:highlight w:val="none"/>
        </w:rPr>
        <w:tab/>
      </w:r>
      <w:r>
        <w:rPr>
          <w:color w:val="auto"/>
          <w:highlight w:val="none"/>
        </w:rPr>
        <w:fldChar w:fldCharType="begin"/>
      </w:r>
      <w:r>
        <w:rPr>
          <w:color w:val="auto"/>
          <w:highlight w:val="none"/>
        </w:rPr>
        <w:instrText xml:space="preserve"> PAGEREF _Toc165223407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286B98C">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"_Toc165223408" </w:instrText>
      </w:r>
      <w:r>
        <w:rPr>
          <w:color w:val="auto"/>
          <w:highlight w:val="none"/>
        </w:rPr>
        <w:fldChar w:fldCharType="separate"/>
      </w:r>
      <w:r>
        <w:rPr>
          <w:rStyle w:val="31"/>
          <w:rFonts w:hint="eastAsia" w:ascii="宋体" w:hAnsi="宋体" w:cs="宋体"/>
          <w:color w:val="auto"/>
          <w:highlight w:val="none"/>
        </w:rPr>
        <w:t>文件十四</w:t>
      </w:r>
      <w:r>
        <w:rPr>
          <w:rStyle w:val="31"/>
          <w:rFonts w:ascii="宋体" w:hAnsi="宋体" w:cs="宋体"/>
          <w:color w:val="auto"/>
          <w:highlight w:val="none"/>
        </w:rPr>
        <w:t xml:space="preserve">  </w:t>
      </w:r>
      <w:r>
        <w:rPr>
          <w:rStyle w:val="31"/>
          <w:rFonts w:hint="eastAsia" w:ascii="宋体" w:hAnsi="宋体" w:cs="宋体"/>
          <w:color w:val="auto"/>
          <w:highlight w:val="none"/>
        </w:rPr>
        <w:t>设备运输方案</w:t>
      </w:r>
      <w:r>
        <w:rPr>
          <w:color w:val="auto"/>
          <w:highlight w:val="none"/>
        </w:rPr>
        <w:tab/>
      </w:r>
      <w:r>
        <w:rPr>
          <w:color w:val="auto"/>
          <w:highlight w:val="none"/>
        </w:rPr>
        <w:fldChar w:fldCharType="begin"/>
      </w:r>
      <w:r>
        <w:rPr>
          <w:color w:val="auto"/>
          <w:highlight w:val="none"/>
        </w:rPr>
        <w:instrText xml:space="preserve"> PAGEREF _Toc165223408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4CABF2D">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"_Toc165223409" </w:instrText>
      </w:r>
      <w:r>
        <w:rPr>
          <w:color w:val="auto"/>
          <w:highlight w:val="none"/>
        </w:rPr>
        <w:fldChar w:fldCharType="separate"/>
      </w:r>
      <w:r>
        <w:rPr>
          <w:rStyle w:val="31"/>
          <w:rFonts w:hint="eastAsia" w:hAnsi="宋体" w:cs="宋体"/>
          <w:color w:val="auto"/>
          <w:highlight w:val="none"/>
        </w:rPr>
        <w:t>第五章</w:t>
      </w:r>
      <w:r>
        <w:rPr>
          <w:rStyle w:val="31"/>
          <w:rFonts w:hAnsi="宋体" w:cs="宋体"/>
          <w:color w:val="auto"/>
          <w:highlight w:val="none"/>
        </w:rPr>
        <w:t xml:space="preserve">  </w:t>
      </w:r>
      <w:r>
        <w:rPr>
          <w:rStyle w:val="31"/>
          <w:rFonts w:hint="eastAsia" w:hAnsi="宋体" w:cs="宋体"/>
          <w:color w:val="auto"/>
          <w:highlight w:val="none"/>
        </w:rPr>
        <w:t>交货进度要求</w:t>
      </w:r>
      <w:r>
        <w:rPr>
          <w:color w:val="auto"/>
          <w:highlight w:val="none"/>
        </w:rPr>
        <w:tab/>
      </w:r>
      <w:r>
        <w:rPr>
          <w:color w:val="auto"/>
          <w:highlight w:val="none"/>
        </w:rPr>
        <w:fldChar w:fldCharType="begin"/>
      </w:r>
      <w:r>
        <w:rPr>
          <w:color w:val="auto"/>
          <w:highlight w:val="none"/>
        </w:rPr>
        <w:instrText xml:space="preserve"> PAGEREF _Toc165223409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B125862">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"_Toc165223411" </w:instrText>
      </w:r>
      <w:r>
        <w:rPr>
          <w:color w:val="auto"/>
          <w:highlight w:val="none"/>
        </w:rPr>
        <w:fldChar w:fldCharType="separate"/>
      </w:r>
      <w:r>
        <w:rPr>
          <w:rStyle w:val="31"/>
          <w:rFonts w:hint="eastAsia" w:hAnsi="宋体" w:cs="宋体"/>
          <w:color w:val="auto"/>
          <w:highlight w:val="none"/>
        </w:rPr>
        <w:t>第六章</w:t>
      </w:r>
      <w:r>
        <w:rPr>
          <w:rStyle w:val="31"/>
          <w:rFonts w:hAnsi="宋体" w:cs="宋体"/>
          <w:color w:val="auto"/>
          <w:highlight w:val="none"/>
        </w:rPr>
        <w:t xml:space="preserve">  </w:t>
      </w:r>
      <w:r>
        <w:rPr>
          <w:rStyle w:val="31"/>
          <w:rFonts w:hint="eastAsia" w:hAnsi="宋体" w:cs="宋体"/>
          <w:color w:val="auto"/>
          <w:highlight w:val="none"/>
        </w:rPr>
        <w:t>商务合同</w:t>
      </w:r>
      <w:r>
        <w:rPr>
          <w:color w:val="auto"/>
          <w:highlight w:val="none"/>
        </w:rPr>
        <w:tab/>
      </w:r>
      <w:r>
        <w:rPr>
          <w:color w:val="auto"/>
          <w:highlight w:val="none"/>
        </w:rPr>
        <w:fldChar w:fldCharType="begin"/>
      </w:r>
      <w:r>
        <w:rPr>
          <w:color w:val="auto"/>
          <w:highlight w:val="none"/>
        </w:rPr>
        <w:instrText xml:space="preserve"> PAGEREF _Toc165223411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61541B2">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"_Toc165223412" </w:instrText>
      </w:r>
      <w:r>
        <w:rPr>
          <w:color w:val="auto"/>
          <w:highlight w:val="none"/>
        </w:rPr>
        <w:fldChar w:fldCharType="separate"/>
      </w:r>
      <w:r>
        <w:rPr>
          <w:rStyle w:val="31"/>
          <w:rFonts w:hint="eastAsia" w:hAnsi="宋体" w:cs="宋体"/>
          <w:color w:val="auto"/>
          <w:highlight w:val="none"/>
        </w:rPr>
        <w:t>第七章</w:t>
      </w:r>
      <w:r>
        <w:rPr>
          <w:rStyle w:val="31"/>
          <w:rFonts w:hAnsi="宋体" w:cs="宋体"/>
          <w:color w:val="auto"/>
          <w:highlight w:val="none"/>
        </w:rPr>
        <w:t xml:space="preserve">  </w:t>
      </w:r>
      <w:r>
        <w:rPr>
          <w:rStyle w:val="31"/>
          <w:rFonts w:hint="eastAsia" w:hAnsi="宋体" w:cs="宋体"/>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_Toc165223412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78808"/>
      <w:bookmarkStart w:id="1" w:name="_Toc165223389"/>
      <w:bookmarkStart w:id="2" w:name="_Toc480288251"/>
      <w:bookmarkStart w:id="3" w:name="_Toc32245"/>
      <w:r>
        <w:rPr>
          <w:rFonts w:hint="eastAsia" w:hAnsi="宋体" w:cs="宋体"/>
          <w:bCs w:val="0"/>
          <w:snapToGrid/>
          <w:color w:val="auto"/>
          <w:sz w:val="36"/>
          <w:szCs w:val="40"/>
          <w:highlight w:val="none"/>
        </w:rPr>
        <w:t>第一章 竞谈邀请</w:t>
      </w:r>
      <w:bookmarkEnd w:id="0"/>
      <w:bookmarkEnd w:id="1"/>
      <w:bookmarkEnd w:id="2"/>
      <w:bookmarkEnd w:id="3"/>
    </w:p>
    <w:p w14:paraId="0CEE63A6">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一、项目基本情况</w:t>
      </w:r>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惠州宏琛200MW/400MWh储能电站建设项目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储能设备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20</w:t>
      </w:r>
      <w:r>
        <w:rPr>
          <w:rFonts w:hint="eastAsia" w:ascii="宋体" w:hAnsi="宋体" w:cs="宋体"/>
          <w:color w:val="auto"/>
          <w:highlight w:val="none"/>
        </w:rPr>
        <w:t>日前</w:t>
      </w:r>
      <w:r>
        <w:rPr>
          <w:rFonts w:hint="eastAsia" w:ascii="宋体" w:hAnsi="宋体" w:cs="宋体"/>
          <w:color w:val="auto"/>
          <w:highlight w:val="none"/>
          <w:lang w:val="en-US" w:eastAsia="zh-CN"/>
        </w:rPr>
        <w:t>开始到货，4月30日前</w:t>
      </w:r>
      <w:r>
        <w:rPr>
          <w:rFonts w:hint="eastAsia" w:ascii="宋体" w:hAnsi="宋体" w:cs="宋体"/>
          <w:color w:val="auto"/>
          <w:highlight w:val="none"/>
        </w:rPr>
        <w:t>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本次竞谈情况一览表</w:t>
      </w:r>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7"/>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储能设备</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24"/>
                <w:szCs w:val="24"/>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惠州宏琛200MW/400MWh储能电站建设项目  部</w:t>
            </w:r>
          </w:p>
          <w:p w14:paraId="3EA1C172">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2026年4月20日前开始到货，4月30日前全部货到现场，具体以项目部排产通知单为准</w:t>
            </w:r>
          </w:p>
        </w:tc>
      </w:tr>
    </w:tbl>
    <w:p w14:paraId="0FCF5637">
      <w:pPr>
        <w:rPr>
          <w:color w:val="auto"/>
          <w:highlight w:val="none"/>
        </w:rPr>
      </w:pPr>
    </w:p>
    <w:p w14:paraId="05D40B66">
      <w:pPr>
        <w:spacing w:before="120" w:beforeLines="50" w:line="360" w:lineRule="auto"/>
        <w:ind w:firstLine="241" w:firstLineChars="100"/>
        <w:jc w:val="left"/>
        <w:rPr>
          <w:rFonts w:ascii="宋体" w:hAnsi="宋体" w:cs="宋体"/>
          <w:b/>
          <w:color w:val="auto"/>
          <w:highlight w:val="none"/>
        </w:rPr>
      </w:pPr>
      <w:r>
        <w:rPr>
          <w:rFonts w:hint="eastAsia" w:ascii="宋体" w:hAnsi="宋体" w:cs="宋体"/>
          <w:b/>
          <w:color w:val="auto"/>
          <w:highlight w:val="none"/>
        </w:rPr>
        <w:t>三、</w:t>
      </w:r>
      <w:r>
        <w:rPr>
          <w:rFonts w:hint="eastAsia" w:ascii="宋体" w:hAnsi="宋体" w:cs="宋体"/>
          <w:b/>
          <w:color w:val="auto"/>
          <w:highlight w:val="none"/>
          <w:lang w:eastAsia="zh-CN"/>
        </w:rPr>
        <w:t>供应商</w:t>
      </w:r>
      <w:r>
        <w:rPr>
          <w:rFonts w:hint="eastAsia" w:ascii="宋体" w:hAnsi="宋体" w:cs="宋体"/>
          <w:b/>
          <w:color w:val="auto"/>
          <w:highlight w:val="none"/>
        </w:rPr>
        <w:t>资格要求</w:t>
      </w:r>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37F6B55">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rPr>
        <w:t>.经营状况良好</w:t>
      </w:r>
      <w:r>
        <w:rPr>
          <w:rFonts w:hint="eastAsia" w:ascii="宋体" w:hAnsi="宋体" w:cs="宋体"/>
          <w:color w:val="auto"/>
          <w:highlight w:val="none"/>
          <w:lang w:eastAsia="zh-CN"/>
        </w:rPr>
        <w:t>；</w:t>
      </w:r>
    </w:p>
    <w:p w14:paraId="03C32082">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4.本次采购接受联合体。</w:t>
      </w:r>
      <w:r>
        <w:rPr>
          <w:rFonts w:ascii="宋体" w:hAnsi="宋体" w:eastAsia="宋体" w:cs="宋体"/>
          <w:sz w:val="24"/>
          <w:szCs w:val="24"/>
        </w:rPr>
        <w:t>联合体成员不得超过2家</w:t>
      </w:r>
      <w:r>
        <w:rPr>
          <w:rFonts w:hint="eastAsia" w:ascii="宋体" w:hAnsi="宋体" w:eastAsia="宋体" w:cs="宋体"/>
          <w:sz w:val="24"/>
          <w:szCs w:val="24"/>
          <w:lang w:eastAsia="zh-CN"/>
        </w:rPr>
        <w:t>。</w:t>
      </w:r>
    </w:p>
    <w:p w14:paraId="622B2A00">
      <w:pPr>
        <w:spacing w:before="120" w:before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四、付款方式</w:t>
      </w:r>
    </w:p>
    <w:p w14:paraId="6F579ABF">
      <w:pPr>
        <w:spacing w:line="360" w:lineRule="auto"/>
        <w:ind w:left="840" w:leftChars="200" w:hanging="360" w:hangingChars="150"/>
        <w:rPr>
          <w:color w:val="auto"/>
          <w:highlight w:val="none"/>
        </w:rPr>
      </w:pPr>
      <w:r>
        <w:rPr>
          <w:color w:val="auto"/>
          <w:highlight w:val="none"/>
        </w:rPr>
        <w:t>1）</w:t>
      </w:r>
      <w:r>
        <w:rPr>
          <w:rFonts w:hint="eastAsia"/>
          <w:color w:val="auto"/>
          <w:highlight w:val="none"/>
          <w:lang w:eastAsia="zh-CN"/>
        </w:rPr>
        <w:t>预付款：</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val="en-US" w:eastAsia="zh-CN"/>
        </w:rPr>
        <w:t>30</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10%</w:t>
      </w:r>
      <w:r>
        <w:rPr>
          <w:rFonts w:hint="eastAsia" w:ascii="宋体" w:hAnsi="宋体" w:cs="宋体"/>
          <w:color w:val="auto"/>
          <w:highlight w:val="none"/>
        </w:rPr>
        <w:t>作为预付款；</w:t>
      </w:r>
    </w:p>
    <w:p w14:paraId="7E6E4259">
      <w:pPr>
        <w:spacing w:line="360" w:lineRule="auto"/>
        <w:ind w:left="840" w:leftChars="200" w:hanging="360" w:hangingChars="150"/>
        <w:rPr>
          <w:color w:val="auto"/>
          <w:highlight w:val="none"/>
        </w:rPr>
      </w:pPr>
      <w:r>
        <w:rPr>
          <w:color w:val="auto"/>
          <w:highlight w:val="none"/>
        </w:rPr>
        <w:t>2）</w:t>
      </w:r>
      <w:r>
        <w:rPr>
          <w:rFonts w:hint="eastAsia"/>
          <w:color w:val="auto"/>
          <w:highlight w:val="none"/>
          <w:lang w:eastAsia="zh-CN"/>
        </w:rPr>
        <w:t>订货款：乙方收到甲方的排产通知单</w:t>
      </w:r>
      <w:r>
        <w:rPr>
          <w:color w:val="auto"/>
          <w:highlight w:val="none"/>
        </w:rPr>
        <w:t>，甲方凭乙方提供的“</w:t>
      </w:r>
      <w:r>
        <w:rPr>
          <w:rFonts w:hint="eastAsia"/>
          <w:color w:val="auto"/>
          <w:highlight w:val="none"/>
          <w:lang w:eastAsia="zh-CN"/>
        </w:rPr>
        <w:t>盖章版生产计划</w:t>
      </w:r>
      <w:r>
        <w:rPr>
          <w:rFonts w:hint="eastAsia"/>
          <w:color w:val="auto"/>
          <w:highlight w:val="none"/>
        </w:rPr>
        <w:t>、</w:t>
      </w:r>
      <w:r>
        <w:rPr>
          <w:rFonts w:hint="eastAsia"/>
          <w:color w:val="auto"/>
          <w:highlight w:val="none"/>
          <w:lang w:eastAsia="zh-CN"/>
        </w:rPr>
        <w:t>合同金</w:t>
      </w:r>
      <w:r>
        <w:rPr>
          <w:color w:val="auto"/>
          <w:highlight w:val="none"/>
        </w:rPr>
        <w:t>额</w:t>
      </w:r>
      <w:r>
        <w:rPr>
          <w:rFonts w:hint="eastAsia"/>
          <w:color w:val="auto"/>
          <w:highlight w:val="none"/>
          <w:lang w:val="en-US" w:eastAsia="zh-CN"/>
        </w:rPr>
        <w:t>30%</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val="en-US" w:eastAsia="zh-CN"/>
        </w:rPr>
        <w:t>30</w:t>
      </w:r>
      <w:r>
        <w:rPr>
          <w:color w:val="auto"/>
          <w:highlight w:val="none"/>
        </w:rPr>
        <w:t>个工作日内，</w:t>
      </w:r>
      <w:r>
        <w:rPr>
          <w:rFonts w:hint="eastAsia"/>
          <w:color w:val="auto"/>
          <w:highlight w:val="none"/>
        </w:rPr>
        <w:t>付款</w:t>
      </w:r>
      <w:r>
        <w:rPr>
          <w:rFonts w:hint="eastAsia"/>
          <w:color w:val="auto"/>
          <w:highlight w:val="none"/>
          <w:lang w:eastAsia="zh-CN"/>
        </w:rPr>
        <w:t>合同</w:t>
      </w:r>
      <w:r>
        <w:rPr>
          <w:rFonts w:hint="eastAsia"/>
          <w:color w:val="auto"/>
          <w:highlight w:val="none"/>
        </w:rPr>
        <w:t>总价款的</w:t>
      </w:r>
      <w:r>
        <w:rPr>
          <w:rFonts w:hint="eastAsia"/>
          <w:color w:val="auto"/>
          <w:highlight w:val="none"/>
          <w:lang w:val="en-US" w:eastAsia="zh-CN"/>
        </w:rPr>
        <w:t>2</w:t>
      </w:r>
      <w:r>
        <w:rPr>
          <w:rFonts w:hint="eastAsia"/>
          <w:color w:val="auto"/>
          <w:highlight w:val="none"/>
        </w:rPr>
        <w:t>0%</w:t>
      </w:r>
      <w:r>
        <w:rPr>
          <w:color w:val="auto"/>
          <w:highlight w:val="none"/>
        </w:rPr>
        <w:t>；</w:t>
      </w:r>
    </w:p>
    <w:p w14:paraId="5B5E5BE1">
      <w:pPr>
        <w:spacing w:line="360" w:lineRule="auto"/>
        <w:ind w:left="840" w:leftChars="200" w:hanging="360" w:hangingChars="150"/>
        <w:rPr>
          <w:color w:val="auto"/>
          <w:highlight w:val="none"/>
        </w:rPr>
      </w:pPr>
      <w:r>
        <w:rPr>
          <w:color w:val="auto"/>
          <w:highlight w:val="none"/>
        </w:rPr>
        <w:t>3）</w:t>
      </w:r>
      <w:r>
        <w:rPr>
          <w:rFonts w:hint="eastAsia"/>
          <w:color w:val="auto"/>
          <w:highlight w:val="none"/>
          <w:lang w:eastAsia="zh-CN"/>
        </w:rPr>
        <w:t>发货款：</w:t>
      </w:r>
      <w:r>
        <w:rPr>
          <w:rFonts w:hint="default"/>
          <w:color w:val="auto"/>
          <w:highlight w:val="none"/>
          <w:lang w:val="en-US" w:eastAsia="zh-CN"/>
        </w:rPr>
        <w:t>储能场站全部储能设备(含电芯、PCS、BMS、EMS、温控系统、消防系统、电抗器、并网箱、集装箱及连接材料等)开始发货，乙方向甲方提供相关物流或发货证明材料，并开具合同价</w:t>
      </w:r>
      <w:r>
        <w:rPr>
          <w:rFonts w:hint="eastAsia"/>
          <w:color w:val="auto"/>
          <w:highlight w:val="none"/>
          <w:lang w:val="en-US" w:eastAsia="zh-CN"/>
        </w:rPr>
        <w:t>3</w:t>
      </w:r>
      <w:r>
        <w:rPr>
          <w:rFonts w:hint="default"/>
          <w:color w:val="auto"/>
          <w:highlight w:val="none"/>
          <w:lang w:val="en-US" w:eastAsia="zh-CN"/>
        </w:rPr>
        <w:t>0%的发票</w:t>
      </w:r>
      <w:r>
        <w:rPr>
          <w:rFonts w:hint="eastAsia"/>
          <w:color w:val="auto"/>
          <w:highlight w:val="none"/>
        </w:rPr>
        <w:t>，且乙方提供</w:t>
      </w:r>
      <w:r>
        <w:rPr>
          <w:rFonts w:hint="eastAsia" w:ascii="宋体" w:hAnsi="宋体" w:cs="宋体"/>
          <w:color w:val="auto"/>
          <w:highlight w:val="none"/>
          <w:lang w:eastAsia="zh-CN"/>
        </w:rPr>
        <w:t>《设备材料采购合同价款支付申请（核准）表》</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个工作日内</w:t>
      </w:r>
      <w:r>
        <w:rPr>
          <w:rFonts w:hint="eastAsia"/>
          <w:color w:val="auto"/>
          <w:highlight w:val="none"/>
        </w:rPr>
        <w:t>，</w:t>
      </w:r>
      <w:r>
        <w:rPr>
          <w:color w:val="auto"/>
          <w:highlight w:val="none"/>
        </w:rPr>
        <w:t>支付</w:t>
      </w:r>
      <w:r>
        <w:rPr>
          <w:rFonts w:hint="eastAsia"/>
          <w:color w:val="auto"/>
          <w:highlight w:val="none"/>
        </w:rPr>
        <w:t>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lang w:val="en-US" w:eastAsia="zh-CN"/>
        </w:rPr>
        <w:t>30</w:t>
      </w:r>
      <w:r>
        <w:rPr>
          <w:color w:val="auto"/>
          <w:highlight w:val="none"/>
        </w:rPr>
        <w:t>%</w:t>
      </w:r>
      <w:r>
        <w:rPr>
          <w:rFonts w:hint="eastAsia"/>
          <w:color w:val="auto"/>
          <w:highlight w:val="none"/>
        </w:rPr>
        <w:t>；</w:t>
      </w:r>
    </w:p>
    <w:p w14:paraId="41E42FC8">
      <w:pPr>
        <w:numPr>
          <w:ilvl w:val="0"/>
          <w:numId w:val="0"/>
        </w:numPr>
        <w:spacing w:line="360" w:lineRule="auto"/>
        <w:ind w:left="720" w:leftChars="200" w:hanging="240" w:hangingChars="100"/>
        <w:rPr>
          <w:rFonts w:hint="eastAsia" w:ascii="宋体" w:hAnsi="宋体" w:cs="宋体"/>
          <w:color w:val="auto"/>
          <w:sz w:val="24"/>
          <w:szCs w:val="24"/>
          <w:highlight w:val="none"/>
          <w:lang w:eastAsia="zh-CN"/>
        </w:rPr>
      </w:pPr>
      <w:r>
        <w:rPr>
          <w:color w:val="auto"/>
          <w:highlight w:val="none"/>
        </w:rPr>
        <w:t>4）</w:t>
      </w:r>
      <w:r>
        <w:rPr>
          <w:rFonts w:hint="eastAsia"/>
          <w:color w:val="auto"/>
          <w:highlight w:val="none"/>
          <w:lang w:eastAsia="zh-CN"/>
        </w:rPr>
        <w:t>到货验收款：</w:t>
      </w: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个工作日内，付款合同总价款的</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3668527C">
      <w:pPr>
        <w:numPr>
          <w:ilvl w:val="0"/>
          <w:numId w:val="0"/>
        </w:numPr>
        <w:spacing w:line="360" w:lineRule="auto"/>
        <w:ind w:left="720" w:leftChars="200" w:hanging="240" w:hanging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5）安装验收款：</w:t>
      </w:r>
      <w:r>
        <w:rPr>
          <w:rFonts w:hint="default" w:ascii="宋体" w:hAnsi="宋体" w:eastAsia="宋体" w:cs="宋体"/>
          <w:color w:val="auto"/>
          <w:sz w:val="24"/>
          <w:szCs w:val="24"/>
          <w:highlight w:val="none"/>
          <w:lang w:val="en-US" w:eastAsia="zh-CN"/>
        </w:rPr>
        <w:t>设备安装</w:t>
      </w:r>
      <w:r>
        <w:rPr>
          <w:rFonts w:hint="eastAsia" w:ascii="宋体" w:hAnsi="宋体" w:eastAsia="宋体" w:cs="宋体"/>
          <w:color w:val="auto"/>
          <w:sz w:val="24"/>
          <w:szCs w:val="24"/>
          <w:highlight w:val="none"/>
          <w:lang w:val="en-US" w:eastAsia="zh-CN"/>
        </w:rPr>
        <w:t>调试</w:t>
      </w:r>
      <w:r>
        <w:rPr>
          <w:rFonts w:hint="default" w:ascii="宋体" w:hAnsi="宋体" w:eastAsia="宋体" w:cs="宋体"/>
          <w:color w:val="auto"/>
          <w:sz w:val="24"/>
          <w:szCs w:val="24"/>
          <w:highlight w:val="none"/>
          <w:lang w:val="en-US" w:eastAsia="zh-CN"/>
        </w:rPr>
        <w:t>完成并经甲方</w:t>
      </w:r>
      <w:r>
        <w:rPr>
          <w:rFonts w:hint="eastAsia" w:ascii="宋体" w:hAnsi="宋体" w:eastAsia="宋体" w:cs="宋体"/>
          <w:color w:val="auto"/>
          <w:sz w:val="24"/>
          <w:szCs w:val="24"/>
          <w:highlight w:val="none"/>
          <w:lang w:val="en-US" w:eastAsia="zh-CN"/>
        </w:rPr>
        <w:t>及业主</w:t>
      </w:r>
      <w:r>
        <w:rPr>
          <w:rFonts w:hint="default" w:ascii="宋体" w:hAnsi="宋体" w:eastAsia="宋体" w:cs="宋体"/>
          <w:color w:val="auto"/>
          <w:sz w:val="24"/>
          <w:szCs w:val="24"/>
          <w:highlight w:val="none"/>
          <w:lang w:val="en-US" w:eastAsia="zh-CN"/>
        </w:rPr>
        <w:t>验收合格，甲方收到乙方</w:t>
      </w:r>
      <w:r>
        <w:rPr>
          <w:rFonts w:hint="eastAsia" w:ascii="宋体" w:hAnsi="宋体" w:cs="宋体"/>
          <w:color w:val="auto"/>
          <w:sz w:val="24"/>
          <w:szCs w:val="24"/>
          <w:highlight w:val="none"/>
          <w:lang w:val="en-US" w:eastAsia="zh-CN"/>
        </w:rPr>
        <w:t>提供的</w:t>
      </w:r>
      <w:r>
        <w:rPr>
          <w:rFonts w:hint="eastAsia" w:ascii="宋体" w:hAnsi="宋体" w:cs="宋体"/>
          <w:color w:val="auto"/>
          <w:sz w:val="24"/>
          <w:szCs w:val="24"/>
          <w:highlight w:val="none"/>
        </w:rPr>
        <w:t>《设备材料采购合同价款支付申请（核准）表》</w:t>
      </w:r>
      <w:r>
        <w:rPr>
          <w:rFonts w:hint="default" w:ascii="宋体" w:hAnsi="宋体" w:eastAsia="宋体" w:cs="宋体"/>
          <w:color w:val="auto"/>
          <w:sz w:val="24"/>
          <w:szCs w:val="24"/>
          <w:highlight w:val="none"/>
          <w:lang w:val="en-US" w:eastAsia="zh-CN"/>
        </w:rPr>
        <w:t>后于30个工作日内完成金额为合同价</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%的款项支付</w:t>
      </w:r>
      <w:r>
        <w:rPr>
          <w:rFonts w:hint="eastAsia" w:ascii="宋体" w:hAnsi="宋体" w:eastAsia="宋体" w:cs="宋体"/>
          <w:color w:val="auto"/>
          <w:sz w:val="24"/>
          <w:szCs w:val="24"/>
          <w:highlight w:val="none"/>
          <w:lang w:val="en-US" w:eastAsia="zh-CN"/>
        </w:rPr>
        <w:t>；</w:t>
      </w:r>
    </w:p>
    <w:p w14:paraId="190A6C1E">
      <w:pPr>
        <w:numPr>
          <w:ilvl w:val="0"/>
          <w:numId w:val="0"/>
        </w:numPr>
        <w:spacing w:line="360" w:lineRule="auto"/>
        <w:ind w:left="720" w:leftChars="200" w:hanging="240" w:hanging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6）竣工验收款：</w:t>
      </w:r>
      <w:r>
        <w:rPr>
          <w:color w:val="auto"/>
          <w:highlight w:val="none"/>
        </w:rPr>
        <w:t>项目</w:t>
      </w:r>
      <w:r>
        <w:rPr>
          <w:rFonts w:hint="eastAsia" w:ascii="宋体" w:hAnsi="宋体"/>
          <w:b w:val="0"/>
          <w:bCs w:val="0"/>
          <w:color w:val="auto"/>
          <w:highlight w:val="none"/>
        </w:rPr>
        <w:t>全部工程竣工日并自项目整体移交之日</w:t>
      </w:r>
      <w:r>
        <w:rPr>
          <w:color w:val="auto"/>
          <w:highlight w:val="none"/>
        </w:rPr>
        <w:t>后</w:t>
      </w:r>
      <w:r>
        <w:rPr>
          <w:rFonts w:hint="eastAsia"/>
          <w:color w:val="auto"/>
          <w:highlight w:val="none"/>
        </w:rPr>
        <w:t>或</w:t>
      </w:r>
      <w:r>
        <w:rPr>
          <w:rFonts w:hint="eastAsia"/>
          <w:color w:val="auto"/>
          <w:highlight w:val="none"/>
          <w:lang w:eastAsia="zh-CN"/>
        </w:rPr>
        <w:t>全部</w:t>
      </w:r>
      <w:r>
        <w:rPr>
          <w:rFonts w:hint="eastAsia"/>
          <w:color w:val="auto"/>
          <w:highlight w:val="none"/>
        </w:rPr>
        <w:t>货到现场6个月内（两者以时间先到为准），且乙方提供</w:t>
      </w:r>
      <w:r>
        <w:rPr>
          <w:rFonts w:hint="eastAsia" w:ascii="宋体" w:hAnsi="宋体" w:cs="宋体"/>
          <w:color w:val="auto"/>
          <w:highlight w:val="none"/>
          <w:lang w:eastAsia="zh-CN"/>
        </w:rPr>
        <w:t>《设备材料采购合同价款支付申请（核准）表》</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个工作日内</w:t>
      </w:r>
      <w:r>
        <w:rPr>
          <w:rFonts w:hint="eastAsia"/>
          <w:color w:val="auto"/>
          <w:highlight w:val="none"/>
        </w:rPr>
        <w:t>，</w:t>
      </w:r>
      <w:r>
        <w:rPr>
          <w:color w:val="auto"/>
          <w:highlight w:val="none"/>
        </w:rPr>
        <w:t>支付</w:t>
      </w:r>
      <w:r>
        <w:rPr>
          <w:rFonts w:hint="eastAsia"/>
          <w:color w:val="auto"/>
          <w:highlight w:val="none"/>
        </w:rPr>
        <w:t>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lang w:val="en-US" w:eastAsia="zh-CN"/>
        </w:rPr>
        <w:t>5</w:t>
      </w:r>
      <w:r>
        <w:rPr>
          <w:color w:val="auto"/>
          <w:highlight w:val="none"/>
        </w:rPr>
        <w:t>%</w:t>
      </w:r>
      <w:r>
        <w:rPr>
          <w:rFonts w:hint="eastAsia"/>
          <w:color w:val="auto"/>
          <w:highlight w:val="none"/>
          <w:lang w:val="en-US" w:eastAsia="zh-CN"/>
        </w:rPr>
        <w:t>.</w:t>
      </w:r>
    </w:p>
    <w:p w14:paraId="55DA15E1">
      <w:pPr>
        <w:numPr>
          <w:ilvl w:val="0"/>
          <w:numId w:val="0"/>
        </w:numPr>
        <w:spacing w:line="360" w:lineRule="auto"/>
        <w:ind w:left="720" w:leftChars="200" w:hanging="240" w:hangingChars="100"/>
        <w:rPr>
          <w:rFonts w:hint="eastAsia" w:eastAsia="宋体"/>
          <w:color w:val="auto"/>
          <w:highlight w:val="none"/>
          <w:lang w:eastAsia="zh-CN"/>
        </w:rPr>
      </w:pPr>
      <w:r>
        <w:rPr>
          <w:rFonts w:hint="eastAsia" w:ascii="宋体" w:hAnsi="宋体" w:cs="宋体"/>
          <w:color w:val="auto"/>
          <w:sz w:val="24"/>
          <w:szCs w:val="24"/>
          <w:highlight w:val="none"/>
          <w:lang w:val="en-US" w:eastAsia="zh-CN"/>
        </w:rPr>
        <w:t>7)质保金：</w:t>
      </w:r>
      <w:r>
        <w:rPr>
          <w:rFonts w:hint="eastAsia" w:ascii="宋体" w:hAnsi="宋体" w:eastAsia="宋体" w:cs="宋体"/>
          <w:color w:val="auto"/>
          <w:highlight w:val="none"/>
          <w:lang w:val="en-US" w:eastAsia="zh-CN"/>
        </w:rPr>
        <w:t>剩余结算总价款的</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%作为质保金从项目竣工验收合格</w:t>
      </w:r>
      <w:r>
        <w:rPr>
          <w:rFonts w:hint="eastAsia" w:ascii="宋体" w:hAnsi="宋体"/>
          <w:b w:val="0"/>
          <w:bCs w:val="0"/>
          <w:color w:val="auto"/>
          <w:highlight w:val="none"/>
        </w:rPr>
        <w:t>并自项目整体移交</w:t>
      </w:r>
      <w:r>
        <w:rPr>
          <w:rFonts w:hint="eastAsia" w:ascii="宋体" w:hAnsi="宋体"/>
          <w:b w:val="0"/>
          <w:bCs w:val="0"/>
          <w:color w:val="auto"/>
          <w:highlight w:val="none"/>
          <w:lang w:val="en-US" w:eastAsia="zh-CN"/>
        </w:rPr>
        <w:t>,投入运营并按甲方要求完成资料归档、移交项目资料并审查合格后</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2年的银行质量、保函（受益人或甲方或甲方指定的第三方），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w:t>
      </w:r>
      <w:r>
        <w:rPr>
          <w:rFonts w:hint="eastAsia"/>
          <w:color w:val="auto"/>
          <w:highlight w:val="none"/>
          <w:lang w:val="en-US" w:eastAsia="zh-CN"/>
        </w:rPr>
        <w:t>30</w:t>
      </w:r>
      <w:r>
        <w:rPr>
          <w:rFonts w:hint="eastAsia"/>
          <w:color w:val="auto"/>
          <w:highlight w:val="none"/>
        </w:rPr>
        <w:t>个工作日内支付</w:t>
      </w:r>
      <w:r>
        <w:rPr>
          <w:rFonts w:hint="eastAsia"/>
          <w:color w:val="auto"/>
          <w:highlight w:val="none"/>
          <w:lang w:eastAsia="zh-CN"/>
        </w:rPr>
        <w:t>；</w:t>
      </w:r>
    </w:p>
    <w:p w14:paraId="680A1793">
      <w:pPr>
        <w:spacing w:line="360" w:lineRule="auto"/>
        <w:ind w:left="437" w:leftChars="182" w:firstLine="0" w:firstLineChars="0"/>
        <w:rPr>
          <w:color w:val="auto"/>
          <w:highlight w:val="none"/>
        </w:rPr>
      </w:pPr>
      <w:r>
        <w:rPr>
          <w:rFonts w:hint="eastAsia"/>
          <w:color w:val="auto"/>
          <w:highlight w:val="none"/>
          <w:lang w:val="en-US" w:eastAsia="zh-CN"/>
        </w:rPr>
        <w:t>8）</w:t>
      </w:r>
      <w:r>
        <w:rPr>
          <w:rFonts w:hint="eastAsia"/>
          <w:color w:val="auto"/>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rPr>
          <w:color w:val="auto"/>
          <w:highlight w:val="none"/>
        </w:rPr>
      </w:pPr>
      <w:r>
        <w:rPr>
          <w:rFonts w:hint="eastAsia" w:ascii="宋体" w:hAnsi="宋体" w:cs="宋体"/>
          <w:b/>
          <w:color w:val="auto"/>
          <w:highlight w:val="none"/>
        </w:rPr>
        <w:t>购买竞谈文件事宜</w:t>
      </w:r>
    </w:p>
    <w:p w14:paraId="53C550BB">
      <w:pPr>
        <w:spacing w:before="120" w:beforeLines="50" w:line="360" w:lineRule="auto"/>
        <w:ind w:firstLine="720" w:firstLineChars="300"/>
        <w:jc w:val="left"/>
        <w:rPr>
          <w:color w:val="auto"/>
          <w:highlight w:val="none"/>
        </w:rPr>
      </w:pPr>
      <w:r>
        <w:rPr>
          <w:rFonts w:hint="eastAsia"/>
          <w:color w:val="auto"/>
          <w:highlight w:val="none"/>
        </w:rPr>
        <w:t>本次竞谈</w:t>
      </w:r>
      <w:r>
        <w:rPr>
          <w:rFonts w:hint="eastAsia"/>
          <w:color w:val="auto"/>
          <w:highlight w:val="none"/>
          <w:lang w:eastAsia="zh-CN"/>
        </w:rPr>
        <w:t>文件购买</w:t>
      </w:r>
      <w:r>
        <w:rPr>
          <w:rFonts w:hint="eastAsia"/>
          <w:color w:val="auto"/>
          <w:highlight w:val="none"/>
        </w:rPr>
        <w:t>将在电子采购交易平台（</w:t>
      </w:r>
      <w:r>
        <w:rPr>
          <w:color w:val="auto"/>
          <w:szCs w:val="21"/>
          <w:highlight w:val="none"/>
        </w:rPr>
        <w:t>http://</w:t>
      </w:r>
      <w:r>
        <w:rPr>
          <w:rFonts w:hint="eastAsia"/>
          <w:color w:val="auto"/>
          <w:szCs w:val="21"/>
          <w:highlight w:val="none"/>
        </w:rPr>
        <w:t>ep</w:t>
      </w:r>
      <w:r>
        <w:rPr>
          <w:color w:val="auto"/>
          <w:szCs w:val="21"/>
          <w:highlight w:val="none"/>
        </w:rPr>
        <w:t>.cmie.cn</w:t>
      </w:r>
      <w:r>
        <w:rPr>
          <w:rFonts w:hint="eastAsia"/>
          <w:color w:val="auto"/>
          <w:highlight w:val="none"/>
        </w:rPr>
        <w:t>）进行</w:t>
      </w:r>
      <w:r>
        <w:rPr>
          <w:rFonts w:hint="eastAsia"/>
          <w:color w:val="auto"/>
          <w:highlight w:val="none"/>
          <w:lang w:eastAsia="zh-CN"/>
        </w:rPr>
        <w:t>，竞谈开始后具体谈判地点及时间以竞谈采购人通知为准</w:t>
      </w:r>
      <w:r>
        <w:rPr>
          <w:rFonts w:hint="eastAsia"/>
          <w:color w:val="auto"/>
          <w:highlight w:val="none"/>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w:t>
      </w:r>
      <w:r>
        <w:rPr>
          <w:rFonts w:hint="eastAsia" w:ascii="宋体" w:hAnsi="宋体" w:cs="宋体"/>
          <w:color w:val="auto"/>
          <w:highlight w:val="none"/>
          <w:lang w:val="en-US" w:eastAsia="zh-CN"/>
        </w:rPr>
        <w:t>500</w:t>
      </w:r>
      <w:r>
        <w:rPr>
          <w:rFonts w:hint="eastAsia" w:ascii="宋体" w:hAnsi="宋体" w:cs="宋体"/>
          <w:color w:val="auto"/>
          <w:highlight w:val="none"/>
        </w:rPr>
        <w:t>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243F3D5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代婷</w:t>
      </w:r>
    </w:p>
    <w:p w14:paraId="136FACC8">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p>
    <w:p w14:paraId="0AB15579">
      <w:pPr>
        <w:spacing w:line="360" w:lineRule="auto"/>
        <w:ind w:firstLine="480" w:firstLineChars="200"/>
        <w:rPr>
          <w:rFonts w:ascii="宋体" w:hAnsi="宋体" w:cs="宋体"/>
          <w:color w:val="auto"/>
          <w:szCs w:val="32"/>
          <w:highlight w:val="none"/>
          <w:lang w:val="de-DE"/>
        </w:rPr>
      </w:pPr>
      <w:r>
        <w:rPr>
          <w:rFonts w:hint="eastAsia" w:ascii="宋体" w:hAnsi="宋体" w:cs="宋体"/>
          <w:color w:val="auto"/>
          <w:highlight w:val="none"/>
          <w:lang w:val="de-DE"/>
        </w:rPr>
        <w:t xml:space="preserve">E-mail: </w:t>
      </w:r>
      <w:r>
        <w:rPr>
          <w:rFonts w:hint="eastAsia" w:ascii="宋体" w:hAnsi="宋体" w:cs="宋体"/>
          <w:color w:val="auto"/>
          <w:highlight w:val="none"/>
          <w:lang w:val="en-US" w:eastAsia="zh-CN"/>
        </w:rPr>
        <w:t>daiting</w:t>
      </w:r>
      <w:r>
        <w:rPr>
          <w:rFonts w:hint="eastAsia" w:ascii="宋体" w:hAnsi="宋体" w:cs="宋体"/>
          <w:color w:val="auto"/>
          <w:highlight w:val="none"/>
          <w:lang w:val="de-DE"/>
        </w:rPr>
        <w:t>@cmie-newenergy.com</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color w:val="auto"/>
          <w:sz w:val="24"/>
          <w:szCs w:val="24"/>
          <w:highlight w:val="none"/>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lang w:val="en-US" w:eastAsia="zh-CN"/>
        </w:rPr>
        <w:t>100000元</w:t>
      </w:r>
      <w:r>
        <w:rPr>
          <w:rFonts w:hint="eastAsia" w:ascii="宋体" w:hAnsi="宋体" w:cs="宋体"/>
          <w:color w:val="auto"/>
          <w:highlight w:val="none"/>
        </w:rPr>
        <w:t>。</w:t>
      </w:r>
    </w:p>
    <w:p w14:paraId="012B5EF5">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六、竞谈开始时间、地点</w:t>
      </w:r>
    </w:p>
    <w:p w14:paraId="29B07A20">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lang w:val="de-DE" w:eastAsia="zh-CN"/>
        </w:rPr>
        <w:t>竞谈</w:t>
      </w:r>
      <w:r>
        <w:rPr>
          <w:rFonts w:hint="eastAsia" w:ascii="宋体" w:hAnsi="宋体" w:cs="宋体"/>
          <w:color w:val="auto"/>
          <w:highlight w:val="none"/>
        </w:rPr>
        <w:t>开始时间：详见电子采购交易平台。</w:t>
      </w:r>
    </w:p>
    <w:p w14:paraId="1070E7F7">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lang w:val="de-DE" w:eastAsia="zh-CN"/>
        </w:rPr>
        <w:t>竞谈</w:t>
      </w:r>
      <w:r>
        <w:rPr>
          <w:rFonts w:hint="eastAsia" w:ascii="宋体" w:hAnsi="宋体" w:cs="宋体"/>
          <w:color w:val="auto"/>
          <w:highlight w:val="none"/>
        </w:rPr>
        <w:t>开始地点：中机国际工程设计研究院有限责任公司电子采购交易平台。</w:t>
      </w:r>
    </w:p>
    <w:p w14:paraId="5E5900A1">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lang w:eastAsia="zh-CN"/>
        </w:rPr>
        <w:t>七</w:t>
      </w:r>
      <w:r>
        <w:rPr>
          <w:rFonts w:hint="eastAsia" w:ascii="宋体" w:hAnsi="宋体" w:cs="宋体"/>
          <w:b/>
          <w:color w:val="auto"/>
          <w:highlight w:val="none"/>
        </w:rPr>
        <w:t>、</w:t>
      </w:r>
      <w:r>
        <w:rPr>
          <w:rFonts w:hint="eastAsia" w:ascii="宋体" w:hAnsi="宋体" w:cs="宋体"/>
          <w:b/>
          <w:color w:val="auto"/>
          <w:highlight w:val="none"/>
          <w:lang w:eastAsia="zh-CN"/>
        </w:rPr>
        <w:t>谈判</w:t>
      </w:r>
      <w:r>
        <w:rPr>
          <w:rFonts w:hint="eastAsia" w:ascii="宋体" w:hAnsi="宋体" w:cs="宋体"/>
          <w:b/>
          <w:color w:val="auto"/>
          <w:highlight w:val="none"/>
        </w:rPr>
        <w:t>开始时间、地点</w:t>
      </w:r>
    </w:p>
    <w:p w14:paraId="0A0D2A4B">
      <w:pPr>
        <w:spacing w:before="120" w:beforeLines="50" w:line="360" w:lineRule="auto"/>
        <w:ind w:firstLine="720" w:firstLineChars="300"/>
        <w:jc w:val="left"/>
        <w:rPr>
          <w:color w:val="auto"/>
          <w:highlight w:val="none"/>
        </w:rPr>
      </w:pPr>
      <w:bookmarkStart w:id="4" w:name="_Toc8769"/>
      <w:bookmarkStart w:id="5" w:name="_Toc480278512"/>
      <w:bookmarkStart w:id="6" w:name="_Toc480288252"/>
      <w:bookmarkStart w:id="7" w:name="_Toc480278809"/>
      <w:bookmarkStart w:id="8" w:name="_Toc480278413"/>
      <w:r>
        <w:rPr>
          <w:rFonts w:hint="eastAsia"/>
          <w:color w:val="auto"/>
          <w:highlight w:val="none"/>
          <w:lang w:eastAsia="zh-CN"/>
        </w:rPr>
        <w:t>开标后具体谈判地点及时间以竞谈采购人通知为准</w:t>
      </w:r>
      <w:r>
        <w:rPr>
          <w:rFonts w:hint="eastAsia"/>
          <w:color w:val="auto"/>
          <w:highlight w:val="none"/>
        </w:rPr>
        <w:t>。</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9" w:name="_Toc165223390"/>
      <w:r>
        <w:rPr>
          <w:rFonts w:hint="eastAsia" w:hAnsi="宋体" w:cs="宋体"/>
          <w:bCs w:val="0"/>
          <w:snapToGrid/>
          <w:color w:val="auto"/>
          <w:sz w:val="36"/>
          <w:szCs w:val="40"/>
          <w:highlight w:val="none"/>
        </w:rPr>
        <w:t>竞谈须知</w:t>
      </w:r>
      <w:bookmarkEnd w:id="4"/>
      <w:bookmarkEnd w:id="5"/>
      <w:bookmarkEnd w:id="6"/>
      <w:bookmarkEnd w:id="7"/>
      <w:bookmarkEnd w:id="8"/>
      <w:bookmarkEnd w:id="9"/>
    </w:p>
    <w:tbl>
      <w:tblPr>
        <w:tblStyle w:val="27"/>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惠州宏琛200MW/400MWh储能电站建设项目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 w:val="0"/>
                <w:bCs/>
                <w:color w:val="auto"/>
                <w:sz w:val="24"/>
                <w:szCs w:val="24"/>
                <w:highlight w:val="none"/>
                <w:lang w:eastAsia="zh-CN"/>
              </w:rPr>
              <w:t>200MW/400MWh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惠州市仲恺区潼侨镇光明村委会苏屋村;</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邀请书。</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5</w:t>
            </w:r>
            <w:r>
              <w:rPr>
                <w:rFonts w:hint="eastAsia" w:ascii="宋体" w:hAnsi="宋体" w:eastAsia="宋体" w:cs="宋体"/>
                <w:bCs/>
                <w:color w:val="auto"/>
                <w:szCs w:val="24"/>
                <w:highlight w:val="none"/>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ascii="宋体" w:hAnsi="宋体" w:eastAsia="宋体" w:cs="宋体"/>
                <w:sz w:val="24"/>
                <w:szCs w:val="24"/>
              </w:rPr>
              <w:t>本次谈判轮次暂定为1轮，后续根据项目需求、供应商反馈及评审</w:t>
            </w:r>
            <w:r>
              <w:rPr>
                <w:rFonts w:ascii="宋体" w:hAnsi="宋体" w:eastAsia="宋体" w:cs="宋体"/>
                <w:sz w:val="24"/>
                <w:szCs w:val="24"/>
              </w:rPr>
              <w:br w:type="textWrapping"/>
            </w:r>
            <w:r>
              <w:rPr>
                <w:rFonts w:ascii="宋体" w:hAnsi="宋体" w:eastAsia="宋体" w:cs="宋体"/>
                <w:sz w:val="24"/>
                <w:szCs w:val="24"/>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w:t>
            </w:r>
            <w:r>
              <w:rPr>
                <w:rFonts w:ascii="宋体" w:hAnsi="宋体" w:eastAsia="宋体" w:cs="宋体"/>
                <w:sz w:val="24"/>
                <w:szCs w:val="24"/>
              </w:rPr>
              <w:t>竞谈采购人通知为准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yellow"/>
              </w:rPr>
            </w:pPr>
            <w:r>
              <w:rPr>
                <w:rFonts w:hint="eastAsia" w:ascii="宋体" w:hAnsi="宋体" w:eastAsia="宋体" w:cs="宋体"/>
                <w:bCs/>
                <w:color w:val="auto"/>
                <w:szCs w:val="24"/>
                <w:highlight w:val="none"/>
              </w:rPr>
              <w:t>由</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w:t>
            </w:r>
            <w:r>
              <w:rPr>
                <w:rFonts w:hint="eastAsia" w:ascii="宋体" w:hAnsi="宋体" w:eastAsia="宋体" w:cs="宋体"/>
                <w:bCs/>
                <w:color w:val="auto"/>
                <w:szCs w:val="24"/>
                <w:highlight w:val="none"/>
                <w:lang w:val="en-US" w:eastAsia="zh-CN"/>
              </w:rPr>
              <w:t>每标段</w:t>
            </w:r>
            <w:r>
              <w:rPr>
                <w:rFonts w:hint="eastAsia" w:ascii="宋体" w:hAnsi="宋体" w:eastAsia="宋体" w:cs="宋体"/>
                <w:bCs/>
                <w:color w:val="auto"/>
                <w:szCs w:val="24"/>
                <w:highlight w:val="none"/>
              </w:rPr>
              <w:t>推荐的</w:t>
            </w:r>
            <w:r>
              <w:rPr>
                <w:rFonts w:hint="eastAsia" w:ascii="宋体" w:hAnsi="宋体" w:cs="宋体"/>
                <w:bCs/>
                <w:color w:val="auto"/>
                <w:szCs w:val="24"/>
                <w:highlight w:val="none"/>
                <w:lang w:eastAsia="zh-CN"/>
              </w:rPr>
              <w:t>成交</w:t>
            </w:r>
            <w:r>
              <w:rPr>
                <w:rFonts w:hint="eastAsia" w:ascii="宋体" w:hAnsi="宋体" w:eastAsia="宋体" w:cs="宋体"/>
                <w:bCs/>
                <w:color w:val="auto"/>
                <w:szCs w:val="24"/>
                <w:highlight w:val="none"/>
              </w:rPr>
              <w:t>候选人数：</w:t>
            </w: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 xml:space="preserve">2家 </w:t>
            </w:r>
            <w:r>
              <w:rPr>
                <w:rFonts w:hint="eastAsia" w:ascii="宋体" w:hAnsi="宋体" w:cs="宋体"/>
                <w:bCs/>
                <w:color w:val="auto"/>
                <w:szCs w:val="24"/>
                <w:highlight w:val="none"/>
                <w:lang w:eastAsia="zh-CN"/>
              </w:rPr>
              <w:t>，</w:t>
            </w:r>
            <w:r>
              <w:rPr>
                <w:rFonts w:hint="eastAsia" w:ascii="宋体" w:hAnsi="宋体" w:eastAsia="宋体" w:cs="宋体"/>
                <w:bCs/>
                <w:szCs w:val="24"/>
                <w:highlight w:val="yellow"/>
              </w:rPr>
              <w:t>如推荐2家候选人，</w:t>
            </w:r>
          </w:p>
          <w:p w14:paraId="23493568">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yellow"/>
              </w:rPr>
              <w:t>推荐评审得分第1的为首选供应商，得分第2的为备选供应商</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本次竞谈公示中标供应商。因涉及总包成本机密，根据相关制度规定，本次竞谈成交价不予公示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竞谈响应</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w:t>
            </w:r>
            <w:r>
              <w:rPr>
                <w:rFonts w:hint="eastAsia" w:ascii="宋体" w:hAnsi="宋体" w:eastAsia="宋体" w:cs="宋体"/>
                <w:bCs/>
                <w:color w:val="auto"/>
                <w:szCs w:val="24"/>
                <w:highlight w:val="none"/>
              </w:rPr>
              <w:t>单位纪律检查部门的监督。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val="en-US" w:eastAsia="zh-CN"/>
              </w:rPr>
              <w:t>联合体要求的证明材料</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供应商应按照竞谈文件提供的格式</w:t>
            </w:r>
            <w:r>
              <w:rPr>
                <w:rFonts w:hint="eastAsia" w:ascii="宋体" w:hAnsi="宋体" w:eastAsia="宋体" w:cs="宋体"/>
                <w:bCs/>
                <w:color w:val="auto"/>
                <w:szCs w:val="24"/>
                <w:highlight w:val="yellow"/>
                <w:lang w:eastAsia="zh-CN"/>
              </w:rPr>
              <w:t>（格式见第四章“响应竞谈文件的组成”十六、联合体协议书）拟订联合体协议书，并提供联合体协议书的原件。联合体协议书应明确联合体各方的分</w:t>
            </w:r>
            <w:r>
              <w:rPr>
                <w:rFonts w:hint="eastAsia" w:ascii="仿宋" w:hAnsi="仿宋" w:eastAsia="仿宋" w:cs="仿宋"/>
                <w:snapToGrid w:val="0"/>
                <w:color w:val="000000"/>
                <w:spacing w:val="8"/>
                <w:kern w:val="0"/>
                <w:sz w:val="30"/>
                <w:szCs w:val="30"/>
                <w:highlight w:val="yellow"/>
                <w:lang w:eastAsia="zh-CN"/>
              </w:rPr>
              <w:t>工</w:t>
            </w:r>
          </w:p>
        </w:tc>
      </w:tr>
      <w:tr w14:paraId="0C7B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3EB66465">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22</w:t>
            </w:r>
          </w:p>
        </w:tc>
        <w:tc>
          <w:tcPr>
            <w:tcW w:w="2325" w:type="dxa"/>
            <w:shd w:val="clear" w:color="auto" w:fill="FFFFFF"/>
            <w:noWrap w:val="0"/>
            <w:vAlign w:val="center"/>
          </w:tcPr>
          <w:p w14:paraId="1D3DE4A3">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其他</w:t>
            </w:r>
          </w:p>
        </w:tc>
        <w:tc>
          <w:tcPr>
            <w:tcW w:w="7792" w:type="dxa"/>
            <w:shd w:val="clear" w:color="auto" w:fill="FFFFFF"/>
            <w:noWrap w:val="0"/>
            <w:vAlign w:val="center"/>
          </w:tcPr>
          <w:p w14:paraId="1D01CF12">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3D535B2D">
      <w:pPr>
        <w:numPr>
          <w:ilvl w:val="0"/>
          <w:numId w:val="0"/>
        </w:numPr>
        <w:rPr>
          <w:color w:val="auto"/>
          <w:highlight w:val="none"/>
        </w:rPr>
      </w:pPr>
    </w:p>
    <w:p w14:paraId="6810DD19">
      <w:pPr>
        <w:pStyle w:val="3"/>
        <w:adjustRightInd w:val="0"/>
        <w:snapToGrid w:val="0"/>
        <w:spacing w:before="0" w:after="0" w:line="360" w:lineRule="auto"/>
        <w:textAlignment w:val="baseline"/>
        <w:rPr>
          <w:rFonts w:ascii="宋体" w:hAnsi="宋体" w:eastAsia="宋体" w:cs="宋体"/>
          <w:color w:val="auto"/>
          <w:sz w:val="24"/>
          <w:szCs w:val="24"/>
          <w:highlight w:val="none"/>
        </w:rPr>
      </w:pPr>
      <w:bookmarkStart w:id="10" w:name="_Toc43269242"/>
      <w:bookmarkStart w:id="11" w:name="_Toc165223391"/>
      <w:bookmarkStart w:id="12" w:name="_Toc480278810"/>
      <w:bookmarkStart w:id="13" w:name="_Toc480278414"/>
      <w:bookmarkStart w:id="14" w:name="_Toc30520219"/>
      <w:bookmarkStart w:id="15" w:name="_Toc116990225"/>
      <w:bookmarkStart w:id="16" w:name="_Toc480288253"/>
      <w:bookmarkStart w:id="17" w:name="_Toc480278513"/>
      <w:bookmarkStart w:id="18" w:name="_Toc246834292"/>
      <w:r>
        <w:rPr>
          <w:rFonts w:hint="eastAsia" w:ascii="宋体" w:hAnsi="宋体" w:eastAsia="宋体" w:cs="宋体"/>
          <w:color w:val="auto"/>
          <w:sz w:val="24"/>
          <w:szCs w:val="24"/>
          <w:highlight w:val="none"/>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19"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1"/>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惠州宏琛200MW/400MWh储能电站建设项目储能设备</w:t>
      </w:r>
      <w:r>
        <w:rPr>
          <w:rFonts w:hint="eastAsia" w:ascii="宋体" w:hAnsi="宋体" w:eastAsia="宋体" w:cs="宋体"/>
          <w:b w:val="0"/>
          <w:color w:val="auto"/>
          <w:highlight w:val="none"/>
        </w:rPr>
        <w:t>供货和相应的备品备件、专用工具、技术资料以及有关的技术服务等。</w:t>
      </w:r>
    </w:p>
    <w:p w14:paraId="1125CE56">
      <w:pPr>
        <w:pStyle w:val="21"/>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w:t>
      </w:r>
      <w:r>
        <w:rPr>
          <w:rFonts w:hint="eastAsia" w:ascii="宋体" w:hAnsi="宋体" w:eastAsia="宋体" w:cs="宋体"/>
          <w:b w:val="0"/>
          <w:color w:val="auto"/>
          <w:highlight w:val="none"/>
          <w:lang w:eastAsia="zh-CN"/>
        </w:rPr>
        <w:t>车板</w:t>
      </w:r>
      <w:r>
        <w:rPr>
          <w:rFonts w:hint="eastAsia" w:ascii="宋体" w:hAnsi="宋体" w:eastAsia="宋体" w:cs="宋体"/>
          <w:b w:val="0"/>
          <w:color w:val="auto"/>
          <w:highlight w:val="none"/>
        </w:rPr>
        <w:t>交货；包装、发运、从制造厂到采购方指定地点的运输和保险；开箱检查、交接验收；指导安装、调试、现场试验、试运行和验收以及相关的技术服务进行响应竞谈。</w:t>
      </w:r>
    </w:p>
    <w:bookmarkEnd w:id="19"/>
    <w:p w14:paraId="25D4BF4A">
      <w:pPr>
        <w:pStyle w:val="15"/>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5"/>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储能设备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5"/>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4"/>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5"/>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5"/>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5"/>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5"/>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5"/>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5"/>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5"/>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566141E3">
      <w:pPr>
        <w:pStyle w:val="15"/>
        <w:spacing w:line="360" w:lineRule="auto"/>
        <w:ind w:firstLine="480"/>
        <w:rPr>
          <w:rFonts w:hAnsi="宋体" w:cs="宋体"/>
          <w:color w:val="auto"/>
          <w:szCs w:val="24"/>
          <w:highlight w:val="none"/>
        </w:rPr>
      </w:pPr>
    </w:p>
    <w:p w14:paraId="3E4C73CE">
      <w:pPr>
        <w:pStyle w:val="15"/>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5"/>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5"/>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5"/>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5"/>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5"/>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5"/>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2DF462D0">
      <w:pPr>
        <w:pStyle w:val="15"/>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5"/>
        <w:spacing w:line="360" w:lineRule="auto"/>
        <w:ind w:firstLine="48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7BAC64A4">
      <w:pPr>
        <w:pStyle w:val="15"/>
        <w:spacing w:line="360" w:lineRule="auto"/>
        <w:ind w:firstLine="480"/>
        <w:rPr>
          <w:rFonts w:hint="eastAsia" w:hAnsi="宋体" w:eastAsia="宋体" w:cs="宋体"/>
          <w:color w:val="auto"/>
          <w:szCs w:val="24"/>
          <w:highlight w:val="yellow"/>
          <w:lang w:eastAsia="zh-CN"/>
        </w:rPr>
      </w:pPr>
      <w:r>
        <w:rPr>
          <w:rFonts w:hint="eastAsia" w:hAnsi="宋体" w:cs="宋体"/>
          <w:color w:val="auto"/>
          <w:szCs w:val="24"/>
          <w:highlight w:val="yellow"/>
          <w:lang w:eastAsia="zh-CN"/>
        </w:rPr>
        <w:t>（</w:t>
      </w:r>
      <w:r>
        <w:rPr>
          <w:rFonts w:hint="eastAsia" w:hAnsi="宋体" w:cs="宋体"/>
          <w:color w:val="auto"/>
          <w:szCs w:val="24"/>
          <w:highlight w:val="yellow"/>
          <w:lang w:val="en-US" w:eastAsia="zh-CN"/>
        </w:rPr>
        <w:t>5</w:t>
      </w:r>
      <w:r>
        <w:rPr>
          <w:rFonts w:hint="eastAsia" w:hAnsi="宋体" w:cs="宋体"/>
          <w:color w:val="auto"/>
          <w:szCs w:val="24"/>
          <w:highlight w:val="yellow"/>
          <w:lang w:eastAsia="zh-CN"/>
        </w:rPr>
        <w:t>）</w:t>
      </w:r>
      <w:r>
        <w:rPr>
          <w:rFonts w:ascii="宋体" w:hAnsi="宋体" w:eastAsia="宋体" w:cs="宋体"/>
          <w:sz w:val="24"/>
          <w:szCs w:val="24"/>
          <w:highlight w:val="yellow"/>
        </w:rPr>
        <w:t>本项目接受联合体</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rPr>
        <w:t>联合体成员不得超过2家</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rPr>
        <w:t>联合体必须明确其中一方为牵头方。牵头方须为具备本项目系统集成能力和经验的储能系统集成商</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rPr>
        <w:t>联合体牵头方合法代表联合体各方，负责</w:t>
      </w:r>
      <w:r>
        <w:rPr>
          <w:rFonts w:hint="eastAsia" w:ascii="宋体" w:hAnsi="宋体" w:eastAsia="宋体" w:cs="宋体"/>
          <w:sz w:val="24"/>
          <w:szCs w:val="24"/>
          <w:highlight w:val="yellow"/>
          <w:lang w:eastAsia="zh-CN"/>
        </w:rPr>
        <w:t>竞谈</w:t>
      </w:r>
      <w:r>
        <w:rPr>
          <w:rFonts w:ascii="宋体" w:hAnsi="宋体" w:eastAsia="宋体" w:cs="宋体"/>
          <w:sz w:val="24"/>
          <w:szCs w:val="24"/>
          <w:highlight w:val="yellow"/>
        </w:rPr>
        <w:t>阶段和合同履行阶段的一切事务，包括但不限于提交</w:t>
      </w:r>
      <w:r>
        <w:rPr>
          <w:rFonts w:hint="eastAsia" w:ascii="宋体" w:hAnsi="宋体" w:eastAsia="宋体" w:cs="宋体"/>
          <w:sz w:val="24"/>
          <w:szCs w:val="24"/>
          <w:highlight w:val="yellow"/>
          <w:lang w:eastAsia="zh-CN"/>
        </w:rPr>
        <w:t>竞谈</w:t>
      </w:r>
      <w:r>
        <w:rPr>
          <w:rFonts w:ascii="宋体" w:hAnsi="宋体" w:eastAsia="宋体" w:cs="宋体"/>
          <w:sz w:val="24"/>
          <w:szCs w:val="24"/>
          <w:highlight w:val="yellow"/>
        </w:rPr>
        <w:t>文件、接收指令、签署合同、接收款项、承担责任等</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rPr>
        <w:t>联合体各方对</w:t>
      </w:r>
      <w:r>
        <w:rPr>
          <w:rFonts w:hint="eastAsia" w:ascii="宋体" w:hAnsi="宋体" w:eastAsia="宋体" w:cs="宋体"/>
          <w:sz w:val="24"/>
          <w:szCs w:val="24"/>
          <w:highlight w:val="yellow"/>
          <w:lang w:eastAsia="zh-CN"/>
        </w:rPr>
        <w:t>竞谈采购人</w:t>
      </w:r>
      <w:r>
        <w:rPr>
          <w:rFonts w:ascii="宋体" w:hAnsi="宋体" w:eastAsia="宋体" w:cs="宋体"/>
          <w:sz w:val="24"/>
          <w:szCs w:val="24"/>
          <w:highlight w:val="yellow"/>
        </w:rPr>
        <w:t>承担连带责任。</w:t>
      </w:r>
    </w:p>
    <w:p w14:paraId="43F8F006">
      <w:pPr>
        <w:pStyle w:val="15"/>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5"/>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5"/>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color w:val="auto"/>
          <w:sz w:val="24"/>
          <w:szCs w:val="24"/>
          <w:highlight w:val="none"/>
        </w:rPr>
      </w:pPr>
      <w:bookmarkStart w:id="20" w:name="_Toc480278514"/>
      <w:bookmarkStart w:id="21" w:name="_Toc43269243"/>
      <w:bookmarkStart w:id="22" w:name="_Toc30520220"/>
      <w:bookmarkStart w:id="23" w:name="_Toc246834293"/>
      <w:bookmarkStart w:id="24" w:name="_Toc480278415"/>
      <w:bookmarkStart w:id="25" w:name="_Toc116990226"/>
      <w:bookmarkStart w:id="26" w:name="_Toc480288254"/>
      <w:bookmarkStart w:id="27" w:name="_Toc165223392"/>
      <w:bookmarkStart w:id="28" w:name="_Toc480278811"/>
      <w:r>
        <w:rPr>
          <w:rFonts w:hint="eastAsia" w:ascii="宋体" w:hAnsi="宋体" w:eastAsia="宋体" w:cs="宋体"/>
          <w:color w:val="auto"/>
          <w:sz w:val="24"/>
          <w:szCs w:val="24"/>
          <w:highlight w:val="none"/>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7"/>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5"/>
        <w:spacing w:after="120" w:afterLines="50" w:line="360" w:lineRule="auto"/>
        <w:ind w:firstLine="482"/>
        <w:rPr>
          <w:rFonts w:hAnsi="宋体" w:cs="宋体"/>
          <w:color w:val="auto"/>
          <w:szCs w:val="24"/>
          <w:highlight w:val="none"/>
        </w:rPr>
      </w:pPr>
    </w:p>
    <w:p w14:paraId="7426486D">
      <w:pPr>
        <w:pStyle w:val="15"/>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43C56B85">
      <w:pPr>
        <w:adjustRightInd w:val="0"/>
        <w:snapToGrid w:val="0"/>
        <w:spacing w:before="120" w:beforeLines="50" w:line="360" w:lineRule="auto"/>
        <w:outlineLvl w:val="2"/>
        <w:rPr>
          <w:rFonts w:ascii="宋体" w:hAnsi="宋体" w:cs="宋体"/>
          <w:color w:val="auto"/>
          <w:highlight w:val="none"/>
        </w:rPr>
      </w:pPr>
    </w:p>
    <w:p w14:paraId="728D816D">
      <w:pPr>
        <w:adjustRightInd w:val="0"/>
        <w:snapToGrid w:val="0"/>
        <w:spacing w:before="120" w:beforeLines="50" w:line="360" w:lineRule="auto"/>
        <w:outlineLvl w:val="2"/>
        <w:rPr>
          <w:rFonts w:hint="eastAsia" w:ascii="宋体" w:hAnsi="宋体" w:cs="宋体"/>
          <w:color w:val="auto"/>
          <w:highlight w:val="none"/>
        </w:rPr>
      </w:pPr>
    </w:p>
    <w:p w14:paraId="03083D78">
      <w:pPr>
        <w:adjustRightInd w:val="0"/>
        <w:snapToGrid w:val="0"/>
        <w:spacing w:before="120" w:beforeLines="50" w:line="360" w:lineRule="auto"/>
        <w:outlineLvl w:val="2"/>
        <w:rPr>
          <w:rFonts w:hint="eastAsia" w:ascii="宋体" w:hAnsi="宋体" w:cs="宋体"/>
          <w:color w:val="auto"/>
          <w:highlight w:val="none"/>
        </w:rPr>
      </w:pPr>
    </w:p>
    <w:p w14:paraId="41AF82BC">
      <w:pPr>
        <w:adjustRightInd w:val="0"/>
        <w:snapToGrid w:val="0"/>
        <w:spacing w:before="120" w:beforeLines="50" w:line="360" w:lineRule="auto"/>
        <w:outlineLvl w:val="2"/>
        <w:rPr>
          <w:rFonts w:hint="eastAsia"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color w:val="auto"/>
          <w:sz w:val="24"/>
          <w:szCs w:val="24"/>
          <w:highlight w:val="none"/>
        </w:rPr>
      </w:pPr>
      <w:bookmarkStart w:id="29" w:name="_Toc165223393"/>
      <w:bookmarkStart w:id="30" w:name="_Toc30520221"/>
      <w:bookmarkStart w:id="31" w:name="_Toc43269244"/>
      <w:bookmarkStart w:id="32" w:name="_Toc480288255"/>
      <w:bookmarkStart w:id="33" w:name="_Toc116990227"/>
      <w:bookmarkStart w:id="34" w:name="_Toc480278515"/>
      <w:bookmarkStart w:id="35" w:name="_Toc480278812"/>
      <w:bookmarkStart w:id="36" w:name="_Toc246834294"/>
      <w:bookmarkStart w:id="37" w:name="_Toc480278416"/>
      <w:r>
        <w:rPr>
          <w:rFonts w:hint="eastAsia" w:ascii="宋体" w:hAnsi="宋体" w:eastAsia="宋体" w:cs="宋体"/>
          <w:color w:val="auto"/>
          <w:sz w:val="24"/>
          <w:szCs w:val="24"/>
          <w:highlight w:val="none"/>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7"/>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5"/>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5"/>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储能设备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5"/>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5"/>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5"/>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5"/>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5"/>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5"/>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5"/>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5"/>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5"/>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5"/>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5"/>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5"/>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5"/>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5"/>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5"/>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5"/>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adjustRightInd w:val="0"/>
        <w:spacing w:before="0" w:after="0" w:line="360" w:lineRule="auto"/>
        <w:textAlignment w:val="baseline"/>
        <w:rPr>
          <w:rFonts w:ascii="宋体" w:hAnsi="宋体" w:eastAsia="宋体" w:cs="宋体"/>
          <w:color w:val="auto"/>
          <w:sz w:val="24"/>
          <w:szCs w:val="24"/>
          <w:highlight w:val="none"/>
        </w:rPr>
      </w:pPr>
      <w:bookmarkStart w:id="38" w:name="_Toc116990228"/>
      <w:bookmarkStart w:id="39" w:name="_Toc480288256"/>
      <w:bookmarkStart w:id="40" w:name="_Toc30520222"/>
      <w:bookmarkStart w:id="41" w:name="_Toc480278417"/>
      <w:bookmarkStart w:id="42" w:name="_Toc165223394"/>
      <w:bookmarkStart w:id="43" w:name="_Toc480278813"/>
      <w:bookmarkStart w:id="44" w:name="_Toc43269245"/>
      <w:bookmarkStart w:id="45" w:name="_Toc480278516"/>
      <w:bookmarkStart w:id="46" w:name="_Toc246834295"/>
      <w:r>
        <w:rPr>
          <w:rFonts w:hint="eastAsia" w:ascii="宋体" w:hAnsi="宋体" w:eastAsia="宋体" w:cs="宋体"/>
          <w:color w:val="auto"/>
          <w:sz w:val="24"/>
          <w:szCs w:val="24"/>
          <w:highlight w:val="none"/>
        </w:rPr>
        <w:t>2.4 响应竞谈文件的递交</w:t>
      </w:r>
      <w:bookmarkEnd w:id="38"/>
      <w:bookmarkEnd w:id="39"/>
      <w:bookmarkEnd w:id="40"/>
      <w:bookmarkEnd w:id="41"/>
      <w:bookmarkEnd w:id="42"/>
      <w:bookmarkEnd w:id="43"/>
      <w:bookmarkEnd w:id="44"/>
      <w:bookmarkEnd w:id="45"/>
      <w:bookmarkEnd w:id="46"/>
    </w:p>
    <w:p w14:paraId="73307A18">
      <w:pPr>
        <w:pStyle w:val="15"/>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5"/>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5"/>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5"/>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5"/>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5"/>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color w:val="auto"/>
          <w:sz w:val="24"/>
          <w:szCs w:val="24"/>
          <w:highlight w:val="none"/>
        </w:rPr>
      </w:pPr>
      <w:bookmarkStart w:id="47" w:name="_Toc116990229"/>
      <w:bookmarkStart w:id="48" w:name="_Toc165223395"/>
      <w:bookmarkStart w:id="49" w:name="_Toc480288257"/>
      <w:bookmarkStart w:id="50" w:name="_Toc480278814"/>
      <w:bookmarkStart w:id="51" w:name="_Toc480278517"/>
      <w:bookmarkStart w:id="52" w:name="_Toc43269246"/>
      <w:bookmarkStart w:id="53" w:name="_Toc480278418"/>
      <w:bookmarkStart w:id="54" w:name="_Toc30520223"/>
      <w:bookmarkStart w:id="55" w:name="_Toc246834296"/>
      <w:r>
        <w:rPr>
          <w:rFonts w:hint="eastAsia" w:ascii="宋体" w:hAnsi="宋体" w:eastAsia="宋体" w:cs="宋体"/>
          <w:color w:val="auto"/>
          <w:sz w:val="24"/>
          <w:szCs w:val="24"/>
          <w:highlight w:val="none"/>
        </w:rPr>
        <w:t>2.5 竞谈与评审</w:t>
      </w:r>
      <w:bookmarkEnd w:id="47"/>
      <w:bookmarkEnd w:id="48"/>
      <w:bookmarkEnd w:id="49"/>
      <w:bookmarkEnd w:id="50"/>
      <w:bookmarkEnd w:id="51"/>
      <w:bookmarkEnd w:id="52"/>
      <w:bookmarkEnd w:id="53"/>
      <w:bookmarkEnd w:id="54"/>
      <w:bookmarkEnd w:id="55"/>
    </w:p>
    <w:p w14:paraId="1A198BA6">
      <w:pPr>
        <w:pStyle w:val="15"/>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2.5.1.1由</w:t>
      </w:r>
      <w:r>
        <w:rPr>
          <w:rFonts w:hint="eastAsia" w:ascii="宋体" w:hAnsi="宋体" w:cs="宋体"/>
          <w:snapToGrid w:val="0"/>
          <w:color w:val="auto"/>
          <w:kern w:val="0"/>
          <w:sz w:val="24"/>
          <w:szCs w:val="24"/>
          <w:highlight w:val="none"/>
          <w:lang w:val="en-US" w:eastAsia="zh-CN" w:bidi="ar-SA"/>
        </w:rPr>
        <w:t>竞谈采购人</w:t>
      </w:r>
      <w:r>
        <w:rPr>
          <w:rFonts w:hint="eastAsia" w:ascii="宋体" w:hAnsi="宋体" w:eastAsia="宋体" w:cs="宋体"/>
          <w:snapToGrid w:val="0"/>
          <w:color w:val="auto"/>
          <w:kern w:val="0"/>
          <w:sz w:val="24"/>
          <w:szCs w:val="24"/>
          <w:highlight w:val="none"/>
          <w:lang w:val="en-US" w:eastAsia="zh-CN" w:bidi="ar-SA"/>
        </w:rPr>
        <w:t>开评审领导小组主持，成立评审小组，进行综合考评，将对竞谈参与文件进行检查，确定是否完整，是否按要求缴纳了竞谈保证金，文件签署是否正确，以及是否按要求顺序编制等。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5"/>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5"/>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5"/>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adjustRightInd w:val="0"/>
        <w:spacing w:before="0" w:after="0" w:line="336" w:lineRule="auto"/>
        <w:textAlignment w:val="baseline"/>
        <w:rPr>
          <w:rFonts w:ascii="宋体" w:hAnsi="宋体" w:eastAsia="宋体" w:cs="宋体"/>
          <w:color w:val="auto"/>
          <w:sz w:val="24"/>
          <w:szCs w:val="24"/>
          <w:highlight w:val="none"/>
        </w:rPr>
      </w:pPr>
      <w:bookmarkStart w:id="56" w:name="_Toc165223396"/>
      <w:bookmarkStart w:id="57" w:name="_Toc43269247"/>
      <w:bookmarkStart w:id="58" w:name="_Toc480288258"/>
      <w:bookmarkStart w:id="59" w:name="_Toc480278518"/>
      <w:bookmarkStart w:id="60" w:name="_Toc480278815"/>
      <w:bookmarkStart w:id="61" w:name="_Toc116990230"/>
      <w:bookmarkStart w:id="62" w:name="_Toc480278419"/>
      <w:bookmarkStart w:id="63" w:name="_Toc30520224"/>
      <w:bookmarkStart w:id="64" w:name="_Toc246834297"/>
      <w:r>
        <w:rPr>
          <w:rFonts w:hint="eastAsia" w:ascii="宋体" w:hAnsi="宋体" w:eastAsia="宋体" w:cs="宋体"/>
          <w:color w:val="auto"/>
          <w:sz w:val="24"/>
          <w:szCs w:val="24"/>
          <w:highlight w:val="none"/>
        </w:rPr>
        <w:t>2.6 授予合同</w:t>
      </w:r>
      <w:bookmarkEnd w:id="56"/>
      <w:bookmarkEnd w:id="57"/>
      <w:bookmarkEnd w:id="58"/>
      <w:bookmarkEnd w:id="59"/>
      <w:bookmarkEnd w:id="60"/>
      <w:bookmarkEnd w:id="61"/>
      <w:bookmarkEnd w:id="62"/>
      <w:bookmarkEnd w:id="63"/>
      <w:bookmarkEnd w:id="64"/>
    </w:p>
    <w:p w14:paraId="3BA52EB9">
      <w:pPr>
        <w:pStyle w:val="15"/>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5"/>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5"/>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5"/>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5"/>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5"/>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5"/>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在授标时保留的权利</w:t>
      </w:r>
    </w:p>
    <w:p w14:paraId="1BD48068">
      <w:pPr>
        <w:pStyle w:val="15"/>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在授标前任何时候有权拒绝任何响应竞谈，以及宣布响应竞谈程序无效或拒绝所有响应竞谈，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5"/>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5"/>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5"/>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p>
    <w:p w14:paraId="5843C8EF">
      <w:pPr>
        <w:pStyle w:val="15"/>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5"/>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5"/>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5"/>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5"/>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5"/>
        <w:spacing w:line="360" w:lineRule="auto"/>
        <w:ind w:firstLine="482" w:firstLineChars="200"/>
        <w:rPr>
          <w:rFonts w:hAnsi="宋体" w:cs="宋体"/>
          <w:b/>
          <w:color w:val="auto"/>
          <w:szCs w:val="24"/>
          <w:highlight w:val="none"/>
        </w:rPr>
      </w:pPr>
      <w:r>
        <w:rPr>
          <w:rFonts w:hint="eastAsia" w:hAnsi="宋体" w:cs="宋体"/>
          <w:b/>
          <w:color w:val="auto"/>
          <w:szCs w:val="24"/>
          <w:highlight w:val="none"/>
        </w:rPr>
        <w:t>本项目</w:t>
      </w:r>
      <w:r>
        <w:rPr>
          <w:rFonts w:hint="eastAsia" w:hAnsi="宋体" w:cs="宋体"/>
          <w:b/>
          <w:color w:val="auto"/>
          <w:szCs w:val="24"/>
          <w:highlight w:val="none"/>
          <w:lang w:eastAsia="zh-CN"/>
        </w:rPr>
        <w:t>成交</w:t>
      </w:r>
      <w:r>
        <w:rPr>
          <w:rFonts w:hint="eastAsia" w:hAnsi="宋体" w:cs="宋体"/>
          <w:b/>
          <w:color w:val="auto"/>
          <w:szCs w:val="24"/>
          <w:highlight w:val="none"/>
        </w:rPr>
        <w:t>人需向</w:t>
      </w:r>
      <w:r>
        <w:rPr>
          <w:rFonts w:hint="eastAsia" w:hAnsi="宋体" w:cs="宋体"/>
          <w:b/>
          <w:color w:val="auto"/>
          <w:szCs w:val="24"/>
          <w:highlight w:val="none"/>
          <w:lang w:eastAsia="zh-CN"/>
        </w:rPr>
        <w:t>竞谈采购人</w:t>
      </w:r>
      <w:r>
        <w:rPr>
          <w:rFonts w:hint="eastAsia" w:hAnsi="宋体" w:cs="宋体"/>
          <w:b/>
          <w:color w:val="auto"/>
          <w:szCs w:val="24"/>
          <w:highlight w:val="none"/>
        </w:rPr>
        <w:t>提交履约保函。</w:t>
      </w:r>
    </w:p>
    <w:p w14:paraId="17790C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2"/>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3"/>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3"/>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3"/>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3"/>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3"/>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3"/>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3"/>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3"/>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3"/>
        <w:tabs>
          <w:tab w:val="left" w:pos="6037"/>
        </w:tabs>
        <w:spacing w:line="600" w:lineRule="exact"/>
        <w:ind w:firstLine="3893" w:firstLineChars="1854"/>
        <w:jc w:val="left"/>
        <w:rPr>
          <w:color w:val="auto"/>
          <w:sz w:val="21"/>
          <w:szCs w:val="21"/>
          <w:highlight w:val="none"/>
          <w:lang w:eastAsia="zh-CN"/>
        </w:rPr>
      </w:pPr>
    </w:p>
    <w:p w14:paraId="09587B56">
      <w:pPr>
        <w:pStyle w:val="43"/>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2"/>
        <w:spacing w:after="160"/>
        <w:ind w:left="0" w:right="140"/>
        <w:jc w:val="right"/>
        <w:rPr>
          <w:color w:val="auto"/>
          <w:sz w:val="21"/>
          <w:szCs w:val="21"/>
          <w:highlight w:val="none"/>
          <w:lang w:val="en-US" w:eastAsia="zh-CN"/>
        </w:rPr>
      </w:pPr>
    </w:p>
    <w:p w14:paraId="61B3DB1B">
      <w:pPr>
        <w:pStyle w:val="42"/>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adjustRightInd w:val="0"/>
        <w:spacing w:before="0" w:after="0" w:line="360" w:lineRule="auto"/>
        <w:textAlignment w:val="baseline"/>
        <w:rPr>
          <w:rFonts w:ascii="宋体" w:hAnsi="宋体" w:eastAsia="宋体" w:cs="宋体"/>
          <w:color w:val="auto"/>
          <w:sz w:val="24"/>
          <w:szCs w:val="24"/>
          <w:highlight w:val="none"/>
        </w:rPr>
      </w:pPr>
      <w:bookmarkStart w:id="65" w:name="_Toc165223397"/>
      <w:r>
        <w:rPr>
          <w:rFonts w:hint="eastAsia" w:ascii="宋体" w:hAnsi="宋体" w:eastAsia="宋体" w:cs="宋体"/>
          <w:color w:val="auto"/>
          <w:sz w:val="24"/>
          <w:szCs w:val="24"/>
          <w:highlight w:val="none"/>
        </w:rPr>
        <w:t>2.7 分包/采购廉政告知书</w:t>
      </w:r>
      <w:bookmarkEnd w:id="65"/>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5"/>
        <w:spacing w:line="360" w:lineRule="auto"/>
        <w:ind w:firstLine="482" w:firstLineChars="200"/>
        <w:rPr>
          <w:rFonts w:hAnsi="宋体" w:cs="宋体"/>
          <w:b/>
          <w:color w:val="auto"/>
          <w:szCs w:val="24"/>
          <w:highlight w:val="none"/>
        </w:rPr>
      </w:pPr>
    </w:p>
    <w:p w14:paraId="0E1E73EB">
      <w:pPr>
        <w:spacing w:line="360" w:lineRule="auto"/>
        <w:jc w:val="center"/>
        <w:rPr>
          <w:rFonts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36"/>
          <w:highlight w:val="none"/>
        </w:rPr>
        <w:t xml:space="preserve">          </w:t>
      </w:r>
      <w:bookmarkStart w:id="66" w:name="_Toc14872"/>
      <w:r>
        <w:rPr>
          <w:rFonts w:hint="eastAsia" w:ascii="宋体" w:hAnsi="宋体" w:cs="宋体"/>
          <w:b/>
          <w:color w:val="auto"/>
          <w:kern w:val="44"/>
          <w:sz w:val="36"/>
          <w:szCs w:val="40"/>
          <w:highlight w:val="none"/>
        </w:rPr>
        <w:t>第三章 评审办法</w:t>
      </w:r>
      <w:bookmarkEnd w:id="66"/>
    </w:p>
    <w:p w14:paraId="72CDAB57">
      <w:pPr>
        <w:spacing w:line="360" w:lineRule="auto"/>
        <w:outlineLvl w:val="1"/>
        <w:rPr>
          <w:rFonts w:ascii="宋体" w:hAnsi="宋体" w:cs="宋体"/>
          <w:b/>
          <w:color w:val="auto"/>
          <w:sz w:val="28"/>
          <w:szCs w:val="28"/>
          <w:highlight w:val="none"/>
        </w:rPr>
      </w:pPr>
      <w:bookmarkStart w:id="67" w:name="_Toc25487"/>
      <w:r>
        <w:rPr>
          <w:rFonts w:hint="eastAsia" w:ascii="宋体" w:hAnsi="宋体" w:cs="宋体"/>
          <w:b/>
          <w:color w:val="auto"/>
          <w:sz w:val="28"/>
          <w:szCs w:val="28"/>
          <w:highlight w:val="none"/>
        </w:rPr>
        <w:t>第一节 总  则</w:t>
      </w:r>
      <w:bookmarkEnd w:id="6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spacing w:line="360" w:lineRule="auto"/>
        <w:outlineLvl w:val="1"/>
        <w:rPr>
          <w:rFonts w:ascii="宋体" w:hAnsi="宋体" w:cs="宋体"/>
          <w:b/>
          <w:color w:val="auto"/>
          <w:sz w:val="28"/>
          <w:szCs w:val="28"/>
          <w:highlight w:val="none"/>
        </w:rPr>
      </w:pPr>
      <w:bookmarkStart w:id="68" w:name="_Toc10466"/>
      <w:r>
        <w:rPr>
          <w:rFonts w:hint="eastAsia" w:ascii="宋体" w:hAnsi="宋体" w:cs="宋体"/>
          <w:b/>
          <w:color w:val="auto"/>
          <w:sz w:val="28"/>
          <w:szCs w:val="28"/>
          <w:highlight w:val="none"/>
        </w:rPr>
        <w:t>第二节  评审内容、程序、方法及说明</w:t>
      </w:r>
      <w:bookmarkEnd w:id="68"/>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（1）响应竞谈文件没有响应</w:t>
      </w:r>
      <w:r>
        <w:rPr>
          <w:rFonts w:hint="eastAsia" w:ascii="宋体" w:hAnsi="宋体" w:cs="宋体"/>
          <w:color w:val="auto"/>
          <w:highlight w:val="none"/>
          <w:lang w:eastAsia="zh-CN"/>
        </w:rPr>
        <w:t>竞谈响应人</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yellow"/>
        </w:rPr>
      </w:pPr>
      <w:r>
        <w:rPr>
          <w:rFonts w:hint="eastAsia" w:ascii="宋体" w:hAnsi="宋体" w:cs="宋体"/>
          <w:color w:val="auto"/>
          <w:highlight w:val="yellow"/>
        </w:rPr>
        <w:t>评审“基准价”＝有效响应竞谈价格的算术平均值。</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最终得分I=A1*</w:t>
      </w:r>
      <w:r>
        <w:rPr>
          <w:rFonts w:hint="eastAsia" w:ascii="宋体" w:hAnsi="宋体" w:cs="宋体"/>
          <w:color w:val="auto"/>
          <w:highlight w:val="none"/>
          <w:lang w:val="en-US" w:eastAsia="zh-CN"/>
        </w:rPr>
        <w:t>10</w:t>
      </w:r>
      <w:r>
        <w:rPr>
          <w:rFonts w:hint="eastAsia" w:ascii="宋体" w:hAnsi="宋体" w:cs="宋体"/>
          <w:color w:val="auto"/>
          <w:highlight w:val="none"/>
        </w:rPr>
        <w:t>%+A2*</w:t>
      </w:r>
      <w:r>
        <w:rPr>
          <w:rFonts w:hint="eastAsia" w:ascii="宋体" w:hAnsi="宋体" w:cs="宋体"/>
          <w:color w:val="auto"/>
          <w:highlight w:val="none"/>
          <w:lang w:val="en-US" w:eastAsia="zh-CN"/>
        </w:rPr>
        <w:t>50</w:t>
      </w:r>
      <w:r>
        <w:rPr>
          <w:rFonts w:hint="eastAsia" w:ascii="宋体" w:hAnsi="宋体" w:cs="宋体"/>
          <w:color w:val="auto"/>
          <w:highlight w:val="none"/>
        </w:rPr>
        <w:t>%+A3*</w:t>
      </w:r>
      <w:r>
        <w:rPr>
          <w:rFonts w:hint="eastAsia" w:ascii="宋体" w:hAnsi="宋体" w:cs="宋体"/>
          <w:color w:val="auto"/>
          <w:highlight w:val="none"/>
          <w:lang w:val="en-US" w:eastAsia="zh-CN"/>
        </w:rPr>
        <w:t>4</w:t>
      </w:r>
      <w:r>
        <w:rPr>
          <w:rFonts w:hint="eastAsia" w:ascii="宋体" w:hAnsi="宋体" w:cs="宋体"/>
          <w:color w:val="auto"/>
          <w:highlight w:val="none"/>
        </w:rPr>
        <w:t>0%，其中：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53A93712">
      <w:pPr>
        <w:rPr>
          <w:color w:val="auto"/>
          <w:highlight w:val="none"/>
        </w:rPr>
      </w:pPr>
      <w:bookmarkStart w:id="69" w:name="RANGE!A1:D25"/>
      <w:r>
        <w:rPr>
          <w:rFonts w:hint="eastAsia" w:ascii="宋体" w:hAnsi="宋体" w:cs="宋体"/>
          <w:color w:val="auto"/>
          <w:highlight w:val="none"/>
        </w:rPr>
        <w:br w:type="page"/>
      </w:r>
    </w:p>
    <w:p w14:paraId="7C5FD951">
      <w:pPr>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（1）商务标评审</w:t>
      </w:r>
      <w:bookmarkEnd w:id="69"/>
      <w:r>
        <w:rPr>
          <w:rFonts w:hint="eastAsia" w:ascii="宋体" w:hAnsi="宋体" w:cs="宋体"/>
          <w:color w:val="auto"/>
          <w:highlight w:val="none"/>
        </w:rPr>
        <w:t>(权重</w:t>
      </w:r>
      <w:r>
        <w:rPr>
          <w:rFonts w:hint="eastAsia" w:ascii="宋体" w:hAnsi="宋体" w:cs="宋体"/>
          <w:color w:val="auto"/>
          <w:highlight w:val="none"/>
          <w:lang w:val="en-US" w:eastAsia="zh-CN"/>
        </w:rPr>
        <w:t>10</w:t>
      </w:r>
      <w:r>
        <w:rPr>
          <w:rFonts w:hint="eastAsia" w:ascii="宋体" w:hAnsi="宋体" w:cs="宋体"/>
          <w:color w:val="auto"/>
          <w:highlight w:val="none"/>
        </w:rPr>
        <w:t>%)（分值代码A1）</w:t>
      </w:r>
    </w:p>
    <w:tbl>
      <w:tblPr>
        <w:tblStyle w:val="27"/>
        <w:tblW w:w="8980" w:type="dxa"/>
        <w:tblInd w:w="0" w:type="dxa"/>
        <w:tblLayout w:type="fixed"/>
        <w:tblCellMar>
          <w:top w:w="0" w:type="dxa"/>
          <w:left w:w="0" w:type="dxa"/>
          <w:bottom w:w="0" w:type="dxa"/>
          <w:right w:w="0" w:type="dxa"/>
        </w:tblCellMar>
      </w:tblPr>
      <w:tblGrid>
        <w:gridCol w:w="646"/>
        <w:gridCol w:w="1608"/>
        <w:gridCol w:w="5774"/>
        <w:gridCol w:w="952"/>
      </w:tblGrid>
      <w:tr w14:paraId="4F22202F">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141CB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160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BE1936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577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F7AD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9E4DA4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07202613">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1C043">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bidi="ar"/>
              </w:rPr>
              <w:t>1</w:t>
            </w:r>
          </w:p>
        </w:tc>
        <w:tc>
          <w:tcPr>
            <w:tcW w:w="1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5B841">
            <w:pPr>
              <w:widowControl/>
              <w:jc w:val="center"/>
              <w:textAlignment w:val="center"/>
              <w:rPr>
                <w:rFonts w:ascii="宋体" w:hAnsi="宋体" w:cs="宋体"/>
                <w:color w:val="auto"/>
                <w:sz w:val="22"/>
                <w:szCs w:val="22"/>
                <w:highlight w:val="none"/>
              </w:rPr>
            </w:pP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业绩</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0分）</w:t>
            </w:r>
          </w:p>
        </w:tc>
        <w:tc>
          <w:tcPr>
            <w:tcW w:w="57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09EB4F">
            <w:pPr>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供应商或联合体牵头方</w:t>
            </w:r>
            <w:r>
              <w:rPr>
                <w:rFonts w:hint="eastAsia" w:ascii="宋体" w:hAnsi="宋体" w:eastAsia="宋体" w:cs="宋体"/>
                <w:color w:val="auto"/>
                <w:kern w:val="2"/>
                <w:sz w:val="21"/>
                <w:szCs w:val="21"/>
                <w:highlight w:val="none"/>
                <w:lang w:val="en-US" w:eastAsia="zh-CN"/>
              </w:rPr>
              <w:t>业绩应满足</w:t>
            </w:r>
            <w:r>
              <w:rPr>
                <w:rFonts w:hint="eastAsia" w:ascii="宋体" w:hAnsi="宋体" w:cs="宋体"/>
                <w:color w:val="auto"/>
                <w:kern w:val="2"/>
                <w:sz w:val="21"/>
                <w:szCs w:val="21"/>
                <w:highlight w:val="none"/>
                <w:lang w:val="en-US" w:eastAsia="zh-CN"/>
              </w:rPr>
              <w:t>竞谈</w:t>
            </w:r>
            <w:r>
              <w:rPr>
                <w:rFonts w:hint="eastAsia" w:ascii="宋体" w:hAnsi="宋体" w:eastAsia="宋体" w:cs="宋体"/>
                <w:color w:val="auto"/>
                <w:kern w:val="2"/>
                <w:sz w:val="21"/>
                <w:szCs w:val="21"/>
                <w:highlight w:val="none"/>
                <w:lang w:val="en-US" w:eastAsia="zh-CN"/>
              </w:rPr>
              <w:t>文件业绩要求（自2023年1月1日至今应至少具有1项高压级联储能系统供货业绩）。供应商提供</w:t>
            </w:r>
            <w:r>
              <w:rPr>
                <w:rFonts w:hint="eastAsia" w:ascii="宋体" w:hAnsi="宋体" w:eastAsia="宋体" w:cs="宋体"/>
                <w:color w:val="auto"/>
                <w:highlight w:val="none"/>
              </w:rPr>
              <w:t>近</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年内</w:t>
            </w:r>
            <w:r>
              <w:rPr>
                <w:rFonts w:hint="eastAsia" w:ascii="宋体" w:hAnsi="宋体" w:eastAsia="宋体" w:cs="宋体"/>
                <w:color w:val="auto"/>
                <w:kern w:val="2"/>
                <w:sz w:val="21"/>
                <w:szCs w:val="21"/>
                <w:highlight w:val="none"/>
                <w:lang w:val="en-US" w:eastAsia="zh-CN"/>
              </w:rPr>
              <w:t>同类项目业绩</w:t>
            </w:r>
            <w:r>
              <w:rPr>
                <w:rFonts w:hint="eastAsia" w:ascii="宋体" w:hAnsi="宋体" w:eastAsia="宋体" w:cs="宋体"/>
                <w:color w:val="auto"/>
                <w:highlight w:val="none"/>
                <w:lang w:val="en-US" w:eastAsia="zh-CN"/>
              </w:rPr>
              <w:t>，</w:t>
            </w:r>
            <w:r>
              <w:rPr>
                <w:rFonts w:hint="eastAsia" w:ascii="宋体" w:hAnsi="宋体" w:eastAsia="宋体" w:cs="宋体"/>
                <w:color w:val="auto"/>
                <w:kern w:val="2"/>
                <w:sz w:val="21"/>
                <w:szCs w:val="21"/>
                <w:highlight w:val="none"/>
                <w:lang w:val="en-US" w:eastAsia="zh-CN"/>
              </w:rPr>
              <w:t>每份有效业绩得</w:t>
            </w:r>
            <w:r>
              <w:rPr>
                <w:rFonts w:hint="eastAsia" w:ascii="宋体" w:hAnsi="宋体" w:cs="宋体"/>
                <w:color w:val="auto"/>
                <w:kern w:val="2"/>
                <w:sz w:val="21"/>
                <w:szCs w:val="21"/>
                <w:highlight w:val="yellow"/>
                <w:lang w:val="en-US" w:eastAsia="zh-CN"/>
              </w:rPr>
              <w:t>5</w:t>
            </w:r>
            <w:r>
              <w:rPr>
                <w:rFonts w:hint="eastAsia" w:ascii="宋体" w:hAnsi="宋体" w:eastAsia="宋体" w:cs="宋体"/>
                <w:color w:val="auto"/>
                <w:kern w:val="2"/>
                <w:sz w:val="21"/>
                <w:szCs w:val="21"/>
                <w:highlight w:val="yellow"/>
                <w:lang w:val="en-US" w:eastAsia="zh-CN"/>
              </w:rPr>
              <w:t>分</w:t>
            </w:r>
            <w:r>
              <w:rPr>
                <w:rFonts w:hint="eastAsia" w:ascii="宋体" w:hAnsi="宋体" w:eastAsia="宋体" w:cs="宋体"/>
                <w:color w:val="auto"/>
                <w:kern w:val="2"/>
                <w:sz w:val="21"/>
                <w:szCs w:val="21"/>
                <w:highlight w:val="none"/>
                <w:lang w:val="en-US" w:eastAsia="zh-CN"/>
              </w:rPr>
              <w:t>，本项满分为50分。</w:t>
            </w:r>
          </w:p>
          <w:p w14:paraId="213C30E0">
            <w:pP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w:t>
            </w:r>
          </w:p>
          <w:p w14:paraId="40817953">
            <w:pP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①同类项目业绩是指：储电容量不小于200MWh的高压级联储能电站项目业绩，业绩含竣工项目或在建项目。 </w:t>
            </w:r>
          </w:p>
          <w:p w14:paraId="5F4442FF">
            <w:pPr>
              <w:pStyle w:val="10"/>
              <w:rPr>
                <w:rFonts w:hint="default" w:eastAsia="宋体"/>
                <w:lang w:val="en-US" w:eastAsia="zh-CN"/>
              </w:rPr>
            </w:pPr>
            <w:r>
              <w:rPr>
                <w:rFonts w:hint="eastAsia" w:ascii="宋体" w:hAnsi="宋体" w:eastAsia="宋体" w:cs="宋体"/>
                <w:color w:val="auto"/>
                <w:kern w:val="2"/>
                <w:sz w:val="21"/>
                <w:szCs w:val="21"/>
                <w:highlight w:val="none"/>
                <w:lang w:val="en-US" w:eastAsia="zh-CN"/>
              </w:rPr>
              <w:t>②所有业绩均须提供合同关键页（</w:t>
            </w:r>
            <w:r>
              <w:rPr>
                <w:rFonts w:hint="eastAsia" w:ascii="宋体" w:hAnsi="宋体" w:cs="宋体"/>
                <w:color w:val="auto"/>
                <w:kern w:val="2"/>
                <w:sz w:val="21"/>
                <w:szCs w:val="21"/>
                <w:highlight w:val="yellow"/>
                <w:lang w:val="en-US" w:eastAsia="zh-CN"/>
              </w:rPr>
              <w:t>含</w:t>
            </w:r>
            <w:r>
              <w:rPr>
                <w:rFonts w:hint="eastAsia" w:ascii="宋体" w:hAnsi="宋体" w:eastAsia="宋体" w:cs="宋体"/>
                <w:color w:val="auto"/>
                <w:kern w:val="2"/>
                <w:sz w:val="21"/>
                <w:szCs w:val="21"/>
                <w:highlight w:val="yellow"/>
                <w:lang w:val="en-US" w:eastAsia="zh-CN"/>
              </w:rPr>
              <w:t>首页、能体现供货设备规格型号的内容、供货规模、签字盖章页、合同签订时间等</w:t>
            </w:r>
          </w:p>
          <w:p w14:paraId="0AC8D223">
            <w:pP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）及以下类似证明文件之一：a.竣工验收证明材料；b.投运证明；c.项目发票（不限于物资、进度、结算等发票）。业绩有效时间以合同签订时间为准。</w:t>
            </w:r>
          </w:p>
          <w:p w14:paraId="0A369E60">
            <w:pP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③未提供相关合同，不得分；提供的内容不符合要求的，不得分；子项目的证明材料无法体现与框架合同的关联性，不得分。 </w:t>
            </w:r>
          </w:p>
          <w:p w14:paraId="2E781756">
            <w:pPr>
              <w:rPr>
                <w:rFonts w:ascii="宋体" w:hAnsi="宋体" w:cs="宋体"/>
                <w:color w:val="auto"/>
                <w:sz w:val="22"/>
                <w:szCs w:val="22"/>
                <w:highlight w:val="none"/>
              </w:rPr>
            </w:pPr>
            <w:r>
              <w:rPr>
                <w:rFonts w:hint="eastAsia" w:ascii="宋体" w:hAnsi="宋体" w:eastAsia="宋体" w:cs="宋体"/>
                <w:color w:val="auto"/>
                <w:kern w:val="2"/>
                <w:sz w:val="21"/>
                <w:szCs w:val="21"/>
                <w:highlight w:val="none"/>
                <w:lang w:val="en-US" w:eastAsia="zh-CN"/>
              </w:rPr>
              <w:t>④需提供业绩汇总表，未提供不得分。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1642E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bidi="ar"/>
              </w:rPr>
              <w:t>0分</w:t>
            </w:r>
          </w:p>
        </w:tc>
      </w:tr>
      <w:tr w14:paraId="31772617">
        <w:tblPrEx>
          <w:tblCellMar>
            <w:top w:w="0" w:type="dxa"/>
            <w:left w:w="0" w:type="dxa"/>
            <w:bottom w:w="0" w:type="dxa"/>
            <w:right w:w="0" w:type="dxa"/>
          </w:tblCellMar>
        </w:tblPrEx>
        <w:trPr>
          <w:trHeight w:val="734"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C4E86">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F77F1">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财务状况（15分）</w:t>
            </w:r>
          </w:p>
        </w:tc>
        <w:tc>
          <w:tcPr>
            <w:tcW w:w="5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428C0">
            <w:pPr>
              <w:adjustRightInd w:val="0"/>
              <w:jc w:val="left"/>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近三年（2022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2024年）</w:t>
            </w:r>
            <w:r>
              <w:rPr>
                <w:rFonts w:hint="eastAsia" w:asciiTheme="minorEastAsia" w:hAnsiTheme="minorEastAsia" w:eastAsiaTheme="minorEastAsia" w:cstheme="minorEastAsia"/>
                <w:color w:val="auto"/>
                <w:sz w:val="21"/>
                <w:szCs w:val="21"/>
                <w:highlight w:val="none"/>
                <w:lang w:val="en-US" w:eastAsia="zh-CN"/>
              </w:rPr>
              <w:t>连续三年盈利（净利润为正值）</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若有一年出现亏损则不得分</w:t>
            </w:r>
            <w:r>
              <w:rPr>
                <w:rFonts w:hint="eastAsia" w:asciiTheme="minorEastAsia" w:hAnsiTheme="minorEastAsia" w:eastAsiaTheme="minorEastAsia" w:cstheme="minorEastAsia"/>
                <w:color w:val="auto"/>
                <w:sz w:val="21"/>
                <w:szCs w:val="21"/>
                <w:highlight w:val="none"/>
              </w:rPr>
              <w:t>。</w:t>
            </w:r>
          </w:p>
          <w:p w14:paraId="582C2B63">
            <w:pPr>
              <w:adjustRightInd w:val="0"/>
              <w:jc w:val="left"/>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（2）供应商提供2024年资产负债率（TDR），提供2024年度经会计师事务所或审计机构审计的财务状况表。</w:t>
            </w:r>
          </w:p>
          <w:p w14:paraId="1B291FAA">
            <w:pPr>
              <w:adjustRightInd w:val="0"/>
              <w:jc w:val="left"/>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TDR≤60%，得10分；</w:t>
            </w:r>
          </w:p>
          <w:p w14:paraId="15706A4A">
            <w:pPr>
              <w:adjustRightInd w:val="0"/>
              <w:jc w:val="left"/>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60%＜TDR≤70%，得8分；</w:t>
            </w:r>
          </w:p>
          <w:p w14:paraId="1D176AC1">
            <w:pPr>
              <w:adjustRightInd w:val="0"/>
              <w:jc w:val="left"/>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70%＜TDR≤80%，得6分；</w:t>
            </w:r>
          </w:p>
          <w:p w14:paraId="7F1CFB4F">
            <w:pPr>
              <w:widowControl/>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TDR＞80%，得0分。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44BBC">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0-15分</w:t>
            </w:r>
          </w:p>
        </w:tc>
      </w:tr>
      <w:tr w14:paraId="531BC17A">
        <w:tblPrEx>
          <w:tblCellMar>
            <w:top w:w="0" w:type="dxa"/>
            <w:left w:w="0" w:type="dxa"/>
            <w:bottom w:w="0" w:type="dxa"/>
            <w:right w:w="0" w:type="dxa"/>
          </w:tblCellMar>
        </w:tblPrEx>
        <w:trPr>
          <w:trHeight w:val="734"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71512">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9B9D6">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付款方式的响应等（</w:t>
            </w: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0分）</w:t>
            </w:r>
          </w:p>
        </w:tc>
        <w:tc>
          <w:tcPr>
            <w:tcW w:w="5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B17F9">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付款方式响应竞谈文件得</w:t>
            </w:r>
            <w:r>
              <w:rPr>
                <w:rFonts w:ascii="宋体" w:hAnsi="宋体" w:cs="宋体"/>
                <w:color w:val="auto"/>
                <w:kern w:val="0"/>
                <w:sz w:val="22"/>
                <w:szCs w:val="22"/>
                <w:highlight w:val="none"/>
                <w:lang w:bidi="ar"/>
              </w:rPr>
              <w:t>7</w:t>
            </w:r>
            <w:r>
              <w:rPr>
                <w:rFonts w:hint="eastAsia" w:ascii="宋体" w:hAnsi="宋体" w:cs="宋体"/>
                <w:color w:val="auto"/>
                <w:kern w:val="0"/>
                <w:sz w:val="22"/>
                <w:szCs w:val="22"/>
                <w:highlight w:val="none"/>
                <w:lang w:bidi="ar"/>
              </w:rPr>
              <w:t>分，优于竞谈文件可适当加分，最高加</w:t>
            </w:r>
            <w:r>
              <w:rPr>
                <w:rFonts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分，差于竞谈文件根据偏离情况扣分，最低0分。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BA0B2">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0-10分</w:t>
            </w:r>
          </w:p>
        </w:tc>
      </w:tr>
      <w:tr w14:paraId="3D3FD99E">
        <w:tblPrEx>
          <w:tblCellMar>
            <w:top w:w="0" w:type="dxa"/>
            <w:left w:w="0" w:type="dxa"/>
            <w:bottom w:w="0" w:type="dxa"/>
            <w:right w:w="0" w:type="dxa"/>
          </w:tblCellMar>
        </w:tblPrEx>
        <w:trPr>
          <w:trHeight w:val="734"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8AE27">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06E1B">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供货能力（</w:t>
            </w: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分）</w:t>
            </w:r>
          </w:p>
        </w:tc>
        <w:tc>
          <w:tcPr>
            <w:tcW w:w="5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298E7">
            <w:pPr>
              <w:widowControl/>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满足竞谈文件要求得</w:t>
            </w: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分，根据偏离情况扣分，最低不低于0分；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DA156">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分</w:t>
            </w:r>
          </w:p>
        </w:tc>
      </w:tr>
      <w:tr w14:paraId="67C7EFD7">
        <w:tblPrEx>
          <w:tblCellMar>
            <w:top w:w="0" w:type="dxa"/>
            <w:left w:w="0" w:type="dxa"/>
            <w:bottom w:w="0" w:type="dxa"/>
            <w:right w:w="0" w:type="dxa"/>
          </w:tblCellMar>
        </w:tblPrEx>
        <w:trPr>
          <w:trHeight w:val="734"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CAB10">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33C53">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2"/>
                <w:sz w:val="21"/>
                <w:szCs w:val="21"/>
                <w:highlight w:val="none"/>
                <w:lang w:val="en-US" w:eastAsia="zh-CN" w:bidi="ar-SA"/>
              </w:rPr>
              <w:t>文件完整性（10分）</w:t>
            </w:r>
          </w:p>
        </w:tc>
        <w:tc>
          <w:tcPr>
            <w:tcW w:w="5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86399">
            <w:pPr>
              <w:widowControl/>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1"/>
                <w:szCs w:val="21"/>
                <w:highlight w:val="none"/>
                <w:lang w:val="en-US" w:eastAsia="zh-CN"/>
              </w:rPr>
              <w:t>文件编制条理清楚、完整性强者得 5（含）-10（含）分；文件编制顺序混乱、完整性差者得 0（含）-5 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97ED5">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0-10分</w:t>
            </w:r>
          </w:p>
        </w:tc>
      </w:tr>
    </w:tbl>
    <w:p w14:paraId="0D1BF1EA">
      <w:pPr>
        <w:pStyle w:val="15"/>
        <w:rPr>
          <w:color w:val="auto"/>
          <w:highlight w:val="none"/>
        </w:rPr>
      </w:pPr>
    </w:p>
    <w:p w14:paraId="10441430">
      <w:pPr>
        <w:spacing w:before="120" w:beforeLines="50" w:after="120" w:afterLines="50" w:line="360" w:lineRule="auto"/>
        <w:rPr>
          <w:rFonts w:ascii="宋体" w:hAnsi="宋体" w:cs="宋体"/>
          <w:color w:val="auto"/>
          <w:sz w:val="28"/>
          <w:highlight w:val="none"/>
        </w:rPr>
      </w:pPr>
      <w:r>
        <w:rPr>
          <w:rFonts w:hint="eastAsia" w:ascii="宋体" w:hAnsi="宋体" w:cs="宋体"/>
          <w:color w:val="auto"/>
          <w:highlight w:val="none"/>
        </w:rPr>
        <w:t>（2）技术标评审(权重</w:t>
      </w:r>
      <w:r>
        <w:rPr>
          <w:rFonts w:ascii="宋体" w:hAnsi="宋体" w:cs="宋体"/>
          <w:color w:val="auto"/>
          <w:highlight w:val="none"/>
        </w:rPr>
        <w:t>5</w:t>
      </w:r>
      <w:r>
        <w:rPr>
          <w:rFonts w:hint="eastAsia" w:ascii="宋体" w:hAnsi="宋体" w:cs="宋体"/>
          <w:color w:val="auto"/>
          <w:highlight w:val="none"/>
          <w:lang w:val="en-US" w:eastAsia="zh-CN"/>
        </w:rPr>
        <w:t>0</w:t>
      </w:r>
      <w:r>
        <w:rPr>
          <w:rFonts w:hint="eastAsia" w:ascii="宋体" w:hAnsi="宋体" w:cs="宋体"/>
          <w:color w:val="auto"/>
          <w:highlight w:val="none"/>
        </w:rPr>
        <w:t>%)（分值代码A2）</w:t>
      </w:r>
    </w:p>
    <w:tbl>
      <w:tblPr>
        <w:tblStyle w:val="27"/>
        <w:tblW w:w="5190" w:type="pct"/>
        <w:tblInd w:w="0" w:type="dxa"/>
        <w:tblLayout w:type="autofit"/>
        <w:tblCellMar>
          <w:top w:w="0" w:type="dxa"/>
          <w:left w:w="0" w:type="dxa"/>
          <w:bottom w:w="0" w:type="dxa"/>
          <w:right w:w="0" w:type="dxa"/>
        </w:tblCellMar>
      </w:tblPr>
      <w:tblGrid>
        <w:gridCol w:w="603"/>
        <w:gridCol w:w="1619"/>
        <w:gridCol w:w="5819"/>
        <w:gridCol w:w="936"/>
      </w:tblGrid>
      <w:tr w14:paraId="56461549">
        <w:tblPrEx>
          <w:tblCellMar>
            <w:top w:w="0" w:type="dxa"/>
            <w:left w:w="0" w:type="dxa"/>
            <w:bottom w:w="0" w:type="dxa"/>
            <w:right w:w="0" w:type="dxa"/>
          </w:tblCellMar>
        </w:tblPrEx>
        <w:trPr>
          <w:trHeight w:val="499" w:hRule="atLeast"/>
          <w:tblHeader/>
        </w:trPr>
        <w:tc>
          <w:tcPr>
            <w:tcW w:w="33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CD4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054C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32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F3461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52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81AB49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621B7F0C">
        <w:tblPrEx>
          <w:tblCellMar>
            <w:top w:w="0" w:type="dxa"/>
            <w:left w:w="0" w:type="dxa"/>
            <w:bottom w:w="0" w:type="dxa"/>
            <w:right w:w="0" w:type="dxa"/>
          </w:tblCellMar>
        </w:tblPrEx>
        <w:trPr>
          <w:trHeight w:val="979" w:hRule="atLeast"/>
        </w:trPr>
        <w:tc>
          <w:tcPr>
            <w:tcW w:w="33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001253">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66D095">
            <w:pPr>
              <w:adjustRightInd w:val="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系统方案及产品性能(55分）</w:t>
            </w:r>
          </w:p>
        </w:tc>
        <w:tc>
          <w:tcPr>
            <w:tcW w:w="32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BD88D">
            <w:pPr>
              <w:numPr>
                <w:ilvl w:val="0"/>
                <w:numId w:val="0"/>
              </w:numPr>
              <w:adjustRightInd w:val="0"/>
              <w:jc w:val="left"/>
              <w:textAlignment w:val="baseline"/>
              <w:rPr>
                <w:rFonts w:hint="eastAsia" w:ascii="宋体" w:hAnsi="宋体" w:eastAsia="宋体" w:cs="宋体"/>
                <w:color w:val="auto"/>
                <w:sz w:val="21"/>
                <w:szCs w:val="21"/>
                <w:highlight w:val="none"/>
                <w:lang w:val="en-US" w:eastAsia="zh-CN"/>
              </w:rPr>
            </w:pPr>
          </w:p>
        </w:tc>
        <w:tc>
          <w:tcPr>
            <w:tcW w:w="52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9026A2">
            <w:pPr>
              <w:widowControl/>
              <w:jc w:val="center"/>
              <w:textAlignment w:val="center"/>
              <w:rPr>
                <w:rFonts w:hint="eastAsia" w:ascii="宋体" w:hAnsi="宋体" w:eastAsia="宋体" w:cs="宋体"/>
                <w:color w:val="auto"/>
                <w:kern w:val="0"/>
                <w:sz w:val="22"/>
                <w:szCs w:val="22"/>
                <w:highlight w:val="none"/>
                <w:lang w:val="en-US" w:eastAsia="zh-CN" w:bidi="ar"/>
              </w:rPr>
            </w:pPr>
          </w:p>
        </w:tc>
      </w:tr>
      <w:tr w14:paraId="41E5B4F8">
        <w:tblPrEx>
          <w:tblCellMar>
            <w:top w:w="0" w:type="dxa"/>
            <w:left w:w="0" w:type="dxa"/>
            <w:bottom w:w="0" w:type="dxa"/>
            <w:right w:w="0" w:type="dxa"/>
          </w:tblCellMar>
        </w:tblPrEx>
        <w:trPr>
          <w:trHeight w:val="1429" w:hRule="atLeast"/>
        </w:trPr>
        <w:tc>
          <w:tcPr>
            <w:tcW w:w="33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199274">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0EF00B">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 xml:space="preserve">方案及产品技术 </w:t>
            </w:r>
          </w:p>
          <w:p w14:paraId="0D0F5A9B">
            <w:pPr>
              <w:adjustRightInd w:val="0"/>
              <w:jc w:val="left"/>
              <w:textAlignment w:val="baseline"/>
              <w:rPr>
                <w:rFonts w:hint="eastAsia" w:ascii="宋体" w:hAnsi="宋体" w:cs="宋体" w:eastAsiaTheme="minorEastAsia"/>
                <w:color w:val="auto"/>
                <w:sz w:val="21"/>
                <w:szCs w:val="21"/>
                <w:highlight w:val="none"/>
                <w:lang w:val="en-US" w:eastAsia="zh-CN"/>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 xml:space="preserve">优异性 </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10分</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p>
        </w:tc>
        <w:tc>
          <w:tcPr>
            <w:tcW w:w="32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391B5C">
            <w:pPr>
              <w:numPr>
                <w:ilvl w:val="0"/>
                <w:numId w:val="0"/>
              </w:numPr>
              <w:adjustRightInd w:val="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储能方案是否合理完整，产品技术是否优异，总容量、系统效率是否符合要求，舱体安全距离布置是否符合要求，储能控制保护系统是否齐全（如配电系统、温控系统、消防系统），电池舱供电方式以及技术先进性、可靠性等综合情况等综合情况酌情评分。优良：(6～10]分；一般：(3～6]分；较差：[0～3]分；</w:t>
            </w:r>
          </w:p>
          <w:p w14:paraId="1F214BC7">
            <w:pPr>
              <w:numPr>
                <w:ilvl w:val="0"/>
                <w:numId w:val="0"/>
              </w:numPr>
              <w:adjustRightInd w:val="0"/>
              <w:jc w:val="left"/>
              <w:textAlignment w:val="baseline"/>
              <w:rPr>
                <w:rFonts w:hint="eastAsia" w:ascii="宋体" w:hAnsi="宋体" w:eastAsia="宋体" w:cs="宋体"/>
                <w:color w:val="auto"/>
                <w:sz w:val="21"/>
                <w:szCs w:val="21"/>
                <w:highlight w:val="none"/>
                <w:lang w:val="en-US" w:eastAsia="zh-CN"/>
              </w:rPr>
            </w:pPr>
          </w:p>
        </w:tc>
        <w:tc>
          <w:tcPr>
            <w:tcW w:w="52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4DA6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10</w:t>
            </w:r>
            <w:r>
              <w:rPr>
                <w:rFonts w:hint="eastAsia" w:ascii="宋体" w:hAnsi="宋体" w:cs="宋体"/>
                <w:color w:val="auto"/>
                <w:kern w:val="0"/>
                <w:sz w:val="22"/>
                <w:szCs w:val="22"/>
                <w:highlight w:val="none"/>
                <w:lang w:bidi="ar"/>
              </w:rPr>
              <w:t>分</w:t>
            </w:r>
          </w:p>
        </w:tc>
      </w:tr>
      <w:tr w14:paraId="4D5DAE03">
        <w:tblPrEx>
          <w:tblCellMar>
            <w:top w:w="0" w:type="dxa"/>
            <w:left w:w="0" w:type="dxa"/>
            <w:bottom w:w="0" w:type="dxa"/>
            <w:right w:w="0" w:type="dxa"/>
          </w:tblCellMar>
        </w:tblPrEx>
        <w:trPr>
          <w:trHeight w:val="1145" w:hRule="atLeast"/>
        </w:trPr>
        <w:tc>
          <w:tcPr>
            <w:tcW w:w="33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9D8B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16BB97">
            <w:pPr>
              <w:widowControl/>
              <w:jc w:val="center"/>
              <w:textAlignment w:val="center"/>
              <w:rPr>
                <w:rFonts w:ascii="宋体" w:hAnsi="宋体" w:cs="宋体"/>
                <w:color w:val="auto"/>
                <w:sz w:val="22"/>
                <w:szCs w:val="22"/>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储能变流器（PCS）</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0分）</w:t>
            </w:r>
          </w:p>
        </w:tc>
        <w:tc>
          <w:tcPr>
            <w:tcW w:w="32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B589AB">
            <w:pPr>
              <w:pStyle w:val="26"/>
              <w:spacing w:line="360" w:lineRule="auto"/>
              <w:ind w:left="0" w:leftChars="0" w:firstLine="0" w:firstLineChars="0"/>
              <w:rPr>
                <w:rFonts w:ascii="宋体" w:hAnsi="宋体" w:cs="宋体"/>
                <w:color w:val="auto"/>
                <w:sz w:val="22"/>
                <w:szCs w:val="22"/>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根据PCS型式试验报告及认证证书是否齐全，储能变流器单机功率≥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25MW</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、变流器响应时间、最大转换效率≥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等情况酌情评分。主要参数和性能指标及配优于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文件中要求，优良：(6～10]分；主要参数和性能指标及配置符合招文件中要求，一般：(3～6]分；主要参数和性能指标及配置，较差：[0～3]分。</w:t>
            </w:r>
          </w:p>
        </w:tc>
        <w:tc>
          <w:tcPr>
            <w:tcW w:w="52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8E8EC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0分</w:t>
            </w:r>
          </w:p>
        </w:tc>
      </w:tr>
      <w:tr w14:paraId="7EA6527F">
        <w:tblPrEx>
          <w:tblCellMar>
            <w:top w:w="0" w:type="dxa"/>
            <w:left w:w="0" w:type="dxa"/>
            <w:bottom w:w="0" w:type="dxa"/>
            <w:right w:w="0" w:type="dxa"/>
          </w:tblCellMar>
        </w:tblPrEx>
        <w:trPr>
          <w:trHeight w:val="679" w:hRule="atLeast"/>
        </w:trPr>
        <w:tc>
          <w:tcPr>
            <w:tcW w:w="33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67D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250BF6">
            <w:pPr>
              <w:widowControl/>
              <w:jc w:val="center"/>
              <w:textAlignment w:val="center"/>
              <w:rPr>
                <w:rFonts w:ascii="宋体" w:hAnsi="宋体" w:cs="宋体"/>
                <w:color w:val="auto"/>
                <w:sz w:val="22"/>
                <w:szCs w:val="22"/>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电池管理系统（BMS）</w:t>
            </w:r>
            <w:r>
              <w:rPr>
                <w:rFonts w:hint="eastAsia" w:ascii="宋体" w:hAnsi="宋体" w:cs="宋体"/>
                <w:color w:val="auto"/>
                <w:sz w:val="22"/>
                <w:szCs w:val="22"/>
                <w:highlight w:val="none"/>
              </w:rPr>
              <w:t>（5分）</w:t>
            </w:r>
          </w:p>
        </w:tc>
        <w:tc>
          <w:tcPr>
            <w:tcW w:w="32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23FB08">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根据BMS型式试验报告及认证证书是否齐全，管理架构是否合理，告警及故障功能，热管理系统，安全防护功能，测量精度，通讯功能，系统自动化技术先进性、可靠性等综合情况酌情评分。</w:t>
            </w:r>
          </w:p>
          <w:p w14:paraId="0AC5C98D">
            <w:pPr>
              <w:widowControl/>
              <w:jc w:val="center"/>
              <w:textAlignment w:val="center"/>
              <w:rPr>
                <w:rFonts w:ascii="宋体" w:hAnsi="宋体" w:cs="宋体"/>
                <w:color w:val="auto"/>
                <w:sz w:val="22"/>
                <w:szCs w:val="22"/>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主要参数和性能指标优于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文件中要求，优良：(3～5]分；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主要参数和性能指标符合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竞谈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文件中要求，一般：(1～3]分；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主要参数和性能指标一般者，较差：[0～1]分。</w:t>
            </w:r>
          </w:p>
        </w:tc>
        <w:tc>
          <w:tcPr>
            <w:tcW w:w="52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24306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0-5分</w:t>
            </w:r>
          </w:p>
        </w:tc>
      </w:tr>
      <w:tr w14:paraId="60A0E3F1">
        <w:tblPrEx>
          <w:tblCellMar>
            <w:top w:w="0" w:type="dxa"/>
            <w:left w:w="0" w:type="dxa"/>
            <w:bottom w:w="0" w:type="dxa"/>
            <w:right w:w="0" w:type="dxa"/>
          </w:tblCellMar>
        </w:tblPrEx>
        <w:trPr>
          <w:trHeight w:val="1079" w:hRule="atLeast"/>
        </w:trPr>
        <w:tc>
          <w:tcPr>
            <w:tcW w:w="336"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6BD81B4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4</w:t>
            </w:r>
          </w:p>
        </w:tc>
        <w:tc>
          <w:tcPr>
            <w:tcW w:w="901"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7F9F98DE">
            <w:pPr>
              <w:widowControl/>
              <w:jc w:val="center"/>
              <w:textAlignment w:val="center"/>
              <w:rPr>
                <w:rFonts w:ascii="宋体" w:hAnsi="宋体" w:cs="宋体"/>
                <w:color w:val="auto"/>
                <w:sz w:val="22"/>
                <w:szCs w:val="22"/>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电芯、电池模块、电池簇</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0分）</w:t>
            </w:r>
          </w:p>
        </w:tc>
        <w:tc>
          <w:tcPr>
            <w:tcW w:w="3239"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7AB32DBF">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根据电芯循环次数，电池并联数量等综合情况酌情评分。</w:t>
            </w:r>
          </w:p>
          <w:p w14:paraId="2C63423D">
            <w:pPr>
              <w:widowControl/>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①单体电芯循环次数不低</w:t>
            </w:r>
            <w: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t>于</w:t>
            </w:r>
            <w:r>
              <w:rPr>
                <w:rFonts w:hint="eastAsia" w:asciiTheme="minorEastAsia" w:hAnsiTheme="minorEastAsia" w:eastAsiaTheme="minorEastAsia" w:cstheme="minorEastAsia"/>
                <w:color w:val="000000" w:themeColor="text1"/>
                <w:sz w:val="21"/>
                <w:szCs w:val="21"/>
                <w:highlight w:val="yellow"/>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t>000次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（EOL80%），每增加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00次得1分，最高得2分。（需提供循环寿命承诺书）</w:t>
            </w:r>
          </w:p>
          <w:p w14:paraId="45D889CC">
            <w:pPr>
              <w:widowControl/>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②为减少电池并联支路间性能的差异，保障系统的安全、可靠运行，单体电芯并联支路数＜2得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根据电池模组尺寸、重量等，便于维护得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6DA040DA">
            <w:pPr>
              <w:widowControl/>
              <w:jc w:val="center"/>
              <w:textAlignment w:val="center"/>
              <w:rPr>
                <w:rFonts w:ascii="宋体" w:hAnsi="宋体" w:cs="宋体"/>
                <w:color w:val="auto"/>
                <w:sz w:val="22"/>
                <w:szCs w:val="22"/>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③电芯、模组、簇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具有满足《GB/T36276-2023电力储能用锂离子电池》认证的型式试验报告，每项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本项总计3分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521"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FFA8083">
            <w:pPr>
              <w:widowControl/>
              <w:jc w:val="center"/>
              <w:textAlignment w:val="center"/>
              <w:rPr>
                <w:rFonts w:ascii="宋体" w:hAnsi="宋体" w:cs="宋体"/>
                <w:color w:val="auto"/>
                <w:sz w:val="22"/>
                <w:szCs w:val="22"/>
                <w:highlight w:val="none"/>
              </w:rPr>
            </w:pPr>
            <w:r>
              <w:rPr>
                <w:rStyle w:val="40"/>
                <w:rFonts w:hint="default"/>
                <w:color w:val="auto"/>
                <w:highlight w:val="none"/>
                <w:lang w:bidi="ar"/>
              </w:rPr>
              <w:t>0-</w:t>
            </w:r>
            <w:r>
              <w:rPr>
                <w:rStyle w:val="40"/>
                <w:rFonts w:hint="eastAsia"/>
                <w:color w:val="auto"/>
                <w:highlight w:val="none"/>
                <w:lang w:val="en-US" w:eastAsia="zh-CN" w:bidi="ar"/>
              </w:rPr>
              <w:t>1</w:t>
            </w:r>
            <w:r>
              <w:rPr>
                <w:rStyle w:val="40"/>
                <w:rFonts w:hint="default"/>
                <w:color w:val="auto"/>
                <w:highlight w:val="none"/>
                <w:lang w:bidi="ar"/>
              </w:rPr>
              <w:t>0分</w:t>
            </w:r>
          </w:p>
        </w:tc>
      </w:tr>
      <w:tr w14:paraId="253A9FA7">
        <w:tblPrEx>
          <w:tblCellMar>
            <w:top w:w="0" w:type="dxa"/>
            <w:left w:w="0" w:type="dxa"/>
            <w:bottom w:w="0" w:type="dxa"/>
            <w:right w:w="0" w:type="dxa"/>
          </w:tblCellMar>
        </w:tblPrEx>
        <w:trPr>
          <w:trHeight w:val="1079" w:hRule="atLeast"/>
        </w:trPr>
        <w:tc>
          <w:tcPr>
            <w:tcW w:w="3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3EA6A">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1.5</w:t>
            </w:r>
          </w:p>
        </w:tc>
        <w:tc>
          <w:tcPr>
            <w:tcW w:w="9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98949">
            <w:pPr>
              <w:widowControl/>
              <w:jc w:val="center"/>
              <w:textAlignment w:val="center"/>
              <w:rPr>
                <w:rFonts w:hint="eastAsia" w:ascii="宋体" w:hAnsi="宋体" w:cs="宋体" w:eastAsiaTheme="minorEastAsia"/>
                <w:color w:val="auto"/>
                <w:kern w:val="0"/>
                <w:sz w:val="22"/>
                <w:szCs w:val="22"/>
                <w:highlight w:val="none"/>
                <w:lang w:eastAsia="zh-CN" w:bidi="ar"/>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能量管理系统（EMS）</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8分</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p>
        </w:tc>
        <w:tc>
          <w:tcPr>
            <w:tcW w:w="32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AD7B4">
            <w:pPr>
              <w:widowControl/>
              <w:spacing w:line="360" w:lineRule="auto"/>
              <w:jc w:val="left"/>
              <w:rPr>
                <w:rStyle w:val="40"/>
                <w:rFonts w:hint="default"/>
                <w:color w:val="auto"/>
                <w:highlight w:val="none"/>
                <w:lang w:bidi="ar"/>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根据EMS</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型式试验报告及认证证书是否齐全，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协调控制器是否有依据GB/T 13729-2019 《远动终端设备》型式检验报告，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业绩情况，集中监控，告警功能，保护功能，</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测量精度，控制功能，通讯功能，监控界面可视化程度，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系统自动化技术先进性、可靠性等综合情况酌情评分。优良：(5～8]分；一般：(2～5]分；较差：[0～2]分。</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AF819">
            <w:pPr>
              <w:widowControl/>
              <w:jc w:val="center"/>
              <w:textAlignment w:val="center"/>
              <w:rPr>
                <w:rStyle w:val="40"/>
                <w:rFonts w:hint="default" w:eastAsia="宋体"/>
                <w:color w:val="auto"/>
                <w:highlight w:val="none"/>
                <w:lang w:val="en-US" w:eastAsia="zh-CN" w:bidi="ar"/>
              </w:rPr>
            </w:pPr>
            <w:r>
              <w:rPr>
                <w:rStyle w:val="40"/>
                <w:rFonts w:hint="eastAsia"/>
                <w:color w:val="auto"/>
                <w:highlight w:val="none"/>
                <w:lang w:val="en-US" w:eastAsia="zh-CN" w:bidi="ar"/>
              </w:rPr>
              <w:t>0-8分</w:t>
            </w:r>
          </w:p>
        </w:tc>
      </w:tr>
      <w:tr w14:paraId="1569D0E0">
        <w:tblPrEx>
          <w:tblCellMar>
            <w:top w:w="0" w:type="dxa"/>
            <w:left w:w="0" w:type="dxa"/>
            <w:bottom w:w="0" w:type="dxa"/>
            <w:right w:w="0" w:type="dxa"/>
          </w:tblCellMar>
        </w:tblPrEx>
        <w:trPr>
          <w:trHeight w:val="1079" w:hRule="atLeast"/>
        </w:trPr>
        <w:tc>
          <w:tcPr>
            <w:tcW w:w="3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19776">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1.6</w:t>
            </w:r>
          </w:p>
        </w:tc>
        <w:tc>
          <w:tcPr>
            <w:tcW w:w="9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1F3FB">
            <w:pPr>
              <w:widowControl/>
              <w:jc w:val="center"/>
              <w:textAlignment w:val="center"/>
              <w:rPr>
                <w:rFonts w:hint="eastAsia" w:ascii="宋体" w:hAnsi="宋体" w:cs="宋体" w:eastAsiaTheme="minorEastAsia"/>
                <w:color w:val="auto"/>
                <w:kern w:val="0"/>
                <w:sz w:val="22"/>
                <w:szCs w:val="22"/>
                <w:highlight w:val="none"/>
                <w:lang w:eastAsia="zh-CN" w:bidi="ar"/>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消防系统</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tc>
        <w:tc>
          <w:tcPr>
            <w:tcW w:w="32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C1B96">
            <w:pPr>
              <w:widowControl/>
              <w:spacing w:line="360" w:lineRule="auto"/>
              <w:jc w:val="left"/>
              <w:rPr>
                <w:rStyle w:val="40"/>
                <w:rFonts w:hint="default"/>
                <w:color w:val="auto"/>
                <w:highlight w:val="none"/>
                <w:lang w:bidi="ar"/>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根据主要消防设备型式试验报告及认证证书是否齐全，系统配置方案（如全氟己酮、水消防等）是否合理等酌情评分。（如是否采用两级消防方案（簇）级灭火+箱体消防）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优良：(4～6]分；一般：(2～4]分；较差：[0～2]分。</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56145">
            <w:pPr>
              <w:widowControl/>
              <w:jc w:val="center"/>
              <w:textAlignment w:val="center"/>
              <w:rPr>
                <w:rStyle w:val="40"/>
                <w:rFonts w:hint="default" w:eastAsia="宋体"/>
                <w:color w:val="auto"/>
                <w:highlight w:val="none"/>
                <w:lang w:val="en-US" w:eastAsia="zh-CN" w:bidi="ar"/>
              </w:rPr>
            </w:pPr>
            <w:r>
              <w:rPr>
                <w:rStyle w:val="40"/>
                <w:rFonts w:hint="eastAsia"/>
                <w:color w:val="auto"/>
                <w:highlight w:val="none"/>
                <w:lang w:val="en-US" w:eastAsia="zh-CN" w:bidi="ar"/>
              </w:rPr>
              <w:t>0-6分</w:t>
            </w:r>
          </w:p>
        </w:tc>
      </w:tr>
      <w:tr w14:paraId="29F591A3">
        <w:tblPrEx>
          <w:tblCellMar>
            <w:top w:w="0" w:type="dxa"/>
            <w:left w:w="0" w:type="dxa"/>
            <w:bottom w:w="0" w:type="dxa"/>
            <w:right w:w="0" w:type="dxa"/>
          </w:tblCellMar>
        </w:tblPrEx>
        <w:trPr>
          <w:trHeight w:val="1079" w:hRule="atLeast"/>
        </w:trPr>
        <w:tc>
          <w:tcPr>
            <w:tcW w:w="3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885A8">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1.7</w:t>
            </w:r>
          </w:p>
        </w:tc>
        <w:tc>
          <w:tcPr>
            <w:tcW w:w="9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EF69">
            <w:pPr>
              <w:widowControl/>
              <w:jc w:val="center"/>
              <w:textAlignment w:val="center"/>
              <w:rPr>
                <w:rFonts w:hint="eastAsia" w:ascii="宋体" w:hAnsi="宋体" w:cs="宋体"/>
                <w:color w:val="auto"/>
                <w:kern w:val="0"/>
                <w:sz w:val="22"/>
                <w:szCs w:val="22"/>
                <w:highlight w:val="none"/>
                <w:lang w:bidi="ar"/>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冷却</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系统</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tc>
        <w:tc>
          <w:tcPr>
            <w:tcW w:w="32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A2D85">
            <w:pPr>
              <w:widowControl/>
              <w:spacing w:line="360" w:lineRule="auto"/>
              <w:rPr>
                <w:rStyle w:val="40"/>
                <w:rFonts w:hint="default"/>
                <w:color w:val="auto"/>
                <w:highlight w:val="none"/>
                <w:lang w:bidi="ar"/>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冷却系统方案设计是否完整，冷却方案优势和散热需求计算是否合理，冷却系统的安全性（如温湿度等），冷却系统能耗水平，运行控制温度（如电芯最大温差），技术先进性、可靠性等综合情况酌情评分。优良：(4～6]分；一般：(2～4]分；较差：[0～2]分。</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29C31">
            <w:pPr>
              <w:widowControl/>
              <w:jc w:val="center"/>
              <w:textAlignment w:val="center"/>
              <w:rPr>
                <w:rStyle w:val="40"/>
                <w:rFonts w:hint="default" w:eastAsia="宋体"/>
                <w:color w:val="auto"/>
                <w:highlight w:val="none"/>
                <w:lang w:val="en-US" w:eastAsia="zh-CN" w:bidi="ar"/>
              </w:rPr>
            </w:pPr>
            <w:r>
              <w:rPr>
                <w:rStyle w:val="40"/>
                <w:rFonts w:hint="eastAsia"/>
                <w:color w:val="auto"/>
                <w:highlight w:val="none"/>
                <w:lang w:val="en-US" w:eastAsia="zh-CN" w:bidi="ar"/>
              </w:rPr>
              <w:t>0-6分</w:t>
            </w:r>
          </w:p>
        </w:tc>
      </w:tr>
      <w:tr w14:paraId="5F1150B5">
        <w:tblPrEx>
          <w:tblCellMar>
            <w:top w:w="0" w:type="dxa"/>
            <w:left w:w="0" w:type="dxa"/>
            <w:bottom w:w="0" w:type="dxa"/>
            <w:right w:w="0" w:type="dxa"/>
          </w:tblCellMar>
        </w:tblPrEx>
        <w:trPr>
          <w:trHeight w:val="1079" w:hRule="atLeast"/>
        </w:trPr>
        <w:tc>
          <w:tcPr>
            <w:tcW w:w="3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26E38">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9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732CC">
            <w:pPr>
              <w:widowControl/>
              <w:jc w:val="center"/>
              <w:textAlignment w:val="center"/>
              <w:rPr>
                <w:rFonts w:hint="eastAsia" w:ascii="宋体" w:hAnsi="宋体" w:cs="宋体" w:eastAsiaTheme="minorEastAsia"/>
                <w:b w:val="0"/>
                <w:bCs/>
                <w:color w:val="auto"/>
                <w:kern w:val="0"/>
                <w:sz w:val="22"/>
                <w:szCs w:val="22"/>
                <w:highlight w:val="none"/>
                <w:lang w:eastAsia="zh-CN" w:bidi="ar"/>
              </w:rPr>
            </w:pPr>
            <w:r>
              <w:rPr>
                <w:rFonts w:hint="eastAsia" w:asciiTheme="minorEastAsia" w:hAnsiTheme="minorEastAsia" w:eastAsiaTheme="minorEastAsia" w:cstheme="minorEastAsia"/>
                <w:b w:val="0"/>
                <w:bCs/>
                <w:color w:val="auto"/>
                <w:kern w:val="0"/>
                <w:sz w:val="21"/>
                <w:szCs w:val="21"/>
                <w:highlight w:val="none"/>
                <w:lang w:val="en-US" w:eastAsia="zh-CN"/>
              </w:rPr>
              <w:t>技术实力及</w:t>
            </w:r>
            <w:r>
              <w:rPr>
                <w:rFonts w:hint="eastAsia" w:asciiTheme="minorEastAsia" w:hAnsiTheme="minorEastAsia" w:eastAsiaTheme="minorEastAsia" w:cstheme="minorEastAsia"/>
                <w:b w:val="0"/>
                <w:bCs/>
                <w:color w:val="auto"/>
                <w:kern w:val="0"/>
                <w:sz w:val="21"/>
                <w:szCs w:val="21"/>
                <w:highlight w:val="none"/>
              </w:rPr>
              <w:t>自主研发能力</w:t>
            </w:r>
            <w:r>
              <w:rPr>
                <w:rFonts w:hint="eastAsia" w:asciiTheme="minorEastAsia" w:hAnsiTheme="minorEastAsia" w:eastAsiaTheme="minorEastAsia" w:cstheme="minorEastAsia"/>
                <w:b w:val="0"/>
                <w:bCs/>
                <w:color w:val="auto"/>
                <w:kern w:val="0"/>
                <w:sz w:val="21"/>
                <w:szCs w:val="21"/>
                <w:highlight w:val="none"/>
                <w:lang w:eastAsia="zh-CN"/>
              </w:rPr>
              <w:t>（</w:t>
            </w:r>
            <w:r>
              <w:rPr>
                <w:rFonts w:hint="eastAsia" w:asciiTheme="minorEastAsia" w:hAnsiTheme="minorEastAsia" w:eastAsiaTheme="minorEastAsia" w:cstheme="minorEastAsia"/>
                <w:b w:val="0"/>
                <w:bCs/>
                <w:color w:val="auto"/>
                <w:kern w:val="0"/>
                <w:sz w:val="21"/>
                <w:szCs w:val="21"/>
                <w:highlight w:val="none"/>
                <w:lang w:val="en-US" w:eastAsia="zh-CN"/>
              </w:rPr>
              <w:t>20分</w:t>
            </w:r>
            <w:r>
              <w:rPr>
                <w:rFonts w:hint="eastAsia" w:asciiTheme="minorEastAsia" w:hAnsiTheme="minorEastAsia" w:eastAsiaTheme="minorEastAsia" w:cstheme="minorEastAsia"/>
                <w:b w:val="0"/>
                <w:bCs/>
                <w:color w:val="auto"/>
                <w:kern w:val="0"/>
                <w:sz w:val="21"/>
                <w:szCs w:val="21"/>
                <w:highlight w:val="none"/>
                <w:lang w:eastAsia="zh-CN"/>
              </w:rPr>
              <w:t>）</w:t>
            </w:r>
          </w:p>
        </w:tc>
        <w:tc>
          <w:tcPr>
            <w:tcW w:w="32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EE0C6">
            <w:pPr>
              <w:widowControl/>
              <w:spacing w:line="360" w:lineRule="auto"/>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自身是否具备PACK、</w:t>
            </w:r>
            <w:r>
              <w:rPr>
                <w:rFonts w:hint="eastAsia" w:asciiTheme="minorEastAsia" w:hAnsiTheme="minorEastAsia" w:eastAsiaTheme="minorEastAsia" w:cstheme="minorEastAsia"/>
                <w:b w:val="0"/>
                <w:bCs/>
                <w:color w:val="auto"/>
                <w:sz w:val="21"/>
                <w:szCs w:val="21"/>
                <w:highlight w:val="none"/>
                <w:lang w:val="en-US" w:eastAsia="zh-CN"/>
              </w:rPr>
              <w:t>电池簇</w:t>
            </w:r>
            <w:r>
              <w:rPr>
                <w:rFonts w:hint="eastAsia" w:asciiTheme="minorEastAsia" w:hAnsiTheme="minorEastAsia" w:eastAsiaTheme="minorEastAsia" w:cstheme="minorEastAsia"/>
                <w:b w:val="0"/>
                <w:bCs/>
                <w:color w:val="auto"/>
                <w:sz w:val="21"/>
                <w:szCs w:val="21"/>
                <w:highlight w:val="none"/>
              </w:rPr>
              <w:t>、BMS、PCS、EMS自主研发生产能力</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每具备一项得</w:t>
            </w: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rPr>
              <w:t>分，</w:t>
            </w:r>
            <w:r>
              <w:rPr>
                <w:rFonts w:hint="eastAsia" w:asciiTheme="minorEastAsia" w:hAnsiTheme="minorEastAsia" w:eastAsiaTheme="minorEastAsia" w:cstheme="minorEastAsia"/>
                <w:b w:val="0"/>
                <w:bCs/>
                <w:color w:val="auto"/>
                <w:sz w:val="21"/>
                <w:szCs w:val="21"/>
                <w:highlight w:val="none"/>
                <w:lang w:val="en-US" w:eastAsia="zh-CN"/>
              </w:rPr>
              <w:t>本部分</w:t>
            </w:r>
            <w:r>
              <w:rPr>
                <w:rFonts w:hint="eastAsia" w:asciiTheme="minorEastAsia" w:hAnsiTheme="minorEastAsia" w:eastAsiaTheme="minorEastAsia" w:cstheme="minorEastAsia"/>
                <w:b w:val="0"/>
                <w:bCs/>
                <w:color w:val="auto"/>
                <w:sz w:val="21"/>
                <w:szCs w:val="21"/>
                <w:highlight w:val="none"/>
              </w:rPr>
              <w:t>最高得</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0分，需提供相关证明材料（如专利证书、认证报告、产品认证等）</w:t>
            </w:r>
            <w:r>
              <w:rPr>
                <w:rFonts w:hint="eastAsia" w:asciiTheme="minorEastAsia" w:hAnsiTheme="minorEastAsia" w:eastAsiaTheme="minorEastAsia" w:cstheme="minorEastAsia"/>
                <w:b w:val="0"/>
                <w:bCs/>
                <w:color w:val="auto"/>
                <w:sz w:val="21"/>
                <w:szCs w:val="21"/>
                <w:highlight w:val="none"/>
                <w:lang w:eastAsia="zh-CN"/>
              </w:rPr>
              <w:t>；</w:t>
            </w:r>
          </w:p>
          <w:p w14:paraId="4023E2D7">
            <w:pPr>
              <w:widowControl/>
              <w:jc w:val="center"/>
              <w:textAlignment w:val="center"/>
              <w:rPr>
                <w:rStyle w:val="40"/>
                <w:rFonts w:hint="default"/>
                <w:b w:val="0"/>
                <w:bCs/>
                <w:color w:val="auto"/>
                <w:highlight w:val="none"/>
                <w:lang w:bidi="ar"/>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68CB7">
            <w:pPr>
              <w:widowControl/>
              <w:jc w:val="center"/>
              <w:textAlignment w:val="center"/>
              <w:rPr>
                <w:rStyle w:val="40"/>
                <w:rFonts w:hint="default" w:eastAsia="宋体"/>
                <w:color w:val="auto"/>
                <w:highlight w:val="none"/>
                <w:lang w:val="en-US" w:eastAsia="zh-CN" w:bidi="ar"/>
              </w:rPr>
            </w:pPr>
            <w:r>
              <w:rPr>
                <w:rStyle w:val="40"/>
                <w:rFonts w:hint="eastAsia"/>
                <w:color w:val="auto"/>
                <w:highlight w:val="none"/>
                <w:lang w:val="en-US" w:eastAsia="zh-CN" w:bidi="ar"/>
              </w:rPr>
              <w:t>0-20分</w:t>
            </w:r>
          </w:p>
        </w:tc>
      </w:tr>
      <w:tr w14:paraId="6917195E">
        <w:tblPrEx>
          <w:tblCellMar>
            <w:top w:w="0" w:type="dxa"/>
            <w:left w:w="0" w:type="dxa"/>
            <w:bottom w:w="0" w:type="dxa"/>
            <w:right w:w="0" w:type="dxa"/>
          </w:tblCellMar>
        </w:tblPrEx>
        <w:trPr>
          <w:trHeight w:val="1079" w:hRule="atLeast"/>
        </w:trPr>
        <w:tc>
          <w:tcPr>
            <w:tcW w:w="3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09FE0">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p>
        </w:tc>
        <w:tc>
          <w:tcPr>
            <w:tcW w:w="9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63747">
            <w:pPr>
              <w:widowControl/>
              <w:jc w:val="center"/>
              <w:textAlignment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生产技术能力（10分）</w:t>
            </w:r>
          </w:p>
        </w:tc>
        <w:tc>
          <w:tcPr>
            <w:tcW w:w="32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B7795">
            <w:pPr>
              <w:widowControl/>
              <w:jc w:val="center"/>
              <w:textAlignment w:val="center"/>
              <w:rPr>
                <w:rFonts w:hint="default"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从排产能力、生产装备先进性、产能、检测装备与试验方法先进性、品检体系先进性等方面进行综合评价。优良：(6～10]分；一般：(3～6]分；较差：[0～3]分。</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6159F">
            <w:pPr>
              <w:widowControl/>
              <w:jc w:val="center"/>
              <w:textAlignment w:val="center"/>
              <w:rPr>
                <w:rStyle w:val="40"/>
                <w:rFonts w:hint="default" w:eastAsia="宋体"/>
                <w:color w:val="auto"/>
                <w:highlight w:val="none"/>
                <w:lang w:val="en-US" w:eastAsia="zh-CN" w:bidi="ar"/>
              </w:rPr>
            </w:pPr>
            <w:r>
              <w:rPr>
                <w:rStyle w:val="40"/>
                <w:rFonts w:hint="eastAsia"/>
                <w:color w:val="auto"/>
                <w:highlight w:val="none"/>
                <w:lang w:val="en-US" w:eastAsia="zh-CN" w:bidi="ar"/>
              </w:rPr>
              <w:t>0-10分</w:t>
            </w:r>
          </w:p>
        </w:tc>
      </w:tr>
      <w:tr w14:paraId="5DAFC566">
        <w:tblPrEx>
          <w:tblCellMar>
            <w:top w:w="0" w:type="dxa"/>
            <w:left w:w="0" w:type="dxa"/>
            <w:bottom w:w="0" w:type="dxa"/>
            <w:right w:w="0" w:type="dxa"/>
          </w:tblCellMar>
        </w:tblPrEx>
        <w:trPr>
          <w:trHeight w:val="1079" w:hRule="atLeast"/>
        </w:trPr>
        <w:tc>
          <w:tcPr>
            <w:tcW w:w="3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DF71C">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w:t>
            </w:r>
          </w:p>
        </w:tc>
        <w:tc>
          <w:tcPr>
            <w:tcW w:w="90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D79F1">
            <w:pPr>
              <w:widowControl/>
              <w:jc w:val="center"/>
              <w:textAlignment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质保承诺（15分）</w:t>
            </w:r>
          </w:p>
        </w:tc>
        <w:tc>
          <w:tcPr>
            <w:tcW w:w="32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F99D5">
            <w:pPr>
              <w:widowControl/>
              <w:jc w:val="center"/>
              <w:textAlignment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供应商在标书中详细论述技术服务方案内容(包括设备的设计、监造、工厂检测、消防、验收、现场安装调试、技术培训、设备试运行期和质量保证期的维护和维修、售后服务措施及承诺、电芯后期报废处理等）。根据方案的科学性、完整性、合理性进行综合排序，横向比较酌情评分。</w:t>
            </w:r>
          </w:p>
          <w:p w14:paraId="0C4C27E8">
            <w:pPr>
              <w:widowControl/>
              <w:jc w:val="center"/>
              <w:textAlignment w:val="center"/>
              <w:rPr>
                <w:rFonts w:hint="default"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优良：(11～15]分；</w:t>
            </w:r>
            <w:r>
              <w:rPr>
                <w:rFonts w:hint="eastAsia" w:asciiTheme="minorEastAsia" w:hAnsiTheme="minorEastAsia" w:eastAsiaTheme="minorEastAsia" w:cstheme="minorEastAsia"/>
                <w:b w:val="0"/>
                <w:bCs/>
                <w:color w:val="auto"/>
                <w:kern w:val="0"/>
                <w:sz w:val="21"/>
                <w:szCs w:val="21"/>
                <w:highlight w:val="none"/>
                <w:lang w:val="en-US" w:eastAsia="zh-CN"/>
              </w:rPr>
              <w:br w:type="textWrapping"/>
            </w:r>
            <w:r>
              <w:rPr>
                <w:rFonts w:hint="eastAsia" w:asciiTheme="minorEastAsia" w:hAnsiTheme="minorEastAsia" w:eastAsiaTheme="minorEastAsia" w:cstheme="minorEastAsia"/>
                <w:b w:val="0"/>
                <w:bCs/>
                <w:color w:val="auto"/>
                <w:kern w:val="0"/>
                <w:sz w:val="21"/>
                <w:szCs w:val="21"/>
                <w:highlight w:val="none"/>
                <w:lang w:val="en-US" w:eastAsia="zh-CN"/>
              </w:rPr>
              <w:t>一般：(6～11]分；</w:t>
            </w:r>
            <w:r>
              <w:rPr>
                <w:rFonts w:hint="eastAsia" w:asciiTheme="minorEastAsia" w:hAnsiTheme="minorEastAsia" w:eastAsiaTheme="minorEastAsia" w:cstheme="minorEastAsia"/>
                <w:b w:val="0"/>
                <w:bCs/>
                <w:color w:val="auto"/>
                <w:kern w:val="0"/>
                <w:sz w:val="21"/>
                <w:szCs w:val="21"/>
                <w:highlight w:val="none"/>
                <w:lang w:val="en-US" w:eastAsia="zh-CN"/>
              </w:rPr>
              <w:br w:type="textWrapping"/>
            </w:r>
            <w:r>
              <w:rPr>
                <w:rFonts w:hint="eastAsia" w:asciiTheme="minorEastAsia" w:hAnsiTheme="minorEastAsia" w:eastAsiaTheme="minorEastAsia" w:cstheme="minorEastAsia"/>
                <w:b w:val="0"/>
                <w:bCs/>
                <w:color w:val="auto"/>
                <w:kern w:val="0"/>
                <w:sz w:val="21"/>
                <w:szCs w:val="21"/>
                <w:highlight w:val="yellow"/>
                <w:lang w:val="en-US" w:eastAsia="zh-CN"/>
              </w:rPr>
              <w:t>较差：(0～6]分。</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54122">
            <w:pPr>
              <w:widowControl/>
              <w:jc w:val="center"/>
              <w:textAlignment w:val="center"/>
              <w:rPr>
                <w:rStyle w:val="40"/>
                <w:rFonts w:hint="default" w:eastAsia="宋体"/>
                <w:color w:val="auto"/>
                <w:highlight w:val="none"/>
                <w:lang w:val="en-US" w:eastAsia="zh-CN" w:bidi="ar"/>
              </w:rPr>
            </w:pPr>
            <w:r>
              <w:rPr>
                <w:rStyle w:val="40"/>
                <w:rFonts w:hint="eastAsia"/>
                <w:color w:val="auto"/>
                <w:highlight w:val="none"/>
                <w:lang w:val="en-US" w:eastAsia="zh-CN" w:bidi="ar"/>
              </w:rPr>
              <w:t>0-15分</w:t>
            </w:r>
          </w:p>
        </w:tc>
      </w:tr>
    </w:tbl>
    <w:p w14:paraId="4530AFA3">
      <w:pPr>
        <w:tabs>
          <w:tab w:val="left" w:pos="6199"/>
        </w:tabs>
        <w:spacing w:before="120" w:beforeLines="50" w:after="120" w:afterLines="50" w:line="360" w:lineRule="auto"/>
        <w:rPr>
          <w:rFonts w:hint="eastAsia" w:ascii="宋体" w:hAnsi="宋体" w:eastAsia="宋体" w:cs="宋体"/>
          <w:color w:val="auto"/>
          <w:sz w:val="28"/>
          <w:highlight w:val="none"/>
          <w:lang w:eastAsia="zh-CN"/>
        </w:rPr>
      </w:pPr>
      <w:r>
        <w:rPr>
          <w:rFonts w:hint="eastAsia" w:ascii="宋体" w:hAnsi="宋体" w:cs="宋体"/>
          <w:color w:val="auto"/>
          <w:sz w:val="28"/>
          <w:highlight w:val="none"/>
          <w:lang w:eastAsia="zh-CN"/>
        </w:rPr>
        <w:tab/>
      </w:r>
      <w:bookmarkStart w:id="157" w:name="_GoBack"/>
      <w:bookmarkEnd w:id="157"/>
    </w:p>
    <w:p w14:paraId="507E07A9">
      <w:pPr>
        <w:tabs>
          <w:tab w:val="left" w:pos="1050"/>
        </w:tabs>
        <w:spacing w:line="360" w:lineRule="auto"/>
        <w:rPr>
          <w:rFonts w:ascii="宋体" w:hAnsi="宋体" w:cs="宋体"/>
          <w:color w:val="auto"/>
          <w:highlight w:val="none"/>
        </w:rPr>
      </w:pPr>
      <w:r>
        <w:rPr>
          <w:rFonts w:hint="eastAsia" w:ascii="宋体" w:hAnsi="宋体" w:cs="宋体"/>
          <w:color w:val="auto"/>
          <w:highlight w:val="none"/>
        </w:rPr>
        <w:t>（3）经济标评分标准（权重</w:t>
      </w:r>
      <w:r>
        <w:rPr>
          <w:rFonts w:hint="eastAsia" w:ascii="宋体" w:hAnsi="宋体" w:cs="宋体"/>
          <w:color w:val="auto"/>
          <w:highlight w:val="none"/>
          <w:lang w:val="en-US" w:eastAsia="zh-CN"/>
        </w:rPr>
        <w:t>4</w:t>
      </w:r>
      <w:r>
        <w:rPr>
          <w:rFonts w:hint="eastAsia" w:ascii="宋体" w:hAnsi="宋体" w:cs="宋体"/>
          <w:color w:val="auto"/>
          <w:highlight w:val="none"/>
        </w:rPr>
        <w:t>0%）(分数代码A3)</w:t>
      </w:r>
    </w:p>
    <w:p w14:paraId="67B99433">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价格以响应竞谈最终有效报价的</w:t>
      </w:r>
      <w:r>
        <w:rPr>
          <w:rFonts w:hint="eastAsia" w:ascii="宋体" w:hAnsi="宋体" w:cs="宋体"/>
          <w:color w:val="auto"/>
          <w:highlight w:val="yellow"/>
          <w:lang w:eastAsia="zh-CN"/>
        </w:rPr>
        <w:t>算术平均值</w:t>
      </w:r>
      <w:r>
        <w:rPr>
          <w:rFonts w:hint="eastAsia" w:ascii="宋体" w:hAnsi="宋体" w:cs="宋体"/>
          <w:color w:val="auto"/>
          <w:highlight w:val="yellow"/>
        </w:rPr>
        <w:t>为基准值</w:t>
      </w:r>
      <w:r>
        <w:rPr>
          <w:rFonts w:hint="eastAsia" w:ascii="宋体" w:hAnsi="宋体" w:cs="宋体"/>
          <w:color w:val="auto"/>
          <w:highlight w:val="none"/>
        </w:rPr>
        <w:t>，等于基准值者得100分，高于基准值者</w:t>
      </w:r>
      <w:r>
        <w:rPr>
          <w:rFonts w:hint="eastAsia" w:ascii="宋体" w:hAnsi="宋体" w:cs="宋体"/>
          <w:color w:val="auto"/>
          <w:highlight w:val="yellow"/>
        </w:rPr>
        <w:t>每高1%扣</w:t>
      </w:r>
      <w:r>
        <w:rPr>
          <w:rFonts w:hint="eastAsia" w:ascii="宋体" w:hAnsi="宋体" w:cs="宋体"/>
          <w:color w:val="auto"/>
          <w:highlight w:val="yellow"/>
          <w:lang w:val="en-US" w:eastAsia="zh-CN"/>
        </w:rPr>
        <w:t>1.5</w:t>
      </w:r>
      <w:r>
        <w:rPr>
          <w:rFonts w:hint="eastAsia" w:ascii="宋体" w:hAnsi="宋体" w:cs="宋体"/>
          <w:color w:val="auto"/>
          <w:highlight w:val="yellow"/>
        </w:rPr>
        <w:t>分</w:t>
      </w:r>
      <w:r>
        <w:rPr>
          <w:rFonts w:hint="eastAsia" w:ascii="宋体" w:hAnsi="宋体" w:cs="宋体"/>
          <w:color w:val="auto"/>
          <w:highlight w:val="none"/>
        </w:rPr>
        <w:t>，</w:t>
      </w:r>
      <w:r>
        <w:rPr>
          <w:rFonts w:hint="eastAsia" w:ascii="宋体" w:hAnsi="宋体" w:cs="宋体"/>
          <w:color w:val="auto"/>
          <w:highlight w:val="yellow"/>
        </w:rPr>
        <w:t>低于基准值者每低1%扣</w:t>
      </w:r>
      <w:r>
        <w:rPr>
          <w:rFonts w:hint="eastAsia" w:ascii="宋体" w:hAnsi="宋体" w:cs="宋体"/>
          <w:color w:val="auto"/>
          <w:highlight w:val="yellow"/>
          <w:lang w:val="en-US" w:eastAsia="zh-CN"/>
        </w:rPr>
        <w:t>1</w:t>
      </w:r>
      <w:r>
        <w:rPr>
          <w:rFonts w:hint="eastAsia" w:ascii="宋体" w:hAnsi="宋体" w:cs="宋体"/>
          <w:color w:val="auto"/>
          <w:highlight w:val="yellow"/>
        </w:rPr>
        <w:t>分</w:t>
      </w:r>
      <w:r>
        <w:rPr>
          <w:rFonts w:hint="eastAsia" w:ascii="宋体" w:hAnsi="宋体" w:cs="宋体"/>
          <w:color w:val="auto"/>
          <w:highlight w:val="yellow"/>
          <w:lang w:eastAsia="zh-CN"/>
        </w:rPr>
        <w:t>，</w:t>
      </w:r>
      <w:r>
        <w:rPr>
          <w:rFonts w:hint="eastAsia" w:ascii="宋体" w:hAnsi="宋体" w:cs="宋体"/>
          <w:color w:val="auto"/>
          <w:highlight w:val="none"/>
        </w:rPr>
        <w:t>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color w:val="auto"/>
          <w:sz w:val="32"/>
          <w:szCs w:val="30"/>
          <w:highlight w:val="none"/>
        </w:rPr>
      </w:pPr>
      <w:bookmarkStart w:id="70" w:name="_Toc246834299"/>
      <w:bookmarkStart w:id="71" w:name="_Toc5556"/>
      <w:bookmarkStart w:id="72" w:name="_Toc165223398"/>
      <w:bookmarkStart w:id="73" w:name="_Toc480288259"/>
      <w:r>
        <w:rPr>
          <w:rFonts w:hint="eastAsia" w:hAnsi="宋体" w:cs="宋体"/>
          <w:bCs w:val="0"/>
          <w:snapToGrid/>
          <w:color w:val="auto"/>
          <w:sz w:val="32"/>
          <w:szCs w:val="30"/>
          <w:highlight w:val="none"/>
        </w:rPr>
        <w:t>第四章 响应竞谈文件的组成</w:t>
      </w:r>
      <w:bookmarkEnd w:id="70"/>
      <w:bookmarkEnd w:id="71"/>
      <w:bookmarkEnd w:id="72"/>
      <w:bookmarkEnd w:id="73"/>
    </w:p>
    <w:p w14:paraId="08C4E437">
      <w:pPr>
        <w:pStyle w:val="15"/>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惠州宏琛200MW/400MWh储能电站建设项目储能设备</w:t>
      </w:r>
      <w:r>
        <w:rPr>
          <w:rFonts w:hint="eastAsia" w:hAnsi="宋体" w:cs="宋体"/>
          <w:color w:val="auto"/>
          <w:highlight w:val="none"/>
        </w:rPr>
        <w:t>采购响应竞谈文件》的全部响应竞谈文件：</w:t>
      </w:r>
    </w:p>
    <w:p w14:paraId="67FB81AF">
      <w:pPr>
        <w:pStyle w:val="15"/>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5"/>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5"/>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5"/>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5"/>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5"/>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5"/>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5"/>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5"/>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5"/>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02A54E13">
      <w:pPr>
        <w:pStyle w:val="15"/>
        <w:spacing w:line="360" w:lineRule="auto"/>
        <w:ind w:firstLine="480"/>
        <w:rPr>
          <w:rFonts w:hint="eastAsia"/>
          <w:highlight w:val="yellow"/>
          <w:lang w:eastAsia="zh-CN"/>
        </w:rPr>
      </w:pPr>
      <w:r>
        <w:rPr>
          <w:rFonts w:hint="eastAsia" w:hAnsi="宋体" w:cs="宋体"/>
          <w:color w:val="auto"/>
          <w:highlight w:val="yellow"/>
        </w:rPr>
        <w:t>文件</w:t>
      </w:r>
      <w:r>
        <w:rPr>
          <w:rFonts w:hint="eastAsia" w:hAnsi="宋体" w:cs="宋体"/>
          <w:color w:val="auto"/>
          <w:highlight w:val="yellow"/>
          <w:lang w:eastAsia="zh-CN"/>
        </w:rPr>
        <w:t>十五</w:t>
      </w:r>
      <w:r>
        <w:rPr>
          <w:rFonts w:hint="eastAsia" w:hAnsi="宋体" w:cs="宋体"/>
          <w:color w:val="auto"/>
          <w:highlight w:val="yellow"/>
        </w:rPr>
        <w:t xml:space="preserve">  </w:t>
      </w:r>
      <w:r>
        <w:rPr>
          <w:rFonts w:hint="eastAsia"/>
          <w:highlight w:val="yellow"/>
          <w:lang w:eastAsia="zh-CN"/>
        </w:rPr>
        <w:t>设备运输方案</w:t>
      </w:r>
    </w:p>
    <w:p w14:paraId="43785805">
      <w:pPr>
        <w:pStyle w:val="15"/>
        <w:spacing w:line="360" w:lineRule="auto"/>
        <w:ind w:firstLine="480"/>
        <w:rPr>
          <w:rFonts w:hint="eastAsia" w:hAnsi="宋体" w:cs="宋体"/>
          <w:color w:val="auto"/>
          <w:highlight w:val="yellow"/>
          <w:lang w:eastAsia="zh-CN"/>
        </w:rPr>
      </w:pPr>
      <w:r>
        <w:rPr>
          <w:rFonts w:hint="eastAsia" w:hAnsi="宋体" w:cs="宋体"/>
          <w:color w:val="auto"/>
          <w:highlight w:val="yellow"/>
          <w:lang w:eastAsia="zh-CN"/>
        </w:rPr>
        <w:t>文件十六</w:t>
      </w:r>
      <w:r>
        <w:rPr>
          <w:rFonts w:hint="eastAsia" w:hAnsi="宋体" w:cs="宋体"/>
          <w:color w:val="auto"/>
          <w:highlight w:val="yellow"/>
          <w:lang w:val="en-US" w:eastAsia="zh-CN"/>
        </w:rPr>
        <w:t xml:space="preserve">  </w:t>
      </w:r>
      <w:r>
        <w:rPr>
          <w:rFonts w:hint="eastAsia" w:hAnsi="宋体" w:cs="宋体"/>
          <w:color w:val="auto"/>
          <w:highlight w:val="yellow"/>
          <w:lang w:eastAsia="zh-CN"/>
        </w:rPr>
        <w:t>联合体协议</w:t>
      </w:r>
    </w:p>
    <w:p w14:paraId="00B9A2CE">
      <w:pPr>
        <w:pStyle w:val="15"/>
        <w:spacing w:line="360" w:lineRule="auto"/>
        <w:ind w:firstLine="480"/>
        <w:rPr>
          <w:rFonts w:hint="default" w:hAnsi="宋体" w:cs="宋体"/>
          <w:color w:val="auto"/>
          <w:highlight w:val="yellow"/>
          <w:lang w:val="en-US" w:eastAsia="zh-CN"/>
        </w:rPr>
      </w:pPr>
      <w:r>
        <w:rPr>
          <w:rFonts w:hint="eastAsia" w:hAnsi="宋体" w:cs="宋体"/>
          <w:color w:val="auto"/>
          <w:highlight w:val="yellow"/>
          <w:lang w:eastAsia="zh-CN"/>
        </w:rPr>
        <w:t>文件十七</w:t>
      </w:r>
      <w:r>
        <w:rPr>
          <w:rFonts w:hint="eastAsia" w:hAnsi="宋体" w:cs="宋体"/>
          <w:color w:val="auto"/>
          <w:highlight w:val="yellow"/>
          <w:lang w:val="en-US" w:eastAsia="zh-CN"/>
        </w:rPr>
        <w:t xml:space="preserve">  其他资料</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74" w:name="_Toc480288260"/>
      <w:bookmarkStart w:id="75" w:name="_Toc165223399"/>
      <w:r>
        <w:rPr>
          <w:rFonts w:hint="eastAsia" w:ascii="宋体" w:hAnsi="宋体" w:eastAsia="宋体" w:cs="宋体"/>
          <w:color w:val="auto"/>
          <w:sz w:val="30"/>
          <w:szCs w:val="24"/>
          <w:highlight w:val="none"/>
        </w:rPr>
        <w:t>文件一  响应竞谈声明</w:t>
      </w:r>
      <w:bookmarkEnd w:id="74"/>
      <w:bookmarkEnd w:id="75"/>
    </w:p>
    <w:p w14:paraId="0A9AEE34">
      <w:pPr>
        <w:rPr>
          <w:rFonts w:ascii="宋体" w:hAnsi="宋体" w:cs="宋体"/>
          <w:color w:val="auto"/>
          <w:highlight w:val="none"/>
        </w:rPr>
      </w:pPr>
    </w:p>
    <w:p w14:paraId="7332C3B7">
      <w:pPr>
        <w:pStyle w:val="15"/>
        <w:spacing w:line="300" w:lineRule="auto"/>
        <w:jc w:val="center"/>
        <w:rPr>
          <w:rFonts w:hAnsi="宋体" w:cs="宋体"/>
          <w:color w:val="auto"/>
          <w:sz w:val="28"/>
          <w:highlight w:val="none"/>
        </w:rPr>
      </w:pPr>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5"/>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惠州宏琛200MW/400MWh储能电站建设项目储能设备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5"/>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5"/>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5"/>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5"/>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5"/>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5"/>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5"/>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5"/>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5"/>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5"/>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5"/>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7B6CDEF7">
      <w:pPr>
        <w:pStyle w:val="15"/>
        <w:spacing w:line="360" w:lineRule="auto"/>
        <w:ind w:firstLine="480"/>
        <w:rPr>
          <w:rFonts w:hint="eastAsia" w:hAnsi="宋体" w:cs="宋体"/>
          <w:color w:val="auto"/>
          <w:highlight w:val="yellow"/>
          <w:lang w:eastAsia="zh-CN"/>
        </w:rPr>
      </w:pPr>
      <w:r>
        <w:rPr>
          <w:rFonts w:hint="eastAsia" w:hAnsi="宋体" w:cs="宋体"/>
          <w:color w:val="auto"/>
          <w:highlight w:val="yellow"/>
          <w:lang w:eastAsia="zh-CN"/>
        </w:rPr>
        <w:t>文件十六</w:t>
      </w:r>
      <w:r>
        <w:rPr>
          <w:rFonts w:hint="eastAsia" w:hAnsi="宋体" w:cs="宋体"/>
          <w:color w:val="auto"/>
          <w:highlight w:val="yellow"/>
          <w:lang w:val="en-US" w:eastAsia="zh-CN"/>
        </w:rPr>
        <w:t xml:space="preserve">  </w:t>
      </w:r>
      <w:r>
        <w:rPr>
          <w:rFonts w:hint="eastAsia" w:hAnsi="宋体" w:cs="宋体"/>
          <w:color w:val="auto"/>
          <w:highlight w:val="yellow"/>
          <w:lang w:eastAsia="zh-CN"/>
        </w:rPr>
        <w:t>联合体协议</w:t>
      </w:r>
    </w:p>
    <w:p w14:paraId="5670ABBF">
      <w:pPr>
        <w:pStyle w:val="15"/>
        <w:spacing w:line="360" w:lineRule="auto"/>
        <w:ind w:firstLine="480"/>
        <w:rPr>
          <w:rFonts w:hint="default" w:hAnsi="宋体" w:cs="宋体"/>
          <w:color w:val="auto"/>
          <w:highlight w:val="yellow"/>
          <w:lang w:val="en-US" w:eastAsia="zh-CN"/>
        </w:rPr>
      </w:pPr>
      <w:r>
        <w:rPr>
          <w:rFonts w:hint="eastAsia" w:hAnsi="宋体" w:cs="宋体"/>
          <w:color w:val="auto"/>
          <w:highlight w:val="yellow"/>
          <w:lang w:eastAsia="zh-CN"/>
        </w:rPr>
        <w:t>文件十七</w:t>
      </w:r>
      <w:r>
        <w:rPr>
          <w:rFonts w:hint="eastAsia" w:hAnsi="宋体" w:cs="宋体"/>
          <w:color w:val="auto"/>
          <w:highlight w:val="yellow"/>
          <w:lang w:val="en-US" w:eastAsia="zh-CN"/>
        </w:rPr>
        <w:t xml:space="preserve">  其他资料</w:t>
      </w:r>
    </w:p>
    <w:p w14:paraId="24F61077">
      <w:pPr>
        <w:pStyle w:val="15"/>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5"/>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惠州宏琛200MW/400MWh储能电站建设项目储能设备</w:t>
      </w:r>
      <w:r>
        <w:rPr>
          <w:rFonts w:hint="eastAsia" w:hAnsi="宋体" w:cs="宋体"/>
          <w:color w:val="auto"/>
          <w:highlight w:val="none"/>
        </w:rPr>
        <w:t>采购竞谈》所提供的合同设备和服务的总报价如所附竞谈一览表中所列；</w:t>
      </w:r>
    </w:p>
    <w:p w14:paraId="7C4B0CAA">
      <w:pPr>
        <w:pStyle w:val="15"/>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5"/>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5"/>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5"/>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5"/>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5"/>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5"/>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5"/>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5"/>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5"/>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5"/>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5"/>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5"/>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5"/>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5"/>
        <w:spacing w:line="360" w:lineRule="auto"/>
        <w:ind w:firstLine="480"/>
        <w:rPr>
          <w:rFonts w:hAnsi="宋体" w:cs="宋体"/>
          <w:color w:val="auto"/>
          <w:highlight w:val="none"/>
        </w:rPr>
      </w:pPr>
    </w:p>
    <w:p w14:paraId="36264DF0">
      <w:pPr>
        <w:pStyle w:val="15"/>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5"/>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15"/>
        <w:spacing w:line="360" w:lineRule="auto"/>
        <w:jc w:val="center"/>
        <w:outlineLvl w:val="1"/>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文件二 竞谈一览表(格式)</w:t>
      </w:r>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7"/>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5"/>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5"/>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5"/>
        <w:spacing w:line="360" w:lineRule="auto"/>
        <w:ind w:left="3480" w:leftChars="1450" w:firstLine="120" w:firstLineChars="50"/>
        <w:rPr>
          <w:rFonts w:hAnsi="宋体" w:cs="宋体"/>
          <w:snapToGrid/>
          <w:color w:val="auto"/>
          <w:highlight w:val="none"/>
        </w:rPr>
      </w:pPr>
    </w:p>
    <w:p w14:paraId="1962CEBA">
      <w:pPr>
        <w:pStyle w:val="15"/>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5"/>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76" w:name="_Toc480288261"/>
      <w:bookmarkStart w:id="77" w:name="_Toc246834301"/>
      <w:bookmarkStart w:id="78" w:name="_Toc116990234"/>
      <w:bookmarkStart w:id="79" w:name="_Toc43269250"/>
      <w:bookmarkStart w:id="80" w:name="_Toc30520227"/>
      <w:bookmarkStart w:id="81" w:name="_Toc165223400"/>
      <w:r>
        <w:rPr>
          <w:rFonts w:hint="eastAsia" w:ascii="宋体" w:hAnsi="宋体" w:eastAsia="宋体" w:cs="宋体"/>
          <w:color w:val="auto"/>
          <w:sz w:val="30"/>
          <w:szCs w:val="24"/>
          <w:highlight w:val="none"/>
        </w:rPr>
        <w:t>文件三  报价表</w:t>
      </w:r>
      <w:bookmarkEnd w:id="76"/>
      <w:bookmarkEnd w:id="77"/>
      <w:bookmarkEnd w:id="78"/>
      <w:bookmarkEnd w:id="79"/>
      <w:bookmarkEnd w:id="80"/>
      <w:bookmarkEnd w:id="81"/>
    </w:p>
    <w:p w14:paraId="1BB701DE">
      <w:pPr>
        <w:pStyle w:val="15"/>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5"/>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7"/>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详见附表1</w:t>
            </w:r>
            <w:r>
              <w:rPr>
                <w:rFonts w:hint="eastAsia" w:ascii="宋体" w:hAnsi="宋体" w:cs="宋体"/>
                <w:color w:val="auto"/>
                <w:highlight w:val="none"/>
                <w:lang w:val="en-US" w:eastAsia="zh-CN"/>
              </w:rPr>
              <w:t>.1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w:t>
            </w:r>
            <w:r>
              <w:rPr>
                <w:rFonts w:hint="eastAsia" w:ascii="宋体" w:hAnsi="宋体" w:cs="宋体"/>
                <w:color w:val="auto"/>
                <w:highlight w:val="none"/>
                <w:lang w:val="en-US" w:eastAsia="zh-CN"/>
              </w:rPr>
              <w:t>1.</w:t>
            </w:r>
            <w:r>
              <w:rPr>
                <w:rFonts w:hint="eastAsia" w:ascii="宋体" w:hAnsi="宋体" w:cs="宋体"/>
                <w:color w:val="auto"/>
                <w:highlight w:val="none"/>
              </w:rPr>
              <w:t>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详见附表</w:t>
            </w:r>
            <w:r>
              <w:rPr>
                <w:rFonts w:hint="eastAsia" w:ascii="宋体" w:hAnsi="宋体" w:cs="宋体"/>
                <w:color w:val="auto"/>
                <w:highlight w:val="none"/>
                <w:lang w:val="en-US" w:eastAsia="zh-CN"/>
              </w:rPr>
              <w:t>1.2</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hint="eastAsia" w:ascii="宋体" w:hAnsi="宋体" w:eastAsia="宋体" w:cs="宋体"/>
                <w:color w:val="auto"/>
                <w:highlight w:val="none"/>
                <w:lang w:eastAsia="zh-CN"/>
              </w:rPr>
            </w:pPr>
            <w:r>
              <w:rPr>
                <w:rFonts w:hint="eastAsia" w:ascii="宋体" w:hAnsi="宋体" w:cs="宋体"/>
                <w:color w:val="auto"/>
                <w:highlight w:val="none"/>
              </w:rPr>
              <w:t>详见附表</w:t>
            </w:r>
            <w:r>
              <w:rPr>
                <w:rFonts w:hint="eastAsia" w:ascii="宋体" w:hAnsi="宋体" w:cs="宋体"/>
                <w:color w:val="auto"/>
                <w:highlight w:val="none"/>
                <w:lang w:val="en-US" w:eastAsia="zh-CN"/>
              </w:rPr>
              <w:t>2</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hint="eastAsia" w:ascii="宋体" w:hAnsi="宋体" w:eastAsia="宋体" w:cs="宋体"/>
                <w:color w:val="auto"/>
                <w:highlight w:val="none"/>
                <w:lang w:eastAsia="zh-CN"/>
              </w:rPr>
            </w:pPr>
            <w:r>
              <w:rPr>
                <w:rFonts w:hint="eastAsia" w:ascii="宋体" w:hAnsi="宋体" w:cs="宋体"/>
                <w:color w:val="auto"/>
                <w:highlight w:val="none"/>
              </w:rPr>
              <w:t>详见附表</w:t>
            </w:r>
            <w:r>
              <w:rPr>
                <w:rFonts w:hint="eastAsia" w:ascii="宋体" w:hAnsi="宋体" w:cs="宋体"/>
                <w:color w:val="auto"/>
                <w:highlight w:val="none"/>
                <w:lang w:val="en-US" w:eastAsia="zh-CN"/>
              </w:rPr>
              <w:t>3</w:t>
            </w: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yellow"/>
              </w:rPr>
              <w:t>合 计（</w:t>
            </w:r>
            <w:r>
              <w:rPr>
                <w:rFonts w:ascii="宋体" w:hAnsi="宋体" w:cs="宋体"/>
                <w:color w:val="auto"/>
                <w:highlight w:val="yellow"/>
              </w:rPr>
              <w:t>5</w:t>
            </w:r>
            <w:r>
              <w:rPr>
                <w:rFonts w:hint="eastAsia" w:ascii="宋体" w:hAnsi="宋体" w:cs="宋体"/>
                <w:color w:val="auto"/>
                <w:highlight w:val="yellow"/>
              </w:rPr>
              <w:t>=1+2+3）</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5"/>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4F52C49B">
      <w:pPr>
        <w:spacing w:before="120" w:beforeLines="50" w:after="240" w:afterLines="100" w:line="360" w:lineRule="auto"/>
        <w:rPr>
          <w:rFonts w:hint="eastAsia" w:ascii="宋体" w:hAnsi="宋体" w:eastAsia="宋体" w:cs="宋体"/>
          <w:bCs/>
          <w:color w:val="auto"/>
          <w:highlight w:val="none"/>
          <w:lang w:eastAsia="zh-CN"/>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1）储能设备分项报价</w:t>
      </w:r>
    </w:p>
    <w:tbl>
      <w:tblPr>
        <w:tblStyle w:val="27"/>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5"/>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7"/>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6"/>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6"/>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5"/>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7"/>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28D53BA9">
      <w:pPr>
        <w:pStyle w:val="15"/>
        <w:spacing w:before="240" w:beforeLines="100" w:line="360" w:lineRule="auto"/>
        <w:rPr>
          <w:rFonts w:hAnsi="宋体" w:cs="宋体"/>
          <w:color w:val="auto"/>
          <w:highlight w:val="none"/>
        </w:rPr>
      </w:pPr>
      <w:r>
        <w:rPr>
          <w:rFonts w:hint="eastAsia" w:hAnsi="宋体" w:cs="宋体"/>
          <w:color w:val="auto"/>
          <w:highlight w:val="none"/>
        </w:rPr>
        <w:t>注：</w:t>
      </w:r>
      <w:r>
        <w:rPr>
          <w:rFonts w:hint="eastAsia" w:hAnsi="宋体" w:cs="宋体"/>
          <w:color w:val="auto"/>
          <w:highlight w:val="none"/>
          <w:lang w:val="en-US" w:eastAsia="zh-CN"/>
        </w:rPr>
        <w:t>1</w:t>
      </w:r>
      <w:r>
        <w:rPr>
          <w:rFonts w:hint="eastAsia" w:hAnsi="宋体" w:cs="宋体"/>
          <w:color w:val="auto"/>
          <w:highlight w:val="none"/>
        </w:rPr>
        <w:t>、所有报价表与竞谈一览表共同包装，构成响应竞谈文件（价格部分）。</w:t>
      </w:r>
    </w:p>
    <w:p w14:paraId="6377B6DD">
      <w:pPr>
        <w:pStyle w:val="15"/>
        <w:spacing w:line="360" w:lineRule="auto"/>
        <w:rPr>
          <w:rFonts w:hAnsi="宋体" w:cs="宋体"/>
          <w:color w:val="auto"/>
          <w:highlight w:val="none"/>
        </w:rPr>
      </w:pPr>
    </w:p>
    <w:p w14:paraId="7B469FE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82" w:name="_Toc246834302"/>
      <w:bookmarkStart w:id="83" w:name="_Toc480288262"/>
    </w:p>
    <w:p w14:paraId="203671A3">
      <w:pPr>
        <w:spacing w:line="360" w:lineRule="auto"/>
        <w:jc w:val="center"/>
        <w:outlineLvl w:val="1"/>
        <w:rPr>
          <w:rFonts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 xml:space="preserve">文件四  </w:t>
      </w:r>
      <w:r>
        <w:rPr>
          <w:rFonts w:hint="eastAsia" w:ascii="宋体" w:hAnsi="宋体" w:cs="宋体"/>
          <w:b/>
          <w:snapToGrid w:val="0"/>
          <w:color w:val="auto"/>
          <w:kern w:val="0"/>
          <w:sz w:val="28"/>
          <w:szCs w:val="28"/>
          <w:highlight w:val="none"/>
          <w:lang w:eastAsia="zh-CN"/>
        </w:rPr>
        <w:t>供应商</w:t>
      </w:r>
      <w:r>
        <w:rPr>
          <w:rFonts w:hint="eastAsia" w:ascii="宋体" w:hAnsi="宋体" w:cs="宋体"/>
          <w:b/>
          <w:snapToGrid w:val="0"/>
          <w:color w:val="auto"/>
          <w:kern w:val="0"/>
          <w:sz w:val="28"/>
          <w:szCs w:val="28"/>
          <w:highlight w:val="none"/>
        </w:rPr>
        <w:t>资格文件</w:t>
      </w:r>
      <w:bookmarkEnd w:id="82"/>
      <w:bookmarkEnd w:id="83"/>
    </w:p>
    <w:p w14:paraId="1ABB790E">
      <w:pPr>
        <w:pStyle w:val="15"/>
        <w:spacing w:line="300" w:lineRule="auto"/>
        <w:jc w:val="center"/>
        <w:rPr>
          <w:rFonts w:hAnsi="宋体" w:cs="宋体"/>
          <w:b/>
          <w:color w:val="auto"/>
          <w:highlight w:val="none"/>
        </w:rPr>
      </w:pPr>
    </w:p>
    <w:p w14:paraId="2BEAF839">
      <w:pPr>
        <w:pStyle w:val="15"/>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5"/>
        <w:spacing w:line="300" w:lineRule="auto"/>
        <w:rPr>
          <w:rFonts w:hAnsi="宋体" w:cs="宋体"/>
          <w:color w:val="auto"/>
          <w:highlight w:val="none"/>
        </w:rPr>
      </w:pPr>
    </w:p>
    <w:p w14:paraId="0685FAB2">
      <w:pPr>
        <w:pStyle w:val="15"/>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5"/>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5"/>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5"/>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546CF2F1">
      <w:pPr>
        <w:pStyle w:val="15"/>
        <w:spacing w:line="360" w:lineRule="auto"/>
        <w:ind w:firstLine="1260"/>
        <w:rPr>
          <w:rFonts w:hint="eastAsia" w:hAnsi="宋体" w:cs="宋体"/>
          <w:color w:val="auto"/>
          <w:highlight w:val="none"/>
        </w:rPr>
      </w:pPr>
      <w:r>
        <w:rPr>
          <w:rFonts w:hint="eastAsia" w:hAnsi="宋体" w:cs="宋体"/>
          <w:color w:val="auto"/>
          <w:highlight w:val="none"/>
        </w:rPr>
        <w:t>格式4-4   业绩及正在执行的供货合同项目表</w:t>
      </w:r>
    </w:p>
    <w:p w14:paraId="55C65F3A">
      <w:pPr>
        <w:pStyle w:val="15"/>
        <w:spacing w:line="360" w:lineRule="auto"/>
        <w:ind w:firstLine="1260"/>
        <w:rPr>
          <w:rFonts w:hint="eastAsia" w:ascii="宋体" w:hAnsi="宋体" w:eastAsia="宋体" w:cs="宋体"/>
          <w:color w:val="auto"/>
          <w:highlight w:val="none"/>
        </w:rPr>
      </w:pPr>
      <w:r>
        <w:rPr>
          <w:rFonts w:hint="eastAsia" w:ascii="宋体" w:hAnsi="宋体" w:eastAsia="宋体" w:cs="宋体"/>
          <w:color w:val="auto"/>
          <w:highlight w:val="none"/>
        </w:rPr>
        <w:t>格式4-</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制造能力和条件</w:t>
      </w:r>
    </w:p>
    <w:p w14:paraId="3467114A">
      <w:pPr>
        <w:pStyle w:val="15"/>
        <w:spacing w:line="300" w:lineRule="auto"/>
        <w:jc w:val="center"/>
        <w:rPr>
          <w:rFonts w:hint="eastAsia" w:hAnsi="宋体" w:cs="宋体"/>
          <w:b/>
          <w:color w:val="auto"/>
          <w:sz w:val="28"/>
          <w:highlight w:val="none"/>
        </w:rPr>
      </w:pPr>
    </w:p>
    <w:p w14:paraId="0B4F1977">
      <w:pPr>
        <w:pStyle w:val="15"/>
        <w:spacing w:line="300" w:lineRule="auto"/>
        <w:jc w:val="center"/>
        <w:rPr>
          <w:rFonts w:hint="eastAsia" w:hAnsi="宋体" w:cs="宋体"/>
          <w:b/>
          <w:color w:val="auto"/>
          <w:sz w:val="28"/>
          <w:highlight w:val="none"/>
        </w:rPr>
      </w:pPr>
    </w:p>
    <w:p w14:paraId="47D07898">
      <w:pPr>
        <w:pStyle w:val="15"/>
        <w:spacing w:line="300" w:lineRule="auto"/>
        <w:jc w:val="center"/>
        <w:rPr>
          <w:rFonts w:hint="eastAsia" w:hAnsi="宋体" w:cs="宋体"/>
          <w:b/>
          <w:color w:val="auto"/>
          <w:sz w:val="28"/>
          <w:highlight w:val="none"/>
        </w:rPr>
      </w:pPr>
    </w:p>
    <w:p w14:paraId="50EA9EB7">
      <w:pPr>
        <w:pStyle w:val="15"/>
        <w:spacing w:line="300" w:lineRule="auto"/>
        <w:jc w:val="center"/>
        <w:rPr>
          <w:rFonts w:hint="eastAsia" w:hAnsi="宋体" w:cs="宋体"/>
          <w:b/>
          <w:color w:val="auto"/>
          <w:sz w:val="28"/>
          <w:highlight w:val="none"/>
        </w:rPr>
      </w:pPr>
    </w:p>
    <w:p w14:paraId="6DB38B72">
      <w:pPr>
        <w:pStyle w:val="15"/>
        <w:spacing w:line="300" w:lineRule="auto"/>
        <w:jc w:val="center"/>
        <w:rPr>
          <w:rFonts w:hint="eastAsia" w:hAnsi="宋体" w:cs="宋体"/>
          <w:b/>
          <w:color w:val="auto"/>
          <w:sz w:val="28"/>
          <w:highlight w:val="none"/>
        </w:rPr>
      </w:pPr>
    </w:p>
    <w:p w14:paraId="08A94959">
      <w:pPr>
        <w:pStyle w:val="15"/>
        <w:spacing w:line="300" w:lineRule="auto"/>
        <w:jc w:val="center"/>
        <w:rPr>
          <w:rFonts w:hint="eastAsia" w:hAnsi="宋体" w:cs="宋体"/>
          <w:b/>
          <w:color w:val="auto"/>
          <w:sz w:val="28"/>
          <w:highlight w:val="none"/>
        </w:rPr>
      </w:pPr>
    </w:p>
    <w:p w14:paraId="26F23451">
      <w:pPr>
        <w:pStyle w:val="15"/>
        <w:spacing w:line="300" w:lineRule="auto"/>
        <w:jc w:val="center"/>
        <w:rPr>
          <w:rFonts w:hint="eastAsia" w:hAnsi="宋体" w:cs="宋体"/>
          <w:b/>
          <w:color w:val="auto"/>
          <w:sz w:val="28"/>
          <w:highlight w:val="none"/>
        </w:rPr>
      </w:pPr>
    </w:p>
    <w:p w14:paraId="4E6B80FA">
      <w:pPr>
        <w:pStyle w:val="15"/>
        <w:spacing w:line="300" w:lineRule="auto"/>
        <w:jc w:val="center"/>
        <w:rPr>
          <w:rFonts w:hint="eastAsia" w:hAnsi="宋体" w:cs="宋体"/>
          <w:b/>
          <w:color w:val="auto"/>
          <w:sz w:val="28"/>
          <w:highlight w:val="none"/>
        </w:rPr>
      </w:pPr>
    </w:p>
    <w:p w14:paraId="69D96F98">
      <w:pPr>
        <w:pStyle w:val="15"/>
        <w:spacing w:line="300" w:lineRule="auto"/>
        <w:jc w:val="center"/>
        <w:rPr>
          <w:rFonts w:hint="eastAsia" w:hAnsi="宋体" w:cs="宋体"/>
          <w:b/>
          <w:color w:val="auto"/>
          <w:sz w:val="28"/>
          <w:highlight w:val="none"/>
        </w:rPr>
      </w:pPr>
    </w:p>
    <w:p w14:paraId="3D0159C1">
      <w:pPr>
        <w:pStyle w:val="15"/>
        <w:spacing w:line="300" w:lineRule="auto"/>
        <w:jc w:val="center"/>
        <w:rPr>
          <w:rFonts w:hint="eastAsia" w:hAnsi="宋体" w:cs="宋体"/>
          <w:b/>
          <w:color w:val="auto"/>
          <w:sz w:val="28"/>
          <w:highlight w:val="none"/>
        </w:rPr>
      </w:pPr>
    </w:p>
    <w:p w14:paraId="516176C8">
      <w:pPr>
        <w:pStyle w:val="15"/>
        <w:spacing w:line="300" w:lineRule="auto"/>
        <w:jc w:val="center"/>
        <w:rPr>
          <w:rFonts w:hint="eastAsia" w:hAnsi="宋体" w:cs="宋体"/>
          <w:b/>
          <w:color w:val="auto"/>
          <w:sz w:val="28"/>
          <w:highlight w:val="none"/>
        </w:rPr>
      </w:pPr>
    </w:p>
    <w:p w14:paraId="41046510">
      <w:pPr>
        <w:pStyle w:val="15"/>
        <w:spacing w:line="300" w:lineRule="auto"/>
        <w:jc w:val="center"/>
        <w:rPr>
          <w:rFonts w:hint="eastAsia" w:hAnsi="宋体" w:cs="宋体"/>
          <w:b/>
          <w:color w:val="auto"/>
          <w:sz w:val="28"/>
          <w:highlight w:val="none"/>
        </w:rPr>
      </w:pPr>
    </w:p>
    <w:p w14:paraId="4FA409E8">
      <w:pPr>
        <w:pStyle w:val="15"/>
        <w:spacing w:line="300" w:lineRule="auto"/>
        <w:jc w:val="center"/>
        <w:rPr>
          <w:rFonts w:hint="eastAsia" w:hAnsi="宋体" w:cs="宋体"/>
          <w:b/>
          <w:color w:val="auto"/>
          <w:sz w:val="28"/>
          <w:highlight w:val="none"/>
        </w:rPr>
      </w:pPr>
    </w:p>
    <w:p w14:paraId="330CF895">
      <w:pPr>
        <w:pStyle w:val="15"/>
        <w:spacing w:line="300" w:lineRule="auto"/>
        <w:jc w:val="center"/>
        <w:rPr>
          <w:rFonts w:hint="eastAsia" w:hAnsi="宋体" w:cs="宋体"/>
          <w:b/>
          <w:color w:val="auto"/>
          <w:sz w:val="28"/>
          <w:highlight w:val="none"/>
        </w:rPr>
      </w:pPr>
    </w:p>
    <w:p w14:paraId="78ED0808">
      <w:pPr>
        <w:pStyle w:val="15"/>
        <w:spacing w:line="300" w:lineRule="auto"/>
        <w:jc w:val="center"/>
        <w:rPr>
          <w:rFonts w:hint="eastAsia" w:hAnsi="宋体" w:cs="宋体"/>
          <w:b/>
          <w:color w:val="auto"/>
          <w:sz w:val="28"/>
          <w:highlight w:val="none"/>
        </w:rPr>
      </w:pPr>
    </w:p>
    <w:p w14:paraId="5CE89D11">
      <w:pPr>
        <w:pStyle w:val="15"/>
        <w:spacing w:line="300" w:lineRule="auto"/>
        <w:jc w:val="center"/>
        <w:rPr>
          <w:rFonts w:hint="eastAsia" w:hAnsi="宋体" w:cs="宋体"/>
          <w:b/>
          <w:color w:val="auto"/>
          <w:sz w:val="28"/>
          <w:highlight w:val="none"/>
        </w:rPr>
      </w:pPr>
    </w:p>
    <w:p w14:paraId="19252F78">
      <w:pPr>
        <w:pStyle w:val="15"/>
        <w:spacing w:line="300" w:lineRule="auto"/>
        <w:jc w:val="center"/>
        <w:rPr>
          <w:rFonts w:hint="eastAsia" w:hAnsi="宋体" w:cs="宋体"/>
          <w:b/>
          <w:color w:val="auto"/>
          <w:sz w:val="28"/>
          <w:highlight w:val="none"/>
        </w:rPr>
      </w:pPr>
    </w:p>
    <w:p w14:paraId="1FF97957">
      <w:pPr>
        <w:pStyle w:val="15"/>
        <w:spacing w:line="300" w:lineRule="auto"/>
        <w:jc w:val="center"/>
        <w:rPr>
          <w:rFonts w:hint="eastAsia" w:hAnsi="宋体" w:cs="宋体"/>
          <w:b/>
          <w:color w:val="auto"/>
          <w:sz w:val="28"/>
          <w:highlight w:val="none"/>
        </w:rPr>
      </w:pPr>
    </w:p>
    <w:p w14:paraId="53C8F2AE">
      <w:pPr>
        <w:pStyle w:val="15"/>
        <w:spacing w:line="300" w:lineRule="auto"/>
        <w:jc w:val="center"/>
        <w:rPr>
          <w:rFonts w:hint="eastAsia" w:hAnsi="宋体" w:cs="宋体"/>
          <w:b/>
          <w:color w:val="auto"/>
          <w:sz w:val="28"/>
          <w:highlight w:val="none"/>
        </w:rPr>
      </w:pPr>
    </w:p>
    <w:p w14:paraId="70802023">
      <w:pPr>
        <w:pStyle w:val="15"/>
        <w:spacing w:line="300" w:lineRule="auto"/>
        <w:jc w:val="center"/>
        <w:rPr>
          <w:rFonts w:hint="eastAsia" w:hAnsi="宋体" w:cs="宋体"/>
          <w:b/>
          <w:color w:val="auto"/>
          <w:sz w:val="28"/>
          <w:highlight w:val="none"/>
        </w:rPr>
      </w:pPr>
    </w:p>
    <w:p w14:paraId="05C5DF36">
      <w:pPr>
        <w:pStyle w:val="15"/>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5"/>
        <w:spacing w:line="360" w:lineRule="auto"/>
        <w:ind w:left="14" w:firstLine="466"/>
        <w:rPr>
          <w:rFonts w:hAnsi="宋体" w:cs="宋体"/>
          <w:color w:val="auto"/>
          <w:highlight w:val="none"/>
        </w:rPr>
      </w:pPr>
    </w:p>
    <w:p w14:paraId="3DB6A312">
      <w:pPr>
        <w:pStyle w:val="15"/>
        <w:spacing w:line="360" w:lineRule="auto"/>
        <w:ind w:left="14" w:firstLine="466"/>
        <w:rPr>
          <w:rFonts w:hAnsi="宋体" w:cs="宋体"/>
          <w:color w:val="auto"/>
          <w:highlight w:val="none"/>
        </w:rPr>
      </w:pPr>
    </w:p>
    <w:p w14:paraId="490C8FFA">
      <w:pPr>
        <w:pStyle w:val="15"/>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5"/>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481502F0">
      <w:pPr>
        <w:pStyle w:val="15"/>
        <w:spacing w:line="360" w:lineRule="auto"/>
        <w:ind w:firstLine="480"/>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w:t>
      </w:r>
    </w:p>
    <w:p w14:paraId="1E7735AD">
      <w:pPr>
        <w:pStyle w:val="15"/>
        <w:spacing w:line="360" w:lineRule="auto"/>
        <w:ind w:firstLine="480"/>
        <w:rPr>
          <w:rFonts w:hAnsi="宋体" w:cs="宋体"/>
          <w:color w:val="auto"/>
          <w:highlight w:val="none"/>
        </w:rPr>
      </w:pPr>
      <w:r>
        <w:rPr>
          <w:rFonts w:hint="eastAsia" w:hAnsi="宋体" w:cs="宋体"/>
          <w:color w:val="auto"/>
          <w:highlight w:val="none"/>
        </w:rPr>
        <w:t>。</w:t>
      </w:r>
    </w:p>
    <w:p w14:paraId="37C0FFC5">
      <w:pPr>
        <w:pStyle w:val="15"/>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5"/>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5"/>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5"/>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5"/>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lang w:eastAsia="zh-CN"/>
        </w:rPr>
        <w:t>惠州宏琛200MW/400MWh储能电站建设项目储能设备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5"/>
        <w:spacing w:line="360" w:lineRule="auto"/>
        <w:rPr>
          <w:rFonts w:hAnsi="宋体" w:cs="宋体"/>
          <w:color w:val="auto"/>
          <w:highlight w:val="none"/>
        </w:rPr>
      </w:pPr>
    </w:p>
    <w:p w14:paraId="2AF9C424">
      <w:pPr>
        <w:pStyle w:val="15"/>
        <w:spacing w:line="360" w:lineRule="auto"/>
        <w:rPr>
          <w:rFonts w:hAnsi="宋体" w:cs="宋体"/>
          <w:color w:val="auto"/>
          <w:highlight w:val="none"/>
        </w:rPr>
      </w:pPr>
    </w:p>
    <w:p w14:paraId="65BE88D7">
      <w:pPr>
        <w:pStyle w:val="15"/>
        <w:spacing w:line="360" w:lineRule="auto"/>
        <w:rPr>
          <w:rFonts w:hAnsi="宋体" w:cs="宋体"/>
          <w:color w:val="auto"/>
          <w:highlight w:val="none"/>
        </w:rPr>
      </w:pPr>
    </w:p>
    <w:p w14:paraId="7FBBC006">
      <w:pPr>
        <w:pStyle w:val="15"/>
        <w:spacing w:line="360" w:lineRule="auto"/>
        <w:rPr>
          <w:rFonts w:hAnsi="宋体" w:cs="宋体"/>
          <w:color w:val="auto"/>
          <w:highlight w:val="none"/>
        </w:rPr>
      </w:pPr>
    </w:p>
    <w:p w14:paraId="460BB598">
      <w:pPr>
        <w:pStyle w:val="15"/>
        <w:spacing w:line="360" w:lineRule="auto"/>
        <w:rPr>
          <w:rFonts w:hAnsi="宋体" w:cs="宋体"/>
          <w:color w:val="auto"/>
          <w:highlight w:val="none"/>
        </w:rPr>
      </w:pPr>
    </w:p>
    <w:p w14:paraId="03B1ED84">
      <w:pPr>
        <w:pStyle w:val="15"/>
        <w:spacing w:line="360" w:lineRule="auto"/>
        <w:rPr>
          <w:rFonts w:hAnsi="宋体" w:cs="宋体"/>
          <w:color w:val="auto"/>
          <w:highlight w:val="none"/>
        </w:rPr>
      </w:pPr>
    </w:p>
    <w:p w14:paraId="3F401704">
      <w:pPr>
        <w:pStyle w:val="15"/>
        <w:spacing w:line="360" w:lineRule="auto"/>
        <w:rPr>
          <w:rFonts w:hAnsi="宋体" w:cs="宋体"/>
          <w:color w:val="auto"/>
          <w:highlight w:val="none"/>
        </w:rPr>
      </w:pPr>
    </w:p>
    <w:p w14:paraId="404FFEDE">
      <w:pPr>
        <w:pStyle w:val="15"/>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5"/>
        <w:spacing w:line="360" w:lineRule="auto"/>
        <w:ind w:left="6994" w:hanging="6720"/>
        <w:rPr>
          <w:rFonts w:hAnsi="宋体" w:cs="宋体"/>
          <w:color w:val="auto"/>
          <w:highlight w:val="none"/>
        </w:rPr>
      </w:pPr>
    </w:p>
    <w:p w14:paraId="4E53D3E6">
      <w:pPr>
        <w:pStyle w:val="15"/>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5"/>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5"/>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5"/>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5"/>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5"/>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5"/>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5"/>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5"/>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5"/>
        <w:spacing w:line="300" w:lineRule="auto"/>
        <w:rPr>
          <w:rFonts w:hAnsi="宋体" w:cs="宋体"/>
          <w:color w:val="auto"/>
          <w:highlight w:val="none"/>
        </w:rPr>
      </w:pPr>
    </w:p>
    <w:p w14:paraId="75590143">
      <w:pPr>
        <w:pStyle w:val="15"/>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5"/>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5"/>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5"/>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5"/>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5"/>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5"/>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5"/>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5"/>
        <w:spacing w:line="360" w:lineRule="auto"/>
        <w:rPr>
          <w:rFonts w:hAnsi="宋体" w:cs="宋体"/>
          <w:color w:val="auto"/>
          <w:highlight w:val="none"/>
        </w:rPr>
      </w:pPr>
      <w:r>
        <w:rPr>
          <w:rFonts w:hint="eastAsia" w:hAnsi="宋体" w:cs="宋体"/>
          <w:color w:val="auto"/>
          <w:highlight w:val="none"/>
        </w:rPr>
        <w:t>2 公司组织：</w:t>
      </w:r>
    </w:p>
    <w:p w14:paraId="5853ABC1">
      <w:pPr>
        <w:pStyle w:val="15"/>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5"/>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5"/>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5"/>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5"/>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5"/>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5"/>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5"/>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5"/>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5"/>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5"/>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5"/>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5"/>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5"/>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5"/>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7"/>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5"/>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5"/>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5"/>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5"/>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5"/>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5"/>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5"/>
        <w:spacing w:line="360" w:lineRule="auto"/>
        <w:ind w:firstLine="4197"/>
        <w:rPr>
          <w:rFonts w:hAnsi="宋体" w:cs="宋体"/>
          <w:color w:val="auto"/>
          <w:highlight w:val="none"/>
          <w:u w:val="single"/>
        </w:rPr>
      </w:pPr>
    </w:p>
    <w:p w14:paraId="17DCB2F7">
      <w:pPr>
        <w:pStyle w:val="15"/>
        <w:spacing w:line="300" w:lineRule="auto"/>
        <w:ind w:firstLine="4197"/>
        <w:rPr>
          <w:rFonts w:hAnsi="宋体" w:cs="宋体"/>
          <w:color w:val="auto"/>
          <w:highlight w:val="none"/>
          <w:u w:val="single"/>
        </w:rPr>
      </w:pPr>
    </w:p>
    <w:p w14:paraId="3FEBEB3B">
      <w:pPr>
        <w:pStyle w:val="15"/>
        <w:spacing w:line="300" w:lineRule="auto"/>
        <w:ind w:firstLine="4197"/>
        <w:rPr>
          <w:rFonts w:hAnsi="宋体" w:cs="宋体"/>
          <w:color w:val="auto"/>
          <w:highlight w:val="none"/>
          <w:u w:val="single"/>
        </w:rPr>
      </w:pPr>
    </w:p>
    <w:p w14:paraId="71F1D2C8">
      <w:pPr>
        <w:pStyle w:val="15"/>
        <w:spacing w:line="300" w:lineRule="auto"/>
        <w:ind w:firstLine="4197"/>
        <w:rPr>
          <w:rFonts w:hAnsi="宋体" w:cs="宋体"/>
          <w:color w:val="auto"/>
          <w:highlight w:val="none"/>
          <w:u w:val="single"/>
        </w:rPr>
      </w:pPr>
    </w:p>
    <w:p w14:paraId="64D6A4F5">
      <w:pPr>
        <w:pStyle w:val="15"/>
        <w:spacing w:line="300" w:lineRule="auto"/>
        <w:ind w:firstLine="4197"/>
        <w:rPr>
          <w:rFonts w:hAnsi="宋体" w:cs="宋体"/>
          <w:color w:val="auto"/>
          <w:highlight w:val="none"/>
          <w:u w:val="single"/>
        </w:rPr>
      </w:pPr>
    </w:p>
    <w:p w14:paraId="1AA52812">
      <w:pPr>
        <w:pStyle w:val="15"/>
        <w:spacing w:line="300" w:lineRule="auto"/>
        <w:ind w:firstLine="4197"/>
        <w:rPr>
          <w:rFonts w:hAnsi="宋体" w:cs="宋体"/>
          <w:color w:val="auto"/>
          <w:highlight w:val="none"/>
          <w:u w:val="single"/>
        </w:rPr>
      </w:pPr>
    </w:p>
    <w:p w14:paraId="2C30BCBF">
      <w:pPr>
        <w:pStyle w:val="15"/>
        <w:spacing w:line="300" w:lineRule="auto"/>
        <w:ind w:firstLine="4197"/>
        <w:rPr>
          <w:rFonts w:hAnsi="宋体" w:cs="宋体"/>
          <w:color w:val="auto"/>
          <w:highlight w:val="none"/>
          <w:u w:val="single"/>
        </w:rPr>
      </w:pPr>
    </w:p>
    <w:p w14:paraId="00E647B5">
      <w:pPr>
        <w:pStyle w:val="15"/>
        <w:spacing w:line="300" w:lineRule="auto"/>
        <w:ind w:firstLine="4197"/>
        <w:rPr>
          <w:rFonts w:hAnsi="宋体" w:cs="宋体"/>
          <w:color w:val="auto"/>
          <w:highlight w:val="none"/>
          <w:u w:val="single"/>
        </w:rPr>
      </w:pPr>
    </w:p>
    <w:p w14:paraId="63D551A0">
      <w:pPr>
        <w:pStyle w:val="15"/>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w:t>
      </w:r>
      <w:r>
        <w:rPr>
          <w:rFonts w:hint="eastAsia" w:ascii="宋体" w:hAnsi="宋体" w:cs="宋体"/>
          <w:b/>
          <w:color w:val="auto"/>
          <w:sz w:val="28"/>
          <w:highlight w:val="none"/>
          <w:lang w:val="en-US" w:eastAsia="zh-CN"/>
        </w:rPr>
        <w:t>5</w:t>
      </w:r>
      <w:r>
        <w:rPr>
          <w:rFonts w:hint="eastAsia" w:ascii="宋体" w:hAnsi="宋体" w:cs="宋体"/>
          <w:b/>
          <w:color w:val="auto"/>
          <w:sz w:val="28"/>
          <w:highlight w:val="none"/>
        </w:rPr>
        <w:t xml:space="preserve">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5"/>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5"/>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5"/>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5"/>
        <w:spacing w:line="300" w:lineRule="auto"/>
        <w:ind w:firstLine="4500"/>
        <w:rPr>
          <w:rFonts w:hAnsi="宋体" w:cs="宋体"/>
          <w:color w:val="auto"/>
          <w:highlight w:val="none"/>
          <w:u w:val="single"/>
        </w:rPr>
      </w:pPr>
    </w:p>
    <w:p w14:paraId="3A130202">
      <w:pPr>
        <w:pStyle w:val="15"/>
        <w:spacing w:line="300" w:lineRule="auto"/>
        <w:ind w:firstLine="4500"/>
        <w:rPr>
          <w:rFonts w:hAnsi="宋体" w:cs="宋体"/>
          <w:color w:val="auto"/>
          <w:highlight w:val="none"/>
          <w:u w:val="single"/>
        </w:rPr>
      </w:pPr>
    </w:p>
    <w:p w14:paraId="4EAEE6D3">
      <w:pPr>
        <w:pStyle w:val="15"/>
        <w:spacing w:line="300" w:lineRule="auto"/>
        <w:ind w:firstLine="4500"/>
        <w:rPr>
          <w:rFonts w:hAnsi="宋体" w:cs="宋体"/>
          <w:color w:val="auto"/>
          <w:highlight w:val="none"/>
          <w:u w:val="single"/>
        </w:rPr>
      </w:pPr>
    </w:p>
    <w:p w14:paraId="14F4E72A">
      <w:pPr>
        <w:pStyle w:val="15"/>
        <w:spacing w:line="300" w:lineRule="auto"/>
        <w:ind w:firstLine="4500"/>
        <w:rPr>
          <w:rFonts w:hAnsi="宋体" w:cs="宋体"/>
          <w:color w:val="auto"/>
          <w:highlight w:val="none"/>
          <w:u w:val="single"/>
        </w:rPr>
      </w:pPr>
    </w:p>
    <w:p w14:paraId="5B21B38B">
      <w:pPr>
        <w:pStyle w:val="15"/>
        <w:spacing w:line="300" w:lineRule="auto"/>
        <w:ind w:firstLine="4500"/>
        <w:rPr>
          <w:rFonts w:hAnsi="宋体" w:cs="宋体"/>
          <w:color w:val="auto"/>
          <w:highlight w:val="none"/>
          <w:u w:val="single"/>
        </w:rPr>
      </w:pPr>
    </w:p>
    <w:p w14:paraId="13A5CC37">
      <w:pPr>
        <w:pStyle w:val="15"/>
        <w:spacing w:line="300" w:lineRule="auto"/>
        <w:ind w:firstLine="4500"/>
        <w:rPr>
          <w:rFonts w:hAnsi="宋体" w:cs="宋体"/>
          <w:color w:val="auto"/>
          <w:highlight w:val="none"/>
          <w:u w:val="single"/>
        </w:rPr>
      </w:pPr>
    </w:p>
    <w:p w14:paraId="71D66C34">
      <w:pPr>
        <w:pStyle w:val="15"/>
        <w:spacing w:line="300" w:lineRule="auto"/>
        <w:ind w:firstLine="4500"/>
        <w:rPr>
          <w:rFonts w:hAnsi="宋体" w:cs="宋体"/>
          <w:color w:val="auto"/>
          <w:highlight w:val="none"/>
          <w:u w:val="single"/>
        </w:rPr>
      </w:pPr>
    </w:p>
    <w:p w14:paraId="02BD919F">
      <w:pPr>
        <w:pStyle w:val="15"/>
        <w:spacing w:line="300" w:lineRule="auto"/>
        <w:ind w:firstLine="4500"/>
        <w:rPr>
          <w:rFonts w:hAnsi="宋体" w:cs="宋体"/>
          <w:color w:val="auto"/>
          <w:highlight w:val="none"/>
          <w:u w:val="single"/>
        </w:rPr>
      </w:pPr>
    </w:p>
    <w:p w14:paraId="2D898DB9">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84" w:name="_Toc165223401"/>
      <w:bookmarkStart w:id="85" w:name="_Toc246834303"/>
      <w:bookmarkStart w:id="86" w:name="_Toc116990236"/>
      <w:bookmarkStart w:id="87" w:name="_Toc480288263"/>
      <w:bookmarkStart w:id="88" w:name="_Toc43269252"/>
      <w:r>
        <w:rPr>
          <w:rFonts w:hint="eastAsia" w:ascii="宋体" w:hAnsi="宋体" w:eastAsia="宋体" w:cs="宋体"/>
          <w:color w:val="auto"/>
          <w:sz w:val="28"/>
          <w:szCs w:val="24"/>
          <w:highlight w:val="none"/>
        </w:rPr>
        <w:t>文件五  授权书格式</w:t>
      </w:r>
      <w:bookmarkEnd w:id="84"/>
      <w:bookmarkEnd w:id="85"/>
      <w:bookmarkEnd w:id="86"/>
      <w:bookmarkEnd w:id="87"/>
      <w:bookmarkEnd w:id="88"/>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惠州宏琛200MW/400MWh储能电站建设项目储能设备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6"/>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89" w:name="_Toc480288264"/>
      <w:bookmarkStart w:id="90" w:name="_Toc21266"/>
      <w:bookmarkStart w:id="91" w:name="_Toc30520231"/>
      <w:bookmarkStart w:id="92" w:name="_Toc43269254"/>
      <w:bookmarkStart w:id="93" w:name="_Toc246834305"/>
      <w:bookmarkStart w:id="94" w:name="_Toc116990238"/>
    </w:p>
    <w:p w14:paraId="170E829C">
      <w:pPr>
        <w:spacing w:line="360" w:lineRule="auto"/>
        <w:jc w:val="center"/>
        <w:outlineLvl w:val="1"/>
        <w:rPr>
          <w:rFonts w:ascii="宋体" w:hAnsi="宋体" w:cs="宋体"/>
          <w:b/>
          <w:bCs/>
          <w:color w:val="auto"/>
          <w:sz w:val="28"/>
          <w:highlight w:val="none"/>
        </w:rPr>
      </w:pPr>
      <w:r>
        <w:rPr>
          <w:rFonts w:hint="eastAsia" w:ascii="宋体" w:hAnsi="宋体" w:cs="宋体"/>
          <w:b/>
          <w:bCs/>
          <w:color w:val="auto"/>
          <w:sz w:val="28"/>
          <w:highlight w:val="none"/>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7"/>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5"/>
        <w:spacing w:line="360" w:lineRule="auto"/>
        <w:ind w:firstLine="4139"/>
        <w:rPr>
          <w:rFonts w:hAnsi="宋体" w:cs="宋体"/>
          <w:color w:val="auto"/>
          <w:highlight w:val="none"/>
        </w:rPr>
      </w:pPr>
    </w:p>
    <w:p w14:paraId="0FF43189">
      <w:pPr>
        <w:pStyle w:val="15"/>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5"/>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5"/>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5"/>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5"/>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5"/>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95" w:name="_Toc43269255"/>
      <w:bookmarkStart w:id="96" w:name="_Toc30520232"/>
      <w:bookmarkStart w:id="97" w:name="_Toc246834306"/>
      <w:bookmarkStart w:id="98" w:name="_Toc116990239"/>
    </w:p>
    <w:p w14:paraId="50DD5D2A">
      <w:pPr>
        <w:rPr>
          <w:rFonts w:ascii="宋体" w:hAnsi="宋体" w:cs="宋体"/>
          <w:color w:val="auto"/>
          <w:sz w:val="28"/>
          <w:highlight w:val="none"/>
        </w:rPr>
      </w:pPr>
      <w:bookmarkStart w:id="99" w:name="_Toc480288265"/>
      <w:r>
        <w:rPr>
          <w:rFonts w:hint="eastAsia" w:ascii="宋体" w:hAnsi="宋体" w:cs="宋体"/>
          <w:color w:val="auto"/>
          <w:sz w:val="28"/>
          <w:highlight w:val="none"/>
        </w:rPr>
        <w:br w:type="page"/>
      </w:r>
    </w:p>
    <w:p w14:paraId="2B102DFF">
      <w:pPr>
        <w:pStyle w:val="3"/>
        <w:adjustRightInd w:val="0"/>
        <w:spacing w:before="200" w:after="0"/>
        <w:jc w:val="center"/>
        <w:textAlignment w:val="baseline"/>
        <w:rPr>
          <w:rFonts w:ascii="宋体" w:hAnsi="宋体" w:eastAsia="宋体" w:cs="宋体"/>
          <w:color w:val="auto"/>
          <w:sz w:val="28"/>
          <w:szCs w:val="24"/>
          <w:highlight w:val="none"/>
        </w:rPr>
      </w:pPr>
      <w:bookmarkStart w:id="100" w:name="_Toc165223402"/>
      <w:r>
        <w:rPr>
          <w:rFonts w:hint="eastAsia" w:ascii="宋体" w:hAnsi="宋体" w:eastAsia="宋体" w:cs="宋体"/>
          <w:color w:val="auto"/>
          <w:sz w:val="28"/>
          <w:szCs w:val="24"/>
          <w:highlight w:val="none"/>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7"/>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5"/>
        <w:spacing w:line="360" w:lineRule="auto"/>
        <w:ind w:firstLine="4678"/>
        <w:rPr>
          <w:rFonts w:hAnsi="宋体" w:cs="宋体"/>
          <w:color w:val="auto"/>
          <w:highlight w:val="none"/>
        </w:rPr>
      </w:pPr>
    </w:p>
    <w:p w14:paraId="28157E46">
      <w:pPr>
        <w:pStyle w:val="15"/>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5"/>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5"/>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5"/>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5"/>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5"/>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color w:val="auto"/>
          <w:sz w:val="28"/>
          <w:szCs w:val="24"/>
          <w:highlight w:val="none"/>
        </w:rPr>
      </w:pPr>
      <w:bookmarkStart w:id="101" w:name="_Toc116990240"/>
      <w:bookmarkStart w:id="102" w:name="_Toc246834307"/>
      <w:bookmarkStart w:id="103" w:name="_Toc43269256"/>
      <w:bookmarkStart w:id="104" w:name="_Toc30520233"/>
      <w:bookmarkStart w:id="105" w:name="_Toc165223403"/>
      <w:bookmarkStart w:id="106" w:name="_Toc480288266"/>
      <w:r>
        <w:rPr>
          <w:rFonts w:hint="eastAsia" w:ascii="宋体" w:hAnsi="宋体" w:eastAsia="宋体" w:cs="宋体"/>
          <w:color w:val="auto"/>
          <w:sz w:val="28"/>
          <w:szCs w:val="24"/>
          <w:highlight w:val="none"/>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7"/>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5"/>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5"/>
        <w:spacing w:line="360" w:lineRule="auto"/>
        <w:ind w:firstLine="7920"/>
        <w:rPr>
          <w:rFonts w:hAnsi="宋体" w:cs="宋体"/>
          <w:color w:val="auto"/>
          <w:highlight w:val="none"/>
        </w:rPr>
      </w:pPr>
    </w:p>
    <w:p w14:paraId="2D4F6C56">
      <w:pPr>
        <w:pStyle w:val="15"/>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5"/>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5"/>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color w:val="auto"/>
          <w:sz w:val="28"/>
          <w:szCs w:val="24"/>
          <w:highlight w:val="none"/>
        </w:rPr>
      </w:pPr>
      <w:bookmarkStart w:id="107" w:name="_Toc43269257"/>
      <w:bookmarkStart w:id="108" w:name="_Toc165223404"/>
      <w:bookmarkStart w:id="109" w:name="_Toc30520234"/>
      <w:bookmarkStart w:id="110" w:name="_Toc246834308"/>
      <w:bookmarkStart w:id="111" w:name="_Toc116990241"/>
      <w:bookmarkStart w:id="112" w:name="_Toc480288267"/>
      <w:r>
        <w:rPr>
          <w:rFonts w:hint="eastAsia" w:ascii="宋体" w:hAnsi="宋体" w:eastAsia="宋体" w:cs="宋体"/>
          <w:color w:val="auto"/>
          <w:sz w:val="28"/>
          <w:szCs w:val="24"/>
          <w:highlight w:val="none"/>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color w:val="auto"/>
          <w:highlight w:val="none"/>
        </w:rPr>
      </w:pPr>
      <w:bookmarkStart w:id="113" w:name="_Toc110848141"/>
      <w:bookmarkStart w:id="114" w:name="_Toc100734765"/>
    </w:p>
    <w:bookmarkEnd w:id="113"/>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填写性能参数保证表。</w:t>
      </w:r>
    </w:p>
    <w:bookmarkEnd w:id="114"/>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5"/>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5"/>
        <w:spacing w:line="300" w:lineRule="auto"/>
        <w:rPr>
          <w:rFonts w:hAnsi="宋体" w:cs="宋体"/>
          <w:color w:val="auto"/>
          <w:highlight w:val="none"/>
        </w:rPr>
      </w:pPr>
    </w:p>
    <w:p w14:paraId="7271C849">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15" w:name="_Toc43269259"/>
      <w:bookmarkStart w:id="116" w:name="_Toc30520236"/>
      <w:bookmarkStart w:id="117" w:name="_Toc165223405"/>
      <w:bookmarkStart w:id="118" w:name="_Toc116990243"/>
      <w:bookmarkStart w:id="119" w:name="_Toc480288268"/>
      <w:bookmarkStart w:id="120" w:name="_Toc246834310"/>
      <w:r>
        <w:rPr>
          <w:rFonts w:hint="eastAsia" w:ascii="宋体" w:hAnsi="宋体" w:eastAsia="宋体" w:cs="宋体"/>
          <w:color w:val="auto"/>
          <w:sz w:val="28"/>
          <w:szCs w:val="24"/>
          <w:highlight w:val="none"/>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tbl>
      <w:tblPr>
        <w:tblStyle w:val="27"/>
        <w:tblW w:w="740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5"/>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5"/>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1" w:name="_Toc480288269"/>
      <w:bookmarkStart w:id="122" w:name="_Toc246834311"/>
      <w:bookmarkStart w:id="123" w:name="_Toc480358202"/>
      <w:bookmarkStart w:id="124" w:name="_Toc30520237"/>
      <w:bookmarkStart w:id="125" w:name="_Toc116990244"/>
      <w:bookmarkStart w:id="126" w:name="_Toc43269260"/>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spacing w:line="300" w:lineRule="auto"/>
        <w:jc w:val="left"/>
        <w:rPr>
          <w:rFonts w:ascii="宋体" w:hAnsi="宋体" w:cs="宋体"/>
          <w:color w:val="auto"/>
          <w:highlight w:val="none"/>
        </w:rPr>
      </w:pPr>
    </w:p>
    <w:p w14:paraId="30173E42">
      <w:pPr>
        <w:spacing w:line="300" w:lineRule="auto"/>
        <w:jc w:val="left"/>
        <w:rPr>
          <w:rFonts w:ascii="宋体" w:hAnsi="宋体" w:cs="宋体"/>
          <w:color w:val="auto"/>
          <w:highlight w:val="none"/>
        </w:rPr>
      </w:pPr>
    </w:p>
    <w:p w14:paraId="15B87F55">
      <w:pPr>
        <w:pStyle w:val="3"/>
        <w:adjustRightInd w:val="0"/>
        <w:spacing w:before="200" w:after="0"/>
        <w:textAlignment w:val="baseline"/>
        <w:rPr>
          <w:rFonts w:ascii="宋体" w:hAnsi="宋体" w:eastAsia="宋体" w:cs="宋体"/>
          <w:color w:val="auto"/>
          <w:sz w:val="28"/>
          <w:szCs w:val="24"/>
          <w:highlight w:val="none"/>
        </w:rPr>
      </w:pPr>
    </w:p>
    <w:p w14:paraId="45338EC2">
      <w:pPr>
        <w:pStyle w:val="3"/>
        <w:adjustRightInd w:val="0"/>
        <w:spacing w:before="200" w:after="0"/>
        <w:textAlignment w:val="baseline"/>
        <w:rPr>
          <w:rFonts w:ascii="宋体" w:hAnsi="宋体" w:eastAsia="宋体" w:cs="宋体"/>
          <w:color w:val="auto"/>
          <w:sz w:val="28"/>
          <w:szCs w:val="24"/>
          <w:highlight w:val="none"/>
        </w:rPr>
      </w:pPr>
    </w:p>
    <w:p w14:paraId="7C8489B3">
      <w:pPr>
        <w:pStyle w:val="3"/>
        <w:adjustRightInd w:val="0"/>
        <w:spacing w:before="200" w:after="0"/>
        <w:textAlignment w:val="baseline"/>
        <w:rPr>
          <w:rFonts w:ascii="宋体" w:hAnsi="宋体" w:eastAsia="宋体" w:cs="宋体"/>
          <w:color w:val="auto"/>
          <w:sz w:val="28"/>
          <w:szCs w:val="24"/>
          <w:highlight w:val="none"/>
        </w:rPr>
      </w:pPr>
    </w:p>
    <w:p w14:paraId="760E8D20">
      <w:pPr>
        <w:pStyle w:val="3"/>
        <w:adjustRightInd w:val="0"/>
        <w:spacing w:before="200" w:after="0"/>
        <w:textAlignment w:val="baseline"/>
        <w:rPr>
          <w:rFonts w:ascii="宋体" w:hAnsi="宋体" w:eastAsia="宋体" w:cs="宋体"/>
          <w:color w:val="auto"/>
          <w:sz w:val="28"/>
          <w:szCs w:val="24"/>
          <w:highlight w:val="none"/>
        </w:rPr>
      </w:pPr>
    </w:p>
    <w:p w14:paraId="750CFAFB">
      <w:pPr>
        <w:pStyle w:val="3"/>
        <w:adjustRightInd w:val="0"/>
        <w:spacing w:before="200" w:after="0"/>
        <w:textAlignment w:val="baseline"/>
        <w:rPr>
          <w:rFonts w:ascii="宋体" w:hAnsi="宋体" w:eastAsia="宋体" w:cs="宋体"/>
          <w:color w:val="auto"/>
          <w:sz w:val="28"/>
          <w:szCs w:val="24"/>
          <w:highlight w:val="none"/>
        </w:rPr>
      </w:pPr>
    </w:p>
    <w:p w14:paraId="25F7114C">
      <w:pPr>
        <w:pStyle w:val="3"/>
        <w:adjustRightInd w:val="0"/>
        <w:spacing w:before="200" w:after="0"/>
        <w:textAlignment w:val="baseline"/>
        <w:rPr>
          <w:rFonts w:ascii="宋体" w:hAnsi="宋体" w:eastAsia="宋体" w:cs="宋体"/>
          <w:color w:val="auto"/>
          <w:sz w:val="28"/>
          <w:szCs w:val="24"/>
          <w:highlight w:val="none"/>
        </w:rPr>
      </w:pPr>
    </w:p>
    <w:p w14:paraId="7E7B580B">
      <w:pPr>
        <w:spacing w:line="360" w:lineRule="auto"/>
        <w:ind w:firstLine="480"/>
        <w:jc w:val="left"/>
        <w:rPr>
          <w:rFonts w:ascii="宋体" w:hAnsi="宋体" w:cs="宋体"/>
          <w:color w:val="auto"/>
          <w:highlight w:val="none"/>
        </w:rPr>
      </w:pPr>
    </w:p>
    <w:p w14:paraId="464F5650">
      <w:pPr>
        <w:pStyle w:val="3"/>
        <w:adjustRightInd w:val="0"/>
        <w:spacing w:before="200" w:after="0"/>
        <w:textAlignment w:val="baseline"/>
        <w:rPr>
          <w:rFonts w:ascii="宋体" w:hAnsi="宋体" w:eastAsia="宋体" w:cs="宋体"/>
          <w:color w:val="auto"/>
          <w:sz w:val="28"/>
          <w:szCs w:val="24"/>
          <w:highlight w:val="none"/>
        </w:rPr>
      </w:pPr>
    </w:p>
    <w:p w14:paraId="3352F735">
      <w:pPr>
        <w:pStyle w:val="3"/>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480288272"/>
      <w:bookmarkStart w:id="128" w:name="_Toc246834314"/>
      <w:bookmarkStart w:id="129" w:name="_Toc30520240"/>
      <w:bookmarkStart w:id="130" w:name="_Toc116990247"/>
      <w:bookmarkStart w:id="131" w:name="_Toc43269263"/>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5"/>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5"/>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5"/>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5"/>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5"/>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5"/>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32" w:name="_Toc30520239"/>
      <w:bookmarkStart w:id="133" w:name="_Toc480288271"/>
      <w:bookmarkStart w:id="134" w:name="_Toc116990246"/>
      <w:bookmarkStart w:id="135" w:name="_Toc246834313"/>
      <w:bookmarkStart w:id="136" w:name="_Toc480358204"/>
      <w:bookmarkStart w:id="137" w:name="_Toc43269262"/>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三</w:t>
      </w:r>
      <w:r>
        <w:rPr>
          <w:rFonts w:hint="eastAsia" w:ascii="宋体" w:hAnsi="宋体" w:eastAsia="宋体" w:cs="宋体"/>
          <w:color w:val="auto"/>
          <w:sz w:val="28"/>
          <w:szCs w:val="24"/>
          <w:highlight w:val="none"/>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color w:val="auto"/>
          <w:highlight w:val="none"/>
        </w:rPr>
      </w:pPr>
    </w:p>
    <w:p w14:paraId="6ABC2249">
      <w:pPr>
        <w:pStyle w:val="15"/>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惠州宏琛200MW/400MWh储能电站建设项目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38" w:name="_Toc8422"/>
      <w:r>
        <w:rPr>
          <w:rFonts w:hint="eastAsia" w:ascii="宋体" w:hAnsi="宋体" w:cs="宋体"/>
          <w:color w:val="auto"/>
          <w:highlight w:val="none"/>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39" w:name="_Toc12621"/>
      <w:r>
        <w:rPr>
          <w:rFonts w:hint="eastAsia" w:ascii="宋体" w:hAnsi="宋体" w:cs="宋体"/>
          <w:color w:val="auto"/>
          <w:highlight w:val="none"/>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40" w:name="_Toc12128"/>
      <w:r>
        <w:rPr>
          <w:rFonts w:hint="eastAsia" w:ascii="宋体" w:hAnsi="宋体" w:cs="宋体"/>
          <w:color w:val="auto"/>
          <w:highlight w:val="none"/>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5"/>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5"/>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color w:val="auto"/>
          <w:highlight w:val="none"/>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5"/>
        <w:spacing w:line="360" w:lineRule="auto"/>
        <w:ind w:firstLine="4502"/>
        <w:rPr>
          <w:rFonts w:hAnsi="宋体" w:cs="宋体"/>
        </w:rPr>
      </w:pPr>
      <w:r>
        <w:rPr>
          <w:rFonts w:hint="eastAsia" w:hAnsi="宋体" w:cs="宋体"/>
        </w:rPr>
        <w:t>（法定代表人或</w:t>
      </w:r>
    </w:p>
    <w:p w14:paraId="07668656">
      <w:pPr>
        <w:pStyle w:val="15"/>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5"/>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5"/>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5"/>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5"/>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6"/>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5"/>
        <w:spacing w:line="360" w:lineRule="auto"/>
        <w:ind w:firstLine="4500"/>
        <w:rPr>
          <w:rFonts w:hAnsi="宋体" w:cs="宋体"/>
        </w:rPr>
      </w:pPr>
      <w:r>
        <w:rPr>
          <w:rFonts w:hint="eastAsia" w:hAnsi="宋体" w:cs="宋体"/>
        </w:rPr>
        <w:t>（法定代表人或</w:t>
      </w:r>
    </w:p>
    <w:p w14:paraId="615658B6">
      <w:pPr>
        <w:pStyle w:val="15"/>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5"/>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5"/>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5"/>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5"/>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056ED690">
      <w:pPr>
        <w:pStyle w:val="3"/>
        <w:adjustRightInd w:val="0"/>
        <w:spacing w:before="200" w:after="0"/>
        <w:ind w:firstLine="2811" w:firstLineChars="1000"/>
        <w:jc w:val="both"/>
        <w:textAlignment w:val="baseline"/>
        <w:rPr>
          <w:rFonts w:hint="eastAsia" w:ascii="宋体" w:hAnsi="宋体" w:eastAsia="宋体" w:cs="宋体"/>
          <w:sz w:val="28"/>
          <w:szCs w:val="24"/>
        </w:rPr>
      </w:pPr>
    </w:p>
    <w:p w14:paraId="2FDA6A93">
      <w:pPr>
        <w:pStyle w:val="3"/>
        <w:adjustRightInd w:val="0"/>
        <w:spacing w:before="200" w:after="0"/>
        <w:ind w:firstLine="2811" w:firstLineChars="1000"/>
        <w:jc w:val="both"/>
        <w:textAlignment w:val="baseline"/>
        <w:rPr>
          <w:rFonts w:hint="eastAsia" w:ascii="宋体" w:hAnsi="宋体" w:eastAsia="宋体" w:cs="宋体"/>
          <w:sz w:val="28"/>
          <w:szCs w:val="24"/>
        </w:rPr>
      </w:pPr>
    </w:p>
    <w:p w14:paraId="150E2C71">
      <w:pPr>
        <w:pStyle w:val="3"/>
        <w:adjustRightInd w:val="0"/>
        <w:spacing w:before="200" w:after="0"/>
        <w:ind w:firstLine="2811" w:firstLineChars="1000"/>
        <w:jc w:val="both"/>
        <w:textAlignment w:val="baseline"/>
        <w:rPr>
          <w:rFonts w:hint="eastAsia" w:ascii="宋体" w:hAnsi="宋体" w:eastAsia="宋体" w:cs="宋体"/>
          <w:sz w:val="28"/>
          <w:szCs w:val="24"/>
        </w:rPr>
      </w:pPr>
    </w:p>
    <w:p w14:paraId="6655ADE8">
      <w:pPr>
        <w:rPr>
          <w:rFonts w:hint="eastAsia" w:ascii="宋体" w:hAnsi="宋体" w:eastAsia="宋体" w:cs="宋体"/>
          <w:sz w:val="28"/>
          <w:szCs w:val="24"/>
        </w:rPr>
      </w:pPr>
    </w:p>
    <w:p w14:paraId="2C390175">
      <w:pPr>
        <w:rPr>
          <w:rFonts w:hint="eastAsia" w:ascii="宋体" w:hAnsi="宋体" w:eastAsia="宋体" w:cs="宋体"/>
          <w:sz w:val="28"/>
          <w:szCs w:val="24"/>
        </w:rPr>
      </w:pPr>
    </w:p>
    <w:p w14:paraId="5159AAD6">
      <w:pPr>
        <w:rPr>
          <w:rFonts w:hint="eastAsia" w:ascii="宋体" w:hAnsi="宋体" w:eastAsia="宋体" w:cs="宋体"/>
          <w:sz w:val="28"/>
          <w:szCs w:val="24"/>
        </w:rPr>
      </w:pPr>
    </w:p>
    <w:p w14:paraId="49D08358">
      <w:pPr>
        <w:rPr>
          <w:rFonts w:hint="eastAsia" w:ascii="宋体" w:hAnsi="宋体" w:eastAsia="宋体" w:cs="宋体"/>
          <w:sz w:val="28"/>
          <w:szCs w:val="24"/>
        </w:rPr>
      </w:pPr>
    </w:p>
    <w:p w14:paraId="0BC0E630">
      <w:pPr>
        <w:rPr>
          <w:rFonts w:hint="eastAsia" w:ascii="宋体" w:hAnsi="宋体" w:eastAsia="宋体" w:cs="宋体"/>
          <w:sz w:val="28"/>
          <w:szCs w:val="24"/>
        </w:rPr>
      </w:pPr>
    </w:p>
    <w:p w14:paraId="45E56105">
      <w:pPr>
        <w:rPr>
          <w:rFonts w:hint="eastAsia" w:ascii="宋体" w:hAnsi="宋体" w:eastAsia="宋体" w:cs="宋体"/>
          <w:sz w:val="28"/>
          <w:szCs w:val="24"/>
        </w:rPr>
      </w:pPr>
    </w:p>
    <w:p w14:paraId="05BA97DF">
      <w:pPr>
        <w:rPr>
          <w:rFonts w:hint="eastAsia" w:ascii="宋体" w:hAnsi="宋体" w:eastAsia="宋体" w:cs="宋体"/>
          <w:sz w:val="28"/>
          <w:szCs w:val="24"/>
          <w:lang w:val="en-US" w:eastAsia="zh-CN"/>
        </w:rPr>
      </w:pPr>
    </w:p>
    <w:p w14:paraId="1A020154">
      <w:pPr>
        <w:pStyle w:val="3"/>
        <w:adjustRightInd w:val="0"/>
        <w:spacing w:before="200" w:after="0"/>
        <w:ind w:firstLine="2811" w:firstLineChars="1000"/>
        <w:jc w:val="both"/>
        <w:textAlignment w:val="baseline"/>
        <w:rPr>
          <w:rFonts w:hint="default" w:ascii="宋体" w:hAnsi="宋体" w:eastAsia="宋体" w:cs="宋体"/>
          <w:sz w:val="28"/>
          <w:szCs w:val="24"/>
          <w:lang w:val="en-US" w:eastAsia="zh-CN"/>
        </w:rPr>
      </w:pPr>
      <w:r>
        <w:rPr>
          <w:rFonts w:hint="eastAsia" w:ascii="宋体" w:hAnsi="宋体" w:eastAsia="宋体" w:cs="宋体"/>
          <w:sz w:val="28"/>
          <w:szCs w:val="24"/>
        </w:rPr>
        <w:t>文件十</w:t>
      </w:r>
      <w:r>
        <w:rPr>
          <w:rFonts w:hint="eastAsia" w:ascii="宋体" w:hAnsi="宋体" w:eastAsia="宋体" w:cs="宋体"/>
          <w:sz w:val="28"/>
          <w:szCs w:val="24"/>
          <w:lang w:val="en-US" w:eastAsia="zh-CN"/>
        </w:rPr>
        <w:t>六</w:t>
      </w:r>
      <w:r>
        <w:rPr>
          <w:rFonts w:hint="eastAsia" w:ascii="宋体" w:hAnsi="宋体" w:eastAsia="宋体" w:cs="宋体"/>
          <w:sz w:val="28"/>
          <w:szCs w:val="24"/>
        </w:rPr>
        <w:t xml:space="preserve">  </w:t>
      </w:r>
      <w:r>
        <w:rPr>
          <w:rFonts w:hint="eastAsia" w:ascii="宋体" w:hAnsi="宋体" w:eastAsia="宋体" w:cs="宋体"/>
          <w:sz w:val="28"/>
          <w:szCs w:val="24"/>
          <w:lang w:val="en-US" w:eastAsia="zh-CN"/>
        </w:rPr>
        <w:t>联合体协议</w:t>
      </w:r>
    </w:p>
    <w:p w14:paraId="2F956A4A">
      <w:pPr>
        <w:keepNext/>
        <w:keepLines/>
        <w:pageBreakBefore w:val="0"/>
        <w:widowControl/>
        <w:wordWrap/>
        <w:overflowPunct/>
        <w:autoSpaceDE w:val="0"/>
        <w:autoSpaceDN w:val="0"/>
        <w:bidi w:val="0"/>
        <w:adjustRightInd w:val="0"/>
        <w:snapToGrid w:val="0"/>
        <w:spacing w:line="312" w:lineRule="auto"/>
        <w:ind w:left="420"/>
        <w:jc w:val="center"/>
        <w:textAlignment w:val="baseline"/>
        <w:outlineLvl w:val="1"/>
        <w:rPr>
          <w:rFonts w:ascii="宋体" w:hAnsi="宋体" w:eastAsia="宋体"/>
          <w:b/>
          <w:bCs/>
          <w:sz w:val="24"/>
          <w:szCs w:val="24"/>
        </w:rPr>
      </w:pPr>
      <w:r>
        <w:rPr>
          <w:rFonts w:hint="eastAsia" w:ascii="宋体" w:hAnsi="宋体" w:eastAsia="宋体"/>
          <w:b/>
          <w:bCs/>
          <w:sz w:val="24"/>
          <w:szCs w:val="24"/>
        </w:rPr>
        <w:t>联合体协议书</w:t>
      </w:r>
    </w:p>
    <w:p w14:paraId="0DC5FCE3">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rPr>
      </w:pPr>
      <w:r>
        <w:rPr>
          <w:rFonts w:hint="eastAsia" w:ascii="宋体" w:hAnsi="宋体"/>
          <w:u w:val="single"/>
          <w:lang w:val="en-US" w:eastAsia="zh-CN"/>
        </w:rPr>
        <w:t xml:space="preserve">**                  </w:t>
      </w:r>
      <w:r>
        <w:rPr>
          <w:rFonts w:ascii="宋体" w:hAnsi="宋体"/>
          <w:u w:val="single"/>
        </w:rPr>
        <w:t xml:space="preserve"> </w:t>
      </w:r>
      <w:r>
        <w:rPr>
          <w:rFonts w:ascii="宋体" w:hAnsi="宋体"/>
        </w:rPr>
        <w:t>（所有成员单位名称）自愿组成</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（联合体名称）</w:t>
      </w:r>
      <w:r>
        <w:rPr>
          <w:rFonts w:hint="eastAsia" w:ascii="宋体" w:hAnsi="宋体"/>
        </w:rPr>
        <w:t>联合体</w:t>
      </w:r>
      <w:r>
        <w:rPr>
          <w:rFonts w:ascii="宋体" w:hAnsi="宋体"/>
        </w:rPr>
        <w:t>，共同参加</w:t>
      </w:r>
      <w:r>
        <w:rPr>
          <w:rFonts w:ascii="宋体" w:hAnsi="宋体"/>
          <w:u w:val="single"/>
        </w:rPr>
        <w:t xml:space="preserve"> </w:t>
      </w:r>
      <w:r>
        <w:rPr>
          <w:rFonts w:hint="eastAsia" w:ascii="宋体" w:hAnsi="宋体"/>
          <w:u w:val="single"/>
          <w:lang w:val="en-US" w:eastAsia="zh-CN"/>
        </w:rPr>
        <w:t>***</w:t>
      </w:r>
      <w:r>
        <w:rPr>
          <w:rFonts w:ascii="宋体" w:hAnsi="宋体"/>
        </w:rPr>
        <w:t>（项目名称）</w:t>
      </w:r>
      <w:r>
        <w:rPr>
          <w:rFonts w:hint="eastAsia" w:ascii="宋体" w:hAnsi="宋体"/>
          <w:lang w:eastAsia="zh-CN"/>
        </w:rPr>
        <w:t>竞谈采购</w:t>
      </w:r>
      <w:r>
        <w:rPr>
          <w:rFonts w:ascii="宋体" w:hAnsi="宋体"/>
        </w:rPr>
        <w:t>。现就联合体</w:t>
      </w:r>
      <w:r>
        <w:rPr>
          <w:rFonts w:hint="eastAsia" w:ascii="宋体" w:hAnsi="宋体"/>
          <w:lang w:eastAsia="zh-CN"/>
        </w:rPr>
        <w:t>竞谈采购</w:t>
      </w:r>
      <w:r>
        <w:rPr>
          <w:rFonts w:ascii="宋体" w:hAnsi="宋体"/>
        </w:rPr>
        <w:t>事宜订立如下协议。</w:t>
      </w:r>
    </w:p>
    <w:p w14:paraId="1DDD00C4">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rPr>
      </w:pPr>
      <w:r>
        <w:rPr>
          <w:rFonts w:ascii="宋体" w:hAnsi="宋体"/>
        </w:rPr>
        <w:t>1</w:t>
      </w:r>
      <w:r>
        <w:rPr>
          <w:rFonts w:hint="eastAsia" w:ascii="宋体" w:hAnsi="宋体"/>
        </w:rPr>
        <w:t>、</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（某成员单位名称）为</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（联合体名称）牵头人。</w:t>
      </w:r>
    </w:p>
    <w:p w14:paraId="76894B73">
      <w:pPr>
        <w:keepNext w:val="0"/>
        <w:keepLines w:val="0"/>
        <w:pageBreakBefore w:val="0"/>
        <w:widowControl/>
        <w:kinsoku/>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rPr>
      </w:pPr>
      <w:r>
        <w:rPr>
          <w:rFonts w:ascii="宋体" w:hAnsi="宋体"/>
        </w:rPr>
        <w:t>2、联合体牵头人</w:t>
      </w:r>
      <w:r>
        <w:rPr>
          <w:rFonts w:hint="eastAsia" w:ascii="宋体" w:hAnsi="宋体"/>
        </w:rPr>
        <w:t>合法代表联合体各成员负责本</w:t>
      </w:r>
      <w:r>
        <w:rPr>
          <w:rFonts w:hint="eastAsia" w:ascii="宋体" w:hAnsi="宋体"/>
          <w:lang w:eastAsia="zh-CN"/>
        </w:rPr>
        <w:t>竞谈</w:t>
      </w:r>
      <w:r>
        <w:rPr>
          <w:rFonts w:hint="eastAsia" w:ascii="宋体" w:hAnsi="宋体"/>
        </w:rPr>
        <w:t>项目</w:t>
      </w:r>
      <w:r>
        <w:rPr>
          <w:rFonts w:hint="eastAsia" w:ascii="宋体" w:hAnsi="宋体"/>
          <w:lang w:eastAsia="zh-CN"/>
        </w:rPr>
        <w:t>竞谈</w:t>
      </w:r>
      <w:r>
        <w:rPr>
          <w:rFonts w:hint="eastAsia" w:ascii="宋体" w:hAnsi="宋体"/>
        </w:rPr>
        <w:t>文件编制和合同谈判活动，并代表联合体提交和接收相关的资料、信息及指示，并处理与之有关的一切事务，</w:t>
      </w:r>
      <w:r>
        <w:rPr>
          <w:rFonts w:ascii="宋体" w:hAnsi="宋体"/>
        </w:rPr>
        <w:t>负责合同实施阶段的主办、组织和协调工作。</w:t>
      </w:r>
    </w:p>
    <w:p w14:paraId="537437BC">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eastAsia="宋体" w:cs="宋体"/>
          <w:sz w:val="24"/>
          <w:szCs w:val="24"/>
        </w:rPr>
      </w:pPr>
      <w:r>
        <w:rPr>
          <w:rFonts w:ascii="宋体" w:hAnsi="宋体"/>
        </w:rPr>
        <w:t>3、联合体将严格按照</w:t>
      </w:r>
      <w:r>
        <w:rPr>
          <w:rFonts w:hint="eastAsia" w:ascii="宋体" w:hAnsi="宋体"/>
          <w:lang w:eastAsia="zh-CN"/>
        </w:rPr>
        <w:t>竞谈</w:t>
      </w:r>
      <w:r>
        <w:rPr>
          <w:rFonts w:ascii="宋体" w:hAnsi="宋体"/>
        </w:rPr>
        <w:t>文件的各项要求，递交</w:t>
      </w:r>
      <w:r>
        <w:rPr>
          <w:rFonts w:hint="eastAsia" w:ascii="宋体" w:hAnsi="宋体"/>
          <w:lang w:eastAsia="zh-CN"/>
        </w:rPr>
        <w:t>竞谈响应</w:t>
      </w:r>
      <w:r>
        <w:rPr>
          <w:rFonts w:ascii="宋体" w:hAnsi="宋体"/>
        </w:rPr>
        <w:t>文件，履行合同，并对外承担连带责任。</w:t>
      </w:r>
      <w:r>
        <w:rPr>
          <w:rFonts w:ascii="宋体" w:hAnsi="宋体" w:eastAsia="宋体" w:cs="宋体"/>
          <w:sz w:val="24"/>
          <w:szCs w:val="24"/>
        </w:rPr>
        <w:t> </w:t>
      </w:r>
    </w:p>
    <w:p w14:paraId="61C0E876">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rPr>
      </w:pPr>
      <w:r>
        <w:rPr>
          <w:rFonts w:ascii="宋体" w:hAnsi="宋体"/>
        </w:rPr>
        <w:t>4、联合体各成员单位内部的职责分工如下：</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 xml:space="preserve"> 。</w:t>
      </w:r>
    </w:p>
    <w:p w14:paraId="13848932">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rPr>
      </w:pPr>
      <w:r>
        <w:rPr>
          <w:rFonts w:ascii="宋体" w:hAnsi="宋体"/>
        </w:rPr>
        <w:t xml:space="preserve">5、本协议书自签署之日起生效，合同履行完毕后自动失效。 </w:t>
      </w:r>
    </w:p>
    <w:p w14:paraId="1C5ED532">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ascii="宋体" w:hAnsi="宋体"/>
        </w:rPr>
      </w:pPr>
      <w:r>
        <w:rPr>
          <w:rFonts w:ascii="宋体" w:hAnsi="宋体"/>
        </w:rPr>
        <w:t>6、本协议书一式</w:t>
      </w:r>
      <w:r>
        <w:rPr>
          <w:rFonts w:ascii="宋体" w:hAnsi="宋体"/>
          <w:u w:val="single"/>
        </w:rPr>
        <w:t xml:space="preserve"> </w:t>
      </w:r>
      <w:r>
        <w:rPr>
          <w:rFonts w:hint="eastAsia" w:ascii="宋体" w:hAnsi="宋体" w:eastAsia="宋体"/>
          <w:u w:val="single"/>
          <w:lang w:val="en-US" w:eastAsia="zh-CN"/>
        </w:rPr>
        <w:t>贰</w:t>
      </w:r>
      <w:r>
        <w:rPr>
          <w:rFonts w:ascii="宋体" w:hAnsi="宋体"/>
          <w:u w:val="single"/>
        </w:rPr>
        <w:t xml:space="preserve"> </w:t>
      </w:r>
      <w:r>
        <w:rPr>
          <w:rFonts w:ascii="宋体" w:hAnsi="宋体"/>
        </w:rPr>
        <w:t>份，联合体成员和</w:t>
      </w:r>
      <w:r>
        <w:rPr>
          <w:rFonts w:hint="eastAsia" w:ascii="宋体" w:hAnsi="宋体"/>
          <w:lang w:eastAsia="zh-CN"/>
        </w:rPr>
        <w:t>竞谈采购</w:t>
      </w:r>
      <w:r>
        <w:rPr>
          <w:rFonts w:ascii="宋体" w:hAnsi="宋体"/>
        </w:rPr>
        <w:t>人各执一份。</w:t>
      </w:r>
    </w:p>
    <w:p w14:paraId="223F5D2F">
      <w:pPr>
        <w:keepNext w:val="0"/>
        <w:keepLines w:val="0"/>
        <w:pageBreakBefore w:val="0"/>
        <w:widowControl/>
        <w:wordWrap/>
        <w:overflowPunct/>
        <w:topLinePunct/>
        <w:autoSpaceDE w:val="0"/>
        <w:autoSpaceDN w:val="0"/>
        <w:bidi w:val="0"/>
        <w:adjustRightInd w:val="0"/>
        <w:snapToGrid w:val="0"/>
        <w:spacing w:beforeAutospacing="0" w:afterAutospacing="0" w:line="360" w:lineRule="auto"/>
        <w:ind w:left="0" w:firstLine="480" w:firstLineChars="200"/>
        <w:textAlignment w:val="baseline"/>
        <w:rPr>
          <w:rFonts w:hint="eastAsia" w:ascii="宋体" w:hAnsi="宋体"/>
        </w:rPr>
      </w:pPr>
      <w:r>
        <w:rPr>
          <w:rFonts w:hint="eastAsia" w:ascii="宋体" w:hAnsi="宋体"/>
        </w:rPr>
        <w:t>注：本协议书由委托代理人签字的，应附法定代表人签字的授权委托书。</w:t>
      </w:r>
    </w:p>
    <w:p w14:paraId="4683C365">
      <w:pPr>
        <w:bidi w:val="0"/>
        <w:spacing w:line="240" w:lineRule="auto"/>
      </w:pPr>
    </w:p>
    <w:p w14:paraId="622A7F96">
      <w:pPr>
        <w:pageBreakBefore w:val="0"/>
        <w:widowControl/>
        <w:wordWrap/>
        <w:overflowPunct/>
        <w:topLinePunct/>
        <w:autoSpaceDE w:val="0"/>
        <w:autoSpaceDN w:val="0"/>
        <w:bidi w:val="0"/>
        <w:adjustRightInd w:val="0"/>
        <w:snapToGrid w:val="0"/>
        <w:spacing w:before="100" w:beforeAutospacing="1" w:after="100" w:afterAutospacing="1" w:line="312" w:lineRule="auto"/>
        <w:ind w:left="420"/>
        <w:textAlignment w:val="baseline"/>
        <w:rPr>
          <w:rFonts w:ascii="宋体" w:hAnsi="宋体"/>
        </w:rPr>
      </w:pPr>
      <w:r>
        <w:rPr>
          <w:rFonts w:ascii="宋体" w:hAnsi="宋体"/>
        </w:rPr>
        <w:t>牵头人名称：</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（盖单位章）</w:t>
      </w:r>
    </w:p>
    <w:p w14:paraId="4010311F">
      <w:pPr>
        <w:pageBreakBefore w:val="0"/>
        <w:widowControl/>
        <w:wordWrap/>
        <w:overflowPunct/>
        <w:topLinePunct/>
        <w:autoSpaceDE w:val="0"/>
        <w:autoSpaceDN w:val="0"/>
        <w:bidi w:val="0"/>
        <w:adjustRightInd w:val="0"/>
        <w:snapToGrid w:val="0"/>
        <w:spacing w:before="100" w:beforeAutospacing="1" w:after="100" w:afterAutospacing="1" w:line="312" w:lineRule="auto"/>
        <w:ind w:left="420"/>
        <w:textAlignment w:val="baseline"/>
        <w:rPr>
          <w:rFonts w:ascii="宋体" w:hAnsi="宋体"/>
        </w:rPr>
      </w:pPr>
      <w:r>
        <w:rPr>
          <w:rFonts w:ascii="宋体" w:hAnsi="宋体"/>
        </w:rPr>
        <w:t>法定代表人或其委托代理人：</w:t>
      </w:r>
      <w:r>
        <w:rPr>
          <w:rFonts w:ascii="宋体" w:hAnsi="宋体"/>
          <w:u w:val="single"/>
        </w:rPr>
        <w:t xml:space="preserve">                       </w:t>
      </w:r>
      <w:r>
        <w:rPr>
          <w:rFonts w:ascii="宋体" w:hAnsi="宋体"/>
        </w:rPr>
        <w:t>（签字</w:t>
      </w:r>
      <w:r>
        <w:rPr>
          <w:rFonts w:hint="eastAsia" w:ascii="宋体" w:hAnsi="宋体"/>
        </w:rPr>
        <w:t>或签章</w:t>
      </w:r>
      <w:r>
        <w:rPr>
          <w:rFonts w:ascii="宋体" w:hAnsi="宋体"/>
        </w:rPr>
        <w:t>）</w:t>
      </w:r>
    </w:p>
    <w:p w14:paraId="0E55108C">
      <w:pPr>
        <w:pageBreakBefore w:val="0"/>
        <w:widowControl/>
        <w:wordWrap/>
        <w:overflowPunct/>
        <w:topLinePunct/>
        <w:autoSpaceDE w:val="0"/>
        <w:autoSpaceDN w:val="0"/>
        <w:bidi w:val="0"/>
        <w:adjustRightInd w:val="0"/>
        <w:snapToGrid w:val="0"/>
        <w:spacing w:before="100" w:beforeAutospacing="1" w:after="100" w:afterAutospacing="1" w:line="240" w:lineRule="auto"/>
        <w:textAlignment w:val="baseline"/>
        <w:rPr>
          <w:rFonts w:ascii="宋体" w:hAnsi="宋体"/>
        </w:rPr>
      </w:pPr>
    </w:p>
    <w:p w14:paraId="7EDB2886">
      <w:pPr>
        <w:pageBreakBefore w:val="0"/>
        <w:widowControl/>
        <w:wordWrap/>
        <w:overflowPunct/>
        <w:topLinePunct/>
        <w:autoSpaceDE w:val="0"/>
        <w:autoSpaceDN w:val="0"/>
        <w:bidi w:val="0"/>
        <w:adjustRightInd w:val="0"/>
        <w:snapToGrid w:val="0"/>
        <w:spacing w:before="100" w:beforeAutospacing="1" w:after="100" w:afterAutospacing="1" w:line="312" w:lineRule="auto"/>
        <w:ind w:left="420"/>
        <w:textAlignment w:val="baseline"/>
        <w:rPr>
          <w:rFonts w:ascii="宋体" w:hAnsi="宋体"/>
        </w:rPr>
      </w:pPr>
      <w:r>
        <w:rPr>
          <w:rFonts w:ascii="宋体" w:hAnsi="宋体"/>
        </w:rPr>
        <w:t>成员名称：</w:t>
      </w:r>
      <w:r>
        <w:rPr>
          <w:rFonts w:hint="eastAsia" w:ascii="宋体" w:hAnsi="宋体"/>
          <w:lang w:val="en-US" w:eastAsia="zh-CN"/>
        </w:rPr>
        <w:t>****</w:t>
      </w:r>
      <w:r>
        <w:rPr>
          <w:rFonts w:ascii="宋体" w:hAnsi="宋体"/>
          <w:u w:val="single"/>
        </w:rPr>
        <w:t xml:space="preserve"> </w:t>
      </w:r>
      <w:r>
        <w:rPr>
          <w:rFonts w:ascii="宋体" w:hAnsi="宋体"/>
        </w:rPr>
        <w:t>（盖单位章）</w:t>
      </w:r>
    </w:p>
    <w:p w14:paraId="36295D22">
      <w:pPr>
        <w:pageBreakBefore w:val="0"/>
        <w:widowControl/>
        <w:wordWrap/>
        <w:overflowPunct/>
        <w:topLinePunct/>
        <w:autoSpaceDE w:val="0"/>
        <w:autoSpaceDN w:val="0"/>
        <w:bidi w:val="0"/>
        <w:adjustRightInd w:val="0"/>
        <w:snapToGrid w:val="0"/>
        <w:spacing w:before="100" w:beforeAutospacing="1" w:after="100" w:afterAutospacing="1" w:line="312" w:lineRule="auto"/>
        <w:ind w:left="420"/>
        <w:textAlignment w:val="baseline"/>
        <w:rPr>
          <w:rFonts w:ascii="宋体" w:hAnsi="宋体"/>
        </w:rPr>
      </w:pPr>
      <w:r>
        <w:rPr>
          <w:rFonts w:ascii="宋体" w:hAnsi="宋体"/>
        </w:rPr>
        <w:t>法定代表人或其委托代理人：</w:t>
      </w:r>
      <w:r>
        <w:rPr>
          <w:rFonts w:ascii="宋体" w:hAnsi="宋体"/>
          <w:u w:val="single"/>
        </w:rPr>
        <w:t xml:space="preserve">                       </w:t>
      </w:r>
      <w:r>
        <w:rPr>
          <w:rFonts w:ascii="宋体" w:hAnsi="宋体"/>
        </w:rPr>
        <w:t>（签字</w:t>
      </w:r>
      <w:r>
        <w:rPr>
          <w:rFonts w:hint="eastAsia" w:ascii="宋体" w:hAnsi="宋体"/>
        </w:rPr>
        <w:t>或签章</w:t>
      </w:r>
      <w:r>
        <w:rPr>
          <w:rFonts w:ascii="宋体" w:hAnsi="宋体"/>
        </w:rPr>
        <w:t>）</w:t>
      </w:r>
    </w:p>
    <w:p w14:paraId="25927BC8">
      <w:pPr>
        <w:pageBreakBefore w:val="0"/>
        <w:widowControl/>
        <w:wordWrap/>
        <w:overflowPunct/>
        <w:autoSpaceDE w:val="0"/>
        <w:autoSpaceDN w:val="0"/>
        <w:bidi w:val="0"/>
        <w:adjustRightInd w:val="0"/>
        <w:snapToGrid w:val="0"/>
        <w:spacing w:before="100" w:beforeAutospacing="1" w:after="100" w:afterAutospacing="1" w:line="312" w:lineRule="auto"/>
        <w:jc w:val="right"/>
        <w:textAlignment w:val="baseline"/>
        <w:rPr>
          <w:rFonts w:hint="eastAsia" w:ascii="宋体" w:hAnsi="宋体"/>
        </w:rPr>
      </w:pPr>
      <w:r>
        <w:rPr>
          <w:rFonts w:hint="eastAsia" w:ascii="宋体" w:hAnsi="宋体" w:eastAsia="宋体"/>
          <w:u w:val="single"/>
          <w:lang w:val="en-US" w:eastAsia="zh-CN"/>
        </w:rPr>
        <w:t xml:space="preserve"> 2026 </w:t>
      </w:r>
      <w:r>
        <w:rPr>
          <w:rFonts w:ascii="宋体" w:hAnsi="宋体"/>
        </w:rPr>
        <w:t>年</w:t>
      </w:r>
      <w:r>
        <w:rPr>
          <w:rFonts w:hint="eastAsia" w:ascii="宋体" w:hAnsi="宋体" w:eastAsia="宋体"/>
          <w:u w:val="single"/>
          <w:lang w:val="en-US" w:eastAsia="zh-CN"/>
        </w:rPr>
        <w:t xml:space="preserve">  </w:t>
      </w:r>
      <w:r>
        <w:rPr>
          <w:rFonts w:ascii="宋体" w:hAnsi="宋体"/>
        </w:rPr>
        <w:t>月</w:t>
      </w:r>
      <w:r>
        <w:rPr>
          <w:rFonts w:hint="eastAsia" w:ascii="宋体" w:hAnsi="宋体" w:eastAsia="宋体"/>
          <w:u w:val="single"/>
          <w:lang w:val="en-US" w:eastAsia="zh-CN"/>
        </w:rPr>
        <w:t xml:space="preserve">  </w:t>
      </w:r>
      <w:r>
        <w:rPr>
          <w:rFonts w:ascii="宋体" w:hAnsi="宋体"/>
        </w:rPr>
        <w:t>日</w:t>
      </w:r>
    </w:p>
    <w:p w14:paraId="39548AE9">
      <w:pPr>
        <w:pStyle w:val="2"/>
        <w:keepNext/>
        <w:keepLines/>
        <w:wordWrap/>
        <w:spacing w:before="500" w:beforeLines="0" w:after="500"/>
        <w:jc w:val="center"/>
        <w:rPr>
          <w:rFonts w:hint="eastAsia" w:hAnsi="宋体" w:cs="宋体"/>
          <w:u w:val="single"/>
        </w:rPr>
      </w:pPr>
    </w:p>
    <w:p w14:paraId="749B1B3E">
      <w:pPr>
        <w:pStyle w:val="2"/>
        <w:keepNext/>
        <w:keepLines/>
        <w:wordWrap/>
        <w:spacing w:before="500" w:beforeLines="0" w:after="500"/>
        <w:jc w:val="center"/>
        <w:rPr>
          <w:rFonts w:hint="eastAsia" w:hAnsi="宋体" w:cs="宋体"/>
          <w:u w:val="single"/>
        </w:rPr>
      </w:pPr>
      <w:r>
        <w:rPr>
          <w:rFonts w:hint="eastAsia" w:hAnsi="宋体" w:cs="宋体"/>
          <w:u w:val="single"/>
        </w:rPr>
        <w:br w:type="page"/>
      </w:r>
      <w:bookmarkEnd w:id="127"/>
      <w:bookmarkEnd w:id="128"/>
      <w:bookmarkEnd w:id="129"/>
      <w:bookmarkEnd w:id="130"/>
      <w:bookmarkEnd w:id="131"/>
      <w:bookmarkStart w:id="143" w:name="_Toc246834319"/>
      <w:bookmarkStart w:id="144" w:name="_Toc4222"/>
      <w:bookmarkStart w:id="145" w:name="_Toc116990252"/>
      <w:bookmarkStart w:id="146" w:name="_Toc165223409"/>
      <w:bookmarkStart w:id="147" w:name="_Toc43269266"/>
    </w:p>
    <w:p w14:paraId="4C1BFD1B">
      <w:pPr>
        <w:pStyle w:val="3"/>
        <w:adjustRightInd w:val="0"/>
        <w:spacing w:before="200" w:after="0"/>
        <w:ind w:firstLine="2811" w:firstLineChars="1000"/>
        <w:jc w:val="both"/>
        <w:textAlignment w:val="baseline"/>
        <w:rPr>
          <w:rFonts w:hint="eastAsia" w:ascii="宋体" w:hAnsi="宋体" w:eastAsia="宋体" w:cs="宋体"/>
          <w:sz w:val="28"/>
          <w:szCs w:val="24"/>
          <w:lang w:val="en-US" w:eastAsia="zh-CN"/>
        </w:rPr>
      </w:pPr>
      <w:r>
        <w:rPr>
          <w:rFonts w:hint="eastAsia" w:ascii="宋体" w:hAnsi="宋体" w:eastAsia="宋体" w:cs="宋体"/>
          <w:sz w:val="28"/>
          <w:szCs w:val="24"/>
        </w:rPr>
        <w:t>文件十</w:t>
      </w:r>
      <w:r>
        <w:rPr>
          <w:rFonts w:hint="eastAsia" w:ascii="宋体" w:hAnsi="宋体" w:eastAsia="宋体" w:cs="宋体"/>
          <w:sz w:val="28"/>
          <w:szCs w:val="24"/>
          <w:lang w:val="en-US" w:eastAsia="zh-CN"/>
        </w:rPr>
        <w:t>七</w:t>
      </w:r>
      <w:r>
        <w:rPr>
          <w:rFonts w:hint="eastAsia" w:ascii="宋体" w:hAnsi="宋体" w:eastAsia="宋体" w:cs="宋体"/>
          <w:sz w:val="28"/>
          <w:szCs w:val="24"/>
        </w:rPr>
        <w:t xml:space="preserve"> </w:t>
      </w:r>
      <w:r>
        <w:rPr>
          <w:rFonts w:hint="eastAsia" w:ascii="宋体" w:hAnsi="宋体" w:eastAsia="宋体" w:cs="宋体"/>
          <w:sz w:val="28"/>
          <w:szCs w:val="24"/>
          <w:lang w:val="en-US" w:eastAsia="zh-CN"/>
        </w:rPr>
        <w:t xml:space="preserve"> 其他资料</w:t>
      </w:r>
    </w:p>
    <w:p w14:paraId="18D73C0C">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615C372C">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16023BBD">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34C899A9">
      <w:pPr>
        <w:numPr>
          <w:ilvl w:val="255"/>
          <w:numId w:val="0"/>
        </w:numPr>
        <w:spacing w:line="360" w:lineRule="auto"/>
        <w:ind w:firstLine="480" w:firstLineChars="200"/>
        <w:rPr>
          <w:rFonts w:ascii="宋体" w:hAnsi="宋体" w:cs="宋体"/>
          <w:color w:val="auto"/>
          <w:highlight w:val="none"/>
        </w:rPr>
      </w:pPr>
    </w:p>
    <w:p w14:paraId="5FCC868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7063BC7B">
      <w:pPr>
        <w:numPr>
          <w:ilvl w:val="255"/>
          <w:numId w:val="0"/>
        </w:numPr>
        <w:spacing w:line="360" w:lineRule="auto"/>
        <w:ind w:firstLine="480" w:firstLineChars="200"/>
        <w:rPr>
          <w:rFonts w:ascii="宋体" w:hAnsi="宋体" w:cs="宋体"/>
          <w:color w:val="auto"/>
          <w:highlight w:val="none"/>
        </w:rPr>
      </w:pPr>
    </w:p>
    <w:p w14:paraId="7F28DEAC">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7060253">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2917C5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1B65B1D4">
      <w:pPr>
        <w:rPr>
          <w:rFonts w:hint="eastAsia" w:hAnsi="宋体" w:cs="宋体"/>
          <w:u w:val="single"/>
        </w:rPr>
      </w:pPr>
      <w:r>
        <w:rPr>
          <w:rFonts w:hint="eastAsia" w:ascii="宋体" w:hAnsi="宋体" w:cs="宋体"/>
          <w:b/>
          <w:bCs/>
          <w:color w:val="auto"/>
          <w:highlight w:val="none"/>
        </w:rPr>
        <w:br w:type="page"/>
      </w:r>
    </w:p>
    <w:p w14:paraId="7A5A73DB">
      <w:pPr>
        <w:pStyle w:val="2"/>
        <w:keepNext/>
        <w:keepLines/>
        <w:wordWrap/>
        <w:spacing w:before="500" w:beforeLines="0" w:after="500"/>
        <w:jc w:val="center"/>
        <w:rPr>
          <w:rFonts w:hint="eastAsia" w:hAnsi="宋体" w:cs="宋体"/>
          <w:u w:val="single"/>
        </w:rPr>
      </w:pPr>
    </w:p>
    <w:p w14:paraId="5E1D1C24">
      <w:pPr>
        <w:pStyle w:val="2"/>
        <w:keepNext/>
        <w:keepLines/>
        <w:wordWrap/>
        <w:spacing w:before="500" w:beforeLines="0" w:after="500"/>
        <w:jc w:val="center"/>
        <w:rPr>
          <w:rFonts w:hAnsi="宋体" w:cs="宋体"/>
          <w:bCs w:val="0"/>
          <w:snapToGrid/>
          <w:sz w:val="32"/>
          <w:szCs w:val="30"/>
        </w:rPr>
      </w:pPr>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3"/>
        <w:spacing w:before="0" w:after="0" w:line="360" w:lineRule="auto"/>
        <w:rPr>
          <w:rFonts w:ascii="宋体" w:hAnsi="宋体" w:eastAsia="宋体" w:cs="宋体"/>
          <w:sz w:val="24"/>
          <w:szCs w:val="24"/>
        </w:rPr>
      </w:pPr>
      <w:bookmarkStart w:id="148" w:name="_Toc165223410"/>
      <w:bookmarkStart w:id="149" w:name="_Toc246834320"/>
      <w:bookmarkStart w:id="150" w:name="_Toc116990253"/>
      <w:bookmarkStart w:id="151" w:name="_Toc30520243"/>
      <w:bookmarkStart w:id="152" w:name="_Toc43269267"/>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日前全部到货</w:t>
      </w:r>
      <w:r>
        <w:rPr>
          <w:rFonts w:hint="eastAsia" w:ascii="宋体" w:hAnsi="宋体" w:cs="宋体"/>
          <w:lang w:eastAsia="zh-CN"/>
        </w:rPr>
        <w:t>，具体以项目部排产单为准</w:t>
      </w:r>
      <w:r>
        <w:rPr>
          <w:rFonts w:hint="eastAsia" w:ascii="宋体" w:hAnsi="宋体" w:cs="宋体"/>
        </w:rPr>
        <w:t>。</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惠州宏琛200MW/400MWh储能电站建设项目储能设备</w:t>
      </w:r>
      <w:r>
        <w:rPr>
          <w:rFonts w:hint="eastAsia" w:ascii="宋体" w:hAnsi="宋体" w:cs="宋体"/>
        </w:rPr>
        <w:t>采购合同》。</w:t>
      </w:r>
    </w:p>
    <w:p w14:paraId="05C58261">
      <w:pPr>
        <w:pStyle w:val="9"/>
        <w:ind w:left="0" w:leftChars="0" w:firstLine="0" w:firstLineChars="0"/>
        <w:rPr>
          <w:rFonts w:hint="eastAsia" w:eastAsia="宋体"/>
          <w:lang w:eastAsia="zh-CN"/>
        </w:rPr>
      </w:pPr>
      <w:r>
        <w:rPr>
          <w:rFonts w:hint="eastAsia" w:ascii="宋体" w:hAnsi="宋体" w:cs="宋体"/>
        </w:rPr>
        <w:t>其中质保期：从项目竣工验收合格</w:t>
      </w:r>
      <w:r>
        <w:rPr>
          <w:rFonts w:hint="eastAsia" w:ascii="宋体" w:hAnsi="宋体"/>
        </w:rPr>
        <w:t>并自项目整体移交之日</w:t>
      </w:r>
      <w:r>
        <w:rPr>
          <w:rFonts w:hint="eastAsia" w:ascii="宋体" w:hAnsi="宋体" w:cs="宋体"/>
        </w:rPr>
        <w:t>起算，</w:t>
      </w:r>
      <w:r>
        <w:rPr>
          <w:rFonts w:hint="eastAsia"/>
        </w:rPr>
        <w:t>质保期5年，储能电芯日历寿命10年，电芯循环寿命6000次，平均每天一充一放第10年容量保持率不低于80%，日历寿命和循环寿命以先到为准。按此工况若衰减超过20%，卖方提供衰减补偿方案。PCS、BMS、EMS、辅助变设备，质保5年；EMS软件质保期内提供免费升级及维护，EMS软件质保期外针对技术协议内要求的功能提供终身远程免费升级及维护</w:t>
      </w:r>
      <w:r>
        <w:rPr>
          <w:rFonts w:hint="eastAsia"/>
          <w:lang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55" w:name="_Toc165223412"/>
      <w:bookmarkStart w:id="156" w:name="_Toc19905"/>
      <w:r>
        <w:rPr>
          <w:rFonts w:hint="eastAsia" w:hAnsi="宋体" w:cs="宋体"/>
          <w:bCs w:val="0"/>
          <w:snapToGrid/>
          <w:sz w:val="32"/>
          <w:szCs w:val="30"/>
        </w:rPr>
        <w:t>第七章  技术规范</w:t>
      </w:r>
      <w:bookmarkEnd w:id="155"/>
      <w:bookmarkEnd w:id="15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惠州宏琛200MW/400MWh储能电站建设项目储能设备</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703DEBBA">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rFonts w:hint="eastAsia"/>
        </w:rPr>
        <w:t>。</w:t>
      </w:r>
    </w:p>
    <w:p w14:paraId="50C997EB"/>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9"/>
      <w:framePr w:wrap="around" w:vAnchor="text" w:hAnchor="margin" w:xAlign="center" w:y="1"/>
      <w:rPr>
        <w:rStyle w:val="30"/>
      </w:rPr>
    </w:pPr>
    <w:r>
      <w:fldChar w:fldCharType="begin"/>
    </w:r>
    <w:r>
      <w:rPr>
        <w:rStyle w:val="30"/>
      </w:rPr>
      <w:instrText xml:space="preserve">PAGE  </w:instrText>
    </w:r>
    <w:r>
      <w:fldChar w:fldCharType="end"/>
    </w:r>
  </w:p>
  <w:p w14:paraId="40BBC15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9"/>
      <w:framePr w:wrap="around" w:vAnchor="text" w:hAnchor="page" w:x="5785" w:y="444"/>
      <w:rPr>
        <w:rStyle w:val="30"/>
      </w:rPr>
    </w:pPr>
    <w:r>
      <w:fldChar w:fldCharType="begin"/>
    </w:r>
    <w:r>
      <w:rPr>
        <w:rStyle w:val="30"/>
      </w:rPr>
      <w:instrText xml:space="preserve">PAGE  </w:instrText>
    </w:r>
    <w:r>
      <w:fldChar w:fldCharType="separate"/>
    </w:r>
    <w:r>
      <w:rPr>
        <w:rStyle w:val="30"/>
      </w:rPr>
      <w:t>4</w:t>
    </w:r>
    <w:r>
      <w:fldChar w:fldCharType="end"/>
    </w:r>
  </w:p>
  <w:p w14:paraId="7BC4AC7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9"/>
      <w:framePr w:wrap="around" w:vAnchor="text" w:hAnchor="margin" w:xAlign="center" w:y="1"/>
      <w:rPr>
        <w:rStyle w:val="30"/>
      </w:rPr>
    </w:pPr>
    <w:r>
      <w:fldChar w:fldCharType="begin"/>
    </w:r>
    <w:r>
      <w:rPr>
        <w:rStyle w:val="30"/>
      </w:rPr>
      <w:instrText xml:space="preserve">PAGE  </w:instrText>
    </w:r>
    <w:r>
      <w:fldChar w:fldCharType="end"/>
    </w:r>
  </w:p>
  <w:p w14:paraId="726A97C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储能设备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储能设备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储能设备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储能设备</w:t>
    </w:r>
    <w:r>
      <w:rPr>
        <w:rFonts w:hint="eastAsia"/>
        <w:sz w:val="18"/>
        <w:szCs w:val="18"/>
        <w:u w:val="single"/>
      </w:rPr>
      <w:t>竞争性谈判文件</w:t>
    </w:r>
  </w:p>
  <w:p w14:paraId="55C4DD0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A6C49"/>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35BED"/>
    <w:rsid w:val="0AD45283"/>
    <w:rsid w:val="0AE13721"/>
    <w:rsid w:val="0B2E5519"/>
    <w:rsid w:val="0B3459A3"/>
    <w:rsid w:val="0BDE0CED"/>
    <w:rsid w:val="0C632C37"/>
    <w:rsid w:val="0C772067"/>
    <w:rsid w:val="0C933189"/>
    <w:rsid w:val="0C966004"/>
    <w:rsid w:val="0C9F54B4"/>
    <w:rsid w:val="0CAA3EAB"/>
    <w:rsid w:val="0CB35EFE"/>
    <w:rsid w:val="0CC46DDE"/>
    <w:rsid w:val="0D2A7C6B"/>
    <w:rsid w:val="0D4D6A15"/>
    <w:rsid w:val="0D8E229F"/>
    <w:rsid w:val="0DBE43D1"/>
    <w:rsid w:val="0DC247D0"/>
    <w:rsid w:val="0DE4352D"/>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496C75"/>
    <w:rsid w:val="127C53F0"/>
    <w:rsid w:val="132E4483"/>
    <w:rsid w:val="1344612C"/>
    <w:rsid w:val="134A0A16"/>
    <w:rsid w:val="146D20A8"/>
    <w:rsid w:val="14AD7C04"/>
    <w:rsid w:val="14E83467"/>
    <w:rsid w:val="1501538A"/>
    <w:rsid w:val="151300B2"/>
    <w:rsid w:val="15206CD2"/>
    <w:rsid w:val="152139F9"/>
    <w:rsid w:val="15573DB4"/>
    <w:rsid w:val="156C2EC6"/>
    <w:rsid w:val="15C40F54"/>
    <w:rsid w:val="15EB084A"/>
    <w:rsid w:val="160842CB"/>
    <w:rsid w:val="16283E39"/>
    <w:rsid w:val="168B03F7"/>
    <w:rsid w:val="16C84914"/>
    <w:rsid w:val="16D57191"/>
    <w:rsid w:val="16E67EBB"/>
    <w:rsid w:val="1722662B"/>
    <w:rsid w:val="17357249"/>
    <w:rsid w:val="178130A2"/>
    <w:rsid w:val="17824C23"/>
    <w:rsid w:val="17842727"/>
    <w:rsid w:val="17901F52"/>
    <w:rsid w:val="17D87AC5"/>
    <w:rsid w:val="18157C90"/>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A8D159C"/>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2C1863"/>
    <w:rsid w:val="1F400DB7"/>
    <w:rsid w:val="1F715AF5"/>
    <w:rsid w:val="1F9240F5"/>
    <w:rsid w:val="1F976527"/>
    <w:rsid w:val="203C3F7C"/>
    <w:rsid w:val="20761278"/>
    <w:rsid w:val="208343D8"/>
    <w:rsid w:val="2094551E"/>
    <w:rsid w:val="213544FC"/>
    <w:rsid w:val="218773B5"/>
    <w:rsid w:val="21921695"/>
    <w:rsid w:val="21F1486C"/>
    <w:rsid w:val="22552465"/>
    <w:rsid w:val="226352B0"/>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48091F"/>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95195A"/>
    <w:rsid w:val="31E77B81"/>
    <w:rsid w:val="31FB58A6"/>
    <w:rsid w:val="320643BB"/>
    <w:rsid w:val="32357DF7"/>
    <w:rsid w:val="323B3D75"/>
    <w:rsid w:val="3276317E"/>
    <w:rsid w:val="32B76C58"/>
    <w:rsid w:val="32EF71D5"/>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805699"/>
    <w:rsid w:val="36B21DB8"/>
    <w:rsid w:val="36CB07C8"/>
    <w:rsid w:val="370D2A38"/>
    <w:rsid w:val="3766572F"/>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4D36F2"/>
    <w:rsid w:val="39823427"/>
    <w:rsid w:val="398247AF"/>
    <w:rsid w:val="39B57FBB"/>
    <w:rsid w:val="39EB4452"/>
    <w:rsid w:val="39FE13AF"/>
    <w:rsid w:val="3A0D0AC6"/>
    <w:rsid w:val="3A606A62"/>
    <w:rsid w:val="3AEB0389"/>
    <w:rsid w:val="3AED665F"/>
    <w:rsid w:val="3B2C3A8E"/>
    <w:rsid w:val="3B3F2CA7"/>
    <w:rsid w:val="3B443E1A"/>
    <w:rsid w:val="3B475C72"/>
    <w:rsid w:val="3B4A1F7D"/>
    <w:rsid w:val="3B504F75"/>
    <w:rsid w:val="3C662447"/>
    <w:rsid w:val="3C7453F8"/>
    <w:rsid w:val="3C7E5079"/>
    <w:rsid w:val="3C817B2C"/>
    <w:rsid w:val="3CAC299D"/>
    <w:rsid w:val="3CB20523"/>
    <w:rsid w:val="3CD97542"/>
    <w:rsid w:val="3D0D0EEE"/>
    <w:rsid w:val="3D183CBD"/>
    <w:rsid w:val="3D1C22BB"/>
    <w:rsid w:val="3D2F10D5"/>
    <w:rsid w:val="3D3D6784"/>
    <w:rsid w:val="3D573DD1"/>
    <w:rsid w:val="3D61452F"/>
    <w:rsid w:val="3D622C7D"/>
    <w:rsid w:val="3DDC07A2"/>
    <w:rsid w:val="3DF23324"/>
    <w:rsid w:val="3E191D03"/>
    <w:rsid w:val="3E2D1B4C"/>
    <w:rsid w:val="3EBD363D"/>
    <w:rsid w:val="3F1118CE"/>
    <w:rsid w:val="3F6D6458"/>
    <w:rsid w:val="3FCC0881"/>
    <w:rsid w:val="3FF62ABB"/>
    <w:rsid w:val="40144130"/>
    <w:rsid w:val="40503261"/>
    <w:rsid w:val="406E0A84"/>
    <w:rsid w:val="409475CA"/>
    <w:rsid w:val="40D25083"/>
    <w:rsid w:val="40F92FDF"/>
    <w:rsid w:val="40F942BC"/>
    <w:rsid w:val="4118058E"/>
    <w:rsid w:val="411F0FE4"/>
    <w:rsid w:val="415F7A57"/>
    <w:rsid w:val="41B51F1E"/>
    <w:rsid w:val="41BB295C"/>
    <w:rsid w:val="41E07DB1"/>
    <w:rsid w:val="422950D3"/>
    <w:rsid w:val="422E137F"/>
    <w:rsid w:val="422E7B2F"/>
    <w:rsid w:val="423654FB"/>
    <w:rsid w:val="42EB101F"/>
    <w:rsid w:val="430A5D50"/>
    <w:rsid w:val="433857A3"/>
    <w:rsid w:val="433A20B4"/>
    <w:rsid w:val="438A6A89"/>
    <w:rsid w:val="43941A1B"/>
    <w:rsid w:val="43D7058C"/>
    <w:rsid w:val="43E83A3E"/>
    <w:rsid w:val="441E1A0B"/>
    <w:rsid w:val="443D77F2"/>
    <w:rsid w:val="44572BAD"/>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EE340F3"/>
    <w:rsid w:val="4F1D658B"/>
    <w:rsid w:val="4FBB691C"/>
    <w:rsid w:val="501676C3"/>
    <w:rsid w:val="505F182A"/>
    <w:rsid w:val="50765CBE"/>
    <w:rsid w:val="50A218B6"/>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3BA6F17"/>
    <w:rsid w:val="53F86D31"/>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71E156B"/>
    <w:rsid w:val="57411FF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7A6809"/>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0230C8"/>
    <w:rsid w:val="6F2D777E"/>
    <w:rsid w:val="6FF420D8"/>
    <w:rsid w:val="70470BED"/>
    <w:rsid w:val="708A48C4"/>
    <w:rsid w:val="70CE32E9"/>
    <w:rsid w:val="70E67D9C"/>
    <w:rsid w:val="70EE1D10"/>
    <w:rsid w:val="711C66C3"/>
    <w:rsid w:val="711D2C4B"/>
    <w:rsid w:val="712241BB"/>
    <w:rsid w:val="712D31CC"/>
    <w:rsid w:val="71C149B3"/>
    <w:rsid w:val="724E100B"/>
    <w:rsid w:val="725041A9"/>
    <w:rsid w:val="72850298"/>
    <w:rsid w:val="728A6ED6"/>
    <w:rsid w:val="72973A3A"/>
    <w:rsid w:val="72A3305F"/>
    <w:rsid w:val="732563AF"/>
    <w:rsid w:val="73396397"/>
    <w:rsid w:val="734F4D00"/>
    <w:rsid w:val="73695912"/>
    <w:rsid w:val="73B41F88"/>
    <w:rsid w:val="74177EF7"/>
    <w:rsid w:val="74626CAF"/>
    <w:rsid w:val="74994268"/>
    <w:rsid w:val="74DD6B73"/>
    <w:rsid w:val="74E6194D"/>
    <w:rsid w:val="754E6F70"/>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E802769"/>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next w:val="13"/>
    <w:autoRedefine/>
    <w:qFormat/>
    <w:uiPriority w:val="0"/>
    <w:pPr>
      <w:spacing w:after="120"/>
      <w:ind w:left="420" w:leftChars="200"/>
    </w:pPr>
  </w:style>
  <w:style w:type="paragraph" w:styleId="13">
    <w:name w:val="toc 9"/>
    <w:basedOn w:val="1"/>
    <w:next w:val="1"/>
    <w:qFormat/>
    <w:uiPriority w:val="39"/>
    <w:pPr>
      <w:ind w:left="1680"/>
      <w:jc w:val="left"/>
    </w:pPr>
    <w:rPr>
      <w:sz w:val="18"/>
      <w:szCs w:val="18"/>
    </w:rPr>
  </w:style>
  <w:style w:type="paragraph" w:styleId="14">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5">
    <w:name w:val="Plain Text"/>
    <w:basedOn w:val="1"/>
    <w:link w:val="38"/>
    <w:qFormat/>
    <w:uiPriority w:val="0"/>
    <w:rPr>
      <w:rFonts w:ascii="宋体" w:hAnsi="Courier New"/>
      <w:snapToGrid w:val="0"/>
      <w:kern w:val="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8">
    <w:name w:val="Balloon Text"/>
    <w:basedOn w:val="1"/>
    <w:link w:val="39"/>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061"/>
      </w:tabs>
      <w:spacing w:before="120" w:after="120"/>
      <w:jc w:val="left"/>
    </w:pPr>
    <w:rPr>
      <w:rFonts w:ascii="黑体" w:eastAsia="黑体"/>
      <w:b/>
      <w:bCs/>
      <w:caps/>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Title"/>
    <w:basedOn w:val="1"/>
    <w:next w:val="1"/>
    <w:qFormat/>
    <w:uiPriority w:val="0"/>
    <w:pPr>
      <w:spacing w:before="240" w:after="60"/>
      <w:jc w:val="center"/>
      <w:outlineLvl w:val="0"/>
    </w:pPr>
    <w:rPr>
      <w:rFonts w:ascii="Arial" w:hAnsi="Arial"/>
      <w:b/>
      <w:sz w:val="32"/>
      <w:szCs w:val="20"/>
    </w:rPr>
  </w:style>
  <w:style w:type="paragraph" w:styleId="25">
    <w:name w:val="Body Text First Indent"/>
    <w:basedOn w:val="11"/>
    <w:qFormat/>
    <w:uiPriority w:val="0"/>
    <w:pPr>
      <w:spacing w:line="312" w:lineRule="auto"/>
      <w:ind w:firstLine="420"/>
    </w:pPr>
  </w:style>
  <w:style w:type="paragraph" w:styleId="26">
    <w:name w:val="Body Text First Indent 2"/>
    <w:basedOn w:val="12"/>
    <w:next w:val="1"/>
    <w:qFormat/>
    <w:uiPriority w:val="0"/>
    <w:pPr>
      <w:ind w:firstLine="420" w:firstLineChars="200"/>
    </w:pPr>
    <w:rPr>
      <w:kern w:val="2"/>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4">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5">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6">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7">
    <w:name w:val="纯文本 Char1"/>
    <w:semiHidden/>
    <w:qFormat/>
    <w:locked/>
    <w:uiPriority w:val="0"/>
    <w:rPr>
      <w:rFonts w:ascii="宋体" w:hAnsi="Courier New"/>
      <w:sz w:val="24"/>
      <w:szCs w:val="21"/>
    </w:rPr>
  </w:style>
  <w:style w:type="character" w:customStyle="1" w:styleId="38">
    <w:name w:val="纯文本 Char"/>
    <w:link w:val="15"/>
    <w:qFormat/>
    <w:uiPriority w:val="0"/>
    <w:rPr>
      <w:rFonts w:ascii="宋体" w:hAnsi="Courier New" w:eastAsia="宋体"/>
      <w:snapToGrid w:val="0"/>
      <w:sz w:val="24"/>
      <w:szCs w:val="21"/>
      <w:lang w:val="en-US" w:eastAsia="zh-CN" w:bidi="ar-SA"/>
    </w:rPr>
  </w:style>
  <w:style w:type="character" w:customStyle="1" w:styleId="39">
    <w:name w:val="批注框文本 Char"/>
    <w:link w:val="18"/>
    <w:qFormat/>
    <w:uiPriority w:val="0"/>
    <w:rPr>
      <w:kern w:val="2"/>
      <w:sz w:val="18"/>
      <w:szCs w:val="18"/>
    </w:rPr>
  </w:style>
  <w:style w:type="character" w:customStyle="1" w:styleId="40">
    <w:name w:val="font01"/>
    <w:basedOn w:val="29"/>
    <w:qFormat/>
    <w:uiPriority w:val="0"/>
    <w:rPr>
      <w:rFonts w:hint="eastAsia" w:ascii="宋体" w:hAnsi="宋体" w:eastAsia="宋体" w:cs="宋体"/>
      <w:color w:val="000000"/>
      <w:sz w:val="22"/>
      <w:szCs w:val="22"/>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 text|5"/>
    <w:basedOn w:val="1"/>
    <w:qFormat/>
    <w:uiPriority w:val="0"/>
    <w:pPr>
      <w:ind w:left="2560"/>
    </w:pPr>
    <w:rPr>
      <w:rFonts w:ascii="宋体" w:hAnsi="宋体" w:cs="宋体"/>
      <w:sz w:val="32"/>
      <w:szCs w:val="32"/>
      <w:lang w:val="zh-TW" w:eastAsia="zh-TW" w:bidi="zh-TW"/>
    </w:rPr>
  </w:style>
  <w:style w:type="paragraph" w:customStyle="1" w:styleId="43">
    <w:name w:val="Body text|1"/>
    <w:basedOn w:val="1"/>
    <w:qFormat/>
    <w:uiPriority w:val="0"/>
    <w:pPr>
      <w:spacing w:line="413" w:lineRule="auto"/>
      <w:ind w:firstLine="400"/>
    </w:pPr>
    <w:rPr>
      <w:rFonts w:ascii="宋体" w:hAnsi="宋体" w:cs="宋体"/>
      <w:lang w:val="zh-TW" w:eastAsia="zh-TW" w:bidi="zh-TW"/>
    </w:rPr>
  </w:style>
  <w:style w:type="paragraph" w:customStyle="1" w:styleId="44">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7368</Words>
  <Characters>8089</Characters>
  <Lines>188</Lines>
  <Paragraphs>53</Paragraphs>
  <TotalTime>41</TotalTime>
  <ScaleCrop>false</ScaleCrop>
  <LinksUpToDate>false</LinksUpToDate>
  <CharactersWithSpaces>8333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2026-02-28T06:23:43Z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FC8054659A83495FB903A6AF426E47D9_13</vt:lpwstr>
  </property>
  <property fmtid="{D5CDD505-2E9C-101B-9397-08002B2CF9AE}" pid="4" name="KSOTemplateDocerSaveRecord">
    <vt:lpwstr>eyJoZGlkIjoiZDM2ZDVhNTUyM2VjNTE3MmNjYjUwOTIwZGVlOTIzMjMiLCJ1c2VySWQiOiIxMzE5MjgwMDg5In0=</vt:lpwstr>
  </property>
</Properties>
</file>