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B797D">
      <w:pPr>
        <w:jc w:val="center"/>
        <w:rPr>
          <w:rFonts w:ascii="黑体" w:hAnsi="黑体" w:eastAsia="黑体" w:cs="黑体"/>
          <w:b/>
          <w:bCs/>
          <w:sz w:val="36"/>
          <w:szCs w:val="36"/>
        </w:rPr>
      </w:pPr>
      <w:r>
        <w:rPr>
          <w:rFonts w:hint="eastAsia" w:ascii="黑体" w:hAnsi="黑体" w:eastAsia="黑体" w:cs="黑体"/>
          <w:b/>
          <w:bCs/>
          <w:sz w:val="36"/>
          <w:szCs w:val="36"/>
        </w:rPr>
        <w:t>技术规格书</w:t>
      </w:r>
      <w:bookmarkStart w:id="21" w:name="_GoBack"/>
      <w:bookmarkEnd w:id="21"/>
    </w:p>
    <w:p w14:paraId="6950AEBD">
      <w:pPr>
        <w:pStyle w:val="2"/>
        <w:rPr>
          <w:sz w:val="28"/>
          <w:szCs w:val="22"/>
        </w:rPr>
      </w:pPr>
      <w:r>
        <w:rPr>
          <w:rFonts w:hint="eastAsia"/>
          <w:sz w:val="28"/>
          <w:szCs w:val="22"/>
        </w:rPr>
        <w:t>一、综述</w:t>
      </w:r>
    </w:p>
    <w:p w14:paraId="574C6C17">
      <w:pPr>
        <w:pStyle w:val="3"/>
        <w:rPr>
          <w:rFonts w:ascii="宋体" w:hAnsi="宋体" w:eastAsia="宋体" w:cs="宋体"/>
          <w:sz w:val="24"/>
          <w:szCs w:val="22"/>
        </w:rPr>
      </w:pPr>
      <w:r>
        <w:rPr>
          <w:rFonts w:hint="eastAsia" w:ascii="宋体" w:hAnsi="宋体" w:eastAsia="宋体" w:cs="宋体"/>
          <w:sz w:val="24"/>
          <w:szCs w:val="22"/>
        </w:rPr>
        <w:t>1.1概况</w:t>
      </w:r>
    </w:p>
    <w:p w14:paraId="29DB899F">
      <w:pPr>
        <w:spacing w:line="360" w:lineRule="auto"/>
        <w:ind w:firstLine="480" w:firstLineChars="200"/>
        <w:rPr>
          <w:rFonts w:ascii="宋体" w:hAnsi="宋体" w:eastAsia="宋体" w:cs="宋体"/>
          <w:sz w:val="24"/>
        </w:rPr>
      </w:pPr>
      <w:r>
        <w:rPr>
          <w:rFonts w:hint="eastAsia" w:ascii="宋体" w:hAnsi="宋体" w:eastAsia="宋体" w:cs="宋体"/>
          <w:sz w:val="24"/>
        </w:rPr>
        <w:t>A.昆明市第十五水质净化厂建设工程建设地点：官渡区宝丰半岛，北临环湖东 路、西临老宝象河、东临新宝象河、南临湖滨生态红线，项目面积20.71公顷（约311亩）。</w:t>
      </w:r>
    </w:p>
    <w:p w14:paraId="663B5560">
      <w:pPr>
        <w:spacing w:line="360" w:lineRule="auto"/>
        <w:ind w:firstLine="480" w:firstLineChars="200"/>
        <w:rPr>
          <w:rFonts w:ascii="宋体" w:hAnsi="宋体" w:eastAsia="宋体" w:cs="宋体"/>
          <w:sz w:val="24"/>
        </w:rPr>
      </w:pPr>
      <w:r>
        <w:rPr>
          <w:rFonts w:hint="eastAsia" w:ascii="宋体" w:hAnsi="宋体" w:eastAsia="宋体" w:cs="宋体"/>
          <w:sz w:val="24"/>
        </w:rPr>
        <w:t>B.旱季污水处理量40万m³/d，雨季设计流量60万m³/d。污泥处理后的出泥 含水率不大于60%。</w:t>
      </w:r>
    </w:p>
    <w:p w14:paraId="0D47420F">
      <w:pPr>
        <w:spacing w:line="360" w:lineRule="auto"/>
        <w:ind w:firstLine="480" w:firstLineChars="200"/>
        <w:rPr>
          <w:rFonts w:ascii="宋体" w:hAnsi="宋体" w:eastAsia="宋体" w:cs="宋体"/>
          <w:sz w:val="24"/>
        </w:rPr>
      </w:pPr>
      <w:r>
        <w:rPr>
          <w:rFonts w:hint="eastAsia" w:ascii="宋体" w:hAnsi="宋体" w:eastAsia="宋体" w:cs="宋体"/>
          <w:sz w:val="24"/>
        </w:rPr>
        <w:t>C.本工程再生水主要处理构筑物设置于地下箱体内，地上生产区主要布置有粗 格栅及进水泵房、附属建筑如综合楼、楼梯间、地下空间出入口等。</w:t>
      </w:r>
    </w:p>
    <w:p w14:paraId="01BDE86F">
      <w:pPr>
        <w:spacing w:line="360" w:lineRule="auto"/>
        <w:ind w:firstLine="480" w:firstLineChars="200"/>
        <w:rPr>
          <w:rFonts w:ascii="宋体" w:hAnsi="宋体" w:eastAsia="宋体" w:cs="宋体"/>
          <w:sz w:val="24"/>
        </w:rPr>
      </w:pPr>
      <w:r>
        <w:rPr>
          <w:rFonts w:hint="eastAsia" w:ascii="宋体" w:hAnsi="宋体" w:eastAsia="宋体" w:cs="宋体"/>
          <w:sz w:val="24"/>
        </w:rPr>
        <w:t>D.本技术规范叙述了昆明第十五水质净化厂的概况、合同范围和性质，以及卖 方为本标段所需提供的服务及设施。本标段所有工艺设备的供货、安装指导及相关服务等将组成本合同进行招标采购。</w:t>
      </w:r>
    </w:p>
    <w:p w14:paraId="6D8A9987">
      <w:pPr>
        <w:spacing w:line="360" w:lineRule="auto"/>
        <w:ind w:firstLine="480" w:firstLineChars="200"/>
        <w:rPr>
          <w:rFonts w:ascii="宋体" w:hAnsi="宋体" w:eastAsia="宋体" w:cs="宋体"/>
          <w:sz w:val="24"/>
        </w:rPr>
      </w:pPr>
      <w:r>
        <w:rPr>
          <w:rFonts w:hint="eastAsia" w:ascii="宋体" w:hAnsi="宋体" w:eastAsia="宋体" w:cs="宋体"/>
          <w:sz w:val="24"/>
        </w:rPr>
        <w:t>E.招标文件中的技术规定、设计资料、工程计划及附图等仅对本合同的一些特 定特征作了说明，并非涵盖所有细节，且在本文中所提出的为最低限度的技 术要求，并未规定所有的技术要求和适用的标准，投标人应根据本文所提供的各项外部条件及限定条件,配备保证系统安全、可靠运行所必需的全部工艺设备、电气设备、仪表自控系统设备及辅助附件，并提供所有设备的安装指导或安装、单机调试、联动试车、试运行及性能测试、人员培训及软件编制工作等相关技术服务。</w:t>
      </w:r>
    </w:p>
    <w:p w14:paraId="7930BA84">
      <w:pPr>
        <w:spacing w:line="360" w:lineRule="auto"/>
        <w:ind w:firstLine="480" w:firstLineChars="200"/>
        <w:rPr>
          <w:rFonts w:ascii="宋体" w:hAnsi="宋体" w:eastAsia="宋体" w:cs="宋体"/>
          <w:sz w:val="24"/>
        </w:rPr>
      </w:pPr>
      <w:r>
        <w:rPr>
          <w:rFonts w:hint="eastAsia" w:ascii="宋体" w:hAnsi="宋体" w:eastAsia="宋体" w:cs="宋体"/>
          <w:sz w:val="24"/>
        </w:rPr>
        <w:t>F.对于系统供货的设备如：生物池系统、PAC及醋酸钠加药系统等应按本技术规定相应内容及功能要求进行核算、布置并供货。对应的电气及仪表自控部分应包括配 套提供的系统控制箱柜、设备单机的现场控制箱及按钮箱、仪表及 PLC 控制系统、供电及信号电缆等。</w:t>
      </w:r>
    </w:p>
    <w:p w14:paraId="5D704F11">
      <w:pPr>
        <w:spacing w:line="360" w:lineRule="auto"/>
        <w:ind w:firstLine="480" w:firstLineChars="200"/>
        <w:rPr>
          <w:rFonts w:ascii="宋体" w:hAnsi="宋体" w:eastAsia="宋体" w:cs="宋体"/>
          <w:sz w:val="24"/>
        </w:rPr>
      </w:pPr>
      <w:r>
        <w:rPr>
          <w:rFonts w:hint="eastAsia" w:ascii="宋体" w:hAnsi="宋体" w:eastAsia="宋体" w:cs="宋体"/>
          <w:sz w:val="24"/>
        </w:rPr>
        <w:t>G.对于所有单体处理构筑物，除非特殊说明，卖方的供货界线为构建筑物墙以外1米以内的工艺设备。系统及设备的供货应包括所有工艺设备、阀门、仪表、控制箱柜及按钮箱等（详见第1部分）。卖方应对所供成套系统设备负有技术责任，包括分包（或采购）的设备、系统和零部件。供货界线参见技术描述及附图（当图纸有标定时）。</w:t>
      </w:r>
    </w:p>
    <w:p w14:paraId="3896156B">
      <w:pPr>
        <w:spacing w:line="360" w:lineRule="auto"/>
        <w:ind w:firstLine="480" w:firstLineChars="200"/>
        <w:rPr>
          <w:rFonts w:ascii="宋体" w:hAnsi="宋体" w:eastAsia="宋体" w:cs="宋体"/>
          <w:sz w:val="24"/>
        </w:rPr>
      </w:pPr>
      <w:r>
        <w:rPr>
          <w:rFonts w:hint="eastAsia" w:ascii="宋体" w:hAnsi="宋体" w:eastAsia="宋体" w:cs="宋体"/>
          <w:sz w:val="24"/>
        </w:rPr>
        <w:t>H.因本项目工期十分紧张，为了保证按时通水，卖方所提供的设备应满足招标图纸的相关要求，不应造成土建结构的变更。本招标文件所附图纸仅供参考，最终以实际施工图为主。</w:t>
      </w:r>
    </w:p>
    <w:p w14:paraId="70C08654">
      <w:pPr>
        <w:spacing w:line="360" w:lineRule="auto"/>
        <w:ind w:firstLine="480" w:firstLineChars="200"/>
        <w:rPr>
          <w:rFonts w:ascii="宋体" w:hAnsi="宋体" w:eastAsia="宋体" w:cs="宋体"/>
          <w:sz w:val="24"/>
        </w:rPr>
      </w:pPr>
      <w:r>
        <w:rPr>
          <w:rFonts w:hint="eastAsia" w:ascii="宋体" w:hAnsi="宋体" w:eastAsia="宋体" w:cs="宋体"/>
          <w:sz w:val="24"/>
        </w:rPr>
        <w:t>I.本工程为地下式污水厂，几个成组布置的建、构筑物内布有柱网，土建预留及安装条件有限，设备的制造、运输及安装应考虑此种情况并满足相关条件要求。</w:t>
      </w:r>
    </w:p>
    <w:p w14:paraId="24EE4A44">
      <w:pPr>
        <w:pStyle w:val="3"/>
        <w:rPr>
          <w:rFonts w:ascii="宋体" w:hAnsi="宋体" w:eastAsia="宋体" w:cs="宋体"/>
          <w:sz w:val="24"/>
          <w:szCs w:val="22"/>
        </w:rPr>
      </w:pPr>
      <w:r>
        <w:rPr>
          <w:rFonts w:hint="eastAsia" w:ascii="宋体" w:hAnsi="宋体" w:eastAsia="宋体" w:cs="宋体"/>
          <w:sz w:val="24"/>
          <w:szCs w:val="22"/>
        </w:rPr>
        <w:t>1.2 背景描述</w:t>
      </w:r>
    </w:p>
    <w:p w14:paraId="64A3CF05">
      <w:pPr>
        <w:spacing w:line="360" w:lineRule="auto"/>
        <w:ind w:firstLine="480" w:firstLineChars="200"/>
        <w:rPr>
          <w:rFonts w:ascii="宋体" w:hAnsi="宋体" w:eastAsia="宋体" w:cs="宋体"/>
          <w:sz w:val="24"/>
        </w:rPr>
      </w:pPr>
      <w:r>
        <w:rPr>
          <w:rFonts w:hint="eastAsia" w:ascii="宋体" w:hAnsi="宋体" w:eastAsia="宋体" w:cs="宋体"/>
          <w:sz w:val="24"/>
        </w:rPr>
        <w:t>A. 昆明第十五水质净化厂位于官渡区宝丰半岛，旱季污水处理量40万 m³/d ，雨季设计流量60万 m³/d，建设总用地约20.71ha。污泥处理后的含水率60%。</w:t>
      </w:r>
    </w:p>
    <w:p w14:paraId="7B49D51E">
      <w:pPr>
        <w:spacing w:line="360" w:lineRule="auto"/>
        <w:ind w:firstLine="480" w:firstLineChars="200"/>
        <w:rPr>
          <w:rFonts w:ascii="宋体" w:hAnsi="宋体" w:eastAsia="宋体" w:cs="宋体"/>
          <w:sz w:val="24"/>
        </w:rPr>
      </w:pPr>
      <w:r>
        <w:rPr>
          <w:rFonts w:hint="eastAsia" w:ascii="宋体" w:hAnsi="宋体" w:eastAsia="宋体" w:cs="宋体"/>
          <w:sz w:val="24"/>
        </w:rPr>
        <w:t>B. 本次工程粗格栅及进水泵房、细格栅及曝气沉砂池、预处理附属用房、鼓风 机房、总变配电室、进出水监测小室、改进型 SBR 反应池、污泥泵房、气浮 池、中间提升泵房、反硝化深床滤池、深床砂滤池、紫外消毒渠、次氯酸钠 加药间、PAC 及醋酸钠加药间、储泥池及污泥浓缩机房、板框脱水机房、清水池、配水泵房等污水、污泥处理构筑物的设备及建构筑物按全规模实施。</w:t>
      </w:r>
    </w:p>
    <w:p w14:paraId="5A81EC17">
      <w:pPr>
        <w:spacing w:line="360" w:lineRule="auto"/>
        <w:ind w:firstLine="480" w:firstLineChars="200"/>
        <w:rPr>
          <w:rFonts w:ascii="宋体" w:hAnsi="宋体" w:eastAsia="宋体" w:cs="宋体"/>
          <w:sz w:val="24"/>
        </w:rPr>
      </w:pPr>
      <w:r>
        <w:rPr>
          <w:rFonts w:hint="eastAsia" w:ascii="宋体" w:hAnsi="宋体" w:eastAsia="宋体" w:cs="宋体"/>
          <w:sz w:val="24"/>
        </w:rPr>
        <w:t>C. 昆明市第十五水质净化厂建设工程污水处理系统拟采用“改进型 SBR 生物池 +反硝化深床滤池＋气浮除磷单元+深床砂滤池+紫外消毒”工艺；污泥处理 工艺为：“机械浓缩＋调理＋板框脱水”工艺，出泥含水率达到60 %；除臭 工艺为“全流程除臭+生物除臭+土壤除臭”工艺。</w:t>
      </w:r>
    </w:p>
    <w:p w14:paraId="454B0280">
      <w:pPr>
        <w:pStyle w:val="3"/>
        <w:rPr>
          <w:rFonts w:ascii="宋体" w:hAnsi="宋体" w:eastAsia="宋体" w:cs="宋体"/>
          <w:sz w:val="24"/>
          <w:szCs w:val="22"/>
        </w:rPr>
      </w:pPr>
      <w:r>
        <w:rPr>
          <w:rFonts w:hint="eastAsia" w:ascii="宋体" w:hAnsi="宋体" w:eastAsia="宋体" w:cs="宋体"/>
          <w:sz w:val="24"/>
          <w:szCs w:val="22"/>
        </w:rPr>
        <w:t>1.3 设计进出水水质要求</w:t>
      </w:r>
    </w:p>
    <w:p w14:paraId="69ABC1AA">
      <w:pPr>
        <w:pStyle w:val="3"/>
        <w:rPr>
          <w:rFonts w:ascii="宋体" w:hAnsi="宋体" w:eastAsia="宋体" w:cs="宋体"/>
          <w:sz w:val="24"/>
          <w:szCs w:val="22"/>
        </w:rPr>
      </w:pPr>
      <w:r>
        <w:rPr>
          <w:rFonts w:hint="eastAsia" w:ascii="宋体" w:hAnsi="宋体" w:eastAsia="宋体" w:cs="宋体"/>
          <w:sz w:val="24"/>
          <w:szCs w:val="22"/>
        </w:rPr>
        <w:t>1.3.1 设计进水水质</w:t>
      </w:r>
    </w:p>
    <w:p w14:paraId="7D317670">
      <w:pPr>
        <w:spacing w:line="360" w:lineRule="auto"/>
        <w:rPr>
          <w:rFonts w:ascii="宋体" w:hAnsi="宋体" w:eastAsia="宋体" w:cs="宋体"/>
          <w:sz w:val="24"/>
        </w:rPr>
      </w:pPr>
      <w:r>
        <w:rPr>
          <w:rFonts w:hint="eastAsia" w:ascii="宋体" w:hAnsi="宋体" w:eastAsia="宋体" w:cs="宋体"/>
          <w:sz w:val="24"/>
        </w:rPr>
        <w:t>旱季水质净化厂设计进水水质(mg/L)</w:t>
      </w:r>
    </w:p>
    <w:tbl>
      <w:tblPr>
        <w:tblStyle w:val="8"/>
        <w:tblW w:w="8297" w:type="dxa"/>
        <w:tblInd w:w="102" w:type="dxa"/>
        <w:tblLayout w:type="fixed"/>
        <w:tblCellMar>
          <w:top w:w="0" w:type="dxa"/>
          <w:left w:w="108" w:type="dxa"/>
          <w:bottom w:w="0" w:type="dxa"/>
          <w:right w:w="108" w:type="dxa"/>
        </w:tblCellMar>
      </w:tblPr>
      <w:tblGrid>
        <w:gridCol w:w="1367"/>
        <w:gridCol w:w="1298"/>
        <w:gridCol w:w="1342"/>
        <w:gridCol w:w="1035"/>
        <w:gridCol w:w="1170"/>
        <w:gridCol w:w="1260"/>
        <w:gridCol w:w="825"/>
      </w:tblGrid>
      <w:tr w14:paraId="30523D8C">
        <w:tblPrEx>
          <w:tblCellMar>
            <w:top w:w="0" w:type="dxa"/>
            <w:left w:w="108" w:type="dxa"/>
            <w:bottom w:w="0" w:type="dxa"/>
            <w:right w:w="108" w:type="dxa"/>
          </w:tblCellMar>
        </w:tblPrEx>
        <w:trPr>
          <w:trHeight w:val="454"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A52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水质指标</w:t>
            </w: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22D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CODCr</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66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BOD5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494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SS</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5B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TN</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338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NH3-N</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08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TP</w:t>
            </w:r>
          </w:p>
        </w:tc>
      </w:tr>
      <w:tr w14:paraId="588E1783">
        <w:tblPrEx>
          <w:tblCellMar>
            <w:top w:w="0" w:type="dxa"/>
            <w:left w:w="108" w:type="dxa"/>
            <w:bottom w:w="0" w:type="dxa"/>
            <w:right w:w="108" w:type="dxa"/>
          </w:tblCellMar>
        </w:tblPrEx>
        <w:trPr>
          <w:trHeight w:val="454" w:hRule="atLeast"/>
        </w:trPr>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FD14">
            <w:pPr>
              <w:jc w:val="center"/>
              <w:rPr>
                <w:rFonts w:ascii="宋体" w:hAnsi="宋体" w:eastAsia="宋体" w:cs="宋体"/>
                <w:color w:val="000000"/>
                <w:sz w:val="20"/>
                <w:szCs w:val="20"/>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D6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8B3C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0C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9961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D59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9E2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r>
    </w:tbl>
    <w:p w14:paraId="5E28DD65">
      <w:pPr>
        <w:spacing w:line="360" w:lineRule="auto"/>
        <w:rPr>
          <w:rFonts w:ascii="宋体" w:hAnsi="宋体" w:eastAsia="宋体" w:cs="宋体"/>
          <w:sz w:val="24"/>
        </w:rPr>
      </w:pPr>
      <w:r>
        <w:rPr>
          <w:rFonts w:hint="eastAsia" w:ascii="宋体" w:hAnsi="宋体" w:eastAsia="宋体" w:cs="宋体"/>
          <w:sz w:val="24"/>
        </w:rPr>
        <w:t>雨季水质净化厂设计进水水质(mg/L)</w:t>
      </w:r>
    </w:p>
    <w:tbl>
      <w:tblPr>
        <w:tblStyle w:val="8"/>
        <w:tblW w:w="8297" w:type="dxa"/>
        <w:tblInd w:w="100" w:type="dxa"/>
        <w:tblLayout w:type="autofit"/>
        <w:tblCellMar>
          <w:top w:w="0" w:type="dxa"/>
          <w:left w:w="108" w:type="dxa"/>
          <w:bottom w:w="0" w:type="dxa"/>
          <w:right w:w="108" w:type="dxa"/>
        </w:tblCellMar>
      </w:tblPr>
      <w:tblGrid>
        <w:gridCol w:w="1357"/>
        <w:gridCol w:w="1313"/>
        <w:gridCol w:w="1350"/>
        <w:gridCol w:w="1022"/>
        <w:gridCol w:w="1178"/>
        <w:gridCol w:w="1260"/>
        <w:gridCol w:w="817"/>
      </w:tblGrid>
      <w:tr w14:paraId="52A3F644">
        <w:tblPrEx>
          <w:tblCellMar>
            <w:top w:w="0" w:type="dxa"/>
            <w:left w:w="108" w:type="dxa"/>
            <w:bottom w:w="0" w:type="dxa"/>
            <w:right w:w="108" w:type="dxa"/>
          </w:tblCellMar>
        </w:tblPrEx>
        <w:trPr>
          <w:trHeight w:val="50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F9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水质指标</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97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CODCr</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7E9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BOD5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DD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SS</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8F2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TN</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75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NH3-N</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7884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TP</w:t>
            </w:r>
          </w:p>
        </w:tc>
      </w:tr>
      <w:tr w14:paraId="7B6CD338">
        <w:tblPrEx>
          <w:tblCellMar>
            <w:top w:w="0" w:type="dxa"/>
            <w:left w:w="108" w:type="dxa"/>
            <w:bottom w:w="0" w:type="dxa"/>
            <w:right w:w="108" w:type="dxa"/>
          </w:tblCellMar>
        </w:tblPrEx>
        <w:trPr>
          <w:trHeight w:val="500" w:hRule="atLeast"/>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B6CCF">
            <w:pPr>
              <w:jc w:val="center"/>
              <w:rPr>
                <w:rFonts w:ascii="宋体" w:hAnsi="宋体" w:eastAsia="宋体" w:cs="宋体"/>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46C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D4D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99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F31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07A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ADD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bl>
    <w:p w14:paraId="18F006AE">
      <w:pPr>
        <w:pStyle w:val="3"/>
        <w:rPr>
          <w:rFonts w:ascii="宋体" w:hAnsi="宋体" w:eastAsia="宋体" w:cs="宋体"/>
          <w:sz w:val="24"/>
          <w:szCs w:val="22"/>
        </w:rPr>
      </w:pPr>
      <w:r>
        <w:rPr>
          <w:rFonts w:hint="eastAsia" w:ascii="宋体" w:hAnsi="宋体" w:eastAsia="宋体" w:cs="宋体"/>
          <w:sz w:val="24"/>
          <w:szCs w:val="22"/>
        </w:rPr>
        <w:t>1.3.2 设计出水水质</w:t>
      </w:r>
    </w:p>
    <w:p w14:paraId="4B3CF416">
      <w:pPr>
        <w:spacing w:line="360" w:lineRule="auto"/>
        <w:ind w:firstLine="480" w:firstLineChars="200"/>
        <w:rPr>
          <w:rFonts w:ascii="宋体" w:hAnsi="宋体" w:eastAsia="宋体" w:cs="宋体"/>
          <w:sz w:val="24"/>
        </w:rPr>
      </w:pPr>
      <w:r>
        <w:rPr>
          <w:rFonts w:hint="eastAsia" w:ascii="宋体" w:hAnsi="宋体" w:eastAsia="宋体" w:cs="宋体"/>
          <w:sz w:val="24"/>
        </w:rPr>
        <w:t>A.本工程处理后的尾水回用和退至新宝象河，新宝象河最终流入滇池。CODCr、 BOD5 、SS、TN、NH3-N、TP 达到昆明市《城镇污水处理厂主要水污染物排 放限值》（DB5301/T 43-2020）A 标准，其他污染物排放达到《城镇污水处理厂污染物排放标准》（GB18918-2002）一级 A 标准，主要指标如下：</w:t>
      </w:r>
    </w:p>
    <w:tbl>
      <w:tblPr>
        <w:tblStyle w:val="8"/>
        <w:tblW w:w="8260" w:type="dxa"/>
        <w:tblInd w:w="100" w:type="dxa"/>
        <w:tblLayout w:type="autofit"/>
        <w:tblCellMar>
          <w:top w:w="0" w:type="dxa"/>
          <w:left w:w="108" w:type="dxa"/>
          <w:bottom w:w="0" w:type="dxa"/>
          <w:right w:w="108" w:type="dxa"/>
        </w:tblCellMar>
      </w:tblPr>
      <w:tblGrid>
        <w:gridCol w:w="3902"/>
        <w:gridCol w:w="4358"/>
      </w:tblGrid>
      <w:tr w14:paraId="4035017E">
        <w:tblPrEx>
          <w:tblCellMar>
            <w:top w:w="0" w:type="dxa"/>
            <w:left w:w="108" w:type="dxa"/>
            <w:bottom w:w="0" w:type="dxa"/>
            <w:right w:w="108" w:type="dxa"/>
          </w:tblCellMar>
        </w:tblPrEx>
        <w:trPr>
          <w:trHeight w:val="400" w:hRule="atLeast"/>
        </w:trPr>
        <w:tc>
          <w:tcPr>
            <w:tcW w:w="39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C6CD6A4">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项 目</w:t>
            </w:r>
          </w:p>
        </w:tc>
        <w:tc>
          <w:tcPr>
            <w:tcW w:w="435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6734BEF">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设计出水</w:t>
            </w:r>
          </w:p>
        </w:tc>
      </w:tr>
      <w:tr w14:paraId="03F2A64B">
        <w:tblPrEx>
          <w:tblCellMar>
            <w:top w:w="0" w:type="dxa"/>
            <w:left w:w="108" w:type="dxa"/>
            <w:bottom w:w="0" w:type="dxa"/>
            <w:right w:w="108" w:type="dxa"/>
          </w:tblCellMar>
        </w:tblPrEx>
        <w:trPr>
          <w:trHeight w:val="400" w:hRule="atLeast"/>
        </w:trPr>
        <w:tc>
          <w:tcPr>
            <w:tcW w:w="39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4C8707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BOD5（mg/L）</w:t>
            </w:r>
          </w:p>
        </w:tc>
        <w:tc>
          <w:tcPr>
            <w:tcW w:w="435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332EE7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w:t>
            </w:r>
          </w:p>
        </w:tc>
      </w:tr>
      <w:tr w14:paraId="669D57C2">
        <w:tblPrEx>
          <w:tblCellMar>
            <w:top w:w="0" w:type="dxa"/>
            <w:left w:w="108" w:type="dxa"/>
            <w:bottom w:w="0" w:type="dxa"/>
            <w:right w:w="108" w:type="dxa"/>
          </w:tblCellMar>
        </w:tblPrEx>
        <w:trPr>
          <w:trHeight w:val="400" w:hRule="atLeast"/>
        </w:trPr>
        <w:tc>
          <w:tcPr>
            <w:tcW w:w="39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0EE2501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CODcr（mg/L）</w:t>
            </w:r>
          </w:p>
        </w:tc>
        <w:tc>
          <w:tcPr>
            <w:tcW w:w="435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1B27F2E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20</w:t>
            </w:r>
          </w:p>
        </w:tc>
      </w:tr>
      <w:tr w14:paraId="024A8493">
        <w:tblPrEx>
          <w:tblCellMar>
            <w:top w:w="0" w:type="dxa"/>
            <w:left w:w="108" w:type="dxa"/>
            <w:bottom w:w="0" w:type="dxa"/>
            <w:right w:w="108" w:type="dxa"/>
          </w:tblCellMar>
        </w:tblPrEx>
        <w:trPr>
          <w:trHeight w:val="400" w:hRule="atLeast"/>
        </w:trPr>
        <w:tc>
          <w:tcPr>
            <w:tcW w:w="39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D3CAC4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TN（mg/L）</w:t>
            </w:r>
          </w:p>
        </w:tc>
        <w:tc>
          <w:tcPr>
            <w:tcW w:w="435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5BA920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5（10）</w:t>
            </w:r>
          </w:p>
        </w:tc>
      </w:tr>
      <w:tr w14:paraId="78C1A6F1">
        <w:tblPrEx>
          <w:tblCellMar>
            <w:top w:w="0" w:type="dxa"/>
            <w:left w:w="108" w:type="dxa"/>
            <w:bottom w:w="0" w:type="dxa"/>
            <w:right w:w="108" w:type="dxa"/>
          </w:tblCellMar>
        </w:tblPrEx>
        <w:trPr>
          <w:trHeight w:val="400" w:hRule="atLeast"/>
        </w:trPr>
        <w:tc>
          <w:tcPr>
            <w:tcW w:w="39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7FCC9C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NH4+-N（mg/L）</w:t>
            </w:r>
          </w:p>
        </w:tc>
        <w:tc>
          <w:tcPr>
            <w:tcW w:w="435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78F1FB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1.0（1.5）</w:t>
            </w:r>
          </w:p>
        </w:tc>
      </w:tr>
      <w:tr w14:paraId="402DFEE4">
        <w:tblPrEx>
          <w:tblCellMar>
            <w:top w:w="0" w:type="dxa"/>
            <w:left w:w="108" w:type="dxa"/>
            <w:bottom w:w="0" w:type="dxa"/>
            <w:right w:w="108" w:type="dxa"/>
          </w:tblCellMar>
        </w:tblPrEx>
        <w:trPr>
          <w:trHeight w:val="400" w:hRule="atLeast"/>
        </w:trPr>
        <w:tc>
          <w:tcPr>
            <w:tcW w:w="3902"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382E73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TP（mg/L）</w:t>
            </w:r>
          </w:p>
        </w:tc>
        <w:tc>
          <w:tcPr>
            <w:tcW w:w="4358" w:type="dxa"/>
            <w:tcBorders>
              <w:top w:val="single" w:color="000000" w:sz="4" w:space="0"/>
              <w:left w:val="single" w:color="000000" w:sz="4" w:space="0"/>
              <w:bottom w:val="single" w:color="000000" w:sz="4" w:space="0"/>
              <w:right w:val="single" w:color="000000" w:sz="4" w:space="0"/>
            </w:tcBorders>
            <w:shd w:val="clear" w:color="auto" w:fill="F2F2F2"/>
            <w:vAlign w:val="center"/>
          </w:tcPr>
          <w:p w14:paraId="6910AF9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0.05</w:t>
            </w:r>
          </w:p>
        </w:tc>
      </w:tr>
    </w:tbl>
    <w:p w14:paraId="3F983709">
      <w:pPr>
        <w:pStyle w:val="3"/>
        <w:rPr>
          <w:rFonts w:ascii="宋体" w:hAnsi="宋体" w:eastAsia="宋体" w:cs="宋体"/>
          <w:sz w:val="24"/>
          <w:szCs w:val="22"/>
        </w:rPr>
      </w:pPr>
      <w:r>
        <w:rPr>
          <w:rFonts w:hint="eastAsia" w:ascii="宋体" w:hAnsi="宋体" w:eastAsia="宋体" w:cs="宋体"/>
          <w:sz w:val="24"/>
          <w:szCs w:val="22"/>
        </w:rPr>
        <w:t>1.4 改进型SBR</w:t>
      </w:r>
    </w:p>
    <w:p w14:paraId="4D8435AD">
      <w:pPr>
        <w:spacing w:line="360" w:lineRule="auto"/>
        <w:ind w:firstLine="480" w:firstLineChars="200"/>
        <w:rPr>
          <w:rFonts w:ascii="宋体" w:hAnsi="宋体" w:eastAsia="宋体" w:cs="宋体"/>
          <w:sz w:val="24"/>
        </w:rPr>
      </w:pPr>
      <w:r>
        <w:rPr>
          <w:rFonts w:hint="eastAsia" w:ascii="宋体" w:hAnsi="宋体" w:eastAsia="宋体" w:cs="宋体"/>
          <w:sz w:val="24"/>
        </w:rPr>
        <w:t>A.本项目所用改进型 SBR 系统由10个单元格组成,工艺流程如图所示:</w:t>
      </w:r>
    </w:p>
    <w:p w14:paraId="640C0CC8">
      <w:pPr>
        <w:spacing w:line="360" w:lineRule="auto"/>
        <w:ind w:firstLine="420" w:firstLineChars="200"/>
        <w:rPr>
          <w:position w:val="-87"/>
        </w:rPr>
      </w:pPr>
      <w:r>
        <w:rPr>
          <w:position w:val="-87"/>
        </w:rPr>
        <w:drawing>
          <wp:inline distT="0" distB="0" distL="0" distR="0">
            <wp:extent cx="4622165" cy="2786380"/>
            <wp:effectExtent l="0" t="0" r="6985" b="444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4"/>
                    <a:stretch>
                      <a:fillRect/>
                    </a:stretch>
                  </pic:blipFill>
                  <pic:spPr>
                    <a:xfrm>
                      <a:off x="0" y="0"/>
                      <a:ext cx="4622310" cy="2786562"/>
                    </a:xfrm>
                    <a:prstGeom prst="rect">
                      <a:avLst/>
                    </a:prstGeom>
                  </pic:spPr>
                </pic:pic>
              </a:graphicData>
            </a:graphic>
          </wp:inline>
        </w:drawing>
      </w:r>
    </w:p>
    <w:p w14:paraId="3D5333D1">
      <w:pPr>
        <w:spacing w:line="360" w:lineRule="auto"/>
        <w:ind w:firstLine="480" w:firstLineChars="200"/>
        <w:rPr>
          <w:rFonts w:ascii="宋体" w:hAnsi="宋体" w:eastAsia="宋体" w:cs="宋体"/>
          <w:sz w:val="24"/>
        </w:rPr>
      </w:pPr>
      <w:r>
        <w:rPr>
          <w:rFonts w:hint="eastAsia" w:ascii="宋体" w:hAnsi="宋体" w:eastAsia="宋体" w:cs="宋体"/>
          <w:sz w:val="24"/>
        </w:rPr>
        <w:t>B.进厂污水经预处理工序后直接进入改进型 SBR反应池的厌氧池与预缺氧池 的回流污泥混合，富含磷污泥在厌氧池进行释磷反应后进入缺氧池，缺氧池 主要用于强化整个系统的反硝化效果，由主曝气池至缺氧池的回流系统提供硝态氮。缺氧池出水进入主曝气池经有机物降解、硝化、磷吸收反应后再进入序批池I或序批池II。如果序批池I作为沉淀池出水，则序批池II首先进行缺氧反应，再进行好氧反应，或交替进行缺氧、好氧反应。在缺氧、好氧反应阶段，序批池的混合液通过回流泵回流到泥水分离池，分离池上清液进入缺氧池，沉淀污泥进入预缺氧池，经内源缺氧反硝化脱氮后提升进入厌氧池与进厂污水混合释磷，依次循环。</w:t>
      </w:r>
    </w:p>
    <w:p w14:paraId="3BF7A6A1">
      <w:pPr>
        <w:spacing w:line="360" w:lineRule="auto"/>
        <w:ind w:firstLine="480" w:firstLineChars="200"/>
        <w:rPr>
          <w:rFonts w:ascii="宋体" w:hAnsi="宋体" w:eastAsia="宋体" w:cs="宋体"/>
          <w:sz w:val="24"/>
        </w:rPr>
      </w:pPr>
      <w:r>
        <w:rPr>
          <w:rFonts w:hint="eastAsia" w:ascii="宋体" w:hAnsi="宋体" w:eastAsia="宋体" w:cs="宋体"/>
          <w:sz w:val="24"/>
        </w:rPr>
        <w:t>C.技术参数</w:t>
      </w:r>
    </w:p>
    <w:p w14:paraId="26C02FD4">
      <w:pPr>
        <w:spacing w:line="360" w:lineRule="auto"/>
        <w:rPr>
          <w:rFonts w:ascii="宋体" w:hAnsi="宋体" w:eastAsia="宋体" w:cs="宋体"/>
          <w:b/>
          <w:bCs/>
          <w:sz w:val="24"/>
        </w:rPr>
      </w:pPr>
      <w:r>
        <w:rPr>
          <w:rFonts w:hint="eastAsia" w:ascii="宋体" w:hAnsi="宋体" w:eastAsia="宋体" w:cs="宋体"/>
          <w:b/>
          <w:bCs/>
          <w:sz w:val="24"/>
        </w:rPr>
        <w:t>改进型 SBR 系统参数表</w:t>
      </w:r>
    </w:p>
    <w:tbl>
      <w:tblPr>
        <w:tblStyle w:val="8"/>
        <w:tblW w:w="8290" w:type="dxa"/>
        <w:tblInd w:w="100" w:type="dxa"/>
        <w:tblLayout w:type="fixed"/>
        <w:tblCellMar>
          <w:top w:w="0" w:type="dxa"/>
          <w:left w:w="108" w:type="dxa"/>
          <w:bottom w:w="0" w:type="dxa"/>
          <w:right w:w="108" w:type="dxa"/>
        </w:tblCellMar>
      </w:tblPr>
      <w:tblGrid>
        <w:gridCol w:w="3255"/>
        <w:gridCol w:w="2290"/>
        <w:gridCol w:w="2745"/>
      </w:tblGrid>
      <w:tr w14:paraId="3D760DB1">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9A7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每日半周期数</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189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D2F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cycles</w:t>
            </w:r>
          </w:p>
        </w:tc>
      </w:tr>
      <w:tr w14:paraId="432D509A">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043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实际需氧量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4FD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105～135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76B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 O2/d</w:t>
            </w:r>
          </w:p>
        </w:tc>
      </w:tr>
      <w:tr w14:paraId="525D26B8">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030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半周期时间</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10A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290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min</w:t>
            </w:r>
          </w:p>
        </w:tc>
      </w:tr>
      <w:tr w14:paraId="110C4E84">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42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污泥负荷(F/M)</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FCF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0.052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AB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kg.BOD/kg.MLSS-Day,</w:t>
            </w:r>
          </w:p>
        </w:tc>
      </w:tr>
      <w:tr w14:paraId="1B6D98B0">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CDA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平均污泥浓度</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811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83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毫克/升</w:t>
            </w:r>
          </w:p>
        </w:tc>
      </w:tr>
      <w:tr w14:paraId="04CF5EA6">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AE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理论水力停留时间</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F86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26.34</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A47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小时</w:t>
            </w:r>
          </w:p>
        </w:tc>
      </w:tr>
      <w:tr w14:paraId="13FBE630">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AB9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泥龄</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B7C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17.62</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E59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day</w:t>
            </w:r>
          </w:p>
        </w:tc>
      </w:tr>
      <w:tr w14:paraId="59C77858">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72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每日最大干泥量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6DD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90593</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CF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kg/d</w:t>
            </w:r>
          </w:p>
        </w:tc>
      </w:tr>
      <w:tr w14:paraId="1324BC4C">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B36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每日排泥量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D57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9100</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9FB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立方米/天</w:t>
            </w:r>
          </w:p>
        </w:tc>
      </w:tr>
      <w:tr w14:paraId="10FC6199">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657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碳需氧量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108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1.25</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D3A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kg. O2/ kg. BOD</w:t>
            </w:r>
          </w:p>
        </w:tc>
      </w:tr>
      <w:tr w14:paraId="605A8D1E">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95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氮需氧量</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9F4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4.6</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EA8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kg. O2/ kg. TKN</w:t>
            </w:r>
          </w:p>
        </w:tc>
      </w:tr>
      <w:tr w14:paraId="61C5777B">
        <w:tblPrEx>
          <w:tblCellMar>
            <w:top w:w="0" w:type="dxa"/>
            <w:left w:w="108" w:type="dxa"/>
            <w:bottom w:w="0" w:type="dxa"/>
            <w:right w:w="108" w:type="dxa"/>
          </w:tblCellMar>
        </w:tblPrEx>
        <w:trPr>
          <w:trHeight w:val="400"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A1B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反硝化可利用氧</w:t>
            </w:r>
          </w:p>
        </w:tc>
        <w:tc>
          <w:tcPr>
            <w:tcW w:w="2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5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50%</w:t>
            </w:r>
          </w:p>
        </w:tc>
        <w:tc>
          <w:tcPr>
            <w:tcW w:w="2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9DFA">
            <w:pPr>
              <w:jc w:val="center"/>
              <w:rPr>
                <w:rFonts w:ascii="宋体" w:hAnsi="宋体" w:eastAsia="宋体" w:cs="宋体"/>
                <w:color w:val="000000"/>
                <w:sz w:val="20"/>
                <w:szCs w:val="20"/>
              </w:rPr>
            </w:pPr>
          </w:p>
        </w:tc>
      </w:tr>
    </w:tbl>
    <w:p w14:paraId="6F858698">
      <w:pPr>
        <w:spacing w:line="360" w:lineRule="auto"/>
        <w:ind w:firstLine="480" w:firstLineChars="200"/>
        <w:rPr>
          <w:rFonts w:ascii="宋体" w:hAnsi="宋体" w:eastAsia="宋体" w:cs="宋体"/>
          <w:sz w:val="24"/>
        </w:rPr>
      </w:pPr>
      <w:r>
        <w:rPr>
          <w:rFonts w:hint="eastAsia" w:ascii="宋体" w:hAnsi="宋体" w:eastAsia="宋体" w:cs="宋体"/>
          <w:sz w:val="24"/>
        </w:rPr>
        <w:t>D 主要工艺设备</w:t>
      </w:r>
    </w:p>
    <w:p w14:paraId="7089580C">
      <w:pPr>
        <w:spacing w:line="360" w:lineRule="auto"/>
        <w:ind w:firstLine="480" w:firstLineChars="200"/>
        <w:rPr>
          <w:rFonts w:ascii="宋体" w:hAnsi="宋体" w:eastAsia="宋体" w:cs="宋体"/>
          <w:sz w:val="24"/>
        </w:rPr>
      </w:pPr>
      <w:r>
        <w:rPr>
          <w:rFonts w:hint="eastAsia" w:ascii="宋体" w:hAnsi="宋体" w:eastAsia="宋体" w:cs="宋体"/>
          <w:sz w:val="24"/>
        </w:rPr>
        <w:t>1.搅拌系统：浮筒搅拌器</w:t>
      </w:r>
    </w:p>
    <w:p w14:paraId="6003B4AD">
      <w:pPr>
        <w:spacing w:line="360" w:lineRule="auto"/>
        <w:ind w:firstLine="480" w:firstLineChars="200"/>
        <w:rPr>
          <w:rFonts w:ascii="宋体" w:hAnsi="宋体" w:eastAsia="宋体" w:cs="宋体"/>
          <w:sz w:val="24"/>
        </w:rPr>
      </w:pPr>
      <w:r>
        <w:rPr>
          <w:rFonts w:hint="eastAsia" w:ascii="宋体" w:hAnsi="宋体" w:eastAsia="宋体" w:cs="宋体"/>
          <w:sz w:val="24"/>
        </w:rPr>
        <w:t>2.混合液回流泵</w:t>
      </w:r>
    </w:p>
    <w:p w14:paraId="0937357B">
      <w:pPr>
        <w:spacing w:line="360" w:lineRule="auto"/>
        <w:ind w:firstLine="480" w:firstLineChars="200"/>
        <w:rPr>
          <w:rFonts w:ascii="宋体" w:hAnsi="宋体" w:eastAsia="宋体" w:cs="宋体"/>
          <w:sz w:val="24"/>
        </w:rPr>
      </w:pPr>
      <w:r>
        <w:rPr>
          <w:rFonts w:hint="eastAsia" w:ascii="宋体" w:hAnsi="宋体" w:eastAsia="宋体" w:cs="宋体"/>
          <w:sz w:val="24"/>
        </w:rPr>
        <w:t>3.污泥回流泵</w:t>
      </w:r>
    </w:p>
    <w:p w14:paraId="260B60FD">
      <w:pPr>
        <w:spacing w:line="360" w:lineRule="auto"/>
        <w:ind w:firstLine="480" w:firstLineChars="200"/>
        <w:rPr>
          <w:rFonts w:ascii="宋体" w:hAnsi="宋体" w:eastAsia="宋体" w:cs="宋体"/>
          <w:sz w:val="24"/>
        </w:rPr>
      </w:pPr>
      <w:r>
        <w:rPr>
          <w:rFonts w:hint="eastAsia" w:ascii="宋体" w:hAnsi="宋体" w:eastAsia="宋体" w:cs="宋体"/>
          <w:sz w:val="24"/>
        </w:rPr>
        <w:t>4.浓缩污泥提升泵</w:t>
      </w:r>
    </w:p>
    <w:p w14:paraId="1D949152">
      <w:pPr>
        <w:spacing w:line="360" w:lineRule="auto"/>
        <w:ind w:firstLine="480" w:firstLineChars="200"/>
        <w:rPr>
          <w:rFonts w:ascii="宋体" w:hAnsi="宋体" w:eastAsia="宋体" w:cs="宋体"/>
          <w:sz w:val="24"/>
        </w:rPr>
      </w:pPr>
      <w:r>
        <w:rPr>
          <w:rFonts w:hint="eastAsia" w:ascii="宋体" w:hAnsi="宋体" w:eastAsia="宋体" w:cs="宋体"/>
          <w:sz w:val="24"/>
        </w:rPr>
        <w:t>5.碳源分流系统</w:t>
      </w:r>
    </w:p>
    <w:p w14:paraId="6797AE3C">
      <w:pPr>
        <w:spacing w:line="360" w:lineRule="auto"/>
        <w:ind w:firstLine="480" w:firstLineChars="200"/>
        <w:rPr>
          <w:rFonts w:ascii="宋体" w:hAnsi="宋体" w:eastAsia="宋体" w:cs="宋体"/>
          <w:sz w:val="24"/>
        </w:rPr>
      </w:pPr>
      <w:r>
        <w:rPr>
          <w:rFonts w:hint="eastAsia" w:ascii="宋体" w:hAnsi="宋体" w:eastAsia="宋体" w:cs="宋体"/>
          <w:sz w:val="24"/>
        </w:rPr>
        <w:t>6.剩余污泥排放系统</w:t>
      </w:r>
    </w:p>
    <w:p w14:paraId="41041D85">
      <w:pPr>
        <w:spacing w:line="360" w:lineRule="auto"/>
        <w:ind w:firstLine="480" w:firstLineChars="200"/>
        <w:rPr>
          <w:rFonts w:ascii="宋体" w:hAnsi="宋体" w:eastAsia="宋体" w:cs="宋体"/>
          <w:sz w:val="24"/>
        </w:rPr>
      </w:pPr>
      <w:r>
        <w:rPr>
          <w:rFonts w:hint="eastAsia" w:ascii="宋体" w:hAnsi="宋体" w:eastAsia="宋体" w:cs="宋体"/>
          <w:sz w:val="24"/>
        </w:rPr>
        <w:t>7.补充污泥回流系统</w:t>
      </w:r>
    </w:p>
    <w:p w14:paraId="55ED5C78">
      <w:pPr>
        <w:spacing w:line="360" w:lineRule="auto"/>
        <w:ind w:firstLine="480" w:firstLineChars="200"/>
        <w:rPr>
          <w:rFonts w:ascii="宋体" w:hAnsi="宋体" w:eastAsia="宋体" w:cs="宋体"/>
          <w:sz w:val="24"/>
        </w:rPr>
      </w:pPr>
      <w:r>
        <w:rPr>
          <w:rFonts w:hint="eastAsia" w:ascii="宋体" w:hAnsi="宋体" w:eastAsia="宋体" w:cs="宋体"/>
          <w:sz w:val="24"/>
        </w:rPr>
        <w:t>8.曝气系统</w:t>
      </w:r>
    </w:p>
    <w:p w14:paraId="0E0149AE">
      <w:pPr>
        <w:spacing w:line="360" w:lineRule="auto"/>
        <w:ind w:firstLine="480" w:firstLineChars="200"/>
        <w:rPr>
          <w:rFonts w:ascii="宋体" w:hAnsi="宋体" w:eastAsia="宋体" w:cs="宋体"/>
          <w:sz w:val="24"/>
        </w:rPr>
      </w:pPr>
      <w:r>
        <w:rPr>
          <w:rFonts w:hint="eastAsia" w:ascii="宋体" w:hAnsi="宋体" w:eastAsia="宋体" w:cs="宋体"/>
          <w:sz w:val="24"/>
        </w:rPr>
        <w:t>9.后缺氧系统</w:t>
      </w:r>
    </w:p>
    <w:p w14:paraId="627442C5">
      <w:pPr>
        <w:spacing w:line="360" w:lineRule="auto"/>
        <w:ind w:firstLine="480" w:firstLineChars="200"/>
        <w:rPr>
          <w:rFonts w:ascii="宋体" w:hAnsi="宋体" w:eastAsia="宋体" w:cs="宋体"/>
          <w:sz w:val="24"/>
        </w:rPr>
      </w:pPr>
      <w:r>
        <w:rPr>
          <w:rFonts w:hint="eastAsia" w:ascii="宋体" w:hAnsi="宋体" w:eastAsia="宋体" w:cs="宋体"/>
          <w:sz w:val="24"/>
        </w:rPr>
        <w:t>10.主曝气系统</w:t>
      </w:r>
    </w:p>
    <w:p w14:paraId="21326000">
      <w:pPr>
        <w:spacing w:line="360" w:lineRule="auto"/>
        <w:ind w:firstLine="480" w:firstLineChars="200"/>
        <w:rPr>
          <w:rFonts w:ascii="宋体" w:hAnsi="宋体" w:eastAsia="宋体" w:cs="宋体"/>
          <w:sz w:val="24"/>
        </w:rPr>
      </w:pPr>
      <w:r>
        <w:rPr>
          <w:rFonts w:hint="eastAsia" w:ascii="宋体" w:hAnsi="宋体" w:eastAsia="宋体" w:cs="宋体"/>
          <w:sz w:val="24"/>
        </w:rPr>
        <w:t>11.空气控制出水堰</w:t>
      </w:r>
    </w:p>
    <w:p w14:paraId="2499B113">
      <w:pPr>
        <w:spacing w:line="360" w:lineRule="auto"/>
        <w:ind w:firstLine="480" w:firstLineChars="200"/>
        <w:rPr>
          <w:rFonts w:ascii="宋体" w:hAnsi="宋体" w:eastAsia="宋体" w:cs="宋体"/>
          <w:sz w:val="24"/>
        </w:rPr>
      </w:pPr>
      <w:r>
        <w:rPr>
          <w:rFonts w:hint="eastAsia" w:ascii="宋体" w:hAnsi="宋体" w:eastAsia="宋体" w:cs="宋体"/>
          <w:sz w:val="24"/>
        </w:rPr>
        <w:t>12.电动撇渣系统</w:t>
      </w:r>
    </w:p>
    <w:p w14:paraId="372AEDE9">
      <w:pPr>
        <w:spacing w:line="360" w:lineRule="auto"/>
        <w:ind w:firstLine="480" w:firstLineChars="200"/>
        <w:rPr>
          <w:rFonts w:ascii="宋体" w:hAnsi="宋体" w:eastAsia="宋体" w:cs="宋体"/>
          <w:sz w:val="24"/>
        </w:rPr>
      </w:pPr>
      <w:r>
        <w:rPr>
          <w:rFonts w:hint="eastAsia" w:ascii="宋体" w:hAnsi="宋体" w:eastAsia="宋体" w:cs="宋体"/>
          <w:sz w:val="24"/>
        </w:rPr>
        <w:t>13.改进型SBR控制系统</w:t>
      </w:r>
    </w:p>
    <w:p w14:paraId="04F5CC7B">
      <w:pPr>
        <w:spacing w:line="360" w:lineRule="auto"/>
        <w:ind w:firstLine="480" w:firstLineChars="200"/>
        <w:rPr>
          <w:rFonts w:ascii="宋体" w:hAnsi="宋体" w:eastAsia="宋体" w:cs="宋体"/>
          <w:sz w:val="24"/>
        </w:rPr>
      </w:pPr>
      <w:r>
        <w:rPr>
          <w:rFonts w:hint="eastAsia" w:ascii="宋体" w:hAnsi="宋体" w:eastAsia="宋体" w:cs="宋体"/>
          <w:sz w:val="24"/>
        </w:rPr>
        <w:t>14.改进型SBR MCC系统</w:t>
      </w:r>
    </w:p>
    <w:p w14:paraId="64B22D13">
      <w:pPr>
        <w:pStyle w:val="2"/>
        <w:rPr>
          <w:sz w:val="28"/>
          <w:szCs w:val="22"/>
        </w:rPr>
      </w:pPr>
      <w:r>
        <w:rPr>
          <w:rFonts w:hint="eastAsia"/>
          <w:sz w:val="28"/>
          <w:szCs w:val="22"/>
        </w:rPr>
        <w:t>二、通用要求</w:t>
      </w:r>
    </w:p>
    <w:p w14:paraId="22781A0E">
      <w:pPr>
        <w:pStyle w:val="3"/>
        <w:rPr>
          <w:rFonts w:ascii="宋体" w:hAnsi="宋体" w:eastAsia="宋体" w:cs="宋体"/>
          <w:sz w:val="24"/>
          <w:szCs w:val="22"/>
        </w:rPr>
      </w:pPr>
      <w:r>
        <w:rPr>
          <w:rFonts w:hint="eastAsia" w:ascii="宋体" w:hAnsi="宋体" w:eastAsia="宋体" w:cs="宋体"/>
          <w:sz w:val="24"/>
          <w:szCs w:val="22"/>
        </w:rPr>
        <w:t>2.1单位和标准</w:t>
      </w:r>
    </w:p>
    <w:p w14:paraId="748C50FE">
      <w:pPr>
        <w:pStyle w:val="3"/>
        <w:rPr>
          <w:rFonts w:ascii="宋体" w:hAnsi="宋体" w:eastAsia="宋体" w:cs="宋体"/>
          <w:sz w:val="24"/>
          <w:szCs w:val="22"/>
        </w:rPr>
      </w:pPr>
      <w:r>
        <w:rPr>
          <w:rFonts w:hint="eastAsia" w:ascii="宋体" w:hAnsi="宋体" w:eastAsia="宋体" w:cs="宋体"/>
          <w:sz w:val="24"/>
          <w:szCs w:val="22"/>
        </w:rPr>
        <w:t>2.1.1单位</w:t>
      </w:r>
    </w:p>
    <w:p w14:paraId="460C0C2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A.所有设备和相关文件的计量单位应使用国际单位制。</w:t>
      </w:r>
    </w:p>
    <w:p w14:paraId="573BBD0A">
      <w:pPr>
        <w:pStyle w:val="3"/>
        <w:rPr>
          <w:rFonts w:ascii="宋体" w:hAnsi="宋体" w:eastAsia="宋体" w:cs="宋体"/>
          <w:sz w:val="24"/>
          <w:szCs w:val="22"/>
        </w:rPr>
      </w:pPr>
      <w:r>
        <w:rPr>
          <w:rFonts w:hint="eastAsia" w:ascii="宋体" w:hAnsi="宋体" w:eastAsia="宋体" w:cs="宋体"/>
          <w:sz w:val="24"/>
          <w:szCs w:val="22"/>
        </w:rPr>
        <w:t>2.1.2 参考标准及相关要求</w:t>
      </w:r>
    </w:p>
    <w:p w14:paraId="29D0064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A.设计、设备和附件应按照相关的参考标准即相关的规范、标准、试验和检验 程序、操作规范、安装和验收规范来完成。如有昆明市地方标准、规范，且 高于国家和行业标准，则应按昆明市地方标准执行，如国家和行业标准高于昆明市地方标准，则以高标准为准。</w:t>
      </w:r>
    </w:p>
    <w:p w14:paraId="2C8E470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B.卖方在执行本合同的过程中，可选择采用国际标准、中国标准或国际公认的 其它国家标准。如果是最后一种情况，须提供证明来证实其选用的标准至少 等同于本技术规范指定的标准并征得买方的同意。</w:t>
      </w:r>
    </w:p>
    <w:p w14:paraId="6947EB4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C.如果标准规范与本文有明显冲突时，或标准规范之间有矛盾，应以标准高的 为准。</w:t>
      </w:r>
    </w:p>
    <w:p w14:paraId="071ACA4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D.如附图与本文本文件有矛盾时，投标人应以书面形式提出澄清，由买方进行 确认。如未提出澄清，则以文本文件为准。</w:t>
      </w:r>
    </w:p>
    <w:p w14:paraId="29CFEA4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E.应采用招标截止日期前 6 个月所发表的相关标准和规范。</w:t>
      </w:r>
    </w:p>
    <w:p w14:paraId="285C6F4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F.技术规范中所使用的参考标准、操作规则、出版社及相关组织的缩写如下：</w:t>
      </w:r>
    </w:p>
    <w:p w14:paraId="7D24DDF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1.ISO          国际标准化组织</w:t>
      </w:r>
    </w:p>
    <w:p w14:paraId="0A632B6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2.ASTM         美国材料试验学会</w:t>
      </w:r>
    </w:p>
    <w:p w14:paraId="1985324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3.AISI         美国钢铁协会</w:t>
      </w:r>
    </w:p>
    <w:p w14:paraId="25E6FDE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4.EPA          美国环保署</w:t>
      </w:r>
    </w:p>
    <w:p w14:paraId="29A64EA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5.AWWA         美国水务协会</w:t>
      </w:r>
    </w:p>
    <w:p w14:paraId="6C24DD3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6.BS           英国标准协会</w:t>
      </w:r>
    </w:p>
    <w:p w14:paraId="5D47AB2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7.DIN          德国工业标准</w:t>
      </w:r>
    </w:p>
    <w:p w14:paraId="217DA9B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8.JIS          日本工业标准</w:t>
      </w:r>
    </w:p>
    <w:p w14:paraId="6CE5CF2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9.IEC          国际电工协会</w:t>
      </w:r>
    </w:p>
    <w:p w14:paraId="474962B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10.ISA         美国仪器仪表协会</w:t>
      </w:r>
    </w:p>
    <w:p w14:paraId="655DB67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11.SI          国际单位制</w:t>
      </w:r>
    </w:p>
    <w:p w14:paraId="572DC9D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12.GB          中华人民共和国国家标准</w:t>
      </w:r>
    </w:p>
    <w:p w14:paraId="12A562C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13.GBJ        中华人民共和国工程建设国家标准</w:t>
      </w:r>
    </w:p>
    <w:p w14:paraId="6DCB10B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14.JB         中华人民共和国机械行业标准</w:t>
      </w:r>
    </w:p>
    <w:p w14:paraId="224CD43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15.CJ         中华人民共和国城镇建设行业标准</w:t>
      </w:r>
    </w:p>
    <w:p w14:paraId="7876CB9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16.HG         中华人民共和国化工行业标准</w:t>
      </w:r>
    </w:p>
    <w:p w14:paraId="006DA991">
      <w:pPr>
        <w:pStyle w:val="3"/>
        <w:rPr>
          <w:rFonts w:ascii="宋体" w:hAnsi="宋体" w:eastAsia="宋体" w:cs="宋体"/>
          <w:sz w:val="24"/>
          <w:szCs w:val="22"/>
        </w:rPr>
      </w:pPr>
      <w:r>
        <w:rPr>
          <w:rFonts w:hint="eastAsia" w:ascii="宋体" w:hAnsi="宋体" w:eastAsia="宋体" w:cs="宋体"/>
          <w:sz w:val="24"/>
          <w:szCs w:val="22"/>
        </w:rPr>
        <w:t>2.2提交的图纸和文件</w:t>
      </w:r>
    </w:p>
    <w:p w14:paraId="0A0ED242">
      <w:pPr>
        <w:pStyle w:val="3"/>
        <w:rPr>
          <w:rFonts w:ascii="宋体" w:hAnsi="宋体" w:eastAsia="宋体" w:cs="宋体"/>
          <w:sz w:val="24"/>
          <w:szCs w:val="22"/>
        </w:rPr>
      </w:pPr>
      <w:r>
        <w:rPr>
          <w:rFonts w:hint="eastAsia" w:ascii="宋体" w:hAnsi="宋体" w:eastAsia="宋体" w:cs="宋体"/>
          <w:sz w:val="24"/>
          <w:szCs w:val="22"/>
        </w:rPr>
        <w:t>2.2.1投标图纸和技术文件</w:t>
      </w:r>
    </w:p>
    <w:p w14:paraId="75A4D264">
      <w:pPr>
        <w:pStyle w:val="3"/>
        <w:rPr>
          <w:rFonts w:ascii="宋体" w:hAnsi="宋体" w:eastAsia="宋体" w:cs="宋体"/>
          <w:sz w:val="24"/>
          <w:szCs w:val="22"/>
        </w:rPr>
      </w:pPr>
      <w:r>
        <w:rPr>
          <w:rFonts w:hint="eastAsia" w:ascii="宋体" w:hAnsi="宋体" w:eastAsia="宋体" w:cs="宋体"/>
          <w:sz w:val="24"/>
          <w:szCs w:val="22"/>
        </w:rPr>
        <w:t>2.2.1.1文件的格式</w:t>
      </w:r>
    </w:p>
    <w:p w14:paraId="4F28364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A.投标技术文件应是完整的、清晰的、容易阅读并且无错误。应提供一套可编辑的电子文档。</w:t>
      </w:r>
    </w:p>
    <w:p w14:paraId="54B84D3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B.与设备供货相关的所有投标文件应分类明确，并装订成册，至少应分为：第一册商务部分（资质、业绩等）；第二册技术部分（设备性能参数、结构描述、 材料、检验等）；第三册样本（样本的装订顺序与技术部分设备描述的排列顺序应一致）。本条款如与招标文件商务部分要求有冲突，应以商务部分要求为准。</w:t>
      </w:r>
    </w:p>
    <w:p w14:paraId="3D76182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C.进口设备的技术文件应以英文表示，同时应提供与英文资料相同份数的中文译本。</w:t>
      </w:r>
    </w:p>
    <w:p w14:paraId="7688A73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D.所有单位和测量应以国际单位制（SI）表示。</w:t>
      </w:r>
    </w:p>
    <w:p w14:paraId="7382F0A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E.投标人提供的技术描述响应文件中应填写设备（包括工艺、电气、仪表及自 控设备）制造厂商的名称、原产国、设备型号、技术参数、电机制造厂商的名称、型号、额定功率、额定电流、起动电流、变频调节范围（如果为变频 设备）、设备重量、主要零部件材料、规格尺寸等内容， 并对所供设备的结构特点、性能等方面的技术内容有所描述。</w:t>
      </w:r>
    </w:p>
    <w:p w14:paraId="0156CEE0">
      <w:pPr>
        <w:pStyle w:val="3"/>
        <w:rPr>
          <w:rFonts w:ascii="宋体" w:hAnsi="宋体" w:eastAsia="宋体" w:cs="宋体"/>
          <w:sz w:val="24"/>
          <w:szCs w:val="22"/>
        </w:rPr>
      </w:pPr>
      <w:r>
        <w:rPr>
          <w:rFonts w:hint="eastAsia" w:ascii="宋体" w:hAnsi="宋体" w:eastAsia="宋体" w:cs="宋体"/>
          <w:sz w:val="24"/>
          <w:szCs w:val="22"/>
        </w:rPr>
        <w:t>2.2.1.2投标文件和图纸</w:t>
      </w:r>
    </w:p>
    <w:p w14:paraId="7A4B0E4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A.需提交的投标图纸和技术文件是指由投标人提供的,作为对其投标书进行说明的图纸和技术文件。需提交但并不限于以下部分：</w:t>
      </w:r>
    </w:p>
    <w:p w14:paraId="2C6F049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1.应提供所有设备制造商及设备的样本资料、提供的设计详图、材质、结 构、操作方式及其它相关资料。</w:t>
      </w:r>
    </w:p>
    <w:p w14:paraId="3A1021F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2.所有与招标技术文件差异之处的澄清。</w:t>
      </w:r>
    </w:p>
    <w:p w14:paraId="17F31BE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3.所有设备及附件清单，并应注明原产地、生产厂、产品型号、规格尺寸及主要性能参数及其它相关资料。</w:t>
      </w:r>
    </w:p>
    <w:p w14:paraId="64814DD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4.设备的性能描述</w:t>
      </w:r>
    </w:p>
    <w:p w14:paraId="4F943FC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5.成套系统设备的系统图、平面及管路布置图、系统设计的详细说明及计算、投资及运行成本分析、设计依据及相关标准、 所采取安全措施及其它相关资料、维修维护消耗品清单及价格等；</w:t>
      </w:r>
    </w:p>
    <w:p w14:paraId="055F3C6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6.备品备件及特殊工具表</w:t>
      </w:r>
    </w:p>
    <w:p w14:paraId="319D6BC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 机械部分</w:t>
      </w:r>
    </w:p>
    <w:p w14:paraId="7F3D614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a.所有制造厂商的名称。总体布置图、影响构筑物及平面布置的辅助 设备详图；</w:t>
      </w:r>
    </w:p>
    <w:p w14:paraId="70C9B76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b.成套设备的系统图和工艺流程图；</w:t>
      </w:r>
    </w:p>
    <w:p w14:paraId="058E101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c.设备主要零部件的外形图、材质和采用的防腐措施；</w:t>
      </w:r>
    </w:p>
    <w:p w14:paraId="360BE6D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d.每个泵组在整个运行范围内的流量（L/s）－扬程（m）性能曲线，包括效率，气蚀余量（NPSH），泵轴功率及电机额定功率；变频泵 应提供变频曲线。</w:t>
      </w:r>
    </w:p>
    <w:p w14:paraId="01A3D7E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 每台泵在整个运行范围内的电机性能曲线，标明每个工况下的效率 和功率因数，以及在最大负载下的启动电流的启动曲线；</w:t>
      </w:r>
    </w:p>
    <w:p w14:paraId="059F17F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f.鼓风机技术参数在整个运行范围内的风量、风压性能曲线；变频风 机应提供变频曲线。</w:t>
      </w:r>
    </w:p>
    <w:p w14:paraId="4367C83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g.设备启动或运行的限制性条件。</w:t>
      </w:r>
    </w:p>
    <w:p w14:paraId="7F787E4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8.电气部分</w:t>
      </w:r>
    </w:p>
    <w:p w14:paraId="4C91C01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a.所有制造厂商的名称。总体布置图、影响构筑物及平面布置的辅助 设备详图.</w:t>
      </w:r>
    </w:p>
    <w:p w14:paraId="0E82F8B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b.设备主要零部件的外形图。</w:t>
      </w:r>
    </w:p>
    <w:p w14:paraId="518C4D7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c.主要设备和元件的电气参数表</w:t>
      </w:r>
    </w:p>
    <w:p w14:paraId="0E847E9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d.低压系统图</w:t>
      </w:r>
    </w:p>
    <w:p w14:paraId="0BF813D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9.自控部分</w:t>
      </w:r>
    </w:p>
    <w:p w14:paraId="471EA59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a.作为控制及监视系统设计工作的一部分，卖方应熟悉包括在技术规 定中的所有方面的控制原理并进行确认。提供的技术文件包括但不 限于以下内容：</w:t>
      </w:r>
    </w:p>
    <w:p w14:paraId="7DC3039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-控制系统配置的图形说明；</w:t>
      </w:r>
    </w:p>
    <w:p w14:paraId="3D6EB0F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-自控系统的功能描述；</w:t>
      </w:r>
    </w:p>
    <w:p w14:paraId="5A87FB9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-控制器输入输出信号统计。</w:t>
      </w:r>
    </w:p>
    <w:p w14:paraId="2DCB1C4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b.所有电动/电气设备的信号传输方式。</w:t>
      </w:r>
    </w:p>
    <w:p w14:paraId="6409B75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 仪表部分</w:t>
      </w:r>
    </w:p>
    <w:p w14:paraId="63CCABF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a.测量原理，性能/参数以及附件的描述</w:t>
      </w:r>
    </w:p>
    <w:p w14:paraId="3DED6D7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b.主要检测仪表的技术资料</w:t>
      </w:r>
    </w:p>
    <w:p w14:paraId="588CF5B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B.投标时应提供货物需求一览表，以及标书中的设备和相关设备制造厂的名称。</w:t>
      </w:r>
    </w:p>
    <w:p w14:paraId="32BB9A5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C.投标时还应提交未包括在上述要求中，但与投标相关的其它资料。</w:t>
      </w:r>
    </w:p>
    <w:p w14:paraId="621CD72B">
      <w:pPr>
        <w:pStyle w:val="3"/>
        <w:rPr>
          <w:rFonts w:ascii="宋体" w:hAnsi="宋体" w:eastAsia="宋体" w:cs="宋体"/>
          <w:sz w:val="24"/>
          <w:szCs w:val="22"/>
        </w:rPr>
      </w:pPr>
      <w:r>
        <w:rPr>
          <w:rFonts w:hint="eastAsia" w:ascii="宋体" w:hAnsi="宋体" w:eastAsia="宋体" w:cs="宋体"/>
          <w:sz w:val="24"/>
          <w:szCs w:val="22"/>
        </w:rPr>
        <w:t>2.2.2 中标后提交的图纸和文件</w:t>
      </w:r>
    </w:p>
    <w:p w14:paraId="0777651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A.下述资料提交时间供参考，卖方应根据买方本合同工程的设计需要及工程进度以及与之相关的其它合同的设计需要及进度安排，及时提交下述资料。</w:t>
      </w:r>
    </w:p>
    <w:p w14:paraId="0A6ED0D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B.合同生效后 15 天内分批提供以下文件：</w:t>
      </w:r>
    </w:p>
    <w:p w14:paraId="584FAB7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1.所有设备的详细图纸（应标明设备尺寸、装配螺栓的数量和规格、所有部件的材质）；</w:t>
      </w:r>
    </w:p>
    <w:p w14:paraId="0372C84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2.所有设备的主要性能参数</w:t>
      </w:r>
    </w:p>
    <w:p w14:paraId="65794A6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3.设备动、静荷载及最大起吊重量；</w:t>
      </w:r>
    </w:p>
    <w:p w14:paraId="7927C3E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4.所有设备的详细图纸（应标明设备尺寸、装配螺栓的数量和规格、所有 部件的材质及重量、荷载等）、电机容量；</w:t>
      </w:r>
    </w:p>
    <w:p w14:paraId="059466F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5.泵、鼓风机、搅拌器等设备的性能曲线(包括变频设备在各种工作频率条 件下的性能曲线)；</w:t>
      </w:r>
    </w:p>
    <w:p w14:paraId="293FD68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6.成套供货的系统设备图纸应包括：</w:t>
      </w:r>
    </w:p>
    <w:p w14:paraId="11167C2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a.成套系统总平面布置图</w:t>
      </w:r>
    </w:p>
    <w:p w14:paraId="26A575A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b.成套系统设计的系统图或流程图（PFD   图），PID（P&amp;I）图、CFD 模拟图（如涉及）</w:t>
      </w:r>
    </w:p>
    <w:p w14:paraId="349E615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c.各个系统管路的轴侧图</w:t>
      </w:r>
    </w:p>
    <w:p w14:paraId="3B08A41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7.设备基础荷载及其基础的做法；预埋件、预留孔/槽的位置及尺寸；</w:t>
      </w:r>
    </w:p>
    <w:p w14:paraId="558ADDC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8.土建施工的结构误差要求；</w:t>
      </w:r>
    </w:p>
    <w:p w14:paraId="4B6A8DE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C.合同生效后 30 天提交如下资料</w:t>
      </w:r>
    </w:p>
    <w:p w14:paraId="51D1DD3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1.电气设备的详细清单；</w:t>
      </w:r>
    </w:p>
    <w:p w14:paraId="7B21213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2.电气一次系统图和功能单元排列图；</w:t>
      </w:r>
    </w:p>
    <w:p w14:paraId="4104DDD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3.主要电机在整个运行范围内的性能曲线，标明在每种运行条件下的效率 与功率因数，并指明示最大负荷下启动电流的启动曲线;</w:t>
      </w:r>
    </w:p>
    <w:p w14:paraId="72BFD32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4.被鉴定过的标明了所有重要部件制造、安装材料、尺寸和地脚螺栓位置 的车间装配图；</w:t>
      </w:r>
    </w:p>
    <w:p w14:paraId="4413782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5.提供设备的安装图纸，安装参考资料及在必要的地点设置通道或观察平 台的安装布置图（需标明轮廓尺寸、方位、预留钢板和预留洞的数量及 尺寸、需要现场装配的部件名称、连接螺栓的数量及规格、所有地脚螺 栓的位置尺寸；标明设备的运输重量和操作重量；标明设备检修时最重 部件的重量）；</w:t>
      </w:r>
    </w:p>
    <w:p w14:paraId="39F517A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6.系统工作范围内相关电气设备明细表，电缆表等</w:t>
      </w:r>
    </w:p>
    <w:p w14:paraId="0A99574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7.卖方供货范围内的电气设备图纸和设备说明</w:t>
      </w:r>
    </w:p>
    <w:p w14:paraId="37B72BE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8.每个设备所能承受的短路电流能力</w:t>
      </w:r>
    </w:p>
    <w:p w14:paraId="091CB56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9.制造说明和试验报告</w:t>
      </w:r>
    </w:p>
    <w:p w14:paraId="2D67305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10.电气系统图和功能单元排列图</w:t>
      </w:r>
    </w:p>
    <w:p w14:paraId="6AB74FB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11.所有电气设备的控制原理图和端子接线图</w:t>
      </w:r>
    </w:p>
    <w:p w14:paraId="157A7AA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12.所有的控制箱图</w:t>
      </w:r>
    </w:p>
    <w:p w14:paraId="16BFF13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13.开关柜、控制箱、按钮箱的尺寸和设备安装对土建的特殊要求</w:t>
      </w:r>
    </w:p>
    <w:p w14:paraId="5C96C78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14设备的电气参数表</w:t>
      </w:r>
    </w:p>
    <w:p w14:paraId="1F71E82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15 控制系统及各部分组成、技术性能、技术指标、系统功能、控制原理、 操作方式等描述</w:t>
      </w:r>
    </w:p>
    <w:p w14:paraId="6FE4E78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16.计算机监控系统配置图(包括防雷、过压保护、隔离保护等)</w:t>
      </w:r>
    </w:p>
    <w:p w14:paraId="3B93167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17.带监控点的工艺流程图</w:t>
      </w:r>
    </w:p>
    <w:p w14:paraId="14D08BD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18.设备清单(包括型号、规格、专用电缆、配件、附件等)</w:t>
      </w:r>
    </w:p>
    <w:p w14:paraId="1F91D06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19.工艺过程控制应用软件的技术说明、流程图、软件(光盘或软盘)</w:t>
      </w:r>
    </w:p>
    <w:p w14:paraId="37F5180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20.监控画面、报表格式、数据库内容等</w:t>
      </w:r>
    </w:p>
    <w:p w14:paraId="50A85E4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21.控制站柜(箱)内部布置图、柜内元器件清单及接线设计。</w:t>
      </w:r>
    </w:p>
    <w:p w14:paraId="66357C1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22.控制站柜(箱)内的供电系统图</w:t>
      </w:r>
    </w:p>
    <w:p w14:paraId="2CE593C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23.控制器功能分析、描述</w:t>
      </w:r>
    </w:p>
    <w:p w14:paraId="7E643AC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24.带标签名及地址的输入输出模块 I/O 清单</w:t>
      </w:r>
    </w:p>
    <w:p w14:paraId="663092B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25.电缆表、设备材料表、设备装配图、铭牌</w:t>
      </w:r>
    </w:p>
    <w:p w14:paraId="7078E12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26.配合设计院完善电气线路图、电气连接图、配管连接图、端子接线图等</w:t>
      </w:r>
    </w:p>
    <w:p w14:paraId="68616B6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27.设备安装和检验验收要求；</w:t>
      </w:r>
    </w:p>
    <w:p w14:paraId="7C6151A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28.设备操作规程、系统调控说明书、本工程的自控系统操作使用说明书、 人机画面使用说明等资料。（卖方应对上述所有内容在设备厂家一次成文 的基础上进行总结归纳后提交给买方。）</w:t>
      </w:r>
    </w:p>
    <w:p w14:paraId="3C86B00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D.卖方在合同生效后 3 个月内提供以下文件：</w:t>
      </w:r>
    </w:p>
    <w:p w14:paraId="161C3BF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1.交货时间表</w:t>
      </w:r>
    </w:p>
    <w:p w14:paraId="54360F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2.合同主要设备的交付计划;</w:t>
      </w:r>
    </w:p>
    <w:p w14:paraId="390D1D8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3.制造厂的出厂检验报告、测试报告、设备检验合格证书，质量保证书等 文件;</w:t>
      </w:r>
    </w:p>
    <w:p w14:paraId="4733CE7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4.对于不能进行现场标定的仪表，应提供工厂标定报告；</w:t>
      </w:r>
    </w:p>
    <w:p w14:paraId="29848B1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5.设备安装和验收检验说明和要求;</w:t>
      </w:r>
    </w:p>
    <w:p w14:paraId="5CD7CAD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6.备品备件和特殊工具清单；</w:t>
      </w:r>
    </w:p>
    <w:p w14:paraId="5D8E694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7.PLC 软件资料(现场调试完后提供);</w:t>
      </w:r>
    </w:p>
    <w:p w14:paraId="3B68F52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设备的验收标准和检测办法。并在验收中提供相应的检测手段（需经买方认可）。验收标准应符合中国有关的国家、地方、行业的标准，如若中标，经买方确认后作为验收的依据。安装、操作、使用、维护技术文件;</w:t>
      </w:r>
    </w:p>
    <w:p w14:paraId="44927DE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9.现场调试和试运行方案及计划;应包括下述内容（但不限于此）</w:t>
      </w:r>
    </w:p>
    <w:p w14:paraId="42F5472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a.每一设备和装置的调试和试运行的方案及详细说明</w:t>
      </w:r>
    </w:p>
    <w:p w14:paraId="56B8B35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b.每一设备和装置的调试和试运行的具体时间安排</w:t>
      </w:r>
    </w:p>
    <w:p w14:paraId="06C5AFB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c.每一相对独立的工艺系统的调试和试运行的方案及详细说明</w:t>
      </w:r>
    </w:p>
    <w:p w14:paraId="68F3749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d.每一相对独立的工艺系统的调试和试运行的具体时间安排</w:t>
      </w:r>
    </w:p>
    <w:p w14:paraId="5ECBE47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e.卖方提名的调试和试运行人员的详细情况</w:t>
      </w:r>
    </w:p>
    <w:p w14:paraId="4F09C5B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f.监督调试和试运行需要来自其它有关单位的人员</w:t>
      </w:r>
    </w:p>
    <w:p w14:paraId="44F2AE5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g.调试和试运行期间所需要的操作人员</w:t>
      </w:r>
    </w:p>
    <w:p w14:paraId="2D16DD3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h.调试和试运行计划的每一详细过程的说明及相关要求 </w:t>
      </w:r>
    </w:p>
    <w:p w14:paraId="6130E41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i.调试和试运行期间要完成的记录文件的格式与内容</w:t>
      </w:r>
    </w:p>
    <w:p w14:paraId="2BAA214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j.在调试和试运行中所有的仪表和仪器以及它们的精度 </w:t>
      </w:r>
    </w:p>
    <w:p w14:paraId="38CBE7C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k.取样及化验方法及说明（满足相关标准要求）</w:t>
      </w:r>
    </w:p>
    <w:p w14:paraId="01888E1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l.估计在调试和试运行期间可能产生的不正常情况和拟应急方法。</w:t>
      </w:r>
    </w:p>
    <w:p w14:paraId="6EC01AC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10.操作和维修（O&amp;M）手册;</w:t>
      </w:r>
    </w:p>
    <w:p w14:paraId="5ACFA83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11.控制器软件资料，含应用程序的源码。</w:t>
      </w:r>
    </w:p>
    <w:p w14:paraId="6B74673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E.在设备交货时，卖方必须提供由制造厂签定的用于最终设备安装、操作和维 护的整套图纸和技术文件。相关图纸资料费用包括在合同价中。</w:t>
      </w:r>
    </w:p>
    <w:p w14:paraId="6BA7CB9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F.卖方除提供纸版资料外，还应提供一份所有合同设备的电子文档资料。设备 安装图、电气图、控制系统图等应由 AutoCAD  软件绘制，并提供一套可编辑的 AutoCAD 、Word 、Excel 电子文档。</w:t>
      </w:r>
    </w:p>
    <w:p w14:paraId="1F3B605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G.提供文件的数量</w:t>
      </w:r>
    </w:p>
    <w:p w14:paraId="43EAB6E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1.设计文件： 7 份</w:t>
      </w:r>
    </w:p>
    <w:p w14:paraId="1E778D9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2.安装、操作、维护手册： 7 份</w:t>
      </w:r>
    </w:p>
    <w:p w14:paraId="6B7FB33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H.卖方应提供相关资料（如：产品合格证、生产厂证明文件、开箱检验报告等）， 并负责办理竣工验收手续。</w:t>
      </w:r>
    </w:p>
    <w:p w14:paraId="1D0C461D">
      <w:pPr>
        <w:pStyle w:val="3"/>
        <w:rPr>
          <w:rFonts w:ascii="宋体" w:hAnsi="宋体" w:eastAsia="宋体" w:cs="宋体"/>
          <w:sz w:val="24"/>
          <w:szCs w:val="22"/>
        </w:rPr>
      </w:pPr>
      <w:r>
        <w:rPr>
          <w:rFonts w:hint="eastAsia" w:ascii="宋体" w:hAnsi="宋体" w:eastAsia="宋体" w:cs="宋体"/>
          <w:sz w:val="24"/>
          <w:szCs w:val="22"/>
        </w:rPr>
        <w:t>2.3设备技术资料提交要求</w:t>
      </w:r>
    </w:p>
    <w:p w14:paraId="7AEA9249">
      <w:pPr>
        <w:pStyle w:val="3"/>
        <w:rPr>
          <w:rFonts w:ascii="宋体" w:hAnsi="宋体" w:eastAsia="宋体" w:cs="宋体"/>
          <w:sz w:val="24"/>
          <w:szCs w:val="22"/>
        </w:rPr>
      </w:pPr>
      <w:r>
        <w:rPr>
          <w:rFonts w:hint="eastAsia" w:ascii="宋体" w:hAnsi="宋体" w:eastAsia="宋体" w:cs="宋体"/>
          <w:sz w:val="24"/>
          <w:szCs w:val="22"/>
        </w:rPr>
        <w:t>2.3.1 基本要求</w:t>
      </w:r>
    </w:p>
    <w:p w14:paraId="13FAECD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A.卖方应对所交付的技术资料（设计文件及安装指导、操作、维护手册）予以 妥善包装，使其适合于多次搬运、长途运输并能防潮、防雨。技术资料的包 装表面应注明下述内容：</w:t>
      </w:r>
    </w:p>
    <w:p w14:paraId="1C5D94F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1.工程名称及合同号；</w:t>
      </w:r>
    </w:p>
    <w:p w14:paraId="4D28371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2.设备或所属系统名称；</w:t>
      </w:r>
    </w:p>
    <w:p w14:paraId="1AD6877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3.技术资料类别（设计文件或安装指导、操作、维护手册）（正本或副本）；</w:t>
      </w:r>
    </w:p>
    <w:p w14:paraId="33186BE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4.卖方名称（需加盖公章）</w:t>
      </w:r>
    </w:p>
    <w:p w14:paraId="4AEF435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5.提交时间；</w:t>
      </w:r>
    </w:p>
    <w:p w14:paraId="57F67D8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6.技术资料内应附有技术资料的详细清单目录，标明技术资料的文件名称 和页数。</w:t>
      </w:r>
    </w:p>
    <w:p w14:paraId="263B5F1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B.提交的图纸资料应采用胶装的方式装订，不可采用打孔后用活页夹的装订的 方式装订图纸资料。</w:t>
      </w:r>
    </w:p>
    <w:p w14:paraId="4EBCD40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C.所有与设施设计有关的设计、图纸和文件应由卖方递交给买方审核或批准。 还应附有确切的资料和计算。</w:t>
      </w:r>
    </w:p>
    <w:p w14:paraId="3D1EA0A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D.所有递交文件的语言应符合合同条款的规定。进口设备的图纸资料可采用英文，带需带有中文译文。国内设备的图纸资料应采用中文。 </w:t>
      </w:r>
    </w:p>
    <w:p w14:paraId="5B06028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E.所有图纸中的标注应采用标准国际单位制（SI）。</w:t>
      </w:r>
    </w:p>
    <w:p w14:paraId="109BE96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F.合同生效后，卖方在提交图纸资料时，应附带一份可编辑的电子文档，图纸应由 AutoCAD 制成。</w:t>
      </w:r>
    </w:p>
    <w:p w14:paraId="485617F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G.卖方提供的图纸应符合 GB/T50103～50106  的要求。除非买方事先同意，否 则图纸尺寸不应小于 A4 或大于 A0。</w:t>
      </w:r>
    </w:p>
    <w:p w14:paraId="29E3439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H.标题栏位于图纸的右下角，并且应注明以下信息：</w:t>
      </w:r>
    </w:p>
    <w:p w14:paraId="0EA5BDC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1.工程名称及合同号；</w:t>
      </w:r>
    </w:p>
    <w:p w14:paraId="076EF3D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2.技术资料类别（设计文件或安装、操作、维护手册）（正本或副本）；</w:t>
      </w:r>
    </w:p>
    <w:p w14:paraId="468CF91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3.卖方名称（需加盖公章）</w:t>
      </w:r>
    </w:p>
    <w:p w14:paraId="293D92F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4.设计单位名称及设计、校核、审定签名</w:t>
      </w:r>
    </w:p>
    <w:p w14:paraId="3A3D02B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5.图纸名称、卖方图号、出图日期、比例</w:t>
      </w:r>
    </w:p>
    <w:p w14:paraId="519E54F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6.设备制造厂名称</w:t>
      </w:r>
    </w:p>
    <w:p w14:paraId="422F495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I.技术资料内应附有技术资料的详细清单目录，标明技术资料的文件名称和页 数。</w:t>
      </w:r>
    </w:p>
    <w:p w14:paraId="2B1CBFB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J.如果图纸进行了修改，应将修改的版号或标号、日期加在图框栏中。在图中 修改位置的旁边应该用一个三角标清晰地标明修改的版号或标号。</w:t>
      </w:r>
    </w:p>
    <w:p w14:paraId="08F3525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K.所有设备安装图纸、电气图纸、自控系统图纸等应采用 AutoCAD  绘制，并 应提交一份可编辑的电子文件。</w:t>
      </w:r>
    </w:p>
    <w:p w14:paraId="79AA369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L.所有图纸和资料费用包含在合同价中。</w:t>
      </w:r>
    </w:p>
    <w:p w14:paraId="11FDCD3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M.卖方应严格按照合同图纸供货。同时，卖方向买方提交本技术规定中要求的图纸和任何需要在现场进行详细设计和澄清部分的图纸以供审查及批准。</w:t>
      </w:r>
    </w:p>
    <w:p w14:paraId="50B5DEC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N.卖方提供的图纸和其它文件的数量</w:t>
      </w:r>
    </w:p>
    <w:p w14:paraId="6C30CD3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1.除非买方另外要求，卖方应向买方提供以下图纸和文件：</w:t>
      </w:r>
    </w:p>
    <w:p w14:paraId="273E7F8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a.设备的详细图纸                        7 份</w:t>
      </w:r>
    </w:p>
    <w:p w14:paraId="23AFBE0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b.供货与调试及试运行计划                7 份</w:t>
      </w:r>
    </w:p>
    <w:p w14:paraId="2819034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c.执行合同所需的临时设计资料            7 份</w:t>
      </w:r>
    </w:p>
    <w:p w14:paraId="629FAF9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d.设备的质量自检报告和买方的评价        7 份</w:t>
      </w:r>
    </w:p>
    <w:p w14:paraId="2320ADF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e.材料的质量证书和检测报告              7 份</w:t>
      </w:r>
    </w:p>
    <w:p w14:paraId="37BEC2B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f.关于仪器、设备的专用工具和备件的质量保证书、验收证书 7 份 </w:t>
      </w:r>
    </w:p>
    <w:p w14:paraId="2C407BC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g.设备验收时，卖方填写的文件和记录的移交清单    7 份</w:t>
      </w:r>
    </w:p>
    <w:p w14:paraId="40D8B1C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h.其它可能提供的文件                             7 份</w:t>
      </w:r>
    </w:p>
    <w:p w14:paraId="54299D4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O.提供的所有图纸应满足技术规定的要求，并得到买方的认可。</w:t>
      </w:r>
    </w:p>
    <w:p w14:paraId="5B8463AB">
      <w:pPr>
        <w:pStyle w:val="3"/>
        <w:rPr>
          <w:rFonts w:ascii="宋体" w:hAnsi="宋体" w:eastAsia="宋体" w:cs="宋体"/>
          <w:sz w:val="24"/>
          <w:szCs w:val="22"/>
        </w:rPr>
      </w:pPr>
      <w:r>
        <w:rPr>
          <w:rFonts w:hint="eastAsia" w:ascii="宋体" w:hAnsi="宋体" w:eastAsia="宋体" w:cs="宋体"/>
          <w:sz w:val="24"/>
          <w:szCs w:val="22"/>
        </w:rPr>
        <w:t>2.3.2 特殊要求</w:t>
      </w:r>
    </w:p>
    <w:p w14:paraId="00F0890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A.设备供货的技术资料包括两部分内容：设备设计联络技术资料、设备合同最终资料。</w:t>
      </w:r>
    </w:p>
    <w:p w14:paraId="26C5158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B.设备设计联络技术资料：设备设计联络中卖方提供的作为设计依据的设备技 术资料，须由买方、卖方及设计单位三方签字。</w:t>
      </w:r>
    </w:p>
    <w:p w14:paraId="71D7A2E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C.设备合同最终资料是指设备签定后，卖方按照合同约定应该向买方提供的设 备说明书、设备安装、调试、操作、维护、运行手册、图纸等。</w:t>
      </w:r>
    </w:p>
    <w:p w14:paraId="78923CF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D.份数：设备设计联络技术资料一式七套，至少二套原件；设备最终资料一式七套，至少二套原件；电子扫描刻录光盘一式两套（PDF）。 </w:t>
      </w:r>
    </w:p>
    <w:p w14:paraId="1D3ACB3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E.编制质量要求：</w:t>
      </w:r>
    </w:p>
    <w:p w14:paraId="7393E3C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1.设备技术资料要标有文件题名、编制单位、责任者、编制日期、要编有 目录、打页号。封面加盖单位公章。文件题名要详细，表达清楚。封面 和卷内目录见后页。</w:t>
      </w:r>
    </w:p>
    <w:p w14:paraId="0B9777A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2.二套原件要求 A4版装订、装订方式宜采用书本式胶粘装订；其他副本可用两孔文件夹装订；封面建议不使用红色和黑色等深色系列。</w:t>
      </w:r>
    </w:p>
    <w:p w14:paraId="4CD7353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3.设备技术资料每册页数不能超过500页。</w:t>
      </w:r>
    </w:p>
    <w:p w14:paraId="772235A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F.卖方应对所交付的技术资料予以妥善保管,使其适用于多次搬运、长途运输并能防潮、防雨。技术资料编制后应由卖方提交现场项目部。 </w:t>
      </w:r>
    </w:p>
    <w:p w14:paraId="767064D6">
      <w:pPr>
        <w:pStyle w:val="3"/>
        <w:rPr>
          <w:rFonts w:ascii="宋体" w:hAnsi="宋体" w:eastAsia="宋体" w:cs="宋体"/>
          <w:sz w:val="24"/>
          <w:szCs w:val="22"/>
        </w:rPr>
      </w:pPr>
      <w:r>
        <w:rPr>
          <w:rFonts w:hint="eastAsia" w:ascii="宋体" w:hAnsi="宋体" w:eastAsia="宋体" w:cs="宋体"/>
          <w:sz w:val="24"/>
          <w:szCs w:val="22"/>
        </w:rPr>
        <w:t>2.4 设计要求</w:t>
      </w:r>
    </w:p>
    <w:p w14:paraId="50D94F9D">
      <w:pPr>
        <w:pStyle w:val="3"/>
        <w:rPr>
          <w:rFonts w:ascii="宋体" w:hAnsi="宋体" w:eastAsia="宋体" w:cs="宋体"/>
          <w:sz w:val="22"/>
          <w:szCs w:val="21"/>
        </w:rPr>
      </w:pPr>
      <w:r>
        <w:rPr>
          <w:rFonts w:hint="eastAsia" w:ascii="宋体" w:hAnsi="宋体" w:eastAsia="宋体" w:cs="宋体"/>
          <w:sz w:val="22"/>
          <w:szCs w:val="21"/>
        </w:rPr>
        <w:t>2.4.1 设计一般要求</w:t>
      </w:r>
    </w:p>
    <w:p w14:paraId="3BD02D33">
      <w:pPr>
        <w:adjustRightInd w:val="0"/>
        <w:spacing w:line="360" w:lineRule="auto"/>
        <w:ind w:firstLine="480" w:firstLineChars="200"/>
        <w:rPr>
          <w:rFonts w:ascii="宋体" w:hAnsi="宋体" w:eastAsia="宋体" w:cs="宋体"/>
          <w:sz w:val="24"/>
        </w:rPr>
      </w:pPr>
      <w:r>
        <w:rPr>
          <w:rFonts w:ascii="宋体" w:hAnsi="宋体" w:eastAsia="宋体" w:cs="宋体"/>
          <w:sz w:val="24"/>
        </w:rPr>
        <w:t>A.设备及材料的设计应满足在每天 24 小时连续运行的条件下，具有较长的使用 寿命（除特殊要求外，主体设备应为 20 年）和最少的维护要求。。</w:t>
      </w:r>
    </w:p>
    <w:p w14:paraId="3C62DE56">
      <w:pPr>
        <w:adjustRightInd w:val="0"/>
        <w:spacing w:line="360" w:lineRule="auto"/>
        <w:ind w:firstLine="480" w:firstLineChars="200"/>
        <w:rPr>
          <w:rFonts w:ascii="宋体" w:hAnsi="宋体" w:eastAsia="宋体" w:cs="宋体"/>
          <w:sz w:val="24"/>
        </w:rPr>
      </w:pPr>
      <w:r>
        <w:rPr>
          <w:rFonts w:ascii="宋体" w:hAnsi="宋体" w:eastAsia="宋体" w:cs="宋体"/>
          <w:sz w:val="24"/>
        </w:rPr>
        <w:t>B.设备的日常维护和修理工作应尽可能简单，无需高级熟练人员操作。</w:t>
      </w:r>
    </w:p>
    <w:p w14:paraId="37F856CB">
      <w:pPr>
        <w:adjustRightInd w:val="0"/>
        <w:spacing w:line="360" w:lineRule="auto"/>
        <w:ind w:firstLine="480" w:firstLineChars="200"/>
        <w:rPr>
          <w:rFonts w:ascii="宋体" w:hAnsi="宋体" w:eastAsia="宋体" w:cs="宋体"/>
          <w:sz w:val="24"/>
        </w:rPr>
      </w:pPr>
      <w:r>
        <w:rPr>
          <w:rFonts w:ascii="宋体" w:hAnsi="宋体" w:eastAsia="宋体" w:cs="宋体"/>
          <w:sz w:val="24"/>
        </w:rPr>
        <w:t>C.除了诸如填料、熔断丝、指示灯等需要经常更换的耗损零件及特殊易损件外， 其它所有承受磨耗的零部件，从新的使用到需要更换或修理时的连续正常运 行的使用寿命或累计使用寿命不少于3年时间。需要进行总的拆卸来更换的  部件的连续正常运转的使用寿命不得少于10年。设备使用寿命应不少于20年。所有齿轮和轴承应具备100,000 小时的设计寿命。除特殊要求外，电机标定的负荷应至少是工作负荷的115%，冲击负荷比较强的应为130%或以上。</w:t>
      </w:r>
    </w:p>
    <w:p w14:paraId="4D268382">
      <w:pPr>
        <w:adjustRightInd w:val="0"/>
        <w:spacing w:line="360" w:lineRule="auto"/>
        <w:ind w:firstLine="480" w:firstLineChars="200"/>
        <w:rPr>
          <w:rFonts w:ascii="宋体" w:hAnsi="宋体" w:eastAsia="宋体" w:cs="宋体"/>
          <w:sz w:val="24"/>
        </w:rPr>
      </w:pPr>
      <w:r>
        <w:rPr>
          <w:rFonts w:ascii="宋体" w:hAnsi="宋体" w:eastAsia="宋体" w:cs="宋体"/>
          <w:sz w:val="24"/>
        </w:rPr>
        <w:t>D.根据污水处理厂的现场环境和条件，卖方应特别注意按照制造商建议和设计 图纸选择材料及防护涂层的使用。</w:t>
      </w:r>
    </w:p>
    <w:p w14:paraId="5990034B">
      <w:pPr>
        <w:adjustRightInd w:val="0"/>
        <w:spacing w:line="360" w:lineRule="auto"/>
        <w:ind w:firstLine="480" w:firstLineChars="200"/>
        <w:rPr>
          <w:rFonts w:ascii="宋体" w:hAnsi="宋体" w:eastAsia="宋体" w:cs="宋体"/>
          <w:sz w:val="24"/>
        </w:rPr>
      </w:pPr>
      <w:r>
        <w:rPr>
          <w:rFonts w:ascii="宋体" w:hAnsi="宋体" w:eastAsia="宋体" w:cs="宋体"/>
          <w:sz w:val="24"/>
        </w:rPr>
        <w:t>E.日常维护和维修应尽可能不需要高级技术人员的参与。</w:t>
      </w:r>
    </w:p>
    <w:p w14:paraId="04DB31C3">
      <w:pPr>
        <w:adjustRightInd w:val="0"/>
        <w:spacing w:line="360" w:lineRule="auto"/>
        <w:ind w:firstLine="480" w:firstLineChars="200"/>
        <w:rPr>
          <w:rFonts w:ascii="宋体" w:hAnsi="宋体" w:eastAsia="宋体" w:cs="宋体"/>
          <w:sz w:val="24"/>
        </w:rPr>
      </w:pPr>
      <w:r>
        <w:rPr>
          <w:rFonts w:ascii="宋体" w:hAnsi="宋体" w:eastAsia="宋体" w:cs="宋体"/>
          <w:sz w:val="24"/>
        </w:rPr>
        <w:t>F.所提供的设备类型，只要可行，必须适合标准化，并使其部件具有最大的互换性。</w:t>
      </w:r>
    </w:p>
    <w:p w14:paraId="6810AD53">
      <w:pPr>
        <w:adjustRightInd w:val="0"/>
        <w:spacing w:line="360" w:lineRule="auto"/>
        <w:ind w:firstLine="480" w:firstLineChars="200"/>
        <w:rPr>
          <w:rFonts w:ascii="宋体" w:hAnsi="宋体" w:eastAsia="宋体" w:cs="宋体"/>
          <w:sz w:val="24"/>
        </w:rPr>
      </w:pPr>
      <w:r>
        <w:rPr>
          <w:rFonts w:ascii="宋体" w:hAnsi="宋体" w:eastAsia="宋体" w:cs="宋体"/>
          <w:sz w:val="24"/>
        </w:rPr>
        <w:t>G.一般情况下，设备的尺寸应为公制单位。</w:t>
      </w:r>
    </w:p>
    <w:p w14:paraId="62D63ECA">
      <w:pPr>
        <w:pStyle w:val="3"/>
        <w:rPr>
          <w:rFonts w:ascii="宋体" w:hAnsi="宋体" w:eastAsia="宋体" w:cs="宋体"/>
          <w:sz w:val="24"/>
          <w:szCs w:val="22"/>
        </w:rPr>
      </w:pPr>
      <w:r>
        <w:rPr>
          <w:rFonts w:hint="eastAsia" w:ascii="宋体" w:hAnsi="宋体" w:eastAsia="宋体" w:cs="宋体"/>
          <w:sz w:val="24"/>
          <w:szCs w:val="22"/>
        </w:rPr>
        <w:t>2.4.2 机械设备设计要求</w:t>
      </w:r>
    </w:p>
    <w:p w14:paraId="5033ABF7">
      <w:pPr>
        <w:adjustRightInd w:val="0"/>
        <w:spacing w:line="360" w:lineRule="auto"/>
        <w:ind w:firstLine="480" w:firstLineChars="200"/>
        <w:rPr>
          <w:rFonts w:ascii="宋体" w:hAnsi="宋体" w:eastAsia="宋体" w:cs="宋体"/>
          <w:sz w:val="24"/>
        </w:rPr>
      </w:pPr>
      <w:r>
        <w:rPr>
          <w:rFonts w:ascii="宋体" w:hAnsi="宋体" w:eastAsia="宋体" w:cs="宋体"/>
          <w:sz w:val="24"/>
        </w:rPr>
        <w:t xml:space="preserve">A.设备应是新型、工艺先进可靠和结构坚固，并便于检查、清理、润滑和维修。 </w:t>
      </w:r>
    </w:p>
    <w:p w14:paraId="695901BD">
      <w:pPr>
        <w:adjustRightInd w:val="0"/>
        <w:spacing w:line="360" w:lineRule="auto"/>
        <w:ind w:left="479" w:leftChars="228"/>
        <w:rPr>
          <w:rFonts w:ascii="宋体" w:hAnsi="宋体" w:eastAsia="宋体" w:cs="宋体"/>
          <w:sz w:val="24"/>
        </w:rPr>
      </w:pPr>
      <w:r>
        <w:rPr>
          <w:rFonts w:ascii="宋体" w:hAnsi="宋体" w:eastAsia="宋体" w:cs="宋体"/>
          <w:sz w:val="24"/>
        </w:rPr>
        <w:t>B.设备应适应于现场条件、雨污水特性下的范围内操作并能可靠地长期运行。 C.本合同中的设备应是符合技术规定的标准设计，应尽可能不采用非标准设计。</w:t>
      </w:r>
    </w:p>
    <w:p w14:paraId="16A495CA">
      <w:pPr>
        <w:adjustRightInd w:val="0"/>
        <w:spacing w:line="360" w:lineRule="auto"/>
        <w:ind w:firstLine="480" w:firstLineChars="200"/>
        <w:rPr>
          <w:rFonts w:ascii="宋体" w:hAnsi="宋体" w:eastAsia="宋体" w:cs="宋体"/>
          <w:sz w:val="24"/>
        </w:rPr>
      </w:pPr>
      <w:r>
        <w:rPr>
          <w:rFonts w:ascii="宋体" w:hAnsi="宋体" w:eastAsia="宋体" w:cs="宋体"/>
          <w:sz w:val="24"/>
        </w:rPr>
        <w:t>D.材料的选用应考虑雨污水、有害气体及高温条件下的腐蚀、运行中的磨损以 及不同金属之间的电化学反应。</w:t>
      </w:r>
    </w:p>
    <w:p w14:paraId="43132FF6">
      <w:pPr>
        <w:adjustRightInd w:val="0"/>
        <w:spacing w:line="360" w:lineRule="auto"/>
        <w:ind w:firstLine="480" w:firstLineChars="200"/>
        <w:rPr>
          <w:rFonts w:ascii="宋体" w:hAnsi="宋体" w:eastAsia="宋体" w:cs="宋体"/>
          <w:sz w:val="24"/>
        </w:rPr>
      </w:pPr>
      <w:r>
        <w:rPr>
          <w:rFonts w:ascii="宋体" w:hAnsi="宋体" w:eastAsia="宋体" w:cs="宋体"/>
          <w:sz w:val="24"/>
        </w:rPr>
        <w:t>E.设备易损件的更换及拆装应越简单、越方便为好。</w:t>
      </w:r>
    </w:p>
    <w:p w14:paraId="5223D871">
      <w:pPr>
        <w:adjustRightInd w:val="0"/>
        <w:spacing w:line="360" w:lineRule="auto"/>
        <w:ind w:firstLine="480" w:firstLineChars="200"/>
        <w:rPr>
          <w:rFonts w:ascii="宋体" w:hAnsi="宋体" w:eastAsia="宋体" w:cs="宋体"/>
          <w:sz w:val="24"/>
        </w:rPr>
      </w:pPr>
      <w:r>
        <w:rPr>
          <w:rFonts w:ascii="宋体" w:hAnsi="宋体" w:eastAsia="宋体" w:cs="宋体"/>
          <w:sz w:val="24"/>
        </w:rPr>
        <w:t>F.除特殊要求外，设备凡是须经受磨损的部件，应作特殊保护，从新的使用到 需予以维修或更换的连续正常运转的使用寿命不应少于三年。</w:t>
      </w:r>
    </w:p>
    <w:p w14:paraId="44334C5B">
      <w:pPr>
        <w:pStyle w:val="3"/>
        <w:rPr>
          <w:rFonts w:ascii="宋体" w:hAnsi="宋体" w:eastAsia="宋体" w:cs="宋体"/>
          <w:sz w:val="24"/>
          <w:szCs w:val="22"/>
        </w:rPr>
      </w:pPr>
      <w:r>
        <w:rPr>
          <w:rFonts w:hint="eastAsia" w:ascii="宋体" w:hAnsi="宋体" w:eastAsia="宋体" w:cs="宋体"/>
          <w:sz w:val="24"/>
          <w:szCs w:val="22"/>
        </w:rPr>
        <w:t>2.4.3 电气系统设计要求</w:t>
      </w:r>
    </w:p>
    <w:p w14:paraId="7F0508B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A.对电源影响</w:t>
      </w:r>
    </w:p>
    <w:p w14:paraId="7F2C1D2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1.在各种操作条件下，系统应满足以下条件：</w:t>
      </w:r>
    </w:p>
    <w:p w14:paraId="5A678F3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a.变频装置设置滤波装置消除滤波。</w:t>
      </w:r>
    </w:p>
    <w:p w14:paraId="51EE7C1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2.内部运行</w:t>
      </w:r>
    </w:p>
    <w:p w14:paraId="451C286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a.主电机</w:t>
      </w:r>
    </w:p>
    <w:p w14:paraId="6447807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-在最大负载条件下，电动机端电压应为380V±5%;</w:t>
      </w:r>
    </w:p>
    <w:p w14:paraId="2617344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-在直接启动时，电动机端电压压降不应超过额定电压的15％。</w:t>
      </w:r>
    </w:p>
    <w:p w14:paraId="633DA81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b.动力电源</w:t>
      </w:r>
    </w:p>
    <w:p w14:paraId="4F655BF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-低压柜和其它箱、柜上的电压应维持在380/220V±5%。</w:t>
      </w:r>
    </w:p>
    <w:p w14:paraId="7E85A04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c设备及插座</w:t>
      </w:r>
    </w:p>
    <w:p w14:paraId="6763325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-在最大负载条件下，箱柜与设备受电端或配电箱与插座之间压降不 应超过5%；</w:t>
      </w:r>
    </w:p>
    <w:p w14:paraId="639000C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-动力插座的最大负载应与回路保护装置相配合。</w:t>
      </w:r>
    </w:p>
    <w:p w14:paraId="267BFC0A">
      <w:pPr>
        <w:pStyle w:val="3"/>
        <w:rPr>
          <w:rFonts w:ascii="宋体" w:hAnsi="宋体" w:eastAsia="宋体" w:cs="宋体"/>
          <w:sz w:val="24"/>
          <w:szCs w:val="22"/>
        </w:rPr>
      </w:pPr>
      <w:r>
        <w:rPr>
          <w:rFonts w:hint="eastAsia" w:ascii="宋体" w:hAnsi="宋体" w:eastAsia="宋体" w:cs="宋体"/>
          <w:sz w:val="24"/>
          <w:szCs w:val="22"/>
        </w:rPr>
        <w:t>2.4.4 控制系统设计要求</w:t>
      </w:r>
    </w:p>
    <w:p w14:paraId="7D80C24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A.整个系统应能自动检测和运行。</w:t>
      </w:r>
    </w:p>
    <w:p w14:paraId="4FA9216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B.每个系统具有现场就地、MCC 就地和远方三种控制方式应设计成可用开关进 行选择。在远方控制方式下具有自动和手动控制两种方式。在正常工作时自 动控制，当自动控制故障检修调试时用就地手动控制。</w:t>
      </w:r>
    </w:p>
    <w:p w14:paraId="2673A54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C.对相应的控制系统应有足够的仪器去实现其被要求的功能，并使操作人员对 工艺系统的运行状态做出合理和正确判断的结论。</w:t>
      </w:r>
    </w:p>
    <w:p w14:paraId="3D97FFAA">
      <w:pPr>
        <w:pStyle w:val="3"/>
        <w:rPr>
          <w:rFonts w:ascii="宋体" w:hAnsi="宋体" w:eastAsia="宋体" w:cs="宋体"/>
          <w:sz w:val="24"/>
          <w:szCs w:val="22"/>
        </w:rPr>
      </w:pPr>
      <w:r>
        <w:rPr>
          <w:rFonts w:hint="eastAsia" w:ascii="宋体" w:hAnsi="宋体" w:eastAsia="宋体" w:cs="宋体"/>
          <w:sz w:val="24"/>
          <w:szCs w:val="22"/>
        </w:rPr>
        <w:t>2.5质量控制</w:t>
      </w:r>
    </w:p>
    <w:p w14:paraId="0B37EE0F">
      <w:pPr>
        <w:pStyle w:val="3"/>
        <w:rPr>
          <w:rFonts w:ascii="宋体" w:hAnsi="宋体" w:eastAsia="宋体" w:cs="宋体"/>
          <w:sz w:val="24"/>
          <w:szCs w:val="22"/>
        </w:rPr>
      </w:pPr>
      <w:r>
        <w:rPr>
          <w:rFonts w:hint="eastAsia" w:ascii="宋体" w:hAnsi="宋体" w:eastAsia="宋体" w:cs="宋体"/>
          <w:sz w:val="24"/>
          <w:szCs w:val="22"/>
        </w:rPr>
        <w:t>2.5.1质量控制程序</w:t>
      </w:r>
    </w:p>
    <w:p w14:paraId="7BB46BF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A.工厂试验：在需要处对专门测试提出了具体要求。在一般要求中对工厂测试 作了规定。卖方应向买方报告测试时间安排，并邀请买方参加测试。</w:t>
      </w:r>
    </w:p>
    <w:p w14:paraId="539FF87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B.竣工试验：在一般要求中对整个设备的启动、测试及验收的要求作了规定， 具体设备和成套设备的现场测试要求在相关章节中进行了具体规定。</w:t>
      </w:r>
    </w:p>
    <w:p w14:paraId="3B0BDD8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C.卖方应负责建立和执行一定的质量控制程序。以确保所有工作都符合合同要求。这种责任既包括卖方自己的工作， 也包括所供设备及材料制造商的工作。</w:t>
      </w:r>
    </w:p>
    <w:p w14:paraId="513F286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D.买方应保证从事的工作满足技术规定及质量控制计划的要求。</w:t>
      </w:r>
    </w:p>
    <w:p w14:paraId="7EFE3B3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E.卖方应使买方充分了解其各项工作，以使买方能够进行相关协调工作。</w:t>
      </w:r>
    </w:p>
    <w:p w14:paraId="7A322BC7">
      <w:pPr>
        <w:pStyle w:val="3"/>
        <w:rPr>
          <w:rFonts w:ascii="宋体" w:hAnsi="宋体" w:eastAsia="宋体" w:cs="宋体"/>
          <w:sz w:val="24"/>
          <w:szCs w:val="22"/>
        </w:rPr>
      </w:pPr>
      <w:r>
        <w:rPr>
          <w:rFonts w:hint="eastAsia" w:ascii="宋体" w:hAnsi="宋体" w:eastAsia="宋体" w:cs="宋体"/>
          <w:sz w:val="24"/>
          <w:szCs w:val="22"/>
        </w:rPr>
        <w:t>2.5.2 卖方的责任</w:t>
      </w:r>
    </w:p>
    <w:p w14:paraId="71C6751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A.卖方应负责提供完整的相关设备、附件、相关软件及安装指导、技术服务等， 保证所有设备成功运行。</w:t>
      </w:r>
    </w:p>
    <w:p w14:paraId="6586E0A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B.卖方必须按照要求保证设备本身的性能。如果由于设备质量和控制软件的缺陷造成效果不能保证，为此卖方必须承担责任。</w:t>
      </w:r>
    </w:p>
    <w:p w14:paraId="0266274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C.对于系统供货的设备，卖方应对整个系统负责，并保证出水满足相关标准要求。如果由于所供设备问题造成出水水质不达标，卖方须为此承担相应责任。</w:t>
      </w:r>
    </w:p>
    <w:p w14:paraId="23FDFE9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D.卖方应负责在试运转之前，在现场设定或调整所供设备参数，并向买方提供最终参数明细表。</w:t>
      </w:r>
    </w:p>
    <w:p w14:paraId="621C2C3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E.卖方应负责指导本项目在投入使用前、调试过程中、性能测试期间仪表的标定工作。</w:t>
      </w:r>
    </w:p>
    <w:p w14:paraId="6DD815A9">
      <w:pPr>
        <w:pStyle w:val="3"/>
        <w:rPr>
          <w:rFonts w:ascii="宋体" w:hAnsi="宋体" w:eastAsia="宋体" w:cs="宋体"/>
          <w:sz w:val="24"/>
          <w:szCs w:val="22"/>
        </w:rPr>
      </w:pPr>
      <w:r>
        <w:rPr>
          <w:rFonts w:hint="eastAsia" w:ascii="宋体" w:hAnsi="宋体" w:eastAsia="宋体" w:cs="宋体"/>
          <w:sz w:val="24"/>
          <w:szCs w:val="22"/>
        </w:rPr>
        <w:t>2.5.3滑油、脂</w:t>
      </w:r>
    </w:p>
    <w:p w14:paraId="15C3E7A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A.卖方应提供一份各种设备应用的润滑油、脂的牌号及规格目录。对某些进口 设备的润滑油、脂还需标明国内可代用的油脂牌号及规格。</w:t>
      </w:r>
    </w:p>
    <w:p w14:paraId="179A19C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B.卖方应负责头一次润滑油脂的注入和调试及试运行期间对所有设备予以润滑和保养。</w:t>
      </w:r>
    </w:p>
    <w:p w14:paraId="0DDBBEAA">
      <w:pPr>
        <w:pStyle w:val="3"/>
        <w:rPr>
          <w:rFonts w:ascii="宋体" w:hAnsi="宋体" w:eastAsia="宋体" w:cs="宋体"/>
          <w:sz w:val="24"/>
          <w:szCs w:val="22"/>
        </w:rPr>
      </w:pPr>
      <w:r>
        <w:rPr>
          <w:rFonts w:hint="eastAsia" w:ascii="宋体" w:hAnsi="宋体" w:eastAsia="宋体" w:cs="宋体"/>
          <w:sz w:val="24"/>
          <w:szCs w:val="22"/>
        </w:rPr>
        <w:t>2.6 电器设备的一般要求</w:t>
      </w:r>
    </w:p>
    <w:p w14:paraId="422E2B4B">
      <w:pPr>
        <w:pStyle w:val="3"/>
        <w:rPr>
          <w:rFonts w:ascii="宋体" w:hAnsi="宋体" w:eastAsia="宋体" w:cs="宋体"/>
          <w:sz w:val="24"/>
          <w:szCs w:val="22"/>
        </w:rPr>
      </w:pPr>
      <w:r>
        <w:rPr>
          <w:rFonts w:hint="eastAsia" w:ascii="宋体" w:hAnsi="宋体" w:eastAsia="宋体" w:cs="宋体"/>
          <w:sz w:val="24"/>
          <w:szCs w:val="22"/>
        </w:rPr>
        <w:t>2.6.1一般要求</w:t>
      </w:r>
    </w:p>
    <w:p w14:paraId="003FA42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A.卖方所提供的设备应是新颖、安全、可靠的。设备制造商应具有完整的质量认证体系。并应提供 ISO9000 系列质量认证证书。</w:t>
      </w:r>
    </w:p>
    <w:p w14:paraId="248A3A9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B.所有设备的供货均应进行质量评定，做好自检试验记录。由买方会同有关单 位进行检验和评定。评定标准由卖方提出，报买方批准。质量评定报告至少 应包括出厂试验报告、电气试验报告。报告结果均应符合相应国家标准的规 定。</w:t>
      </w:r>
    </w:p>
    <w:p w14:paraId="65F5E64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C.按照本合同的要求，本工程需要使用的设备和材料应保证与相关功能要求最为契合，而且应为崭新的产品。</w:t>
      </w:r>
    </w:p>
    <w:p w14:paraId="259027F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D.每种设备元件或材料类型应均为专业生产厂家的产品，并应得到当地法规要求和国际标准(ISO/IEC)的认可，以提供具有质量保证和性能保障的产品。</w:t>
      </w:r>
    </w:p>
    <w:p w14:paraId="2659A6A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E.卖方应根据设计图纸中注明的机电设备的型号、规格和质量供应所需的所有 机电设备。</w:t>
      </w:r>
    </w:p>
    <w:p w14:paraId="585AA3B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F.变频器需实现远程计算机和变频器控制终端两种方式开停机，且两种控制方式可手动切换。变频器应能通过远程计算机和本机控制屏两种方式实现给定 频率开机和调频等功能。</w:t>
      </w:r>
    </w:p>
    <w:p w14:paraId="2848726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G.在满足功能要求前提下，断路器、接触器、继电器、软启动器、变频器、马 达控制器、功率因数控制器、电容器、调谐电抗器、电容切换接触器、电容 保护熔断器等主要元器件应优先选用 ABB、施耐德、西门子等进口或同等水平知名合资或国产品牌的同一厂家产品。 </w:t>
      </w:r>
    </w:p>
    <w:p w14:paraId="7E59FD6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H.卖方有责任，但不限于以下几点：</w:t>
      </w:r>
    </w:p>
    <w:p w14:paraId="5D5C7C9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a.要确保所有所供的设备、元件和系统一起形成一个协调的、 合理的、完整的电气装置。</w:t>
      </w:r>
    </w:p>
    <w:p w14:paraId="4025857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b.所供设备在制造、供应方面应正确达到应用条款指定的功能，不管 这些条款在该节是否提出特殊要求。</w:t>
      </w:r>
    </w:p>
    <w:p w14:paraId="7A7D74A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c.应确保所有设备的设计、制造的质量。</w:t>
      </w:r>
    </w:p>
    <w:p w14:paraId="39F014E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d.提供的电气设备应满足所有工艺设备的正常运行要求。</w:t>
      </w:r>
    </w:p>
    <w:p w14:paraId="4A5E1E8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e.电气设备应满足本合同要求。</w:t>
      </w:r>
    </w:p>
    <w:p w14:paraId="17C7227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f.应保证详细的、完整的提交规定的电气设备。</w:t>
      </w:r>
    </w:p>
    <w:p w14:paraId="4D82639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g.电气设备的检查工作应在最终验收前完成。</w:t>
      </w:r>
    </w:p>
    <w:p w14:paraId="1E332CF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h.本节规范所列电气装备各项的标准是供卖方使用的。工程中所用的电气部件，除非另有规定，均应遵守本节的规定条款。</w:t>
      </w:r>
    </w:p>
    <w:p w14:paraId="2C51A1E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i.所有用电设备控制方式至少有就地手动、配电柜手动、远方自控三 种功能。</w:t>
      </w:r>
    </w:p>
    <w:p w14:paraId="52BDEDE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I.缩写</w:t>
      </w:r>
    </w:p>
    <w:p w14:paraId="5B5C3A2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AC－交流电</w:t>
      </w:r>
    </w:p>
    <w:p w14:paraId="7C2F49A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DC－直流电</w:t>
      </w:r>
    </w:p>
    <w:p w14:paraId="3D29459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A－安培</w:t>
      </w:r>
    </w:p>
    <w:p w14:paraId="735F751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mA－毫安</w:t>
      </w:r>
    </w:p>
    <w:p w14:paraId="301AE46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V－伏特</w:t>
      </w:r>
    </w:p>
    <w:p w14:paraId="12B8BAA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kW－千瓦</w:t>
      </w:r>
    </w:p>
    <w:p w14:paraId="53DD68D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kVA－千伏安</w:t>
      </w:r>
    </w:p>
    <w:p w14:paraId="700BE79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kWh－千瓦小时</w:t>
      </w:r>
    </w:p>
    <w:p w14:paraId="13C0130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Hz－赫兹</w:t>
      </w:r>
    </w:p>
    <w:p w14:paraId="4AA79DF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     工作电压及频率</w:t>
      </w:r>
    </w:p>
    <w:p w14:paraId="1B64923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HV(高压)系统:</w:t>
      </w:r>
    </w:p>
    <w:p w14:paraId="7C4AB86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电源：由供电部门提供</w:t>
      </w:r>
    </w:p>
    <w:p w14:paraId="5992030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电压：额定 10kV</w:t>
      </w:r>
    </w:p>
    <w:p w14:paraId="518A8CF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相位：3</w:t>
      </w:r>
    </w:p>
    <w:p w14:paraId="4B4FAC4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频率：50Hz </w:t>
      </w:r>
    </w:p>
    <w:p w14:paraId="4A9064D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连接：三线</w:t>
      </w:r>
    </w:p>
    <w:p w14:paraId="2078CE5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LV(低压)系统:</w:t>
      </w:r>
    </w:p>
    <w:p w14:paraId="5591AC3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电压：额定 380V </w:t>
      </w:r>
    </w:p>
    <w:p w14:paraId="5088791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频率：50Hz</w:t>
      </w:r>
    </w:p>
    <w:p w14:paraId="1E997F2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连接：3+PEN</w:t>
      </w:r>
    </w:p>
    <w:p w14:paraId="01AEFBC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控制电压：</w:t>
      </w:r>
    </w:p>
    <w:p w14:paraId="30FE565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电压：220V </w:t>
      </w:r>
    </w:p>
    <w:p w14:paraId="2842246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相位：单相 </w:t>
      </w:r>
    </w:p>
    <w:p w14:paraId="0C7BCFD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频率：50Hz</w:t>
      </w:r>
    </w:p>
    <w:p w14:paraId="04E098E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K.所有的电气设备，除非另有规定，均能在同时发生的有关额定电压的 90% ~110%的电压和频率变化 4％(2Hz)的范围内连续工作。</w:t>
      </w:r>
    </w:p>
    <w:p w14:paraId="3756F28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L.极性</w:t>
      </w:r>
    </w:p>
    <w:p w14:paraId="1DA2A3E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a.所有电气工程中规定的设备极性应设置如下：</w:t>
      </w:r>
    </w:p>
    <w:p w14:paraId="037752C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u 二极设备中，相位极或称为“带电”极应位于顶部(或在左侧)，中性或“接 地”极位于底部(或右侧)。</w:t>
      </w:r>
    </w:p>
    <w:p w14:paraId="13AF5F0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u 三或四极设备，相位，从下面观察，如是垂直布局时，从上到下，如是 水平布局，则从左到右，依次为黄、绿、红和中性。</w:t>
      </w:r>
    </w:p>
    <w:p w14:paraId="49DE6FD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b.开关柜、控制柜、设备和辅助设备之间的电缆连接应在整个系统中保证正确 的顺序或相位颜色顺序。</w:t>
      </w:r>
    </w:p>
    <w:p w14:paraId="7576013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c.三线或四线电路的所有电路芯线应有相同的相位颜色。单相电路应是红色和黑色。</w:t>
      </w:r>
    </w:p>
    <w:p w14:paraId="4B1A9BD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d.当在一个室内的公共系统中混合布置一相以上时，带电芯线应是黄、绿、红。 中性线路是黑色的。所有的安装件和开关附件均应贴上永久性标签并隔离。</w:t>
      </w:r>
    </w:p>
    <w:p w14:paraId="56D850CE">
      <w:pPr>
        <w:pStyle w:val="3"/>
        <w:rPr>
          <w:rFonts w:ascii="宋体" w:hAnsi="宋体" w:eastAsia="宋体" w:cs="宋体"/>
          <w:sz w:val="24"/>
          <w:szCs w:val="22"/>
        </w:rPr>
      </w:pPr>
      <w:r>
        <w:rPr>
          <w:rFonts w:hint="eastAsia" w:ascii="宋体" w:hAnsi="宋体" w:eastAsia="宋体" w:cs="宋体"/>
          <w:sz w:val="24"/>
          <w:szCs w:val="22"/>
        </w:rPr>
        <w:t>2.6.2低压母线桥</w:t>
      </w:r>
    </w:p>
    <w:p w14:paraId="43A0CB4C">
      <w:pPr>
        <w:pStyle w:val="3"/>
        <w:rPr>
          <w:rFonts w:ascii="宋体" w:hAnsi="宋体" w:eastAsia="宋体" w:cs="宋体"/>
          <w:sz w:val="24"/>
          <w:szCs w:val="22"/>
        </w:rPr>
      </w:pPr>
      <w:r>
        <w:rPr>
          <w:rFonts w:hint="eastAsia" w:ascii="宋体" w:hAnsi="宋体" w:eastAsia="宋体" w:cs="宋体"/>
          <w:sz w:val="24"/>
          <w:szCs w:val="22"/>
        </w:rPr>
        <w:t>2.6.2.1 技术要求</w:t>
      </w:r>
    </w:p>
    <w:p w14:paraId="0AA401F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A.低压母线桥均为普通阻燃封闭型。爬电距离及电气间隙符合 GB7251.1，2-97 标准。母线槽的内部采用有足够机械强度和载流能力铜排导体，铜排全长镀 锡或镀银。母线槽各组成单元均有接地端子，接地端子应用铜材制成，并配 备铜编织跨接线，接地螺钉不小于M12，且安装在易于接近的地方，接地端子处应有牢固的接地标志。铜母线规格材质等应与低压柜对应相配。母线桥 技术性能如下：</w:t>
      </w:r>
    </w:p>
    <w:p w14:paraId="50ED4FE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额定工作电压：      400V</w:t>
      </w:r>
    </w:p>
    <w:p w14:paraId="3B1E461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额定绝缘电压：      1000V</w:t>
      </w:r>
    </w:p>
    <w:p w14:paraId="137330D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频率：           50Hz</w:t>
      </w:r>
    </w:p>
    <w:p w14:paraId="4525EEE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相数：           三相四线</w:t>
      </w:r>
    </w:p>
    <w:p w14:paraId="5B4A768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绝缘电阻：          ≥20МΩ</w:t>
      </w:r>
    </w:p>
    <w:p w14:paraId="52B2AA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防护等级：          IP4X</w:t>
      </w:r>
    </w:p>
    <w:p w14:paraId="2B535C2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额定电流：</w:t>
      </w:r>
    </w:p>
    <w:p w14:paraId="3802FDC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3200A（1600kVA 10/0.4kV 变压器）</w:t>
      </w:r>
    </w:p>
    <w:p w14:paraId="65CEFC0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4000A（2000kVA 10/0.4kV 变压器）</w:t>
      </w:r>
    </w:p>
    <w:p w14:paraId="50A6B97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5000A（2500kVA 10/0.4kV 变压器）</w:t>
      </w:r>
    </w:p>
    <w:p w14:paraId="2725AA7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B.金属封闭母线的绝缘水平、各部位的允许温度和温升，需符合 GB/T8349-2000 相关要求。</w:t>
      </w:r>
    </w:p>
    <w:p w14:paraId="6B08DBA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C.整套母线安装后任何一部分，应能安全耐受由地震引起的动态力，并应考虑 各连接、支吊、支撑处产生的影响，母线桥应避免共振。</w:t>
      </w:r>
    </w:p>
    <w:p w14:paraId="4DDFD31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D.母线导体截面应按允许发热电流、短路动稳定电流、短路热稳定电流进行考核。依据 GB/T8349-2000 相关要求，承受动、热稳定电流作用后，不得有影响产品正常工作的任何机械损伤。</w:t>
      </w:r>
    </w:p>
    <w:p w14:paraId="1EB1D40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E.母线超过 20m 长直线端、母线桥与设备连接处设置伸缩补偿装置。所有挠性连接体的载流量，应不小于所连母线的载流量。</w:t>
      </w:r>
    </w:p>
    <w:p w14:paraId="271FCCA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F.在导体其螺栓连接的导电接触面应镀银。</w:t>
      </w:r>
    </w:p>
    <w:p w14:paraId="09FA569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G.母线导体连接的紧固件及外壳固定应采用非磁性材料。</w:t>
      </w:r>
    </w:p>
    <w:p w14:paraId="63D9B73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H.外壳为箱型结构，外壳应为非磁性材料，应由厚度5mm或以上的优质铝合金板制成，以抑制环流和感应电流损耗。</w:t>
      </w:r>
    </w:p>
    <w:p w14:paraId="3256FF04">
      <w:pPr>
        <w:numPr>
          <w:ilvl w:val="0"/>
          <w:numId w:val="1"/>
        </w:num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母线外壳与设备外壳连接处应相互绝缘，以防止外壳环流流入设备，其连接金属部件均应采用非磁性材料，或采用其它措施以免产生感应电流过热，绝 缘材料由母线制造商提供。</w:t>
      </w:r>
    </w:p>
    <w:p w14:paraId="4E821937">
      <w:pPr>
        <w:pStyle w:val="3"/>
        <w:rPr>
          <w:rFonts w:ascii="宋体" w:hAnsi="宋体" w:eastAsia="宋体" w:cs="宋体"/>
          <w:sz w:val="24"/>
          <w:szCs w:val="22"/>
        </w:rPr>
      </w:pPr>
      <w:r>
        <w:rPr>
          <w:rFonts w:hint="eastAsia" w:ascii="宋体" w:hAnsi="宋体" w:eastAsia="宋体" w:cs="宋体"/>
          <w:sz w:val="24"/>
          <w:szCs w:val="22"/>
        </w:rPr>
        <w:t>2.6.2.2 出厂检验</w:t>
      </w:r>
    </w:p>
    <w:p w14:paraId="700E27D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A.型式试验</w:t>
      </w:r>
    </w:p>
    <w:p w14:paraId="6A1C8E7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B.所有制造零件和设备组件的型式试验要进行检验并认可。电气设备与做形式 试验的设备具有同样的质量和标准。</w:t>
      </w:r>
    </w:p>
    <w:p w14:paraId="64937AF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C.试验方法和范围</w:t>
      </w:r>
    </w:p>
    <w:p w14:paraId="08E17E5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D.不限于下述的所有电气设备：低压交流屏应按照 IEC 以及国家相关的标准进行型式试验。</w:t>
      </w:r>
    </w:p>
    <w:p w14:paraId="4DB7DDC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E.视觉检查设备的质量结构、防护等级和喷漆。</w:t>
      </w:r>
    </w:p>
    <w:p w14:paraId="21C46B9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F.所有手动结构等。</w:t>
      </w:r>
    </w:p>
    <w:p w14:paraId="07607E9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G.所有控制、保护和监测设备的电气操作。</w:t>
      </w:r>
    </w:p>
    <w:p w14:paraId="1BE413B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H.功能性试验包括：模拟操作以及自动控制的程序操作试验。</w:t>
      </w:r>
    </w:p>
    <w:p w14:paraId="17D4E5D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I.高压工作频率和直流绝缘测试。</w:t>
      </w:r>
    </w:p>
    <w:p w14:paraId="5D822FD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J.按照预定的程序安装进行全部主要试验。记录报告要由测试人和制造厂的质 量控制人员签字。</w:t>
      </w:r>
    </w:p>
    <w:p w14:paraId="66721090">
      <w:pPr>
        <w:pStyle w:val="3"/>
        <w:rPr>
          <w:rFonts w:ascii="宋体" w:hAnsi="宋体" w:eastAsia="宋体" w:cs="宋体"/>
          <w:sz w:val="24"/>
          <w:szCs w:val="22"/>
        </w:rPr>
      </w:pPr>
      <w:r>
        <w:rPr>
          <w:rFonts w:hint="eastAsia" w:ascii="宋体" w:hAnsi="宋体" w:eastAsia="宋体" w:cs="宋体"/>
          <w:sz w:val="24"/>
          <w:szCs w:val="22"/>
        </w:rPr>
        <w:t xml:space="preserve">2.6.3 低压开关柜 </w:t>
      </w:r>
    </w:p>
    <w:p w14:paraId="40F24CC3">
      <w:pPr>
        <w:pStyle w:val="3"/>
        <w:rPr>
          <w:rFonts w:ascii="宋体" w:hAnsi="宋体" w:eastAsia="宋体" w:cs="宋体"/>
          <w:sz w:val="24"/>
          <w:szCs w:val="22"/>
        </w:rPr>
      </w:pPr>
      <w:r>
        <w:rPr>
          <w:rFonts w:hint="eastAsia" w:ascii="宋体" w:hAnsi="宋体" w:eastAsia="宋体" w:cs="宋体"/>
          <w:sz w:val="24"/>
          <w:szCs w:val="22"/>
        </w:rPr>
        <w:t>2.6.3.1技术参数</w:t>
      </w:r>
    </w:p>
    <w:p w14:paraId="2A77B69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A.频率：                          50Hz</w:t>
      </w:r>
    </w:p>
    <w:p w14:paraId="4DA5CD2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B.电压：                            ≤1kV</w:t>
      </w:r>
    </w:p>
    <w:p w14:paraId="6CBD01E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C.中性点：                        接地</w:t>
      </w:r>
    </w:p>
    <w:p w14:paraId="29FECA7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D.短路故障电流                     50kA</w:t>
      </w:r>
    </w:p>
    <w:p w14:paraId="2EAB1A0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E.防护等级（MCC）：               IP4X</w:t>
      </w:r>
    </w:p>
    <w:p w14:paraId="7511E7E9">
      <w:pPr>
        <w:pStyle w:val="3"/>
        <w:rPr>
          <w:rFonts w:ascii="宋体" w:hAnsi="宋体" w:eastAsia="宋体" w:cs="宋体"/>
          <w:sz w:val="24"/>
          <w:szCs w:val="22"/>
        </w:rPr>
      </w:pPr>
      <w:r>
        <w:rPr>
          <w:rFonts w:hint="eastAsia" w:ascii="宋体" w:hAnsi="宋体" w:eastAsia="宋体" w:cs="宋体"/>
          <w:sz w:val="24"/>
          <w:szCs w:val="22"/>
        </w:rPr>
        <w:t>2.6.3.2 结构</w:t>
      </w:r>
    </w:p>
    <w:p w14:paraId="4AFADB6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A.MCC 低压柜主进线采用封闭母线桥上进线方式。</w:t>
      </w:r>
    </w:p>
    <w:p w14:paraId="14BF6E0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B.进线断路器、指示灯、综合多功能数显表均安装在进线柜上。综合多功能变 送数显表通过通讯接口与厂内计算机系统通讯。</w:t>
      </w:r>
    </w:p>
    <w:p w14:paraId="0EEC250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C.主进线 MCC 柜母线需装设过电压保护装置。每个进线处加装防雷电涌保护器</w:t>
      </w:r>
    </w:p>
    <w:p w14:paraId="145589BD">
      <w:pPr>
        <w:adjustRightInd w:val="0"/>
        <w:spacing w:line="360" w:lineRule="auto"/>
        <w:ind w:left="479" w:leftChars="228"/>
        <w:rPr>
          <w:rFonts w:ascii="宋体" w:hAnsi="宋体" w:eastAsia="宋体" w:cs="宋体"/>
          <w:sz w:val="24"/>
        </w:rPr>
      </w:pPr>
      <w:r>
        <w:rPr>
          <w:rFonts w:hint="eastAsia" w:ascii="宋体" w:hAnsi="宋体" w:eastAsia="宋体" w:cs="宋体"/>
          <w:sz w:val="24"/>
        </w:rPr>
        <w:t>D.各出线使用塑壳式断路器保护。软启动及变频器出线需装设快速熔断器。 E.主要出线应配有下列元件：</w:t>
      </w:r>
    </w:p>
    <w:p w14:paraId="3091C55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a.一般电机出线采用热继电器保护。</w:t>
      </w:r>
    </w:p>
    <w:p w14:paraId="634D795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b.50kW 及以上电机出线装变频器（或软起动器）及带有 CT 的电流数 显变送表。</w:t>
      </w:r>
    </w:p>
    <w:p w14:paraId="2E3508C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c.开关出线 100A 及以上，装带有 CT 的电流数显表、电度数显变送表。 </w:t>
      </w:r>
    </w:p>
    <w:p w14:paraId="439E6BA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F.电流、电度数显变送表通过总线方式与 PLC 通讯。</w:t>
      </w:r>
    </w:p>
    <w:p w14:paraId="2F9573D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G.所有接触器和热继电器以及控制回路中的辅助设备（如：时间继电器等）应安装在 MCC 内。</w:t>
      </w:r>
    </w:p>
    <w:p w14:paraId="138A989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H.MCC 的所有控制单元应有指示灯，表示运行、停止、故障指示。 I.     需要防冷凝时电气设备要安装加热器。</w:t>
      </w:r>
    </w:p>
    <w:p w14:paraId="470D82C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J.MCC 采用框架装配结构型式。主构架采用 8MF 型开口型钢。内部元件尺寸和间隔大小应是模块化的。侧板和门应使用不小于 2mm 厚的铠装钢板。</w:t>
      </w:r>
    </w:p>
    <w:p w14:paraId="6C5EA13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 MCC 柜内分成功能单元室、母线室和电缆室三个间隔，主母线间隔在柜的后面。功能单元间隔在左前面，电缆间隔在右前面。使用阻燃板来隔离主母线 间隔和功能间隔，其它间隔使用铠装钢板。主开关间隔应具有压力释放和防 爆设施。计量间隔具有防震设施。</w:t>
      </w:r>
    </w:p>
    <w:p w14:paraId="055AEF0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L.MCC需采用盘前操作，盘后接线，柜体离墙安装。每个MCC 柜应不小于 2200mm高，600~1000mm宽，1000mm 深。只有在主电路和辅助电路均切断后，开关元件才可以抽出。</w:t>
      </w:r>
    </w:p>
    <w:p w14:paraId="0C8FCC5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M.出线单元应与单元门设置联锁，只有开关断开时才可以打开。</w:t>
      </w:r>
    </w:p>
    <w:p w14:paraId="039DCF7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N.表计、按钮、控制开关和指示灯应安装在控制柜的柜门上。</w:t>
      </w:r>
    </w:p>
    <w:p w14:paraId="582CB6C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O.每一个 MCC 柜应里外喷漆。镀锌之后门和板应进行静电喷漆以防腐蚀。</w:t>
      </w:r>
    </w:p>
    <w:p w14:paraId="466C28F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P.柜体设计应充分考虑正常运行中的散热问题，在柜体上下端考虑设置排风及 进风孔，使密封的柜体自下而上形成一个自然通风道，达到散热目的，满足 柜内电气元器件的正常工作温度，同时进风孔应有防尘功能。</w:t>
      </w:r>
    </w:p>
    <w:p w14:paraId="3E6C423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Q.对于装有变频器柜体，应单独设计其通风散热系统，应具有强制通风措施， 必要时增加空调自动制冷系统。</w:t>
      </w:r>
    </w:p>
    <w:p w14:paraId="5A34A0C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R.应提供控制柜的内部及外部连接主电路和功能单元的电线和电缆。母排及电 缆应满足额定电压、额定电流以及最大故障的要求。母排还应满足以下要求:</w:t>
      </w:r>
    </w:p>
    <w:p w14:paraId="3007DA1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a.母排系统要符合 IEC439 的要求，并在封闭柜子的母排间隔内。</w:t>
      </w:r>
    </w:p>
    <w:p w14:paraId="384767B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b.母排上的孔要光洁。采用不锈钢螺栓以保证好的扩展。</w:t>
      </w:r>
    </w:p>
    <w:p w14:paraId="2663E2B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c.不能使用功能单元支撑母排。应使用满足机械及电气要求的、具有 合格性能的绝缘子或其它材料支撑母排。</w:t>
      </w:r>
    </w:p>
    <w:p w14:paraId="60FDD95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d.MCC 水平母线排可承受（根据不同容量变压器）5000A 、4000A  、 3200A 的连续负载电流和 50kA 故障电流。</w:t>
      </w:r>
    </w:p>
    <w:p w14:paraId="05874A9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e.垂直母线排安装在高强度阻燃型绝缘功能板中。 f.     带电部分的防护等级为 IP20。</w:t>
      </w:r>
    </w:p>
    <w:p w14:paraId="3245BCA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g.垂直母线排安装在高强度阻燃型绝缘功能板中。带电部分的防护等 级为 IP20。</w:t>
      </w:r>
    </w:p>
    <w:p w14:paraId="386424A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h.在柜中有设有满足系统要求的中性和接地母排，平行安装在功能间 隔的下部和垂直安装在电缆间隔中。</w:t>
      </w:r>
    </w:p>
    <w:p w14:paraId="74DF9C9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S.柜中具有电缆安装专用空间。功能间隔与电缆间隔的电缆连接通过转接件实现。</w:t>
      </w:r>
    </w:p>
    <w:p w14:paraId="41866ED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T.连接控制、保护和仪表设备的电缆应是多股铜芯导线，截面不小于2.5mm2。 绝缘等级为0.6kV。</w:t>
      </w:r>
    </w:p>
    <w:p w14:paraId="5D5649C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U.MCC应留有25%的备用出线，详细可参见设计图纸。</w:t>
      </w:r>
    </w:p>
    <w:p w14:paraId="525928D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V.控制回路应留有 25%的备用端子。中性线应由公共的中性排上引出连接到每 个设备。</w:t>
      </w:r>
    </w:p>
    <w:p w14:paraId="417FA56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W.端子排的额定电流不小于 10A/380V，每个端子的标记应与设计图纸相同。</w:t>
      </w:r>
    </w:p>
    <w:p w14:paraId="58F850B4">
      <w:pPr>
        <w:pStyle w:val="3"/>
        <w:rPr>
          <w:rFonts w:ascii="宋体" w:hAnsi="宋体" w:eastAsia="宋体" w:cs="宋体"/>
          <w:sz w:val="24"/>
          <w:szCs w:val="22"/>
        </w:rPr>
      </w:pPr>
      <w:r>
        <w:rPr>
          <w:rFonts w:hint="eastAsia" w:ascii="宋体" w:hAnsi="宋体" w:eastAsia="宋体" w:cs="宋体"/>
          <w:sz w:val="24"/>
          <w:szCs w:val="22"/>
        </w:rPr>
        <w:t>2.6.3.3 元件</w:t>
      </w:r>
    </w:p>
    <w:p w14:paraId="493CFAC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断路器、接触器、热继电器、软启动器、变频器、开关等采用进口合资品牌。</w:t>
      </w:r>
    </w:p>
    <w:p w14:paraId="436CB77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B.框架式断路器（I≥800A）</w:t>
      </w:r>
    </w:p>
    <w:p w14:paraId="3CC866D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1.空气断路器的操作机构应为弹簧储能型的，可以通过手动或电动方式储 能。在正常工作条件下，必须使用按钮手动来打开和闭合断路器，当发生故障时，可采用三段式电流保护，即瞬时跳闸（电流速断）、短延时过 电流、长延时过电流。电流和时间整定值可以按照要求在现场连续调整。断路器具有隔离功能，零飞弧和其它，例如：闭合/分断。故障状态显示， 弹簧储能/弹簧释放状态指示。具有三个位置：运行、试验和切断。</w:t>
      </w:r>
    </w:p>
    <w:p w14:paraId="6F1F236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2.在开关柜处于隔离条件下，每一个空气断路器应允许更换、试验和维修。</w:t>
      </w:r>
    </w:p>
    <w:p w14:paraId="189EB8B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3.空气断路器的短路切断能力(Ics=100%Icu)不能小于：</w:t>
      </w:r>
    </w:p>
    <w:p w14:paraId="1C21B75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≤2000A                             50kA</w:t>
      </w:r>
    </w:p>
    <w:p w14:paraId="5482B96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≥2000A                             70kA</w:t>
      </w:r>
    </w:p>
    <w:p w14:paraId="360E89F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≤2000A                            机械寿命  ≥20000</w:t>
      </w:r>
    </w:p>
    <w:p w14:paraId="66D0A14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电气寿命  ≥10000</w:t>
      </w:r>
    </w:p>
    <w:p w14:paraId="6CC6F52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2000A～2500A                  机械寿命   ≥20000</w:t>
      </w:r>
    </w:p>
    <w:p w14:paraId="27B6EDD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电气寿命  ≥8000</w:t>
      </w:r>
    </w:p>
    <w:p w14:paraId="2FD059A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2500A～3200A                 机械寿命   ≥20000</w:t>
      </w:r>
    </w:p>
    <w:p w14:paraId="670C4D1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电气寿命  ≥7000</w:t>
      </w:r>
    </w:p>
    <w:p w14:paraId="5DF7052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3200A~4000A                   机械寿命  ≥15000</w:t>
      </w:r>
    </w:p>
    <w:p w14:paraId="688DD58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电气寿命  ≥5000</w:t>
      </w:r>
    </w:p>
    <w:p w14:paraId="2444870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4.断路器应具有通讯功能，可将信号送至PLC系统。信号为电流、功率、 功率因数（COS.φ) 和相序。断路器如没有通讯功能，需用其它方式实 现此功能。</w:t>
      </w:r>
    </w:p>
    <w:p w14:paraId="73FC4D1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C.塑壳式断路器（I&lt;800A）</w:t>
      </w:r>
    </w:p>
    <w:p w14:paraId="312549E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1.断路器应包括塑料外壳、操作机构、触头系统、灭弧系统和过电流脱扣 器等。塑料外壳材料应采用高阻燃、高强度的塑料。具有长延时过载保护特性。短路保护通过具有快速转换性能的电磁机构来实现。断路器具 有隔离功能和零飞弧。具有超过 15 倍 IN 时的完全选择性。在短路电流达到30倍时可在5ms内脱扣。塑壳式开关具有连续定量和可调整的复 合热过负荷和短路脱扣器。断路器的极限和使用短路分断能力（Ics=100%Icu）不小于：</w:t>
      </w:r>
    </w:p>
    <w:p w14:paraId="7E9052A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&lt;100A                                         50kA</w:t>
      </w:r>
    </w:p>
    <w:p w14:paraId="01C055B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100A～250A                               50kA</w:t>
      </w:r>
    </w:p>
    <w:p w14:paraId="4AA5476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250A～800A                              45kA</w:t>
      </w:r>
    </w:p>
    <w:p w14:paraId="41B08F1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    机械寿命和电气寿命不小于：</w:t>
      </w:r>
    </w:p>
    <w:p w14:paraId="2D6F167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rPr>
        <w:tab/>
      </w:r>
      <w:r>
        <w:rPr>
          <w:rFonts w:hint="eastAsia" w:ascii="宋体" w:hAnsi="宋体" w:eastAsia="宋体" w:cs="宋体"/>
          <w:sz w:val="24"/>
        </w:rPr>
        <w:t>&lt;250A</w:t>
      </w:r>
      <w:r>
        <w:rPr>
          <w:rFonts w:hint="eastAsia" w:ascii="宋体" w:hAnsi="宋体" w:eastAsia="宋体" w:cs="宋体"/>
          <w:sz w:val="24"/>
        </w:rPr>
        <w:tab/>
      </w:r>
      <w:r>
        <w:rPr>
          <w:rFonts w:hint="eastAsia" w:ascii="宋体" w:hAnsi="宋体" w:eastAsia="宋体" w:cs="宋体"/>
          <w:sz w:val="24"/>
        </w:rPr>
        <w:t>机械寿命≥20×103 次</w:t>
      </w:r>
    </w:p>
    <w:p w14:paraId="19BD9F4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rPr>
        <w:tab/>
      </w:r>
      <w:r>
        <w:rPr>
          <w:rFonts w:hint="eastAsia" w:ascii="宋体" w:hAnsi="宋体" w:eastAsia="宋体" w:cs="宋体"/>
          <w:sz w:val="24"/>
        </w:rPr>
        <w:t>&lt;250A</w:t>
      </w:r>
      <w:r>
        <w:rPr>
          <w:rFonts w:hint="eastAsia" w:ascii="宋体" w:hAnsi="宋体" w:eastAsia="宋体" w:cs="宋体"/>
          <w:sz w:val="24"/>
        </w:rPr>
        <w:tab/>
      </w:r>
      <w:r>
        <w:rPr>
          <w:rFonts w:hint="eastAsia" w:ascii="宋体" w:hAnsi="宋体" w:eastAsia="宋体" w:cs="宋体"/>
          <w:sz w:val="24"/>
        </w:rPr>
        <w:t>电气寿命≥8×103 次</w:t>
      </w:r>
    </w:p>
    <w:p w14:paraId="1A94750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rPr>
        <w:tab/>
      </w:r>
      <w:r>
        <w:rPr>
          <w:rFonts w:hint="eastAsia" w:ascii="宋体" w:hAnsi="宋体" w:eastAsia="宋体" w:cs="宋体"/>
          <w:sz w:val="24"/>
        </w:rPr>
        <w:t>400A～800A</w:t>
      </w:r>
      <w:r>
        <w:rPr>
          <w:rFonts w:hint="eastAsia" w:ascii="宋体" w:hAnsi="宋体" w:eastAsia="宋体" w:cs="宋体"/>
          <w:sz w:val="24"/>
        </w:rPr>
        <w:tab/>
      </w:r>
      <w:r>
        <w:rPr>
          <w:rFonts w:hint="eastAsia" w:ascii="宋体" w:hAnsi="宋体" w:eastAsia="宋体" w:cs="宋体"/>
          <w:sz w:val="24"/>
        </w:rPr>
        <w:t>机械寿命≥10×103 次</w:t>
      </w:r>
    </w:p>
    <w:p w14:paraId="4C599E2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w:t>
      </w:r>
      <w:r>
        <w:rPr>
          <w:rFonts w:hint="eastAsia" w:ascii="宋体" w:hAnsi="宋体" w:eastAsia="宋体" w:cs="宋体"/>
          <w:sz w:val="24"/>
        </w:rPr>
        <w:tab/>
      </w:r>
      <w:r>
        <w:rPr>
          <w:rFonts w:hint="eastAsia" w:ascii="宋体" w:hAnsi="宋体" w:eastAsia="宋体" w:cs="宋体"/>
          <w:sz w:val="24"/>
        </w:rPr>
        <w:t>400A～800A</w:t>
      </w:r>
      <w:r>
        <w:rPr>
          <w:rFonts w:hint="eastAsia" w:ascii="宋体" w:hAnsi="宋体" w:eastAsia="宋体" w:cs="宋体"/>
          <w:sz w:val="24"/>
        </w:rPr>
        <w:tab/>
      </w:r>
      <w:r>
        <w:rPr>
          <w:rFonts w:hint="eastAsia" w:ascii="宋体" w:hAnsi="宋体" w:eastAsia="宋体" w:cs="宋体"/>
          <w:sz w:val="24"/>
        </w:rPr>
        <w:t>电气寿命≥5×103 次</w:t>
      </w:r>
    </w:p>
    <w:p w14:paraId="251407A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2.柜中应有不同容量的备用开关出线，且占总出线的 20％左右。</w:t>
      </w:r>
    </w:p>
    <w:p w14:paraId="0C760C8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D.隔离开关和熔断开关</w:t>
      </w:r>
    </w:p>
    <w:p w14:paraId="27CA4FE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1.利用弹簧进行手动分断和闭合操作，使用同一个单元实现开合位置的连 锁。</w:t>
      </w:r>
    </w:p>
    <w:p w14:paraId="1767729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2.满足设定的额定电流值和控制柜的总额定值。</w:t>
      </w:r>
    </w:p>
    <w:p w14:paraId="76A3A40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3.熔断单元可以从熔断开关处快速移出和安装。</w:t>
      </w:r>
    </w:p>
    <w:p w14:paraId="7ED8A1F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E.接触器</w:t>
      </w:r>
    </w:p>
    <w:p w14:paraId="57C98F1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1.接触器的主接点应为三极或四极，具有若干辅助接点（上部或侧面）。配 有机械连锁。故障率要小于 10-8 次。机械寿命：10×106 次，电气寿命： 低于 135kW 为 1.2×106，闭合电压：0.8～1.1Un，释放电压：0.4～0.6Un。 适合电压波动剧烈长距离控制回路中。</w:t>
      </w:r>
    </w:p>
    <w:p w14:paraId="6A82440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2.具有电磁系统，触头系统，灭弧外壳，辅助接点、旋转轴等。主触头和 辅助触头应是双断点型。具有高抗熔焊性和耐电磨损性能。带灭弧外壳。 电磁系统应具有抗冲击装置以减少当铁芯闭合时的冲击能量，增加产品 的机械和电气寿命，降低电磁系统的工作噪声。</w:t>
      </w:r>
    </w:p>
    <w:p w14:paraId="2278E45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3.有带有热继电器的磁力启动器，以防止发生过负载。热继电器为三相双 金属滑片型。具有连续定量调整用于过载和断相保护，带温度补偿和自 由脱扣式的复位按钮。热继电器启动之后，复位按钮要有两种功能和显 示：手动、自动。具有三种安装方式：独立、快速和插入。</w:t>
      </w:r>
    </w:p>
    <w:p w14:paraId="12DC93A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F.电流互感器</w:t>
      </w:r>
    </w:p>
    <w:p w14:paraId="33185F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1.精度 2.5 的电流表可使用 1.0 级互感器。当电气测量仪表和继电器保护装 置共用电流互感器时，测量仪表应连接到一个二次绕组，继电器连接到 另外一个二次绕组上。如果互感器变化过大不能满足继电器保护装置的 要求时，应使用其它互感器。</w:t>
      </w:r>
    </w:p>
    <w:p w14:paraId="492407A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G.表计</w:t>
      </w:r>
    </w:p>
    <w:p w14:paraId="06461F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1.表计在水处理行业有成功运行业绩。</w:t>
      </w:r>
    </w:p>
    <w:p w14:paraId="4B42CE6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2.当电气设备在正常工作条件下，控制柜上的电气表计和互感器的测量范 围应保证表计显示在刻度范围。按照设计进行配置。当产生短路和过负 载时表计不能损坏。</w:t>
      </w:r>
    </w:p>
    <w:p w14:paraId="5CF4944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3.所有表计应为数显表.</w:t>
      </w:r>
    </w:p>
    <w:p w14:paraId="2DE8C88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4.变送数显表将电参量显示并通过 I/O 或通讯接口与 PLC 系统进行数据传送，并具有抗干扰能力。</w:t>
      </w:r>
    </w:p>
    <w:p w14:paraId="5662868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5.主要技术参数：</w:t>
      </w:r>
    </w:p>
    <w:p w14:paraId="1CCF3FC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精度等级：0.5 级</w:t>
      </w:r>
    </w:p>
    <w:p w14:paraId="55CDCC1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辅助电源：220VAC</w:t>
      </w:r>
    </w:p>
    <w:p w14:paraId="531B8DA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输入电流：5ADC</w:t>
      </w:r>
    </w:p>
    <w:p w14:paraId="6316572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输入电压：380/220V</w:t>
      </w:r>
    </w:p>
    <w:p w14:paraId="6B1B177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输出信号：4～20mA</w:t>
      </w:r>
    </w:p>
    <w:p w14:paraId="095FF9F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环境温度：0～50。C</w:t>
      </w:r>
    </w:p>
    <w:p w14:paraId="4205220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工作时间：大于 50000 小时</w:t>
      </w:r>
    </w:p>
    <w:p w14:paraId="59F6D08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工频耐压：2kV</w:t>
      </w:r>
    </w:p>
    <w:p w14:paraId="6CAA225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绝缘电阻：不小于 100 兆欧姆</w:t>
      </w:r>
    </w:p>
    <w:p w14:paraId="55F4E50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6.变送数显表主要功能：</w:t>
      </w:r>
    </w:p>
    <w:p w14:paraId="2F044EC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进线柜：测量电流、电压、功率、功率因数、电度等</w:t>
      </w:r>
    </w:p>
    <w:p w14:paraId="534F42C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超过 55kW 电机出线：电流及电度变送数显表</w:t>
      </w:r>
    </w:p>
    <w:p w14:paraId="22C2546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大于等于 100A 开关出线：电流及电度变送数显表</w:t>
      </w:r>
    </w:p>
    <w:p w14:paraId="142D4B3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变送表均带通讯接口</w:t>
      </w:r>
    </w:p>
    <w:p w14:paraId="28AB354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H.指示灯</w:t>
      </w:r>
    </w:p>
    <w:p w14:paraId="4B26C1E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1.无论室内和室外，在现场按钮箱、现场控制箱、MCC  控制柜上应采用 LED 指示。防护等级 IP65。使用环境温度：-25℃~+60℃、使用寿命： 60,000～100,000 小时。指示灯带有变压器，可直接连接到AC220V 上。 结构为卡装型，抗振动性能好，可密集安装。</w:t>
      </w:r>
    </w:p>
    <w:p w14:paraId="28E972B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I.控制（转换）开关</w:t>
      </w:r>
    </w:p>
    <w:p w14:paraId="1EE3A2D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1.控制开关的寿命大于 10×105，抗冲击，连接点的故障率要小于 10-5，可 用于AC或DC回路中。按照设计要求制定接点组合结构型式。控制开 关在位置确认以后应锁上。并将铭盘标在不同位置。</w:t>
      </w:r>
    </w:p>
    <w:p w14:paraId="1DEBC8D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J.联锁</w:t>
      </w:r>
    </w:p>
    <w:p w14:paraId="7984775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提供一把联锁用的钥匙。在两个进线柜和母联柜之间要有联锁。当母联闭合时，只允许一路进线闭合。</w:t>
      </w:r>
    </w:p>
    <w:p w14:paraId="69E2DD8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K.按钮</w:t>
      </w:r>
    </w:p>
    <w:p w14:paraId="3F5A7D2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防护等级：                  IP65</w:t>
      </w:r>
    </w:p>
    <w:p w14:paraId="0D8048F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寿命：                       106 次</w:t>
      </w:r>
    </w:p>
    <w:p w14:paraId="0D7AFE2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环境温度：                  -25℃~+60℃</w:t>
      </w:r>
    </w:p>
    <w:p w14:paraId="4273CA6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使用电源：                   AC220V</w:t>
      </w:r>
    </w:p>
    <w:p w14:paraId="6F295EE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故障率：                    少于 10-7，</w:t>
      </w:r>
    </w:p>
    <w:p w14:paraId="212BDE8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灯的结构是卡装模块型的，抗振动性能好，外线美观，可密集安装。必须具有保护切断功能。</w:t>
      </w:r>
    </w:p>
    <w:p w14:paraId="2B04A38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L.软起动器</w:t>
      </w:r>
    </w:p>
    <w:p w14:paraId="6C016A1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1.对于功率大于 55kW 的电机，需装设软起动器。</w:t>
      </w:r>
    </w:p>
    <w:p w14:paraId="0D51147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2.采用电子马达软起动器。在起动和停车过程期间可允许恒定加减速，不 需用测速机，即使当电机负载变化时也是如此。软起动器由控制模块， 电源组件，本机和接口单元。马达的起动参数存储在 PLC 或 PC 中。当 同样的软起动器的参数需修改时，所小于的参数可方便快捷的传输设置。 软起动器需由计算机系统监控。</w:t>
      </w:r>
    </w:p>
    <w:p w14:paraId="7A89B2D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3.软起动时间是可调的。具有限制起动电压、电流，依据不同负载实现不同的混合平滑起动。电流、电压、倾角、时间等参数可被多设定和多调 整。</w:t>
      </w:r>
    </w:p>
    <w:p w14:paraId="0F9E33F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4.软起动器要满足 IEC947－4－2  标准，抗震性能满足 IEC－68－2－6， NFC2076 和 BV1</w:t>
      </w:r>
    </w:p>
    <w:p w14:paraId="433BCF5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5.工作温度 0～+40℃</w:t>
      </w:r>
    </w:p>
    <w:p w14:paraId="688D085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6.工作电压 380V-15%……415+10%</w:t>
      </w:r>
    </w:p>
    <w:p w14:paraId="0585574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7.起动电流倍数:5In。</w:t>
      </w:r>
    </w:p>
    <w:p w14:paraId="67732E8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8.总起动谐波≤5%，运行时≤2%。</w:t>
      </w:r>
    </w:p>
    <w:p w14:paraId="48CD50D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9.电机的标称电流可以在起动器额定电流的 0.5~1.3 倍之间调整</w:t>
      </w:r>
    </w:p>
    <w:p w14:paraId="07A3AA8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10.起动电压调节范围:（10-60）%总电压</w:t>
      </w:r>
    </w:p>
    <w:p w14:paraId="2CD246D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11.综合热保护,缺相保护和相位不平衡保护，由输出继电器指示</w:t>
      </w:r>
    </w:p>
    <w:p w14:paraId="19F3EC9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M.低压变频器（变频器技术要求如下：） </w:t>
      </w:r>
    </w:p>
    <w:p w14:paraId="3DC716F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a.     电源电压:       AC380V±10% </w:t>
      </w:r>
    </w:p>
    <w:p w14:paraId="19C90CF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保护:</w:t>
      </w:r>
    </w:p>
    <w:p w14:paraId="51028C7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过电压</w:t>
      </w:r>
    </w:p>
    <w:p w14:paraId="69D4527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低电压</w:t>
      </w:r>
    </w:p>
    <w:p w14:paraId="116C0B1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过流</w:t>
      </w:r>
    </w:p>
    <w:p w14:paraId="78F1B70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短路</w:t>
      </w:r>
    </w:p>
    <w:p w14:paraId="6C08AE8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缺相</w:t>
      </w:r>
    </w:p>
    <w:p w14:paraId="241BBF5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接地故障</w:t>
      </w:r>
    </w:p>
    <w:p w14:paraId="578942A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调节范围:                      1……100</w:t>
      </w:r>
    </w:p>
    <w:p w14:paraId="47CEE1C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d.瞬时过扭矩:</w:t>
      </w:r>
    </w:p>
    <w:p w14:paraId="66B8525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200%额定电气扭矩，2S</w:t>
      </w:r>
    </w:p>
    <w:p w14:paraId="483C365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170%电机额定扭矩，60S</w:t>
      </w:r>
    </w:p>
    <w:p w14:paraId="48FD73C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 控制:</w:t>
      </w:r>
    </w:p>
    <w:p w14:paraId="3E509BA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键盘手动操</w:t>
      </w:r>
    </w:p>
    <w:p w14:paraId="356F114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PLC</w:t>
      </w:r>
    </w:p>
    <w:p w14:paraId="00F6CDE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在现场按钮箱操作，采用调节电阻（由制造厂提供）</w:t>
      </w:r>
    </w:p>
    <w:p w14:paraId="1746BD9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 变频器信号类型:</w:t>
      </w:r>
    </w:p>
    <w:p w14:paraId="0FE4F29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4～20mAPLC 速度调节信号</w:t>
      </w:r>
    </w:p>
    <w:p w14:paraId="5D3ABBC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启停无源接点信号</w:t>
      </w:r>
    </w:p>
    <w:p w14:paraId="314245E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可选择的无源输出信号</w:t>
      </w:r>
    </w:p>
    <w:p w14:paraId="56807C1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PLC 无源启停电气信号</w:t>
      </w:r>
    </w:p>
    <w:p w14:paraId="1A25820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外部手动 0～10KΩ电位器旋转调节信号</w:t>
      </w:r>
    </w:p>
    <w:p w14:paraId="2BF93FA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变频器输出：4～20mA 频率&lt;=&gt;0～50Hz ，2 个无源接点和 1 个总故 障输出。</w:t>
      </w:r>
    </w:p>
    <w:p w14:paraId="140C852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变频器应配套提供进、出线滤波装置，防止变频器谐波对电网及设备的影响、满足国标相关要求。使用编程单元显示运行参数，采用通讯方式与成套控制器直接通讯。</w:t>
      </w:r>
    </w:p>
    <w:p w14:paraId="3F5BD5B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EMC 传导及辐射干扰:符合 EN55022B。</w:t>
      </w:r>
    </w:p>
    <w:p w14:paraId="4122DD6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工作温度:-5℃~+40℃, (5-95)%相对湿度无冷凝水.。</w:t>
      </w:r>
    </w:p>
    <w:p w14:paraId="7195291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变频器满载的基波功率因数不小于 0.96。</w:t>
      </w:r>
    </w:p>
    <w:p w14:paraId="02561B52">
      <w:pPr>
        <w:pStyle w:val="3"/>
        <w:rPr>
          <w:rFonts w:ascii="宋体" w:hAnsi="宋体" w:eastAsia="宋体" w:cs="宋体"/>
          <w:sz w:val="24"/>
          <w:szCs w:val="22"/>
        </w:rPr>
      </w:pPr>
      <w:r>
        <w:rPr>
          <w:rFonts w:hint="eastAsia" w:ascii="宋体" w:hAnsi="宋体" w:eastAsia="宋体" w:cs="宋体"/>
          <w:sz w:val="24"/>
          <w:szCs w:val="22"/>
        </w:rPr>
        <w:t>2.6.3.4 出厂检验</w:t>
      </w:r>
    </w:p>
    <w:p w14:paraId="3C62C2A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A.型式试验</w:t>
      </w:r>
    </w:p>
    <w:p w14:paraId="33D32EE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1.所有制造零件和设备组件的型式试验要进行检验并认可。电气设备与做 形式试验的设备具有同样的质量和标准。</w:t>
      </w:r>
    </w:p>
    <w:p w14:paraId="47BC474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B.试验方法和范围</w:t>
      </w:r>
    </w:p>
    <w:p w14:paraId="1D06B74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1.不限于下述的所有电气设备：低压 MCC 开关柜，低压电机等应按照 IEC 以及国家相关的标准进行型式试验。</w:t>
      </w:r>
    </w:p>
    <w:p w14:paraId="25B1BB6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2.视觉检查设备的质量结构、防护等级和喷漆</w:t>
      </w:r>
    </w:p>
    <w:p w14:paraId="2E6FBA2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3.所有手动结构、抽屉导轨插头门、板等</w:t>
      </w:r>
    </w:p>
    <w:p w14:paraId="0F466D6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4.所有控制、保护和监测设备的电气操作</w:t>
      </w:r>
    </w:p>
    <w:p w14:paraId="1BDFB11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5.全部的保护系统包括：断路器、马达启动器、母联断路器和变压器，应 按照 IEC 的要求进行测试</w:t>
      </w:r>
    </w:p>
    <w:p w14:paraId="6F9A247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6.功能性试验包括：模拟操作以及自动和编程控制的程序操作试验</w:t>
      </w:r>
    </w:p>
    <w:p w14:paraId="0776946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7.视觉检验熔断器的型式和额定值</w:t>
      </w:r>
    </w:p>
    <w:p w14:paraId="6B28B1F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8.中压工作频率和直流绝缘测试</w:t>
      </w:r>
    </w:p>
    <w:p w14:paraId="133F926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9.按照预定的程序安装进行全部主要试验。记录报告要由测试人和制造厂 的质量控制人员签字。</w:t>
      </w:r>
    </w:p>
    <w:p w14:paraId="08DFDB60">
      <w:pPr>
        <w:pStyle w:val="3"/>
        <w:rPr>
          <w:rFonts w:ascii="宋体" w:hAnsi="宋体" w:eastAsia="宋体" w:cs="宋体"/>
          <w:sz w:val="24"/>
          <w:szCs w:val="22"/>
        </w:rPr>
      </w:pPr>
      <w:r>
        <w:rPr>
          <w:rFonts w:hint="eastAsia" w:ascii="宋体" w:hAnsi="宋体" w:eastAsia="宋体" w:cs="宋体"/>
          <w:sz w:val="24"/>
          <w:szCs w:val="22"/>
        </w:rPr>
        <w:t>2.6.3.5制造厂证书</w:t>
      </w:r>
    </w:p>
    <w:p w14:paraId="0EEFAB9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A.在开关柜最终试验和试运转以前，制造厂要提交安装完善的证书。</w:t>
      </w:r>
    </w:p>
    <w:p w14:paraId="1B95D4A3">
      <w:pPr>
        <w:pStyle w:val="3"/>
        <w:rPr>
          <w:rFonts w:ascii="宋体" w:hAnsi="宋体" w:eastAsia="宋体" w:cs="宋体"/>
          <w:sz w:val="24"/>
          <w:szCs w:val="22"/>
        </w:rPr>
      </w:pPr>
      <w:r>
        <w:rPr>
          <w:rFonts w:hint="eastAsia" w:ascii="宋体" w:hAnsi="宋体" w:eastAsia="宋体" w:cs="宋体"/>
          <w:sz w:val="24"/>
          <w:szCs w:val="22"/>
        </w:rPr>
        <w:t>2.6.4低压电容补偿柜及有源滤波柜</w:t>
      </w:r>
    </w:p>
    <w:p w14:paraId="5E0B2776">
      <w:pPr>
        <w:pStyle w:val="3"/>
        <w:rPr>
          <w:rFonts w:ascii="宋体" w:hAnsi="宋体" w:eastAsia="宋体" w:cs="宋体"/>
          <w:sz w:val="24"/>
          <w:szCs w:val="22"/>
        </w:rPr>
      </w:pPr>
      <w:r>
        <w:rPr>
          <w:rFonts w:hint="eastAsia" w:ascii="宋体" w:hAnsi="宋体" w:eastAsia="宋体" w:cs="宋体"/>
          <w:sz w:val="24"/>
          <w:szCs w:val="22"/>
        </w:rPr>
        <w:t>2.6.4.1一般要求</w:t>
      </w:r>
    </w:p>
    <w:p w14:paraId="6CF5C72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低压电容补偿和有源滤波柜与 0.4kV 开关柜并柜设置，按需求提供低压无功补 偿、有源滤波柜内部及该柜与 0.4kV 开关柜之间的所有电源、控制、联锁及通讯电缆。</w:t>
      </w:r>
    </w:p>
    <w:p w14:paraId="2BE756C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为了保证谐振频率的准确性，低压电能质量柜内主要元器件包括电容器、电抗 器、控制器、晶闸管投切器、有源滤波模块选用同一品牌产品，无功补偿组件、有 源滤波装置可实现配电系统所需的动态无功补偿及有源滤波功能，综合解决配电网电能质量问题。</w:t>
      </w:r>
    </w:p>
    <w:p w14:paraId="64F9D2B5">
      <w:pPr>
        <w:pStyle w:val="3"/>
        <w:rPr>
          <w:rFonts w:ascii="宋体" w:hAnsi="宋体" w:eastAsia="宋体" w:cs="宋体"/>
          <w:sz w:val="24"/>
          <w:szCs w:val="22"/>
        </w:rPr>
      </w:pPr>
      <w:r>
        <w:rPr>
          <w:rFonts w:hint="eastAsia" w:ascii="宋体" w:hAnsi="宋体" w:eastAsia="宋体" w:cs="宋体"/>
          <w:sz w:val="24"/>
          <w:szCs w:val="22"/>
        </w:rPr>
        <w:t>2.6.4.2 环境条件</w:t>
      </w:r>
    </w:p>
    <w:p w14:paraId="5F155A9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A.工作环境温度：-25℃~+55℃</w:t>
      </w:r>
    </w:p>
    <w:p w14:paraId="5141683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B.相对湿度：最湿月的月平均最大相对湿度为 95％，同时该月的月平均最低温 度为 25℃且表面无凝露；</w:t>
      </w:r>
    </w:p>
    <w:p w14:paraId="5546D3A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C.海拔高度：海拔 1500 米以下</w:t>
      </w:r>
    </w:p>
    <w:p w14:paraId="19327BD2">
      <w:pPr>
        <w:pStyle w:val="3"/>
        <w:rPr>
          <w:rFonts w:ascii="宋体" w:hAnsi="宋体" w:eastAsia="宋体" w:cs="宋体"/>
          <w:sz w:val="24"/>
          <w:szCs w:val="22"/>
        </w:rPr>
      </w:pPr>
      <w:r>
        <w:rPr>
          <w:rFonts w:hint="eastAsia" w:ascii="宋体" w:hAnsi="宋体" w:eastAsia="宋体" w:cs="宋体"/>
          <w:sz w:val="24"/>
          <w:szCs w:val="22"/>
        </w:rPr>
        <w:t>2.6.4.3电容补偿装置主要功能和关键技术指标要求</w:t>
      </w:r>
    </w:p>
    <w:p w14:paraId="40C4EC13">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A.装置要求：</w:t>
      </w:r>
    </w:p>
    <w:p w14:paraId="5DA1650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1.为了保证产品运行的稳定性及谐振频率的准确性，要求电容器、电抗器、 晶闸管投切器、控制器和补偿滤波模块为同一品牌。</w:t>
      </w:r>
    </w:p>
    <w:p w14:paraId="13AC918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2.应采用晶闸管动态投切方案。安装结构：采用高安全性柜体安装结构。</w:t>
      </w:r>
    </w:p>
    <w:p w14:paraId="5E57004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3.柜体内配置温度控制器，通过设定，当柜内温度高于设定值时，自动启 动顶部风扇散热；低于设定值时，风扇停止运行，省电节能。</w:t>
      </w:r>
    </w:p>
    <w:p w14:paraId="4AB21AF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4.低压无功补偿装置主要由柜体、隔离开关熔断器组、功率因数控制器、 晶闸管开关、串联电抗器、并联电容器、微型断路器和避雷器等组成。</w:t>
      </w:r>
    </w:p>
    <w:p w14:paraId="2DC0CBD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5.进线方式：柜顶水平母排进线</w:t>
      </w:r>
    </w:p>
    <w:p w14:paraId="58590911">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B.主要元器件要求</w:t>
      </w:r>
    </w:p>
    <w:p w14:paraId="6ABDA4B8">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1.低压并联电容器</w:t>
      </w:r>
    </w:p>
    <w:p w14:paraId="086514F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低压并联电容器采用干式、固态结构，采用耐高温聚丙烯薄膜作为介质，银锌 铝边缘加厚渐变方阻的金属镀层电极，具有良好的自愈性和电容稳定性，并同 时具有重量轻、体积小、损耗低的特点。容器内部填充，有防燃、防爆功能的天然蛭石，起到短路分段作用，使故障 的器件不再继续扩散，提高电容器的电气安全，符合环保要求，需提供 型式试验报告。</w:t>
      </w:r>
    </w:p>
    <w:p w14:paraId="28E3083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由于电容器具有储电功能，断电后仍处于放电状态，所以要求电容器的接线端 子不能裸露在外，必须有防护罩或防护装置。</w:t>
      </w:r>
    </w:p>
    <w:p w14:paraId="28BE61A6">
      <w:pPr>
        <w:adjustRightInd w:val="0"/>
        <w:spacing w:line="360" w:lineRule="auto"/>
        <w:rPr>
          <w:rFonts w:ascii="宋体" w:hAnsi="宋体" w:eastAsia="宋体" w:cs="宋体"/>
          <w:sz w:val="24"/>
        </w:rPr>
      </w:pPr>
      <w:r>
        <w:rPr>
          <w:rFonts w:hint="eastAsia" w:ascii="宋体" w:hAnsi="宋体" w:eastAsia="宋体" w:cs="宋体"/>
          <w:sz w:val="24"/>
        </w:rPr>
        <w:t>电容器采用金属外壳，便于安装，抗压力强。</w:t>
      </w:r>
    </w:p>
    <w:p w14:paraId="2AB4DDF8">
      <w:pPr>
        <w:adjustRightInd w:val="0"/>
        <w:spacing w:line="360" w:lineRule="auto"/>
        <w:rPr>
          <w:rFonts w:ascii="宋体" w:hAnsi="宋体" w:eastAsia="宋体" w:cs="宋体"/>
          <w:sz w:val="24"/>
        </w:rPr>
      </w:pPr>
      <w:r>
        <w:rPr>
          <w:rFonts w:hint="eastAsia" w:ascii="宋体" w:hAnsi="宋体" w:eastAsia="宋体" w:cs="宋体"/>
          <w:sz w:val="24"/>
        </w:rPr>
        <w:t>产品具有良好的密封性能，不带电的电容被加热 4 小时，所有部分达到 80℃, 无任何泄露现象发生。</w:t>
      </w:r>
    </w:p>
    <w:p w14:paraId="77B44390">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2. 串联电抗器</w:t>
      </w:r>
    </w:p>
    <w:p w14:paraId="5990EEA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为了保证产品运行的稳定性及谐振频率的准确性，电抗器要求与电容器保持同一品牌产品。该电抗器采用纯干式结构，设计余量大；具有良好的动、热稳定性能；电抗器 采用优质低损耗冷轧取向硅钢片，芯柱由多个气隙分成均匀小段，气隙采用环 氧层玻璃布板作间隙，以保证电抗气隙在运行过程中不发生变化，同时夹件、 紧固件等采用非磁性材料，具有温升小，发热少；确保电抗器具有损耗小的高 品质；过载能力强，可在 1.35 倍额定电流下长期工作。</w:t>
      </w:r>
    </w:p>
    <w:p w14:paraId="2820B345">
      <w:pPr>
        <w:adjustRightInd w:val="0"/>
        <w:spacing w:line="360" w:lineRule="auto"/>
        <w:rPr>
          <w:rFonts w:ascii="宋体" w:hAnsi="宋体" w:eastAsia="宋体" w:cs="宋体"/>
          <w:sz w:val="24"/>
        </w:rPr>
      </w:pPr>
      <w:r>
        <w:rPr>
          <w:rFonts w:hint="eastAsia" w:ascii="宋体" w:hAnsi="宋体" w:eastAsia="宋体" w:cs="宋体"/>
          <w:sz w:val="24"/>
        </w:rPr>
        <w:t>绝缘等级: H 级</w:t>
      </w:r>
    </w:p>
    <w:p w14:paraId="098A2ACC">
      <w:pPr>
        <w:adjustRightInd w:val="0"/>
        <w:spacing w:line="360" w:lineRule="auto"/>
        <w:rPr>
          <w:rFonts w:ascii="宋体" w:hAnsi="宋体" w:eastAsia="宋体" w:cs="宋体"/>
          <w:sz w:val="24"/>
        </w:rPr>
      </w:pPr>
      <w:r>
        <w:rPr>
          <w:rFonts w:hint="eastAsia" w:ascii="宋体" w:hAnsi="宋体" w:eastAsia="宋体" w:cs="宋体"/>
          <w:sz w:val="24"/>
        </w:rPr>
        <w:t xml:space="preserve"> 电抗器的电抗值须为电容器容抗值的 7%；</w:t>
      </w:r>
    </w:p>
    <w:p w14:paraId="14988797">
      <w:pPr>
        <w:adjustRightInd w:val="0"/>
        <w:spacing w:line="360" w:lineRule="auto"/>
        <w:rPr>
          <w:rFonts w:ascii="宋体" w:hAnsi="宋体" w:eastAsia="宋体" w:cs="宋体"/>
          <w:sz w:val="24"/>
        </w:rPr>
      </w:pPr>
      <w:r>
        <w:rPr>
          <w:rFonts w:hint="eastAsia" w:ascii="宋体" w:hAnsi="宋体" w:eastAsia="宋体" w:cs="宋体"/>
          <w:sz w:val="24"/>
        </w:rPr>
        <w:t xml:space="preserve"> 电抗值允许偏差</w:t>
      </w:r>
    </w:p>
    <w:p w14:paraId="3A96572A">
      <w:pPr>
        <w:adjustRightInd w:val="0"/>
        <w:spacing w:line="360" w:lineRule="auto"/>
        <w:rPr>
          <w:rFonts w:ascii="宋体" w:hAnsi="宋体" w:eastAsia="宋体" w:cs="宋体"/>
          <w:sz w:val="24"/>
        </w:rPr>
      </w:pPr>
      <w:r>
        <w:rPr>
          <w:rFonts w:hint="eastAsia" w:ascii="宋体" w:hAnsi="宋体" w:eastAsia="宋体" w:cs="宋体"/>
          <w:sz w:val="24"/>
        </w:rPr>
        <w:t>在额定电流下, 电抗器电抗值的允许偏差为 0～+5%。</w:t>
      </w:r>
    </w:p>
    <w:p w14:paraId="349ABFA6">
      <w:pPr>
        <w:adjustRightInd w:val="0"/>
        <w:spacing w:line="360" w:lineRule="auto"/>
        <w:rPr>
          <w:rFonts w:ascii="宋体" w:hAnsi="宋体" w:eastAsia="宋体" w:cs="宋体"/>
          <w:sz w:val="24"/>
        </w:rPr>
      </w:pPr>
      <w:r>
        <w:rPr>
          <w:rFonts w:hint="eastAsia" w:ascii="宋体" w:hAnsi="宋体" w:eastAsia="宋体" w:cs="宋体"/>
          <w:sz w:val="24"/>
        </w:rPr>
        <w:t>对于三相电抗器或单相电抗器组成的三相电抗器组,每相电抗值不得超过三相平均 值的±2%。</w:t>
      </w:r>
    </w:p>
    <w:p w14:paraId="2FB71188">
      <w:pPr>
        <w:adjustRightInd w:val="0"/>
        <w:spacing w:line="360" w:lineRule="auto"/>
        <w:rPr>
          <w:rFonts w:ascii="宋体" w:hAnsi="宋体" w:eastAsia="宋体" w:cs="宋体"/>
          <w:sz w:val="24"/>
        </w:rPr>
      </w:pPr>
      <w:r>
        <w:rPr>
          <w:rFonts w:hint="eastAsia" w:ascii="宋体" w:hAnsi="宋体" w:eastAsia="宋体" w:cs="宋体"/>
          <w:sz w:val="24"/>
        </w:rPr>
        <w:t>过电流能力：可在 1.35 倍额定电流下长期工作。</w:t>
      </w:r>
    </w:p>
    <w:p w14:paraId="1D285A29">
      <w:pPr>
        <w:adjustRightInd w:val="0"/>
        <w:spacing w:line="360" w:lineRule="auto"/>
        <w:rPr>
          <w:rFonts w:ascii="宋体" w:hAnsi="宋体" w:eastAsia="宋体" w:cs="宋体"/>
          <w:sz w:val="24"/>
        </w:rPr>
      </w:pPr>
      <w:r>
        <w:rPr>
          <w:rFonts w:hint="eastAsia" w:ascii="宋体" w:hAnsi="宋体" w:eastAsia="宋体" w:cs="宋体"/>
          <w:sz w:val="24"/>
        </w:rPr>
        <w:t>耐压水平：绕组对地 3kV/1min。</w:t>
      </w:r>
    </w:p>
    <w:p w14:paraId="3017A2E0">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3.动态无功补偿晶闸管投切器</w:t>
      </w:r>
    </w:p>
    <w:p w14:paraId="15D025E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为了保证产品运行的稳定性及谐振频率的准确性，晶闸管投切器要求与电容器保持同一品牌产品。采用过零投切方式，切除过程须无操作过电压、电弧重燃现象产生。晶闸管的 耐流值须考虑包含 3 、5 、7 谐波耐流值在内，同时承受系统低压侧各次谐波。控制电路与控制器的控制信号采用光电隔离，以避免相干扰。当控制器发出投 切信号时，晶闸管导通或截止，从而投入或切除相应电容器。</w:t>
      </w:r>
    </w:p>
    <w:p w14:paraId="6D4A96B5">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4. 功率因数控制器</w:t>
      </w:r>
    </w:p>
    <w:p w14:paraId="618499C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控制器集快速动态无功补偿控制、可显示电网电压、电流、功率因数、有功功率、无功功率、总功率因数等。</w:t>
      </w:r>
    </w:p>
    <w:p w14:paraId="370B98FE">
      <w:pPr>
        <w:adjustRightInd w:val="0"/>
        <w:spacing w:line="360" w:lineRule="auto"/>
        <w:rPr>
          <w:rFonts w:ascii="宋体" w:hAnsi="宋体" w:eastAsia="宋体" w:cs="宋体"/>
          <w:sz w:val="24"/>
        </w:rPr>
      </w:pPr>
      <w:r>
        <w:rPr>
          <w:rFonts w:hint="eastAsia" w:ascii="宋体" w:hAnsi="宋体" w:eastAsia="宋体" w:cs="宋体"/>
          <w:sz w:val="24"/>
        </w:rPr>
        <w:t>控制器具有欠压、过压、谐波超限、电流闭锁等多种保护功能。</w:t>
      </w:r>
    </w:p>
    <w:p w14:paraId="52F9293B">
      <w:pPr>
        <w:adjustRightInd w:val="0"/>
        <w:spacing w:line="360" w:lineRule="auto"/>
        <w:rPr>
          <w:rFonts w:ascii="宋体" w:hAnsi="宋体" w:eastAsia="宋体" w:cs="宋体"/>
          <w:sz w:val="24"/>
        </w:rPr>
      </w:pPr>
      <w:r>
        <w:rPr>
          <w:rFonts w:hint="eastAsia" w:ascii="宋体" w:hAnsi="宋体" w:eastAsia="宋体" w:cs="宋体"/>
          <w:sz w:val="24"/>
        </w:rPr>
        <w:t>控制器可编程参数、接通或断开电容器步进开关等信息，以及各路电容器的投 切指示；可达 20ms 的投切间隔时间，适用于快速变化负载；</w:t>
      </w:r>
    </w:p>
    <w:p w14:paraId="3BAF97EC">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5.电流互感器</w:t>
      </w:r>
    </w:p>
    <w:p w14:paraId="5A640A4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结构形式：全封闭</w:t>
      </w:r>
    </w:p>
    <w:p w14:paraId="4AEA516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安装方式：穿孔式</w:t>
      </w:r>
    </w:p>
    <w:p w14:paraId="1A42BF6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额定电压：AC 0.66kV</w:t>
      </w:r>
    </w:p>
    <w:p w14:paraId="0DB6A9F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准确级：0.5</w:t>
      </w:r>
    </w:p>
    <w:p w14:paraId="33A33BC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绝缘等级：E</w:t>
      </w:r>
    </w:p>
    <w:p w14:paraId="1838187B">
      <w:pPr>
        <w:pStyle w:val="3"/>
        <w:rPr>
          <w:rFonts w:ascii="宋体" w:hAnsi="宋体" w:eastAsia="宋体" w:cs="宋体"/>
          <w:sz w:val="24"/>
          <w:szCs w:val="22"/>
        </w:rPr>
      </w:pPr>
      <w:r>
        <w:rPr>
          <w:rFonts w:hint="eastAsia" w:ascii="宋体" w:hAnsi="宋体" w:eastAsia="宋体" w:cs="宋体"/>
          <w:sz w:val="24"/>
          <w:szCs w:val="22"/>
        </w:rPr>
        <w:t>2.6.4.4 有源滤波柜技术指标</w:t>
      </w:r>
    </w:p>
    <w:p w14:paraId="3B0FF77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A.基本技术要求：</w:t>
      </w:r>
    </w:p>
    <w:p w14:paraId="6E9515F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装置主要由柜体（MNS  型材）、塑壳断路器、有源滤波器模块和开合式电流互感器等组成。为了保证产品运行的稳定性及谐振频率的准确性，有源滤波模块要求与控制器、 电容器保持同一品牌产品。</w:t>
      </w:r>
    </w:p>
    <w:p w14:paraId="6879D75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有源滤波器模块通过外部电流互感器 CT，实时检测负载电流，并通过内部 DSP 计算，提取出负载电流的谐波成分，然后通过 PWM 信号发送给内部 IGBT，控 制逆变器产生一个和负载谐波电流大小相等，方向相反的电流注入到电网中补 偿谐波电流，实现滤波功能。每个模块有个显示屏，应具有中文等操作界面， 可根据需要选用，通过液晶屏可进行参数设置、状态改变、信息查看等操作， 并能显示运行状况、测量数据、故障报警等电能质量全界面信息。</w:t>
      </w:r>
    </w:p>
    <w:p w14:paraId="254605A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B.基本参数：</w:t>
      </w:r>
    </w:p>
    <w:p w14:paraId="0A54DA7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额定工作电压：380±15%V（三相四线）</w:t>
      </w:r>
    </w:p>
    <w:p w14:paraId="744D396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额定容量：各变电室详见低压柜系统附图</w:t>
      </w:r>
    </w:p>
    <w:p w14:paraId="519F22A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额定工作频率：50Hz±1%</w:t>
      </w:r>
    </w:p>
    <w:p w14:paraId="6100D6B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功率因数：在装置容量足够的前提下，在对系统的无功和谐波进行综合补偿后， 系统功率因数（PF 值）可以达到 0.95 以上</w:t>
      </w:r>
    </w:p>
    <w:p w14:paraId="78398B2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开关频率：20kHz（平均）IGBT</w:t>
      </w:r>
    </w:p>
    <w:p w14:paraId="529C809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响应时间：≤50 μS</w:t>
      </w:r>
    </w:p>
    <w:p w14:paraId="58FDA22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完全响应时间：要求动态响应速度≤5ms；</w:t>
      </w:r>
    </w:p>
    <w:p w14:paraId="1541A93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系统采用模块化结构设计，单个功率模块既能单独运行，也可组合协同构成更 大容量系统。</w:t>
      </w:r>
    </w:p>
    <w:p w14:paraId="1304E1D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柜内积木式安装、模块化设计</w:t>
      </w:r>
    </w:p>
    <w:p w14:paraId="3D59E16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任一模块的故障不得影响其他模块的正常运行和系统的整体运行。</w:t>
      </w:r>
    </w:p>
    <w:p w14:paraId="3C2931D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控制算法：要求采用智能算</w:t>
      </w:r>
    </w:p>
    <w:p w14:paraId="136AD86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无功补偿要求：装置需要适应谐波环境下的频繁变化负载的要求，采用有源方 式进行无功补偿，补偿模式可选平衡补偿和不平衡补偿。</w:t>
      </w:r>
    </w:p>
    <w:p w14:paraId="04FBED1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人机界面：采用中/英文大屏幕液晶显示</w:t>
      </w:r>
    </w:p>
    <w:p w14:paraId="4FC240E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有源滤波范围可以达到 2-50，滤波效能可达 97%以上。</w:t>
      </w:r>
    </w:p>
    <w:p w14:paraId="6A40995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噪音：≤65dB</w:t>
      </w:r>
    </w:p>
    <w:p w14:paraId="4B4753A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平均无故障时间：10 万小时</w:t>
      </w:r>
    </w:p>
    <w:p w14:paraId="0A611E9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装置具有通讯接口，和于后台监控系统通信。通信接口采用 RS485 或以太网口， 采用 MODBUS 通信协议，装置需提供开放的协议文本。</w:t>
      </w:r>
    </w:p>
    <w:p w14:paraId="4ADF301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扩容方式：支持多机并联扩容</w:t>
      </w:r>
    </w:p>
    <w:p w14:paraId="6F43D24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C.结构及性能</w:t>
      </w:r>
    </w:p>
    <w:p w14:paraId="17E66F9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采用触控7寸液晶显示面板，在面板上能显示线电压有效值、电压谐波值、电流有效值、电流谐波值、视在功率、功率因数等运行参数，具备人性化操作软 件，操作简单快捷；</w:t>
      </w:r>
    </w:p>
    <w:p w14:paraId="7E53DB7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采用全数字、模块化控制方式，CPU 采用3DSP 全数字控制系统、模块化设计， 主控中心做全封闭防尘处理；</w:t>
      </w:r>
    </w:p>
    <w:p w14:paraId="7217DF8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具备完整的保护装置，包括过载、过电流、短路、 IGBT 异常、系统失压、内置 电容器过电压等功能。故障出现后机器会自动报警且停止工作不会影响其他设 备正常运行；</w:t>
      </w:r>
    </w:p>
    <w:p w14:paraId="18E793A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系统具备快速、完全的故障自检功能，包括欠压或过压、过流、风扇故障、功 率器件过温、输入保险丝熔断等各种故障自检，所有故障模块均可发出声光报 警，同时自动采取相对应的操作；</w:t>
      </w:r>
    </w:p>
    <w:p w14:paraId="0718B53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IGBT 应选用知名品牌原装进口产品；驱动模块应选用知名原装进口驱动模块； 直流电容器应选用进口专用低感薄膜电容器。</w:t>
      </w:r>
    </w:p>
    <w:p w14:paraId="59EC5A9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装置独立于电网阻抗及系统阻抗，不受电网阻抗和系统阻抗变化的影响，自动 消除谐振；自身的高频载波不能回馈到电网，对其它系统和设备进行干扰。</w:t>
      </w:r>
    </w:p>
    <w:p w14:paraId="5B5B3BE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自动限定在额定容量范围内100%输出，不发出过载导致设备超载或退出运行；</w:t>
      </w:r>
    </w:p>
    <w:p w14:paraId="5614D9F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具有缓启动控制回路，避免启动瞬间过大的突入电流，并限制该电流在额定范围内；</w:t>
      </w:r>
    </w:p>
    <w:p w14:paraId="78FBA20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当系统断电时，滤波器应自动断开；在系统恢复后，设备能自动恢复运行。</w:t>
      </w:r>
    </w:p>
    <w:p w14:paraId="68843F6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用户可以通过滤波器控制器进行状态监测和控制设定,包括密码加锁功能，数据 测量功能，控制设定功能，事件记录功能，状态监控和报警功能；</w:t>
      </w:r>
    </w:p>
    <w:p w14:paraId="3480863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风冷，采用风扇进行智能散热控制。进风口安装防尘过滤网，模块内充分考虑 到模块运行中的散热问题。</w:t>
      </w:r>
    </w:p>
    <w:p w14:paraId="41A9D03C">
      <w:pPr>
        <w:pStyle w:val="3"/>
        <w:rPr>
          <w:rFonts w:ascii="宋体" w:hAnsi="宋体" w:eastAsia="宋体" w:cs="宋体"/>
          <w:sz w:val="24"/>
          <w:szCs w:val="22"/>
        </w:rPr>
      </w:pPr>
      <w:r>
        <w:rPr>
          <w:rFonts w:hint="eastAsia" w:ascii="宋体" w:hAnsi="宋体" w:eastAsia="宋体" w:cs="宋体"/>
          <w:sz w:val="24"/>
          <w:szCs w:val="22"/>
        </w:rPr>
        <w:t xml:space="preserve">2.6.5 低压配电（控制）柜 </w:t>
      </w:r>
    </w:p>
    <w:p w14:paraId="2AA668FC">
      <w:pPr>
        <w:pStyle w:val="3"/>
        <w:rPr>
          <w:rFonts w:ascii="宋体" w:hAnsi="宋体" w:eastAsia="宋体" w:cs="宋体"/>
          <w:sz w:val="24"/>
          <w:szCs w:val="22"/>
        </w:rPr>
      </w:pPr>
      <w:r>
        <w:rPr>
          <w:rFonts w:hint="eastAsia" w:ascii="宋体" w:hAnsi="宋体" w:eastAsia="宋体" w:cs="宋体"/>
          <w:sz w:val="24"/>
          <w:szCs w:val="22"/>
        </w:rPr>
        <w:t>2.6.5.1技术要求</w:t>
      </w:r>
    </w:p>
    <w:p w14:paraId="4D16678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A.低压控制柜为固定式，采用全金属外壳。落地安装。</w:t>
      </w:r>
    </w:p>
    <w:p w14:paraId="6F8FB4E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B.柜体构架采用 8MF 冷弯型钢局部焊接而成，构件、零部件、开孔等通用系数高，生产安装方便。</w:t>
      </w:r>
    </w:p>
    <w:p w14:paraId="771B3D6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C.柜门与构件连接合理，转动灵活、稳定，且方便安装、拆卸。</w:t>
      </w:r>
    </w:p>
    <w:p w14:paraId="6B10A49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D.柜体顶盖可拆除，便于母线安装调整，柜顶四角装有吊环，用于起吊和装运。 </w:t>
      </w:r>
    </w:p>
    <w:p w14:paraId="78860F0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E.防护等级变配室内为 IP4X，其它为 IP55。</w:t>
      </w:r>
    </w:p>
    <w:p w14:paraId="49FBCDA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F.除说明或图纸明确标明外，控制柜均采用电缆下进下出线方式。</w:t>
      </w:r>
    </w:p>
    <w:p w14:paraId="5C0E0DA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G.互感器、指示灯、按钮、控制开关、表计、端子、熔断器等元件选型应统一。</w:t>
      </w:r>
    </w:p>
    <w:p w14:paraId="222DEB0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   技术参数：</w:t>
      </w:r>
    </w:p>
    <w:p w14:paraId="569D2F1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频率：                   50Hz,</w:t>
      </w:r>
    </w:p>
    <w:p w14:paraId="6724B29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电压：                   ≤1kV</w:t>
      </w:r>
    </w:p>
    <w:p w14:paraId="05E422E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中性点：                 接地</w:t>
      </w:r>
    </w:p>
    <w:p w14:paraId="1C1B957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短路电流：               30kA.</w:t>
      </w:r>
    </w:p>
    <w:p w14:paraId="6940D941">
      <w:pPr>
        <w:numPr>
          <w:ilvl w:val="0"/>
          <w:numId w:val="2"/>
        </w:num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设备元件采用与低压开关柜中同样厂家的产品及要求。 </w:t>
      </w:r>
    </w:p>
    <w:p w14:paraId="77DB7E3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 柜体结构内部其它要求见 2.7.8.2 条款相关要求。</w:t>
      </w:r>
    </w:p>
    <w:p w14:paraId="3A85B12A">
      <w:pPr>
        <w:pStyle w:val="3"/>
        <w:rPr>
          <w:rFonts w:ascii="宋体" w:hAnsi="宋体" w:eastAsia="宋体" w:cs="宋体"/>
          <w:sz w:val="24"/>
          <w:szCs w:val="22"/>
        </w:rPr>
      </w:pPr>
      <w:r>
        <w:rPr>
          <w:rFonts w:hint="eastAsia" w:ascii="宋体" w:hAnsi="宋体" w:eastAsia="宋体" w:cs="宋体"/>
          <w:sz w:val="24"/>
          <w:szCs w:val="22"/>
        </w:rPr>
        <w:t>2.6.5.2出厂检验</w:t>
      </w:r>
    </w:p>
    <w:p w14:paraId="35EA601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参见低压开关柜相关要求。</w:t>
      </w:r>
    </w:p>
    <w:p w14:paraId="7B7619C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2.7.11.3备件</w:t>
      </w:r>
    </w:p>
    <w:p w14:paraId="7CC851B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A.参见低压开关柜相关要求。</w:t>
      </w:r>
    </w:p>
    <w:p w14:paraId="2BF4CD8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2.7.11.4制造厂证书</w:t>
      </w:r>
    </w:p>
    <w:p w14:paraId="697C7B7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A.参见低压开关柜相关要求。</w:t>
      </w:r>
    </w:p>
    <w:p w14:paraId="679A825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2.7.12  现场控制箱</w:t>
      </w:r>
    </w:p>
    <w:p w14:paraId="2D8811B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A.外壳：IP54</w:t>
      </w:r>
    </w:p>
    <w:p w14:paraId="581C4A7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抗腐蚀性，酸保护：10%</w:t>
      </w:r>
    </w:p>
    <w:p w14:paraId="506248F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C碱保护强度：10%.</w:t>
      </w:r>
    </w:p>
    <w:p w14:paraId="659533D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D.电源： AC380V，50HZ</w:t>
      </w:r>
    </w:p>
    <w:p w14:paraId="27F2CDB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E.控制箱的材料为不锈钢，钢板厚度不小于 1.5mm。门采用三位置锁。测量表 计、控制开关、信号灯要安装在前面板上。微型断路器、接触器、继电器等安装在控制箱内。接线端子安装在两侧。 接线端子要采取防腐，防氧化措施。 进线断路器处设一级浪涌保护器。</w:t>
      </w:r>
    </w:p>
    <w:p w14:paraId="28C9F28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F.主要设备元件采用与 MCC 低压柜内的元件为相同品牌的产品。</w:t>
      </w:r>
    </w:p>
    <w:p w14:paraId="666A7F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G.控制箱由卖方供货，其材料为 304 不锈钢。 </w:t>
      </w:r>
    </w:p>
    <w:p w14:paraId="1EB9D714">
      <w:pPr>
        <w:pStyle w:val="3"/>
        <w:rPr>
          <w:rFonts w:ascii="宋体" w:hAnsi="宋体" w:eastAsia="宋体" w:cs="宋体"/>
          <w:sz w:val="24"/>
          <w:szCs w:val="22"/>
        </w:rPr>
      </w:pPr>
      <w:r>
        <w:rPr>
          <w:rFonts w:hint="eastAsia" w:ascii="宋体" w:hAnsi="宋体" w:eastAsia="宋体" w:cs="宋体"/>
          <w:sz w:val="24"/>
          <w:szCs w:val="22"/>
        </w:rPr>
        <w:t>2.6.6  现场按钮箱</w:t>
      </w:r>
    </w:p>
    <w:p w14:paraId="5A7CCE0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A.外壳：IP65。</w:t>
      </w:r>
    </w:p>
    <w:p w14:paraId="00F9432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B.按钮箱由 304 不锈钢制成，钢板厚度不小于 1.5mm。应具有良好的热稳定性和抗冲击性，绝缘强度高。</w:t>
      </w:r>
    </w:p>
    <w:p w14:paraId="7593049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C.按钮箱至少应配有开、停、急停及运行指示灯。并根据需要配备转换开关。 所有带腐蚀性气体区域的接线端子要采取防腐，防氧化措施。</w:t>
      </w:r>
    </w:p>
    <w:p w14:paraId="2424F120">
      <w:pPr>
        <w:pStyle w:val="3"/>
        <w:rPr>
          <w:rFonts w:ascii="宋体" w:hAnsi="宋体" w:eastAsia="宋体" w:cs="宋体"/>
          <w:sz w:val="24"/>
          <w:szCs w:val="22"/>
        </w:rPr>
      </w:pPr>
      <w:r>
        <w:rPr>
          <w:rFonts w:hint="eastAsia" w:ascii="宋体" w:hAnsi="宋体" w:eastAsia="宋体" w:cs="宋体"/>
          <w:sz w:val="24"/>
          <w:szCs w:val="22"/>
        </w:rPr>
        <w:t>2.6.6.1 现场保护器按钮箱</w:t>
      </w:r>
    </w:p>
    <w:p w14:paraId="384321D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A.外壳：IP65。</w:t>
      </w:r>
    </w:p>
    <w:p w14:paraId="0275AD9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B.保护器按钮箱由不锈钢制成，钢板厚度不小于 1.5mm。应具有良好的热稳定性和抗冲击性，绝缘强度高。箱内配备与潜水设备容量及数量相适应的动力及照明端子。</w:t>
      </w:r>
    </w:p>
    <w:p w14:paraId="7792339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C.保护器按钮箱至少应配有开、停、急停按钮及运行指示灯。所有带腐蚀性气 体区域的接线端子要采取防腐，防氧化措施。</w:t>
      </w:r>
    </w:p>
    <w:p w14:paraId="3ED1A2E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D.测量表计，信号灯，控制按钮安装在前面板上。电源端子和控制端子应安装 在箱内，有 30%的备用。接其中用于连接潜水设备电缆与 MCC 低压柜的电 缆，端子要选用与马达功率匹配的。</w:t>
      </w:r>
    </w:p>
    <w:p w14:paraId="0B63B60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E.保护器按钮箱内应装设与之对应的设备的泄漏超温保护器。</w:t>
      </w:r>
    </w:p>
    <w:p w14:paraId="0B4A641D">
      <w:pPr>
        <w:pStyle w:val="3"/>
        <w:rPr>
          <w:rFonts w:ascii="宋体" w:hAnsi="宋体" w:eastAsia="宋体" w:cs="宋体"/>
          <w:sz w:val="24"/>
          <w:szCs w:val="22"/>
        </w:rPr>
      </w:pPr>
      <w:r>
        <w:rPr>
          <w:rFonts w:hint="eastAsia" w:ascii="宋体" w:hAnsi="宋体" w:eastAsia="宋体" w:cs="宋体"/>
          <w:sz w:val="24"/>
          <w:szCs w:val="22"/>
        </w:rPr>
        <w:t>2.6.7  阀门和闸门电动头</w:t>
      </w:r>
    </w:p>
    <w:p w14:paraId="3FEF69E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A.阀门和闸门执行机构的现场控制装置应与执行机构为一体；但井内安装的阀 门或闸门应设置现场控制箱，地面操作。</w:t>
      </w:r>
    </w:p>
    <w:p w14:paraId="5EBE93B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B.操作方式：符合标准 VDE0530；</w:t>
      </w:r>
    </w:p>
    <w:p w14:paraId="5034BFC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C.三相鼠笼电机：380V ，50HZ，绝缘等级F级。包括热保护开关，接线盒， 标准的引线和端子；</w:t>
      </w:r>
    </w:p>
    <w:p w14:paraId="12AECE6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D.电动头应有断路器，接触器，热继电器，开度表，开、关位置指示灯，过扭及位置行程开关，手动/自动转换开关、开停按钮和防冷凝加热器。</w:t>
      </w:r>
    </w:p>
    <w:p w14:paraId="5731F2D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E.防护等级：IP67；</w:t>
      </w:r>
    </w:p>
    <w:p w14:paraId="323E8B6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F.全天候防护罩适用于室外适用；</w:t>
      </w:r>
    </w:p>
    <w:p w14:paraId="2477ECE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G.环境温度：-20。C～＋40。C；</w:t>
      </w:r>
    </w:p>
    <w:p w14:paraId="27C9248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H.转换开关：“手动-O-自动”；</w:t>
      </w:r>
    </w:p>
    <w:p w14:paraId="6A8A2B9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I.按钮：“开-停-关”或“起动-开-停-关-起动”； </w:t>
      </w:r>
    </w:p>
    <w:p w14:paraId="51B86CE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J.正反向运行接触器需有机械及电气联锁；  </w:t>
      </w:r>
    </w:p>
    <w:p w14:paraId="2B3669E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K.输入信号：用于开/闭二次输入；</w:t>
      </w:r>
    </w:p>
    <w:p w14:paraId="6188AAA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L.转换开关的位置信号及设备的开/关位置、故障等信号分别通过端子送往厂内 可编程控制器；</w:t>
      </w:r>
    </w:p>
    <w:p w14:paraId="5308120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M.传动轴连接需满足 ISO5210 或 DIN3338；</w:t>
      </w:r>
    </w:p>
    <w:p w14:paraId="77A7667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N.控制回路预留厂内可编程控制器远方控制接点； </w:t>
      </w:r>
    </w:p>
    <w:p w14:paraId="6C129C40">
      <w:pPr>
        <w:pStyle w:val="3"/>
        <w:rPr>
          <w:rFonts w:ascii="宋体" w:hAnsi="宋体" w:eastAsia="宋体" w:cs="宋体"/>
          <w:sz w:val="24"/>
          <w:szCs w:val="22"/>
        </w:rPr>
      </w:pPr>
      <w:r>
        <w:rPr>
          <w:rFonts w:hint="eastAsia" w:ascii="宋体" w:hAnsi="宋体" w:eastAsia="宋体" w:cs="宋体"/>
          <w:sz w:val="24"/>
          <w:szCs w:val="22"/>
        </w:rPr>
        <w:t>2.6.8  潜水泵（搅拌器）接线箱</w:t>
      </w:r>
    </w:p>
    <w:p w14:paraId="210125E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A.接线箱用于连接由潜水设备电缆与 MCC 或控制柜箱的电缆，接线端子要选用与马达功率匹配。</w:t>
      </w:r>
    </w:p>
    <w:p w14:paraId="4418FDD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B.防护等级 IP65。</w:t>
      </w:r>
    </w:p>
    <w:p w14:paraId="0DCF0D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C.接线箱由不锈钢制成。</w:t>
      </w:r>
    </w:p>
    <w:p w14:paraId="5B5526D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D.接线箱应具有良好的热稳定性和抗冲击性，绝缘强度高，电源端子和控制端 子应安装在控制箱内，有 30%的备用。</w:t>
      </w:r>
    </w:p>
    <w:p w14:paraId="6CC0E53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E.防火和阻燃性能要好。箱内安装板采用高防腐蚀镀锌板(不生锈)。电缆由底 部的进线孔进入(孔尺寸可变化) 。</w:t>
      </w:r>
    </w:p>
    <w:p w14:paraId="3F2675A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F.小容量潜水设备要求按钮箱与接线箱一体设置，详见设备清单。</w:t>
      </w:r>
    </w:p>
    <w:p w14:paraId="417B64B3">
      <w:pPr>
        <w:pStyle w:val="3"/>
        <w:rPr>
          <w:rFonts w:ascii="宋体" w:hAnsi="宋体" w:eastAsia="宋体" w:cs="宋体"/>
          <w:sz w:val="24"/>
          <w:szCs w:val="22"/>
        </w:rPr>
      </w:pPr>
      <w:r>
        <w:rPr>
          <w:rFonts w:hint="eastAsia" w:ascii="宋体" w:hAnsi="宋体" w:eastAsia="宋体" w:cs="宋体"/>
          <w:sz w:val="24"/>
          <w:szCs w:val="22"/>
        </w:rPr>
        <w:t>2.7 自控系统及仪表的一般要求</w:t>
      </w:r>
    </w:p>
    <w:p w14:paraId="35D2FE3F">
      <w:pPr>
        <w:pStyle w:val="3"/>
        <w:rPr>
          <w:rFonts w:ascii="宋体" w:hAnsi="宋体" w:eastAsia="宋体" w:cs="宋体"/>
          <w:sz w:val="24"/>
          <w:szCs w:val="22"/>
        </w:rPr>
      </w:pPr>
      <w:r>
        <w:rPr>
          <w:rFonts w:hint="eastAsia" w:ascii="宋体" w:hAnsi="宋体" w:eastAsia="宋体" w:cs="宋体"/>
          <w:sz w:val="24"/>
          <w:szCs w:val="22"/>
        </w:rPr>
        <w:t>2.7.1 自控仪表系统总则</w:t>
      </w:r>
    </w:p>
    <w:p w14:paraId="7A707AD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A.信息编码必须符合买方的相关标准要求。</w:t>
      </w:r>
    </w:p>
    <w:p w14:paraId="4825A70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B.防护等级</w:t>
      </w:r>
    </w:p>
    <w:p w14:paraId="6784B8F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-机箱设备外壳等级严格按照《外壳防护等级（IP 代码）》（GB4208-2008） （IEC60529：2001 ，IDT）标准执行</w:t>
      </w:r>
    </w:p>
    <w:p w14:paraId="69B9A3C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室内设备防护等级：≥IP54</w:t>
      </w:r>
    </w:p>
    <w:p w14:paraId="11CC789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室外水上设备防护等级：≥IP65</w:t>
      </w:r>
    </w:p>
    <w:p w14:paraId="6C3AD8E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水下及井内设备防护等级：IP68</w:t>
      </w:r>
    </w:p>
    <w:p w14:paraId="28A0CC0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信号电平</w:t>
      </w:r>
    </w:p>
    <w:p w14:paraId="3BC0BB0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监测及控制的模拟信号：4~20mADC</w:t>
      </w:r>
    </w:p>
    <w:p w14:paraId="6BD2FC9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状态及报警指示的数字信号：24VDC</w:t>
      </w:r>
    </w:p>
    <w:p w14:paraId="1831F86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控制的数字信号：24VDC＋中间继电器（220VAC ，5A）</w:t>
      </w:r>
    </w:p>
    <w:p w14:paraId="5013CB3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 防腐及环境要求</w:t>
      </w:r>
    </w:p>
    <w:p w14:paraId="22677BC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1.现场仪表及盘、箱、柜外壳设计要符合污水处理厂的环境要求，应采用 不锈钢材料，做法符合相关规范要求。</w:t>
      </w:r>
    </w:p>
    <w:p w14:paraId="7704851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2.所有仪表检测元件，变送器，安装支架及防护罩等材料应满足污水环境 防腐蚀要求。</w:t>
      </w:r>
    </w:p>
    <w:p w14:paraId="0372B09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3.在污水厂环境下，所有仪表自控设备必须能够正常工作，并达到技术文 件所规定的可靠性和精度</w:t>
      </w:r>
    </w:p>
    <w:p w14:paraId="61EDD77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E.设备技术要求</w:t>
      </w:r>
    </w:p>
    <w:p w14:paraId="7C70C48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1对自控仪表系统的设计及应用等各方面负责、保证各设备及设计的整体 统一性。</w:t>
      </w:r>
    </w:p>
    <w:p w14:paraId="0D3155E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2.提供为达到标书规定功能所需的各种部件，如信号隔离器、滤波器、保 护装置、放大器、转换器及其他相关部件。</w:t>
      </w:r>
    </w:p>
    <w:p w14:paraId="38B8479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3.对所有仪表电气线路及设备提供保护。以免受雷击、感应电流、过电压 的影响以及其他外力的损坏。</w:t>
      </w:r>
    </w:p>
    <w:p w14:paraId="109E73A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4.对计算机及类似的数字电路设备，状态、数字、脉冲量和模拟量的输入 输出必须采用光电隔离或电磁隔离。</w:t>
      </w:r>
    </w:p>
    <w:p w14:paraId="29C859D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5.电源设备应适合在电源电压为 220V±10%和频率为 50Hz±1%时工作， 电源设备应有被隔离的输出，并有避免电源的电压尖峰、过电压及电路 的装置。</w:t>
      </w:r>
    </w:p>
    <w:p w14:paraId="062B441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6.控制系统应具有良好的接地措施，接地电阻满足国家有关的设计规定。</w:t>
      </w:r>
    </w:p>
    <w:p w14:paraId="44E07FB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7.可编程自动控制器采用基于模块化组件的结构。允许用户带电插拔安装 在机架上的任何模板。可编程逻辑控制器的处理器的最大内存可达到 3M。在实际供货中可按照实际需要选择内存量， 处理器的内存要保证至 少 30%的余量。</w:t>
      </w:r>
    </w:p>
    <w:p w14:paraId="7390B3B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8.在断电时，可编程自动控制器的内存由内置的电能存储器供电，在一定 时间内可保证数据及标签不丢失，提供适当容量的 SD 卡用来保存应用 程序。</w:t>
      </w:r>
    </w:p>
    <w:p w14:paraId="114BA00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9.应允许将可编程自动控制器连接在一台便携式终端上，用来进行工程的 就地操作、设定点调整、过程变量的查询。</w:t>
      </w:r>
    </w:p>
    <w:p w14:paraId="1D4785C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10.可编程自动控制器的输入输出模块及接线端子应有 20%的余量。</w:t>
      </w:r>
    </w:p>
    <w:p w14:paraId="5BE3536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11.可编程自动控制器应安装在控制柜中。</w:t>
      </w:r>
    </w:p>
    <w:p w14:paraId="3B0417F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12.所有仪表的电路应为固态电路，所有设备为制造厂的最新产品。</w:t>
      </w:r>
    </w:p>
    <w:p w14:paraId="2717843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13.所有仪表传感器与变送器之间信号连续，变送器输出 4~20mA 的标准信 号，并且隔离，标准输出接点为无源常开接点，接点容量为 220VAC/5A 以上。</w:t>
      </w:r>
    </w:p>
    <w:p w14:paraId="4C3821F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14.除特殊说明外，所有变送器应有工程计量单位的刻度和 LCD 数字显示， 可与传感器一体或分体安装，必须方便操作人员的观察。</w:t>
      </w:r>
    </w:p>
    <w:p w14:paraId="207D22A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15模拟量输出要与测量范围成线性比例。</w:t>
      </w:r>
    </w:p>
    <w:p w14:paraId="7BA84E6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16仪表设计应提供维修和校验的方便，所有部件应有通用性和互换性。</w:t>
      </w:r>
    </w:p>
    <w:p w14:paraId="02D442B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17 卖方应提供传感器到变送器之间的电缆。</w:t>
      </w:r>
    </w:p>
    <w:p w14:paraId="2410785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18.仪表应有零度和满度调整电路，并能方便地进行调整。应设计有温度补 偿电路和抗干扰电路。</w:t>
      </w:r>
    </w:p>
    <w:p w14:paraId="26E67AB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19.卖方应提供仪表维修保养用专用工具二套，提供满足一年正常使用的备 品备件。</w:t>
      </w:r>
    </w:p>
    <w:p w14:paraId="72FF147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20.卖方提供的仪表自控产品应符合国际通用标准和规范。</w:t>
      </w:r>
    </w:p>
    <w:p w14:paraId="3EC15D2B">
      <w:pPr>
        <w:pStyle w:val="3"/>
        <w:rPr>
          <w:rFonts w:ascii="宋体" w:hAnsi="宋体" w:eastAsia="宋体" w:cs="宋体"/>
          <w:sz w:val="24"/>
          <w:szCs w:val="22"/>
        </w:rPr>
      </w:pPr>
      <w:r>
        <w:rPr>
          <w:rFonts w:hint="eastAsia" w:ascii="宋体" w:hAnsi="宋体" w:eastAsia="宋体" w:cs="宋体"/>
          <w:sz w:val="24"/>
          <w:szCs w:val="22"/>
        </w:rPr>
        <w:t>2.7.2 检验、交货和安装</w:t>
      </w:r>
    </w:p>
    <w:p w14:paraId="1B20142A">
      <w:pPr>
        <w:pStyle w:val="3"/>
        <w:rPr>
          <w:rFonts w:ascii="宋体" w:hAnsi="宋体" w:eastAsia="宋体" w:cs="宋体"/>
          <w:sz w:val="24"/>
          <w:szCs w:val="22"/>
        </w:rPr>
      </w:pPr>
      <w:r>
        <w:rPr>
          <w:rFonts w:hint="eastAsia" w:ascii="宋体" w:hAnsi="宋体" w:eastAsia="宋体" w:cs="宋体"/>
          <w:sz w:val="24"/>
          <w:szCs w:val="22"/>
        </w:rPr>
        <w:t>2.7.2.1 工厂检验</w:t>
      </w:r>
    </w:p>
    <w:p w14:paraId="38B2450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A.工厂检验和在卖方基地上进行检查和测试</w:t>
      </w:r>
    </w:p>
    <w:p w14:paraId="2A1013F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1.卖方提供的所有设备和其备件、附件都应经过工厂检测。产品合格证、 检测记录和检测报告应提交买方。上述产品合格证应由设备制造商确认 并盖章。所有检测费用由设备制造商或卖方承担。</w:t>
      </w:r>
    </w:p>
    <w:p w14:paraId="45DA911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2.设备的工厂检验不能代替货物到现场的最终检验。</w:t>
      </w:r>
    </w:p>
    <w:p w14:paraId="6CFD1F8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3.买方在设备生产过程中的一切适当时间有权在卖方所在地（包括卖方所 供设备及材料的生产厂）观察、检查，或者监督用于本合同的材料、工艺、所有设备性能的试验。如设备在其它场所生产，卖方应为买方取得 对试验进行视察、检查及作证的权利，就象在卖方所在地一样。</w:t>
      </w:r>
    </w:p>
    <w:p w14:paraId="45B0829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4.当设备测试在国内进行时，卖方应提前14天书面通知买方何时、何地、 对哪种设备进行测试。证书齐全的试验结果报告应及时送交买方。买方 将提前 7 天通知卖方是否要亲临监督试验情况。</w:t>
      </w:r>
    </w:p>
    <w:p w14:paraId="1F8FE74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5.如有试验未能通过,卖方应进行重新试验,且应在合适的时间内按同样规 定和条件进行。</w:t>
      </w:r>
    </w:p>
    <w:p w14:paraId="6EA9512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 如卖方改变测试时间未预先通知买方，则所有重新测试的费用由卖方负 担。</w:t>
      </w:r>
    </w:p>
    <w:p w14:paraId="709A6F3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 工厂检验报告随设备提交给买方。</w:t>
      </w:r>
    </w:p>
    <w:p w14:paraId="6FA9D0DF">
      <w:pPr>
        <w:pStyle w:val="3"/>
        <w:rPr>
          <w:rFonts w:ascii="宋体" w:hAnsi="宋体" w:eastAsia="宋体" w:cs="宋体"/>
          <w:sz w:val="24"/>
          <w:szCs w:val="22"/>
        </w:rPr>
      </w:pPr>
      <w:r>
        <w:rPr>
          <w:rFonts w:hint="eastAsia" w:ascii="宋体" w:hAnsi="宋体" w:eastAsia="宋体" w:cs="宋体"/>
          <w:sz w:val="24"/>
          <w:szCs w:val="22"/>
        </w:rPr>
        <w:t>2.7.2.2交货和安装</w:t>
      </w:r>
    </w:p>
    <w:p w14:paraId="60BEDBE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A.所有设备和部件均应采取适当的保护，以避免运输或其它原因造成损坏。</w:t>
      </w:r>
    </w:p>
    <w:p w14:paraId="1506B4C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B.未涂装的金属的表面应采取适当的保护措施以免锈蚀。\</w:t>
      </w:r>
    </w:p>
    <w:p w14:paraId="3D525FA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C.卖方应与设备制造商联系安排设备的交付时间，以使设备到达现场后能尽快安装，尽可能的减少在现场的存放时间。</w:t>
      </w:r>
    </w:p>
    <w:p w14:paraId="1C2B90D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D.运输期间，设备和部件应包装完好以免损坏或泄漏。包装箱外面应标明净重、 内容、装箱及卸载的正常步骤。应该使送至现场、检查损坏程度、卸载和存 放的工作尽可能地简单。卖方应负责将合同设备运送至买方指定的地点（开 箱验货地或临时存放库）。卖方应负责指导卸货，并监督卸货全过程。</w:t>
      </w:r>
    </w:p>
    <w:p w14:paraId="4E5F2F9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E.在安装开始之前 2 个月，卖方应提供详细的安装说明。并派有同样系统和设 备安装经验的工程技术人员负责在现场安装指导工作和买方指派人员的培训 工作。</w:t>
      </w:r>
    </w:p>
    <w:p w14:paraId="34B0836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F.在检查和确认土建施工误差满足要求后方可进行设备的安装工作。</w:t>
      </w:r>
    </w:p>
    <w:p w14:paraId="72ADC2F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G.在设备安装前，卖方应要求设备制造商到工程现场，并同买方一起对设备土建基础进行检验，再最终确认设备土建基础的施工及误差满足要求，并进行 验收后，方可进行设备安装工作。如果由于设备制造商未到场对设备土建基 础进行检查和确认，且由于土建施工的质量不合格造成设备运行问题，则由 此造成的损失和所发生的相关费用由卖方负担。</w:t>
      </w:r>
    </w:p>
    <w:p w14:paraId="0F1D283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H.在设备安装期间，如果需要与土建及安装施工或已完成的工程之间进行某些 合作，卖方应予以合作。设备安装完成，买方和卖方、土建及安装工程承包人、监理人员应对设备安装质量进行检查。</w:t>
      </w:r>
    </w:p>
    <w:p w14:paraId="6C9C9F8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I.如果系统设备由于运输或其它原因需要在现场进行组装或拼装，则卖方应派 有同类工程经验的专业技术人员负责现场指导组装或拼装工作。。</w:t>
      </w:r>
    </w:p>
    <w:p w14:paraId="4FA08D7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 设备安装完成，买方和卖方（设备制造商应参与）应对设备的安装质量进行 检查。如果安装质量满足标准并且设备能够运行转，设备试运转开始进行。 如果由于设备制造商未到场对设备的安装质量进行检查和确认，且由设备安 装指导不到位造成质量不合格造成设备运行问题，则由此造成的损失和所发 生的相关费用由卖方负担。</w:t>
      </w:r>
    </w:p>
    <w:p w14:paraId="5D606B5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K.买方在设备安装过程中的一切适当时间，有权在卖方所在地（包括卖方所供 设备及材料的生产厂）观察和检查，或者监督卖方用于本工程的材料、施工 方案、施工设备及设施、所有设备调试检验等。</w:t>
      </w:r>
    </w:p>
    <w:p w14:paraId="5702E9A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L.买方将参与设备交货、安装、试验和启动全过程所有阶段的工作，卖方应负 责对买方工程技术人员的指导和培训。</w:t>
      </w:r>
    </w:p>
    <w:p w14:paraId="25C9BD7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M.卖方应提供相关资料，并配合安装施工单位办理一切与其供货内容相关的如 压力容器、起重设备等特种设备的验收手续。</w:t>
      </w:r>
    </w:p>
    <w:p w14:paraId="4775B73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N.卖方应提供由各设备制造商培训过的经验丰富的合格人员，为所采购的设备 运送到指定位置、移交、安装指导（含设备现场组装指导） 及测试、启动和培训等提供所需的整套服务。</w:t>
      </w:r>
    </w:p>
    <w:p w14:paraId="0A01F1E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O.所有管道、阀门、压力容器、储罐等都应按相关规定进行压力试验。 </w:t>
      </w:r>
    </w:p>
    <w:p w14:paraId="07A8E9C2">
      <w:pPr>
        <w:pStyle w:val="3"/>
        <w:rPr>
          <w:rFonts w:ascii="宋体" w:hAnsi="宋体" w:eastAsia="宋体" w:cs="宋体"/>
          <w:sz w:val="24"/>
          <w:szCs w:val="22"/>
        </w:rPr>
      </w:pPr>
      <w:r>
        <w:rPr>
          <w:rFonts w:hint="eastAsia" w:ascii="宋体" w:hAnsi="宋体" w:eastAsia="宋体" w:cs="宋体"/>
          <w:sz w:val="24"/>
          <w:szCs w:val="22"/>
        </w:rPr>
        <w:t>2.7调试及试运行（含性能测试）、验收</w:t>
      </w:r>
    </w:p>
    <w:p w14:paraId="761C609C">
      <w:pPr>
        <w:pStyle w:val="3"/>
        <w:rPr>
          <w:rFonts w:ascii="宋体" w:hAnsi="宋体" w:eastAsia="宋体" w:cs="宋体"/>
          <w:sz w:val="24"/>
          <w:szCs w:val="22"/>
        </w:rPr>
      </w:pPr>
      <w:r>
        <w:rPr>
          <w:rFonts w:hint="eastAsia" w:ascii="宋体" w:hAnsi="宋体" w:eastAsia="宋体" w:cs="宋体"/>
          <w:sz w:val="24"/>
          <w:szCs w:val="22"/>
        </w:rPr>
        <w:t>2.7.1综述</w:t>
      </w:r>
    </w:p>
    <w:p w14:paraId="39B3362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A.卖方所供设备及系统从调试一直到性能测试合格及最终验收的全部工作由卖 方负责，买方负责配合。整个调试、试运行、性能测试大致分为以下几部分 内容：</w:t>
      </w:r>
    </w:p>
    <w:p w14:paraId="2B31958B">
      <w:pPr>
        <w:adjustRightInd w:val="0"/>
        <w:spacing w:line="360" w:lineRule="auto"/>
        <w:ind w:firstLine="482" w:firstLineChars="200"/>
        <w:rPr>
          <w:rFonts w:ascii="宋体" w:hAnsi="宋体" w:eastAsia="宋体" w:cs="宋体"/>
          <w:sz w:val="24"/>
        </w:rPr>
      </w:pPr>
      <w:r>
        <w:rPr>
          <w:rFonts w:hint="eastAsia" w:ascii="宋体" w:hAnsi="宋体" w:eastAsia="宋体" w:cs="宋体"/>
          <w:b/>
          <w:bCs/>
          <w:sz w:val="24"/>
        </w:rPr>
        <w:t>1. 调试及试运行（共 90 天）</w:t>
      </w:r>
    </w:p>
    <w:p w14:paraId="2842B66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安装检查（第一阶段）</w:t>
      </w:r>
    </w:p>
    <w:p w14:paraId="225BB2F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b.试车前的检查及测试（第二阶段）</w:t>
      </w:r>
    </w:p>
    <w:p w14:paraId="32EE17C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试车、调试及测试（第三阶段，含清水试运行）</w:t>
      </w:r>
    </w:p>
    <w:p w14:paraId="731424C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d.污水试运行及性能测试（第四阶段，共 60 天，其中性能测试期为 7 天）</w:t>
      </w:r>
    </w:p>
    <w:p w14:paraId="66D30808">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2. 验收</w:t>
      </w:r>
    </w:p>
    <w:p w14:paraId="48E807E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B.设备及工艺系统的调试及试运行共分四个阶段进行。每个阶段进行完毕后， 应经买方和卖方进行阶段性验收，在阶段性验收合格后方能进行下一步工作。阶段性验收不能替代合同设备的最终验收。设备调试应在设备土建基础的施 工质量和设备安装的质量检查合格，并经阶段性验收后方可进行。</w:t>
      </w:r>
    </w:p>
    <w:p w14:paraId="0884F3F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整个调试及试运行周期应不超过90天，其中污水试运行及性能测试周期应不超过60天（含性能测试周期7天）。当上述调试及试运行工作完成、且全厂连续、稳定运行30天（含性能测试周期7天），且达标、达产，所有设备及系统达到合同文件规定 的功能保证要求，买方将对卖方所供合同设备进行最终验收。最终验收合格后，进入合同设备二年（除特殊要求外）的质保期。</w:t>
      </w:r>
    </w:p>
    <w:p w14:paraId="6F8F9DD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D.自设备质保期之日起卖方负责提供技术支持、培训和保障； 设备的运行操作、维护保养、易损件采购及更换工作将由运行接管方负责。 </w:t>
      </w:r>
    </w:p>
    <w:p w14:paraId="73A76F3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E.质保期内由于设备质量问题造成的维修由卖方负责。</w:t>
      </w:r>
    </w:p>
    <w:p w14:paraId="7963561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F.卖方应服从买方在各个方面所作的协调工作。除此之外，如果卖方想要进行 的某项工作将会影响到工程进度时，卖方应至少提前 14 天向买方提交有关该 事宜的书面通知。</w:t>
      </w:r>
    </w:p>
    <w:p w14:paraId="72EAB5F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G.卖方应负责指导所有所供设备的空载及负载单机及联动试车、清水和污水试运行、 性能测试等工作，配合完成全污水处理厂的最终验收。</w:t>
      </w:r>
    </w:p>
    <w:p w14:paraId="3153266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H.在系统设备调试及试运行（含性能测试）期间，如果由于设备的缺陷或其它 因卖方的原因造成设备功能不能满足时，卖方必须予以解决。 如果问题影响到全厂的运行，买方有权依照合同条款提出索赔。</w:t>
      </w:r>
    </w:p>
    <w:p w14:paraId="5DF4683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I.除特殊要求外，在设备调试及试运行期间，所有润滑油、脂等的供货由卖方 负责，设备调试、清水试运行、污水试运行及性能测试期间的化学药剂、水、 电的消耗费用由买方负责。</w:t>
      </w:r>
    </w:p>
    <w:p w14:paraId="044F3EC2">
      <w:pPr>
        <w:pStyle w:val="3"/>
        <w:rPr>
          <w:rFonts w:ascii="宋体" w:hAnsi="宋体" w:eastAsia="宋体" w:cs="宋体"/>
          <w:sz w:val="24"/>
          <w:szCs w:val="22"/>
        </w:rPr>
      </w:pPr>
      <w:r>
        <w:rPr>
          <w:rFonts w:hint="eastAsia" w:ascii="宋体" w:hAnsi="宋体" w:eastAsia="宋体" w:cs="宋体"/>
          <w:sz w:val="24"/>
          <w:szCs w:val="22"/>
        </w:rPr>
        <w:t xml:space="preserve">2.7.2 调试及试运行 </w:t>
      </w:r>
    </w:p>
    <w:p w14:paraId="6F27491A">
      <w:pPr>
        <w:pStyle w:val="3"/>
        <w:rPr>
          <w:rFonts w:ascii="宋体" w:hAnsi="宋体" w:eastAsia="宋体" w:cs="宋体"/>
          <w:sz w:val="24"/>
          <w:szCs w:val="22"/>
        </w:rPr>
      </w:pPr>
      <w:r>
        <w:rPr>
          <w:rFonts w:hint="eastAsia" w:ascii="宋体" w:hAnsi="宋体" w:eastAsia="宋体" w:cs="宋体"/>
          <w:sz w:val="24"/>
          <w:szCs w:val="22"/>
        </w:rPr>
        <w:t>2.7.2.1 概述</w:t>
      </w:r>
    </w:p>
    <w:p w14:paraId="512C663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A.在设备调试前，卖方应配合买方做好所有供货及安装的系统设备、管道及阀 门、电缆接线等的各项检查工作。</w:t>
      </w:r>
    </w:p>
    <w:p w14:paraId="2F5A9B9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B.调试及试运行工作主要分为以下四个阶段：</w:t>
      </w:r>
    </w:p>
    <w:p w14:paraId="42106FA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1.安装检查：由卖方（应含设备制造商）及买方共同检查安装好的设备， 以保证其符合技术规定的要求。</w:t>
      </w:r>
    </w:p>
    <w:p w14:paraId="0B9884E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2.试车前的检查及测试：按设备操作手册要求进行所有检查及测试。</w:t>
      </w:r>
    </w:p>
    <w:p w14:paraId="752E877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3.试车、调试及测试：各设备开始单机运转调试及测试、相对独立的工艺 系统运转调试及测试，全厂所有系统大循环调试及测试，以及 72 小时的 清水试运行。</w:t>
      </w:r>
    </w:p>
    <w:p w14:paraId="150F2D3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4.污水试运行及性能测试：从污水进厂之日起，为期 60 天，包含污泥培养 阶段以及 7 天的性能测试。</w:t>
      </w:r>
    </w:p>
    <w:p w14:paraId="0246096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C.工艺系统设备在完成安装检查、试车前检查和测试两个阶段，并经验收合格 后，方可进入试车、调试及测试，以及污水试运行及性能测试阶段，每个阶 段和步骤进行完毕后，应经买方及卖方共同进行的阶段性验收后方能进行下 一步工作。</w:t>
      </w:r>
    </w:p>
    <w:p w14:paraId="53E42C6E">
      <w:pPr>
        <w:pStyle w:val="3"/>
        <w:rPr>
          <w:rFonts w:ascii="宋体" w:hAnsi="宋体" w:eastAsia="宋体" w:cs="宋体"/>
          <w:sz w:val="24"/>
          <w:szCs w:val="22"/>
        </w:rPr>
      </w:pPr>
      <w:r>
        <w:rPr>
          <w:rFonts w:hint="eastAsia" w:ascii="宋体" w:hAnsi="宋体" w:eastAsia="宋体" w:cs="宋体"/>
          <w:sz w:val="24"/>
          <w:szCs w:val="22"/>
        </w:rPr>
        <w:t>2.7.2.2  安装检查（第一阶段）</w:t>
      </w:r>
    </w:p>
    <w:p w14:paraId="73895AA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A.当卖方认为所安装的设备是处于良好的工况时，应书面通知买方，由卖方及 买方共同执行安装检查，检查设备是否符合技术规定和正常操作的要求。卖 方应提供调试和试车所必需的一切设备、材料、劳力、建议、说明书和其它 设施。同时卖方应对买方的操作人员进行培训。</w:t>
      </w:r>
    </w:p>
    <w:p w14:paraId="77673EE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B.安装检查应包括如下内容（不限于此）：</w:t>
      </w:r>
    </w:p>
    <w:p w14:paraId="4EE4674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检查所有设备的安装是否正确、安装精度是否满足要求；</w:t>
      </w:r>
    </w:p>
    <w:p w14:paraId="2B5BD0E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    检查所有设备安装的牢固性、连接和固定螺栓是否拧紧；</w:t>
      </w:r>
    </w:p>
    <w:p w14:paraId="7C6A4F9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    检查所有管线系统的安装是否正确、焊缝、防腐喷涂及安装误差等是否满足要求，是否按要求进行过压力或气密试验，是否进行过吹扫等；</w:t>
      </w:r>
    </w:p>
    <w:p w14:paraId="157D132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    检查所有电缆接线是否正确、是否有虚接；</w:t>
      </w:r>
    </w:p>
    <w:p w14:paraId="7A538B6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    检查所有钢结构平台、支架是否稳固；</w:t>
      </w:r>
    </w:p>
    <w:p w14:paraId="721844B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    检查所有设备及人身安全保护装置是否就位；</w:t>
      </w:r>
    </w:p>
    <w:p w14:paraId="2810E6D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    检查所有膜元件是否有断丝，膜组器及配套设备和附件均已安装就位；</w:t>
      </w:r>
    </w:p>
    <w:p w14:paraId="2B748F2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    检查曝气头是否有破损，平整度误差是否满足要求；</w:t>
      </w:r>
    </w:p>
    <w:p w14:paraId="31A4F58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    检查所有阀门的安装方向是否正确；</w:t>
      </w:r>
    </w:p>
    <w:p w14:paraId="206D246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  检查闸门、阀门等设备是否进行过闭水试验，及手动和自动操作检验（至 少 3 次）。</w:t>
      </w:r>
    </w:p>
    <w:p w14:paraId="16193DE9">
      <w:pPr>
        <w:pStyle w:val="3"/>
        <w:rPr>
          <w:rFonts w:ascii="宋体" w:hAnsi="宋体" w:eastAsia="宋体" w:cs="宋体"/>
          <w:sz w:val="24"/>
          <w:szCs w:val="22"/>
        </w:rPr>
      </w:pPr>
      <w:r>
        <w:rPr>
          <w:rFonts w:hint="eastAsia" w:ascii="宋体" w:hAnsi="宋体" w:eastAsia="宋体" w:cs="宋体"/>
          <w:sz w:val="24"/>
          <w:szCs w:val="22"/>
        </w:rPr>
        <w:t>2.7.2.3   试车前的检查及测试（第二阶段）</w:t>
      </w:r>
    </w:p>
    <w:p w14:paraId="6168CE9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每个设备安装完毕启动之前应进行调整并使其达到最佳的工作状态。</w:t>
      </w:r>
    </w:p>
    <w:p w14:paraId="0CCB350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检查所有系统组件的同心性、噪音、正确连接和满意的操作；</w:t>
      </w:r>
    </w:p>
    <w:p w14:paraId="6ABD244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    检查所有设备的润滑点是否按要求加注润滑油、脂；</w:t>
      </w:r>
    </w:p>
    <w:p w14:paraId="7525AB7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    检查所有过载保护、限位开关等安全保护装置是否已就绪；</w:t>
      </w:r>
    </w:p>
    <w:p w14:paraId="413078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    检查管路阀门的开闭位置是否正确。</w:t>
      </w:r>
    </w:p>
    <w:p w14:paraId="7B9B336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    检查开关柜性能、参数、进出可编程控制器信号、仪表显示、按照模拟 或实际情况检查可编程控制器功能。</w:t>
      </w:r>
    </w:p>
    <w:p w14:paraId="0C10999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在设备启动之前，所有试车前的检查及测试经设备卖方复核确认后，卖方应 通知买方证明设备及系统组成已经按照安装规范正确安装准备运行。</w:t>
      </w:r>
    </w:p>
    <w:p w14:paraId="73E10A4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在试车前的检查及测试完成之前不可进行试车、调试及测试。</w:t>
      </w:r>
    </w:p>
    <w:p w14:paraId="1B54FAA6">
      <w:pPr>
        <w:pStyle w:val="3"/>
        <w:rPr>
          <w:rFonts w:ascii="宋体" w:hAnsi="宋体" w:eastAsia="宋体" w:cs="宋体"/>
          <w:sz w:val="24"/>
          <w:szCs w:val="22"/>
        </w:rPr>
      </w:pPr>
      <w:r>
        <w:rPr>
          <w:rFonts w:hint="eastAsia" w:ascii="宋体" w:hAnsi="宋体" w:eastAsia="宋体" w:cs="宋体"/>
          <w:sz w:val="24"/>
          <w:szCs w:val="22"/>
        </w:rPr>
        <w:t>2.7.2.4   试车调试及测试（第三阶段）</w:t>
      </w:r>
    </w:p>
    <w:p w14:paraId="262081A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在试车前的检查及测试完成并得到买方的批准之后，卖方应安排设备单机试 车的日期。在此之前卖方应提前 7  日书面通知买方。在规定的试验之日，卖 方应完成最初试车试验或其认为有必要完成的试验。</w:t>
      </w:r>
    </w:p>
    <w:p w14:paraId="481ACB3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试车调试及测试包括单机设备试车调试及测试、设备联动调试及测试、系统 设备的联动试车调试及测试。试车测试完成之后应进行单独设备、系统设备 及工艺的性能试验。试验时间应根据现场实际进度确定。</w:t>
      </w:r>
    </w:p>
    <w:p w14:paraId="46F2FE3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卖方应在买方的监督下，在现场对所有设备进行调试和清水试运行，以对设 备及系统各项功能、参数进行检测。卖方应负责编写一份调试运行的详细方 案和计划供买方审查和批准，其中包括：</w:t>
      </w:r>
    </w:p>
    <w:p w14:paraId="731003E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每一设备和装置的调试和试运行的方案及详细说明；</w:t>
      </w:r>
    </w:p>
    <w:p w14:paraId="4873D43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    每一设备和装置的调试和试运行的具体时间安排；</w:t>
      </w:r>
    </w:p>
    <w:p w14:paraId="1EA2486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    每一相对独立的工艺系统的调试和试运行的方案及详细说明；</w:t>
      </w:r>
    </w:p>
    <w:p w14:paraId="52C1921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    每一相对独立的工艺系统的调试和试运行的具体时间安排；</w:t>
      </w:r>
    </w:p>
    <w:p w14:paraId="670EF01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    所有的装置应进行机械和电控方面试验以表明其每一部件的功能符合设 计要求；</w:t>
      </w:r>
    </w:p>
    <w:p w14:paraId="431DC43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    所有装置的操作程序应按控制系统的规定进行试验；</w:t>
      </w:r>
    </w:p>
    <w:p w14:paraId="67FCBF8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    应对所有泵、鼓风机和电机的转动情况进行检查。所有性能应进行测试， 并将所规定的工况和试验所得到的特性曲线进行比较；</w:t>
      </w:r>
    </w:p>
    <w:p w14:paraId="664D7B0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8.    确认所有压力容器、储罐等都按相关规定进行过压力试验；</w:t>
      </w:r>
    </w:p>
    <w:p w14:paraId="4576CB6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9.    所有的控制盘应按规定进行试验；</w:t>
      </w:r>
    </w:p>
    <w:p w14:paraId="79674B1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10.  应测试所有电机的绝缘电阻；</w:t>
      </w:r>
    </w:p>
    <w:p w14:paraId="0AB9D06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11.  应对所有起重设备进行负荷试验，应对其整个行程范围内的各个方向进 行测试；</w:t>
      </w:r>
    </w:p>
    <w:p w14:paraId="157C1DA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12.  应对所有的仪器进行校正试验；</w:t>
      </w:r>
    </w:p>
    <w:p w14:paraId="5589CE7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13.  应对所有设备的润滑系统进行测试；</w:t>
      </w:r>
    </w:p>
    <w:p w14:paraId="22C31D7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14.  应对所有报警系统，过热、超负荷保护装置和安全设备进行检测；</w:t>
      </w:r>
    </w:p>
    <w:p w14:paraId="324E8E2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15.  应对每个基本控制系统进行试验以证实所有的联锁和操作程序能符合技 术规定和起到保护主要设备的作用；</w:t>
      </w:r>
    </w:p>
    <w:p w14:paraId="0AB0A79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16.  应对就地控制系统进行试验以确认它们能安全控制相应设备和系统；</w:t>
      </w:r>
    </w:p>
    <w:p w14:paraId="361B216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17.  应进行能表明装置可以完成规定功能所必需的其它试验。</w:t>
      </w:r>
    </w:p>
    <w:p w14:paraId="49DC5CE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   卖方负责进行单机试车和联动试车，工作应按下列步骤进行（如设备有特殊 要求，将按设备要求执行），如果某种设备不允许在无负荷条件下进行调试和 试车或不能按下述步骤进行时，卖方需提前 14 天告知买方，由双方共同协商 解决。试车步骤如下：</w:t>
      </w:r>
    </w:p>
    <w:p w14:paraId="25E5F65F">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1. 单机试车：</w:t>
      </w:r>
    </w:p>
    <w:p w14:paraId="0229612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a.单机试车步骤如下</w:t>
      </w:r>
    </w:p>
    <w:p w14:paraId="0881937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单台设备点动；</w:t>
      </w:r>
    </w:p>
    <w:p w14:paraId="6E03758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单台设备无负荷运转2小时（如涉及，所有设备，一个接一个）；</w:t>
      </w:r>
    </w:p>
    <w:p w14:paraId="15C0B47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单台设备满负荷运转8小时（所有设备，一个接一个）</w:t>
      </w:r>
    </w:p>
    <w:p w14:paraId="1CD7401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b.在所有设备单机试车完成后，卖方负责对所供设备的控制系统、设 备信号、仪表信号、系统参数、设备联动情况等进行调试，由买方 进行配合。如果没有条件进行满负荷试运转，经买方同意后，可在 下一步进行。</w:t>
      </w:r>
    </w:p>
    <w:p w14:paraId="08C1D765">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2.独立工艺系统联动试车</w:t>
      </w:r>
    </w:p>
    <w:p w14:paraId="0F7103E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a.对于自成系统的设备，在所有设备单机试车完成后，卖方负责对系 统的设备、管路、配电及仪表控制系统进行联动调试，由买方进行 配合。</w:t>
      </w:r>
    </w:p>
    <w:p w14:paraId="7DAF6FF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b.清水试运行（根据现况条件由买方最终确定是否部分实施）</w:t>
      </w:r>
    </w:p>
    <w:p w14:paraId="4E670F4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c.在自成系统设备调试完成后，将开始进行清水试运行工作。清水试 运行工作由卖方负责，买方进行配合。如果具备条件，应进行各独 立系统的负载试运行，在各独立系统运行稳定，且经阶段性测试达 到了设计负荷能力时，方可进行负载并网联动试车。</w:t>
      </w:r>
    </w:p>
    <w:p w14:paraId="62C2DC34">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3. 全厂 72 小时清水试运行</w:t>
      </w:r>
    </w:p>
    <w:p w14:paraId="6886B1E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在全套系统设备调试完成后，将开始进行 72 小时清水试运行工作。 清水试运行工作由卖方负责，买方进行配合。</w:t>
      </w:r>
    </w:p>
    <w:p w14:paraId="12648E5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清水运行 72 小时，并经阶段性验收合格后，买方将接管全部系统设 备。买方对全套系统设备的接管，并不免除卖方对合同设备所应承 担的相应责任。技术工作（如运行计划的制定、指令的发出等）仍 由卖方负责，买方负责配合（巡视、操作、简单维修等辅助工作）。</w:t>
      </w:r>
    </w:p>
    <w:p w14:paraId="36B47C4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    某些特殊设备（如：不能空载运行的设备或系统）试运行可以省去一些步骤， 但最终步骤必须由买方和卖方共同确定。</w:t>
      </w:r>
    </w:p>
    <w:p w14:paraId="450FF11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    在相对独立的设备和系统试车调试及测试合格后可以进行阶段性验收。阶段 性验收不代表最终验收。</w:t>
      </w:r>
    </w:p>
    <w:p w14:paraId="0FA064D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   在试车、调试及测试完成之前不可进行污水试运行及性能测试。</w:t>
      </w:r>
    </w:p>
    <w:p w14:paraId="17490DAF">
      <w:pPr>
        <w:pStyle w:val="3"/>
        <w:rPr>
          <w:rFonts w:ascii="宋体" w:hAnsi="宋体" w:eastAsia="宋体" w:cs="宋体"/>
          <w:sz w:val="24"/>
          <w:szCs w:val="22"/>
        </w:rPr>
      </w:pPr>
      <w:r>
        <w:rPr>
          <w:rFonts w:hint="eastAsia" w:ascii="宋体" w:hAnsi="宋体" w:eastAsia="宋体" w:cs="宋体"/>
          <w:sz w:val="24"/>
          <w:szCs w:val="22"/>
        </w:rPr>
        <w:t>2.7.2.5   污水试运行及性能测试（第四阶段）</w:t>
      </w:r>
    </w:p>
    <w:p w14:paraId="689E9EE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概述</w:t>
      </w:r>
    </w:p>
    <w:p w14:paraId="2843FEA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卖方应根据施工进度制定总调试及试运行计划，并报买方批准。总调试 和试运行方案及计划应至少包括如下内容：</w:t>
      </w:r>
    </w:p>
    <w:p w14:paraId="538E3A7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生物池污水试运行及性能测试的方案及详细说明</w:t>
      </w:r>
    </w:p>
    <w:p w14:paraId="1265DE9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b.    生物池污水试运行及性能测试的具体时间安排</w:t>
      </w:r>
    </w:p>
    <w:p w14:paraId="69192E4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卖方提名的调试及试运行人员的详细情况</w:t>
      </w:r>
    </w:p>
    <w:p w14:paraId="061066E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d.    为监督调试及试运行需要来自其它有关单位的人员 </w:t>
      </w:r>
    </w:p>
    <w:p w14:paraId="3E4980D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     污水试运行及性能测试期间所需要的操作人员</w:t>
      </w:r>
    </w:p>
    <w:p w14:paraId="24E0A3C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     污水试运行及性能测试计划的每一详细过程的说明及相关要求</w:t>
      </w:r>
    </w:p>
    <w:p w14:paraId="58F7E3C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    污水试运行及性能测试期间要完成的记录文件的格式与内容</w:t>
      </w:r>
    </w:p>
    <w:p w14:paraId="38EB3FD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    在污水试运行及性能测试中所有的仪表和仪器以及它们的精度要求 i.     取样、化验方法及说明（满足合同及相关标准要求）</w:t>
      </w:r>
    </w:p>
    <w:p w14:paraId="33FDB59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     在污水试运行及性能测试期间可能产生的不正常情况和应对处置方 法。</w:t>
      </w:r>
    </w:p>
    <w:p w14:paraId="272C0D1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    卖方应在买方的监督下，进行正常工作条件下的最终系统调整和操作试 验，以验证所有所供设备及系统运行满足标准规范及设计要求，所有设备、 系统运行应准确无误，所有控制操作应满足要求。</w:t>
      </w:r>
    </w:p>
    <w:p w14:paraId="5FFEFDC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    污水试运行及性能测试必须在买方批准污水试运行及性能测试计划之后 进行。如上述三个阶段完成，且经阶段性验收合格后，买方将提前 7 天 通知卖方在正常条件下对设备进行污水试运行及性能测试。卖方应该做 到：</w:t>
      </w:r>
    </w:p>
    <w:p w14:paraId="545A8DA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与买方和同项工程的其它合同包的卖方就设备试验和交付有关事宜 进行各方面的合作。</w:t>
      </w:r>
    </w:p>
    <w:p w14:paraId="30F897F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对装置的运转和安全负相应责任。</w:t>
      </w:r>
    </w:p>
    <w:p w14:paraId="4BEA618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确保所有的设备及系统在投入运行前处于安全和正常的工作状态。</w:t>
      </w:r>
    </w:p>
    <w:p w14:paraId="79AB60F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    所有装置和设备的污水试运行及性能测试均应按照合同中所规定的</w:t>
      </w:r>
    </w:p>
    <w:p w14:paraId="3EB49C8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有关要求及买方批准的调试计划和制造厂商的要求进行。 e.     卖方应为买方提供所有性能试验数据和结果。</w:t>
      </w:r>
    </w:p>
    <w:p w14:paraId="31E6DAE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     卖方应向买方提交一份在污水试运行及性能测试中拟采用的计量措 施一览表，并征得买方的同意。该表应包括计量方法、建议采用的 仪器及其精确等级等。</w:t>
      </w:r>
    </w:p>
    <w:p w14:paraId="006908F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    卖方应负责为满足每个合同规定的性能参数而可能采取任何合同设 备或系统进行改变或变更所发生的费用，并负责对设计资料、操作 手册进行修正。</w:t>
      </w:r>
    </w:p>
    <w:p w14:paraId="588AC4C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污水试运行及性能测试</w:t>
      </w:r>
    </w:p>
    <w:p w14:paraId="5EABCB3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试车、调试及测试完成后，将由卖方进行污水试运行及性能测试，工作 应按下列步骤进行，如果不能按下述步骤进行时，卖方需提前 7 天告知 买方，由双方共同协商解决。</w:t>
      </w:r>
    </w:p>
    <w:p w14:paraId="7FA05C7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    污水试运行及性能测试完成，且经污水试运行合格后，经买方和卖方双 方确认方可进行全套系统的最终性能测试。</w:t>
      </w:r>
    </w:p>
    <w:p w14:paraId="4609213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    污水试运行及性能测试步骤如下：</w:t>
      </w:r>
    </w:p>
    <w:p w14:paraId="674D2ED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污水试运行</w:t>
      </w:r>
    </w:p>
    <w:p w14:paraId="170B272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在上述第三阶段清水试运行结束后，将开始污水试运行（包括活性 污泥的培养），此部分工作由卖方负责，买方进行配合。</w:t>
      </w:r>
    </w:p>
    <w:p w14:paraId="21EADC3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性能测试</w:t>
      </w:r>
    </w:p>
    <w:p w14:paraId="4A0EEEE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当污水试运行达到合同文件规定的功能保证，且全厂能够连续稳定 运行、出水达标， 经买卖双方商定，进行阶段性验收。验收合格后， 并经买方同意，整个系统开始7天性能测试期。此部分工作由卖方 负责，买方进行配合。</w:t>
      </w:r>
    </w:p>
    <w:p w14:paraId="39F0650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污水试运行及性能测试过程中，买方将按卖方提供的工艺调试方案参与工艺 调试工作。卖方仍应负责并指导买方完成污水试运行及性能测试整个过程。</w:t>
      </w:r>
    </w:p>
    <w:p w14:paraId="56612F4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   在污水试运行及性能测试期间，所有系统须满足设计要求，应能自动运行。</w:t>
      </w:r>
    </w:p>
    <w:p w14:paraId="695EF62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    进行与上位机通信试验，启动和上位机的通信,  确认全部信号能否按设计文 件的规定进行通信。</w:t>
      </w:r>
    </w:p>
    <w:p w14:paraId="7B15333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    进行自动运行试验，确认各设备的自动联动控制、连锁装置、运转、继电回 复控制等能否按设计图纸的规定进行动作。</w:t>
      </w:r>
    </w:p>
    <w:p w14:paraId="7759CB8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   进行综合运行试验，确认全部设备运行稳定、可靠，无异常状况发生。</w:t>
      </w:r>
    </w:p>
    <w:p w14:paraId="4AE19CB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   在设备点动、单机试车、联动试车、清水试运行、污水试运行及性能测试期 间，买方和卖方必须到现场。上述工作将由卖方负责， 买方进行协调和配合。</w:t>
      </w:r>
    </w:p>
    <w:p w14:paraId="4C46B60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     性能测试和验收除应满足合同要求外，还应满足相关的现行国家或行业标准。 测试方法如有相关国家或行业标准，可按相关标准执行；如无相关标准，可参照设备厂家提供的相关资料由买卖双方商定后进行。 J.     性能测试的主要内容包括：</w:t>
      </w:r>
    </w:p>
    <w:p w14:paraId="4FC233A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测试合同设备及各系统的处理能力（当来水水量不足时，按单系列达标 进行考核）及功能性指标；</w:t>
      </w:r>
    </w:p>
    <w:p w14:paraId="6844C3A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     以卖方提供的综合能耗和原材料消耗指标为依据进行相对独立的系统能 耗及原材料消耗的考核。</w:t>
      </w:r>
    </w:p>
    <w:p w14:paraId="311358D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K.   买方的工程技术人员将参与设备调试、试运行性能测试和验收全过程所有阶 段的工作，卖方应负责对买方工程技术人员的指导和培训。</w:t>
      </w:r>
    </w:p>
    <w:p w14:paraId="4E43917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L.    当试运行和性能测试完成后，卖方必须向买方提供系统性能参数表（7  份， 以中文或英文表示）。</w:t>
      </w:r>
    </w:p>
    <w:p w14:paraId="11302A8C">
      <w:pPr>
        <w:pStyle w:val="3"/>
        <w:rPr>
          <w:rFonts w:ascii="宋体" w:hAnsi="宋体" w:eastAsia="宋体" w:cs="宋体"/>
          <w:sz w:val="24"/>
          <w:szCs w:val="22"/>
        </w:rPr>
      </w:pPr>
      <w:r>
        <w:rPr>
          <w:rFonts w:hint="eastAsia" w:ascii="宋体" w:hAnsi="宋体" w:eastAsia="宋体" w:cs="宋体"/>
          <w:sz w:val="24"/>
          <w:szCs w:val="22"/>
        </w:rPr>
        <w:t>2.7.3  性能测试及验收</w:t>
      </w:r>
    </w:p>
    <w:p w14:paraId="7FDCE5B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   上述污水试运行和性能测试阶段完成后将进行最终验收工作，最终验收工作 由卖方负责，买方进行配合。</w:t>
      </w:r>
    </w:p>
    <w:p w14:paraId="5864B74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    如经 30 天性能测试证明合同设备及系统满足下述要求，买方将以书面形式建议正式接收设备。</w:t>
      </w:r>
    </w:p>
    <w:p w14:paraId="2AD801E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设备及系统无任何缺陷；</w:t>
      </w:r>
    </w:p>
    <w:p w14:paraId="3BCEA07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    合同设备性能指标满足合同的要求；</w:t>
      </w:r>
    </w:p>
    <w:p w14:paraId="00EFA88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    功能保证试验完成，并满足功能保证要求；</w:t>
      </w:r>
    </w:p>
    <w:p w14:paraId="05207FE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    全厂及各系统满足 7天不间断连续、稳定、可靠运行，且达标、达产（单 系列）。</w:t>
      </w:r>
    </w:p>
    <w:p w14:paraId="4AD7CAB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    全部设备经过7 天的性能测试，所有设备、系统连续稳定运行且满足功能保 证要求，买方对所有设备进行最终验收，最终验收合格后进入设备质保期。 备质保期为一年。所有设备功能和试运转满足设计要求，买方将签发所有设 备的验收证明，不单独签发个别设备的验收证明。</w:t>
      </w:r>
    </w:p>
    <w:p w14:paraId="53888EE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   如果性能测试过程中有问题产生，卖方应在与买方确认的时间内解决问题， 并应得到买方的认可。。</w:t>
      </w:r>
    </w:p>
    <w:p w14:paraId="38DE116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    如果买方和买方确认试验成功并满足本工程规定的要求，并且无设备安装问 题造成：</w:t>
      </w:r>
    </w:p>
    <w:p w14:paraId="3A4E50B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    设备的损伤</w:t>
      </w:r>
    </w:p>
    <w:p w14:paraId="697B747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    超过的噪声及振动</w:t>
      </w:r>
    </w:p>
    <w:p w14:paraId="402EE57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    磨损、间歇增加或质量下降以致引起缩短预期的寿命和效率下降</w:t>
      </w:r>
    </w:p>
    <w:p w14:paraId="6226254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    增加的运行和维修要求及元件的损耗</w:t>
      </w:r>
    </w:p>
    <w:p w14:paraId="6C71ECB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    系统安全问题发生</w:t>
      </w:r>
    </w:p>
    <w:p w14:paraId="6992F7FA">
      <w:pPr>
        <w:adjustRightInd w:val="0"/>
        <w:spacing w:line="360" w:lineRule="auto"/>
        <w:ind w:firstLine="480" w:firstLineChars="200"/>
        <w:rPr>
          <w:rFonts w:ascii="宋体" w:hAnsi="宋体" w:eastAsia="宋体" w:cs="宋体"/>
          <w:sz w:val="24"/>
        </w:rPr>
      </w:pPr>
    </w:p>
    <w:p w14:paraId="4640276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    如果经确认性能试验的结果不能满足合同给定的要求，买方将通知卖方的工作结 果不予接收。</w:t>
      </w:r>
    </w:p>
    <w:p w14:paraId="2633B43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   如卖方的工作结果不被接受，卖方应在规定的期限内进行附加试验，调整、 更换、重新安装设备，并请求对未接受设备进行重新试验。</w:t>
      </w:r>
    </w:p>
    <w:p w14:paraId="2895851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   如果经修改设备仍不能满足设计和技术要求的性能要求，卖方应更换一个满 足要求的设备，为此买方不支付任何费用。</w:t>
      </w:r>
    </w:p>
    <w:p w14:paraId="0B2068E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I.     如果本项目在调试、清水和污水试运行、性能测试等各阶段需要取样检测， 卖方可根据性能测试和功能担保等工作要求提出取样检测各项指标的申请， 待买方同意后进行。阶段性验收测试的取样和化验费用由买方负责。 7天性 能测试阶段及最终验收时，应由买卖双方共同取样，化验工作可由双方分别 委托有资质的化验单位进行；也可由双方共同认可的有资质的单位进行化验 检测。取样及化验费用由买方负责。如果卖方对化验结果存有异意，则由双方共同认可的有资质的单位进行重新化验检测，重新化验的费用由卖方负责。 </w:t>
      </w:r>
    </w:p>
    <w:p w14:paraId="7566193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J.如果买方没有其它特殊要求，取样及采集频率可按第 6 节相关条款执行。</w:t>
      </w:r>
    </w:p>
    <w:p w14:paraId="68E18FD8">
      <w:pPr>
        <w:pStyle w:val="3"/>
        <w:rPr>
          <w:rFonts w:ascii="宋体" w:hAnsi="宋体" w:eastAsia="宋体" w:cs="宋体"/>
          <w:sz w:val="24"/>
          <w:szCs w:val="22"/>
        </w:rPr>
      </w:pPr>
      <w:r>
        <w:rPr>
          <w:rFonts w:hint="eastAsia" w:ascii="宋体" w:hAnsi="宋体" w:eastAsia="宋体" w:cs="宋体"/>
          <w:sz w:val="24"/>
          <w:szCs w:val="22"/>
        </w:rPr>
        <w:t>2.7.4附件、备件和工具</w:t>
      </w:r>
    </w:p>
    <w:p w14:paraId="305834E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A.调试及试运行（含性能测试）阶段：所有易损件、易耗品，以及正常情况下需要更换的备件等皆由卖方负责免费更换。卖方将免费负责由卖方的原因所造成的损坏的合同设备及部件的维修和更换。</w:t>
      </w:r>
    </w:p>
    <w:p w14:paraId="42F236D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B.一年质保期内：自设备进入质保期之日起卖方负责提供技术支持、培训和保障；设备运行操作、维护保养、易损件采购及更换由买方负责；质保期内由 于卖方原因造成的维修及部件更换由卖方负责；一年质保期内的易损件及易 耗品（例如：保险丝、指示灯、按钮）不在投标价格内，但卖方需在投标时 列出易损件及易耗品清单（写明正常运行时的更换频率）。</w:t>
      </w:r>
    </w:p>
    <w:p w14:paraId="612DD2E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投标人在投标时应提供调试及试运行（含性能测试）阶段的工具、备件、易损件及易耗品，以及全套用于保证合同设备在一年质保期内正常运行的维护保养及修理的工具（含设备维修安装所需要的特殊工具）等，并计入投标总价。投标时，调试及试运行（含性能测试）阶段的工具、备件、易损件及易 耗品等可不提供明细清单；随机备件和一年质保期内备品备件等应在相应设 备的技术描述中列出清单（写明正常运行时的更换频率）。</w:t>
      </w:r>
    </w:p>
    <w:p w14:paraId="3600E61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D.卖方在污水试运行之前应准备齐全所有可能发生更换的备品备件，易损件及 易耗品等，以便及时替换，为按时完成污水试运行及性能测试提供保障服务。 在质保期开始之前，卖方应承担随机备品备件，易损件及易耗品（含油脂和 仪表标定液）的供货和更换服务的费用；如果卖方提供的备品备件、易损件 及易耗品不能满足调试及试运行（含性能测试）期间的更换，则卖方应在规 定的时间内免费补充提供。卖方在取得最终验收证书之前，应更换或修理好所有磨损或损坏的部件。一年质保期从性能测试达标、达产满足要求，生物池系统最终验收合格之日起计算。</w:t>
      </w:r>
    </w:p>
    <w:p w14:paraId="5B88226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E.在调试及试运行（含性能测试）期间内设备维修和备品备件更换时所发生的 人工费、交通费、住宿费等一切费用均由卖方负责；一年质保期内由于卖方 原因造成的维修及备品备件更换时所发生的人工费、交通费、住宿费等一切 费用均由卖方负责。</w:t>
      </w:r>
    </w:p>
    <w:p w14:paraId="109D852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F.附件、备件和工具应是新的、从未使用过，并应与设备同时交付给买方，卖 方应示范特殊维修工具与附件的使用方法。执行合同所需的附件、特殊工具 和备件由卖方提供。</w:t>
      </w:r>
    </w:p>
    <w:p w14:paraId="060A86B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G.备件和附件应与主要设备分开包装，或置于设计为在规定的环境条件下能保 存很长时间的箱子内。任何不能按照以上方式包装的部件则应涂装临时保护 层以防腐，并避免机械损害。所有备件和附件应用简要的描述和部件号标识 清楚。不用于现场安装的备件应单独包装，并方便清点和存储，保证随时处于完好状态。</w:t>
      </w:r>
    </w:p>
    <w:p w14:paraId="5CDF920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H.法兰、密封垫、管接头、螺栓和螺母、电缆接头、接线箱等所有附件均包括 供货范围内。所有连接件应按ISO标准制造，所有附件的材料、密封垫片的厚度应确保其密封性、耐用性、耐腐蚀和抗老化。密封垫应适当剪切，无多 余边露出法兰。</w:t>
      </w:r>
    </w:p>
    <w:p w14:paraId="07F28F3C">
      <w:pPr>
        <w:pStyle w:val="3"/>
        <w:rPr>
          <w:rFonts w:ascii="宋体" w:hAnsi="宋体" w:eastAsia="宋体" w:cs="宋体"/>
          <w:sz w:val="24"/>
          <w:szCs w:val="22"/>
        </w:rPr>
      </w:pPr>
      <w:r>
        <w:rPr>
          <w:rFonts w:hint="eastAsia" w:ascii="宋体" w:hAnsi="宋体" w:eastAsia="宋体" w:cs="宋体"/>
          <w:sz w:val="24"/>
          <w:szCs w:val="22"/>
        </w:rPr>
        <w:t>2.8  设计联络、人员培训</w:t>
      </w:r>
    </w:p>
    <w:p w14:paraId="7F6D9F19">
      <w:pPr>
        <w:pStyle w:val="3"/>
        <w:rPr>
          <w:rFonts w:ascii="宋体" w:hAnsi="宋体" w:eastAsia="宋体" w:cs="宋体"/>
          <w:sz w:val="24"/>
          <w:szCs w:val="22"/>
        </w:rPr>
      </w:pPr>
      <w:r>
        <w:rPr>
          <w:rFonts w:hint="eastAsia" w:ascii="宋体" w:hAnsi="宋体" w:eastAsia="宋体" w:cs="宋体"/>
          <w:sz w:val="24"/>
          <w:szCs w:val="22"/>
        </w:rPr>
        <w:t>2.8.1  设计联络</w:t>
      </w:r>
    </w:p>
    <w:p w14:paraId="2B7D8C0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A.合同生效后，卖方应向买方提供包括设计联络的总体时间安排、联络内容及 与设备制造商的合同签订计划等内容的总体计划报买方审批，并按照买方意 见实施。</w:t>
      </w:r>
    </w:p>
    <w:p w14:paraId="0A71AB7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B.合同生效后，卖方应在投标基础上尽快完成并提交所有系统的详细设计和设 备的安装图纸。买方将通过设计联络对卖方的设计进行审查，并提出可能的 修改意见。所有这些不能降低对卖方递交质量合格可行详细设计的要求。</w:t>
      </w:r>
    </w:p>
    <w:p w14:paraId="45CB62D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C.设计联络会初定 5 次（将根据实际情况调整），地点在昆明市。卖方应派相关 技术人员参加会议，费用自负。</w:t>
      </w:r>
    </w:p>
    <w:p w14:paraId="269BF347">
      <w:pPr>
        <w:pStyle w:val="3"/>
        <w:rPr>
          <w:rFonts w:ascii="宋体" w:hAnsi="宋体" w:eastAsia="宋体" w:cs="宋体"/>
          <w:sz w:val="24"/>
          <w:szCs w:val="22"/>
        </w:rPr>
      </w:pPr>
      <w:r>
        <w:rPr>
          <w:rFonts w:hint="eastAsia" w:ascii="宋体" w:hAnsi="宋体" w:eastAsia="宋体" w:cs="宋体"/>
          <w:sz w:val="24"/>
          <w:szCs w:val="22"/>
        </w:rPr>
        <w:t>2.8.2 人员培训</w:t>
      </w:r>
    </w:p>
    <w:p w14:paraId="47D0B97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A.卖方应对买方受培训人员进行设备检验、操作和维修方面的培训。培训应包 括讲课、操作示范、参观等形式，应使受培训人员完全了解和基本掌握所有 合同设备的特性、结构、操作和维修要求等。培训地点应选在主要设备生产 厂或设备生产厂设计和提供的具有类似工艺或设备的污水处理厂或再生水处 理厂。</w:t>
      </w:r>
    </w:p>
    <w:p w14:paraId="2D67FFC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B.卖方应为买方受培训人员提供在设备所有操作项目中与设备相关的所需的工 作条件，使受培训人员了解整个操作系统，并有资格参与操作、检验、调试 和维修设备。</w:t>
      </w:r>
    </w:p>
    <w:p w14:paraId="09CCE85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C.上述培训费用和担任培训人员的工资等应包含在设备费中。培训费用包括培 训费、食宿费、交通费、培训文件和资料费、医疗保险费等（不限于此）。受培训人员的费用由买方自负。</w:t>
      </w:r>
    </w:p>
    <w:p w14:paraId="14FAF48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D.卖方应安排有资格和能力的技术工程师来现场对买方受培训人员进行培训和 解答问题。买方参加培训的人员为技术人员和工程师，如卖方培训工程师为 外籍人员，卖方应提供翻译人员。</w:t>
      </w:r>
    </w:p>
    <w:p w14:paraId="7A84AAF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E.按照买方的要求，在现场的卖方工程师应解答所有设备的操作和维修问题。</w:t>
      </w:r>
    </w:p>
    <w:p w14:paraId="4EA005E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F.培训内容应至少包括：</w:t>
      </w:r>
    </w:p>
    <w:p w14:paraId="6C10052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健康和安全</w:t>
      </w:r>
    </w:p>
    <w:p w14:paraId="3DA1870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装置和设备的手动操作</w:t>
      </w:r>
    </w:p>
    <w:p w14:paraId="78C5C851">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装置和设备的自动操作</w:t>
      </w:r>
    </w:p>
    <w:p w14:paraId="56A2D525">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正常运行中需要的手动操作</w:t>
      </w:r>
    </w:p>
    <w:p w14:paraId="3FD7C0E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例行检查、润滑等</w:t>
      </w:r>
    </w:p>
    <w:p w14:paraId="530F932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维护保养</w:t>
      </w:r>
    </w:p>
    <w:p w14:paraId="178C9B4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装置和备件的拆卸和更换</w:t>
      </w:r>
    </w:p>
    <w:p w14:paraId="082DCC6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故障的查找和排除</w:t>
      </w:r>
    </w:p>
    <w:p w14:paraId="600794E9">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可能发生的紧急状况及处置方法</w:t>
      </w:r>
    </w:p>
    <w:p w14:paraId="1DE89466">
      <w:pPr>
        <w:pStyle w:val="2"/>
        <w:rPr>
          <w:sz w:val="28"/>
          <w:szCs w:val="22"/>
        </w:rPr>
      </w:pPr>
      <w:r>
        <w:rPr>
          <w:rFonts w:hint="eastAsia"/>
          <w:sz w:val="28"/>
          <w:szCs w:val="22"/>
        </w:rPr>
        <w:t>三、工艺系统及设备</w:t>
      </w:r>
    </w:p>
    <w:p w14:paraId="7E91DA27">
      <w:pPr>
        <w:pStyle w:val="3"/>
        <w:rPr>
          <w:rFonts w:ascii="宋体" w:hAnsi="宋体" w:eastAsia="宋体" w:cs="宋体"/>
          <w:sz w:val="24"/>
          <w:szCs w:val="22"/>
        </w:rPr>
      </w:pPr>
      <w:r>
        <w:rPr>
          <w:rFonts w:hint="eastAsia" w:ascii="宋体" w:hAnsi="宋体" w:eastAsia="宋体" w:cs="宋体"/>
          <w:sz w:val="24"/>
          <w:szCs w:val="22"/>
        </w:rPr>
        <w:t>3.1 改进型 SBR 系统</w:t>
      </w:r>
    </w:p>
    <w:p w14:paraId="3C6B06D9">
      <w:pPr>
        <w:pStyle w:val="3"/>
        <w:rPr>
          <w:rFonts w:ascii="宋体" w:hAnsi="宋体" w:eastAsia="宋体" w:cs="宋体"/>
          <w:sz w:val="24"/>
          <w:szCs w:val="22"/>
        </w:rPr>
      </w:pPr>
      <w:r>
        <w:rPr>
          <w:rFonts w:hint="eastAsia" w:ascii="宋体" w:hAnsi="宋体" w:eastAsia="宋体" w:cs="宋体"/>
          <w:sz w:val="24"/>
          <w:szCs w:val="22"/>
        </w:rPr>
        <w:t>3.1.1  概述</w:t>
      </w:r>
    </w:p>
    <w:p w14:paraId="70F2964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A.本文叙述了改进型 SBR 系统设备、以及配套电气及仪表自控系统设备等的供 货、安装指导、调试指导和试运行的技术要求。</w:t>
      </w:r>
    </w:p>
    <w:p w14:paraId="257B639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B.技术规定、设计资料、工程计划及附图等仅对本合同的一些特定特征作了说 明，并非涵盖所有细节，且在本规范中所提出的为最低限度的技术要求，并 未规定所有的技术要求和适用的标准，承包商应根据本规范所提供的各项外 部条件及限定条件，配备保证系统安全、可靠运行所必需的全部工艺设备、 电气设备、仪表自控系统设备及辅助附件，并提供所有设备的安装指导、单 机调试、联动试车、试运行、人员培训及软件编制工作等相关技术服务。</w:t>
      </w:r>
    </w:p>
    <w:p w14:paraId="09A8EE1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C.改进型 SBR 系统工艺采用功能性招标的方式，系统集成商应保证处理效果， 满足出水水质要求。以买方所提供的设计参数及图纸为参考设计，承包商可 以对此基础设计进行复核、修正、二次深化调整，或在给定的限定条件下和 总体占地面积和位置不变的基础上提出自己的优化设计方案。并配备满足系 统安全、可靠、卫生、低成本操作和维修所需的所有设备（应考虑一定的设 备备用量）、管路系统（规定的范围内），除图纸外，承包商在投标时还应提 交改进型 SBR 系统的计算书(须写明计算过程)  、运行成本分析及运行说明。</w:t>
      </w:r>
    </w:p>
    <w:p w14:paraId="30C234A8">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D.系统及设备的供货应包括所有工艺设备、阀门、 仪表、控制箱柜及按钮箱。承包商应对所供成套系统设备负有全部技术责任，包括分包（或采购）的设备、系统和零部件。  </w:t>
      </w:r>
    </w:p>
    <w:p w14:paraId="256ADE22">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E.闸门阀门及接头等技术要求伸缩接头、波纹补偿器等参照 如下技术要求。</w:t>
      </w:r>
    </w:p>
    <w:p w14:paraId="0FD894A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F设备采用的专利技术涉及到的全部费用均被认为已包含在设备报价中。卖方 应保证买方不承担有关专利的一切责任及费用。</w:t>
      </w:r>
    </w:p>
    <w:p w14:paraId="02CC478E">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G.对于改进型 SBR 系统成套供货的设备，承包商工作范围的电气部分应包括配 套提供的系统控制箱柜、设备单机的现场控制箱及按钮箱等。</w:t>
      </w:r>
    </w:p>
    <w:p w14:paraId="71E1C77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H改进型 SBR  系统供货内设备与设备之间的动力及控制电缆的供货不属于本包的工作内容。</w:t>
      </w:r>
    </w:p>
    <w:p w14:paraId="7DAEC30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I.承包商应与施工和安装单位配合，并配合完成合同设备的进厂报验工 作。</w:t>
      </w:r>
    </w:p>
    <w:p w14:paraId="347CD25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J. 承包商不得提供贴牌产品和设备，如经证实承包商提供的产品和设备为假冒或贴牌产品，除退货外，承包商还应承担所有由此给买方造成的相关损失。</w:t>
      </w:r>
    </w:p>
    <w:p w14:paraId="339F0623">
      <w:pPr>
        <w:pStyle w:val="3"/>
        <w:rPr>
          <w:rFonts w:ascii="宋体" w:hAnsi="宋体" w:eastAsia="宋体" w:cs="宋体"/>
          <w:sz w:val="24"/>
          <w:szCs w:val="22"/>
        </w:rPr>
      </w:pPr>
      <w:r>
        <w:rPr>
          <w:rFonts w:hint="eastAsia" w:ascii="宋体" w:hAnsi="宋体" w:eastAsia="宋体" w:cs="宋体"/>
          <w:sz w:val="24"/>
          <w:szCs w:val="22"/>
        </w:rPr>
        <w:t>3.1.2 工作范围</w:t>
      </w:r>
    </w:p>
    <w:p w14:paraId="76BB4A13">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A.因为改进型SBR池为8座，所以承包商需要按照8座改进型SBR池的规模配套提供相应设备。</w:t>
      </w:r>
    </w:p>
    <w:p w14:paraId="0A15A12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B.承包商应提供保证设备安全、稳定、可靠运行的全套设备、辅助及安装连接附件，并负责指导安装、指导调试及试运行等工作。设备主要组成部分及供货范 围如下（不限于此）：</w:t>
      </w:r>
    </w:p>
    <w:p w14:paraId="7AD5394D">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1.改进型SBR系统设计等成套供货系统和控制系统的设计方案；</w:t>
      </w:r>
    </w:p>
    <w:p w14:paraId="610425C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2.改进型SBR系统全套装置，主要包括：浮筒搅拌器、混合液回流泵、污泥回流泵、污泥提升泵、厌氧混合液回流泵、补充污泥回流泵、剩余污 泥泵、可提升式微孔曝气系统、固定式微孔曝气系统、空气控制出水堰、撇渣管等。</w:t>
      </w:r>
    </w:p>
    <w:p w14:paraId="7729FEDC">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3.全套阀门</w:t>
      </w:r>
    </w:p>
    <w:p w14:paraId="2123274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4.在线监测和控制仪表</w:t>
      </w:r>
    </w:p>
    <w:p w14:paraId="5CA66AE4">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5.自动控制系统</w:t>
      </w:r>
    </w:p>
    <w:p w14:paraId="775F8B16">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6.接线盒、现场控制箱</w:t>
      </w:r>
    </w:p>
    <w:p w14:paraId="2767B82A">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7.曝气控制系统</w:t>
      </w:r>
    </w:p>
    <w:p w14:paraId="5110EFC2">
      <w:pPr>
        <w:pStyle w:val="3"/>
        <w:rPr>
          <w:rFonts w:ascii="宋体" w:hAnsi="宋体" w:eastAsia="宋体" w:cs="宋体"/>
          <w:sz w:val="24"/>
          <w:szCs w:val="22"/>
        </w:rPr>
      </w:pPr>
      <w:r>
        <w:rPr>
          <w:rFonts w:hint="eastAsia" w:ascii="宋体" w:hAnsi="宋体" w:eastAsia="宋体" w:cs="宋体"/>
          <w:sz w:val="24"/>
          <w:szCs w:val="22"/>
        </w:rPr>
        <w:t>3.1.3 进、出水水质</w:t>
      </w:r>
    </w:p>
    <w:p w14:paraId="11CAD0C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A.处理水量：旱季污水设计处理规模为 40 万 m³/d，雨季最大设计处理量为 60 万 m³/d，单座旱季污水设计处理规模为 5 万 m³/d，雨季最大设计处理量为7.5 万 m³/d 。</w:t>
      </w:r>
    </w:p>
    <w:p w14:paraId="2CB819F7">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B.设计进出水水质</w:t>
      </w:r>
    </w:p>
    <w:p w14:paraId="2DC8F0F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旱季水质净化厂设计进水水质(mg/L)</w:t>
      </w:r>
    </w:p>
    <w:tbl>
      <w:tblPr>
        <w:tblStyle w:val="8"/>
        <w:tblW w:w="8805" w:type="dxa"/>
        <w:tblInd w:w="100" w:type="dxa"/>
        <w:tblLayout w:type="autofit"/>
        <w:tblCellMar>
          <w:top w:w="0" w:type="dxa"/>
          <w:left w:w="108" w:type="dxa"/>
          <w:bottom w:w="0" w:type="dxa"/>
          <w:right w:w="108" w:type="dxa"/>
        </w:tblCellMar>
      </w:tblPr>
      <w:tblGrid>
        <w:gridCol w:w="1852"/>
        <w:gridCol w:w="1485"/>
        <w:gridCol w:w="1320"/>
        <w:gridCol w:w="1088"/>
        <w:gridCol w:w="1020"/>
        <w:gridCol w:w="1020"/>
        <w:gridCol w:w="1020"/>
      </w:tblGrid>
      <w:tr w14:paraId="4FDA7FDC">
        <w:tblPrEx>
          <w:tblCellMar>
            <w:top w:w="0" w:type="dxa"/>
            <w:left w:w="108" w:type="dxa"/>
            <w:bottom w:w="0" w:type="dxa"/>
            <w:right w:w="108" w:type="dxa"/>
          </w:tblCellMar>
        </w:tblPrEx>
        <w:trPr>
          <w:trHeight w:val="400"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3F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水质指标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1BC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CODCr</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743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BOD5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96B3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SS</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210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FF2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NH3-N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2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TP</w:t>
            </w:r>
          </w:p>
        </w:tc>
      </w:tr>
      <w:tr w14:paraId="3E43DB9A">
        <w:tblPrEx>
          <w:tblCellMar>
            <w:top w:w="0" w:type="dxa"/>
            <w:left w:w="108" w:type="dxa"/>
            <w:bottom w:w="0" w:type="dxa"/>
            <w:right w:w="108" w:type="dxa"/>
          </w:tblCellMar>
        </w:tblPrEx>
        <w:trPr>
          <w:trHeight w:val="400"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7F2E4">
            <w:pPr>
              <w:jc w:val="center"/>
              <w:rPr>
                <w:rFonts w:ascii="宋体" w:hAnsi="宋体" w:eastAsia="宋体" w:cs="宋体"/>
                <w:color w:val="000000"/>
                <w:sz w:val="20"/>
                <w:szCs w:val="20"/>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D1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350</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59B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865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8EC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18B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055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8</w:t>
            </w:r>
          </w:p>
        </w:tc>
      </w:tr>
    </w:tbl>
    <w:p w14:paraId="4C4C815B">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雨季水质净化厂设计进水水质(mg/L)</w:t>
      </w:r>
    </w:p>
    <w:tbl>
      <w:tblPr>
        <w:tblStyle w:val="8"/>
        <w:tblW w:w="8805" w:type="dxa"/>
        <w:tblInd w:w="100" w:type="dxa"/>
        <w:tblLayout w:type="autofit"/>
        <w:tblCellMar>
          <w:top w:w="0" w:type="dxa"/>
          <w:left w:w="108" w:type="dxa"/>
          <w:bottom w:w="0" w:type="dxa"/>
          <w:right w:w="108" w:type="dxa"/>
        </w:tblCellMar>
      </w:tblPr>
      <w:tblGrid>
        <w:gridCol w:w="1852"/>
        <w:gridCol w:w="1485"/>
        <w:gridCol w:w="1320"/>
        <w:gridCol w:w="1088"/>
        <w:gridCol w:w="1020"/>
        <w:gridCol w:w="1020"/>
        <w:gridCol w:w="1020"/>
      </w:tblGrid>
      <w:tr w14:paraId="7A729880">
        <w:tblPrEx>
          <w:tblCellMar>
            <w:top w:w="0" w:type="dxa"/>
            <w:left w:w="108" w:type="dxa"/>
            <w:bottom w:w="0" w:type="dxa"/>
            <w:right w:w="108" w:type="dxa"/>
          </w:tblCellMar>
        </w:tblPrEx>
        <w:trPr>
          <w:trHeight w:val="400"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B54C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水质指标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270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CODCr</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CFE6">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BOD5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5F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SS</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0861">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51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NH3-N</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4A53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TP</w:t>
            </w:r>
          </w:p>
        </w:tc>
      </w:tr>
      <w:tr w14:paraId="51F5ADB4">
        <w:tblPrEx>
          <w:tblCellMar>
            <w:top w:w="0" w:type="dxa"/>
            <w:left w:w="108" w:type="dxa"/>
            <w:bottom w:w="0" w:type="dxa"/>
            <w:right w:w="108" w:type="dxa"/>
          </w:tblCellMar>
        </w:tblPrEx>
        <w:trPr>
          <w:trHeight w:val="400" w:hRule="atLeast"/>
        </w:trPr>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53D3">
            <w:pPr>
              <w:jc w:val="center"/>
              <w:rPr>
                <w:rFonts w:ascii="宋体" w:hAnsi="宋体" w:eastAsia="宋体" w:cs="宋体"/>
                <w:color w:val="000000"/>
                <w:sz w:val="20"/>
                <w:szCs w:val="20"/>
              </w:rPr>
            </w:pP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79BA">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245</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B7A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53E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3E2D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349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6BC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w:t>
            </w:r>
          </w:p>
        </w:tc>
      </w:tr>
    </w:tbl>
    <w:p w14:paraId="5915B37F">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改进型 SBR 设计出水水质</w:t>
      </w:r>
    </w:p>
    <w:tbl>
      <w:tblPr>
        <w:tblStyle w:val="8"/>
        <w:tblW w:w="8822" w:type="dxa"/>
        <w:tblInd w:w="100" w:type="dxa"/>
        <w:tblLayout w:type="autofit"/>
        <w:tblCellMar>
          <w:top w:w="0" w:type="dxa"/>
          <w:left w:w="108" w:type="dxa"/>
          <w:bottom w:w="0" w:type="dxa"/>
          <w:right w:w="108" w:type="dxa"/>
        </w:tblCellMar>
      </w:tblPr>
      <w:tblGrid>
        <w:gridCol w:w="1853"/>
        <w:gridCol w:w="1485"/>
        <w:gridCol w:w="1320"/>
        <w:gridCol w:w="1087"/>
        <w:gridCol w:w="1020"/>
        <w:gridCol w:w="1307"/>
        <w:gridCol w:w="750"/>
      </w:tblGrid>
      <w:tr w14:paraId="7EB3EFEA">
        <w:tblPrEx>
          <w:tblCellMar>
            <w:top w:w="0" w:type="dxa"/>
            <w:left w:w="108" w:type="dxa"/>
            <w:bottom w:w="0" w:type="dxa"/>
            <w:right w:w="108" w:type="dxa"/>
          </w:tblCellMar>
        </w:tblPrEx>
        <w:trPr>
          <w:trHeight w:val="400" w:hRule="atLeast"/>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F89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水质指标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759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CODCr</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146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BOD5</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342A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SS</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158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TN</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98F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NH3-N</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E08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TP</w:t>
            </w:r>
          </w:p>
        </w:tc>
      </w:tr>
      <w:tr w14:paraId="4F65FC73">
        <w:tblPrEx>
          <w:tblCellMar>
            <w:top w:w="0" w:type="dxa"/>
            <w:left w:w="108" w:type="dxa"/>
            <w:bottom w:w="0" w:type="dxa"/>
            <w:right w:w="108" w:type="dxa"/>
          </w:tblCellMar>
        </w:tblPrEx>
        <w:trPr>
          <w:trHeight w:val="400" w:hRule="atLeast"/>
        </w:trPr>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7EF99">
            <w:pPr>
              <w:jc w:val="center"/>
              <w:rPr>
                <w:rFonts w:ascii="宋体" w:hAnsi="宋体" w:eastAsia="宋体" w:cs="宋体"/>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A9B5">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5887">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6E95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91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≤5~10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E742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≤1.0(1.5)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8BE8">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≤0.5</w:t>
            </w:r>
          </w:p>
        </w:tc>
      </w:tr>
    </w:tbl>
    <w:p w14:paraId="1692B853">
      <w:pPr>
        <w:adjustRightInd w:val="0"/>
        <w:spacing w:line="360" w:lineRule="auto"/>
        <w:ind w:firstLine="482" w:firstLineChars="200"/>
        <w:rPr>
          <w:rFonts w:ascii="宋体" w:hAnsi="宋体" w:eastAsia="宋体" w:cs="宋体"/>
          <w:b/>
          <w:bCs/>
          <w:sz w:val="24"/>
        </w:rPr>
      </w:pPr>
      <w:r>
        <w:rPr>
          <w:rFonts w:hint="eastAsia" w:ascii="宋体" w:hAnsi="宋体" w:eastAsia="宋体" w:cs="宋体"/>
          <w:b/>
          <w:bCs/>
          <w:sz w:val="24"/>
        </w:rPr>
        <w:t>注：括号内限制为水温≤12℃时的控制指标</w:t>
      </w:r>
    </w:p>
    <w:p w14:paraId="15B5F4E3">
      <w:pPr>
        <w:pStyle w:val="3"/>
        <w:rPr>
          <w:rFonts w:ascii="宋体" w:hAnsi="宋体" w:eastAsia="宋体" w:cs="宋体"/>
          <w:sz w:val="24"/>
          <w:szCs w:val="22"/>
        </w:rPr>
      </w:pPr>
      <w:r>
        <w:rPr>
          <w:rFonts w:hint="eastAsia" w:ascii="宋体" w:hAnsi="宋体" w:eastAsia="宋体" w:cs="宋体"/>
          <w:sz w:val="24"/>
          <w:szCs w:val="22"/>
        </w:rPr>
        <w:t>3.1.4  技术要求</w:t>
      </w:r>
    </w:p>
    <w:p w14:paraId="00806CCE">
      <w:pPr>
        <w:pStyle w:val="3"/>
        <w:rPr>
          <w:rFonts w:ascii="宋体" w:hAnsi="宋体" w:eastAsia="宋体" w:cs="宋体"/>
          <w:sz w:val="24"/>
          <w:szCs w:val="22"/>
        </w:rPr>
      </w:pPr>
      <w:r>
        <w:rPr>
          <w:rFonts w:hint="eastAsia" w:ascii="宋体" w:hAnsi="宋体" w:eastAsia="宋体" w:cs="宋体"/>
          <w:sz w:val="24"/>
          <w:szCs w:val="22"/>
        </w:rPr>
        <w:t>3.1.4.1 工艺描述</w:t>
      </w:r>
    </w:p>
    <w:p w14:paraId="59DAC120">
      <w:pPr>
        <w:adjustRightInd w:val="0"/>
        <w:spacing w:line="360" w:lineRule="auto"/>
        <w:ind w:firstLine="480" w:firstLineChars="200"/>
        <w:rPr>
          <w:rFonts w:ascii="宋体" w:hAnsi="宋体" w:eastAsia="宋体" w:cs="宋体"/>
          <w:sz w:val="24"/>
        </w:rPr>
      </w:pPr>
      <w:r>
        <w:rPr>
          <w:rFonts w:hint="eastAsia" w:ascii="宋体" w:hAnsi="宋体" w:eastAsia="宋体" w:cs="宋体"/>
          <w:sz w:val="24"/>
        </w:rPr>
        <w:t>A.本项目所用改进型 SBR 系统由 10 个单元格组成，改进型 SBR 原理如图所示:</w:t>
      </w:r>
    </w:p>
    <w:p w14:paraId="382FBB7F">
      <w:pPr>
        <w:adjustRightInd w:val="0"/>
        <w:spacing w:line="360" w:lineRule="auto"/>
        <w:ind w:firstLine="420" w:firstLineChars="200"/>
        <w:rPr>
          <w:position w:val="-72"/>
        </w:rPr>
      </w:pPr>
      <w:r>
        <w:rPr>
          <w:position w:val="-72"/>
        </w:rPr>
        <w:drawing>
          <wp:inline distT="0" distB="0" distL="0" distR="0">
            <wp:extent cx="5260340" cy="2291715"/>
            <wp:effectExtent l="0" t="0" r="6985" b="3810"/>
            <wp:docPr id="154" name="IM 154"/>
            <wp:cNvGraphicFramePr/>
            <a:graphic xmlns:a="http://schemas.openxmlformats.org/drawingml/2006/main">
              <a:graphicData uri="http://schemas.openxmlformats.org/drawingml/2006/picture">
                <pic:pic xmlns:pic="http://schemas.openxmlformats.org/drawingml/2006/picture">
                  <pic:nvPicPr>
                    <pic:cNvPr id="154" name="IM 154"/>
                    <pic:cNvPicPr/>
                  </pic:nvPicPr>
                  <pic:blipFill>
                    <a:blip r:embed="rId25"/>
                    <a:stretch>
                      <a:fillRect/>
                    </a:stretch>
                  </pic:blipFill>
                  <pic:spPr>
                    <a:xfrm>
                      <a:off x="0" y="0"/>
                      <a:ext cx="5260437" cy="2292349"/>
                    </a:xfrm>
                    <a:prstGeom prst="rect">
                      <a:avLst/>
                    </a:prstGeom>
                  </pic:spPr>
                </pic:pic>
              </a:graphicData>
            </a:graphic>
          </wp:inline>
        </w:drawing>
      </w:r>
    </w:p>
    <w:p w14:paraId="1A38D865">
      <w:pPr>
        <w:adjustRightInd w:val="0"/>
        <w:spacing w:line="360" w:lineRule="auto"/>
        <w:rPr>
          <w:position w:val="-72"/>
        </w:rPr>
      </w:pPr>
    </w:p>
    <w:p w14:paraId="11D26BB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B.单元1和单元7是SBR 池，1A 、7A 单元是缺/好氧池（后缺氧单元），可接收来自单元4的原水碳源，单元2是污泥浓缩池（泥水分离池），单元3是预缺氧池，单元4是厌氧池，单元5和5A是串联式两级缺氧池，单元6是主曝气好氧池。</w:t>
      </w:r>
    </w:p>
    <w:p w14:paraId="507A2656">
      <w:pPr>
        <w:pStyle w:val="3"/>
        <w:rPr>
          <w:rFonts w:ascii="宋体" w:hAnsi="宋体" w:eastAsia="宋体" w:cs="宋体"/>
          <w:sz w:val="24"/>
          <w:szCs w:val="22"/>
        </w:rPr>
      </w:pPr>
      <w:r>
        <w:rPr>
          <w:rFonts w:hint="eastAsia" w:ascii="宋体" w:hAnsi="宋体" w:eastAsia="宋体" w:cs="宋体"/>
          <w:sz w:val="24"/>
          <w:szCs w:val="22"/>
        </w:rPr>
        <w:t>3.1.4.2 功能要求</w:t>
      </w:r>
    </w:p>
    <w:p w14:paraId="791DA48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A.改进型SBR系统应具有有机物降解、硝化、反硝化、磷吸收反应、污泥浓缩等功能。</w:t>
      </w:r>
    </w:p>
    <w:p w14:paraId="013ECA5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B.整个系统应实现在线观测和自动化控制。</w:t>
      </w:r>
    </w:p>
    <w:p w14:paraId="60E4E456">
      <w:pPr>
        <w:pStyle w:val="3"/>
        <w:rPr>
          <w:rFonts w:ascii="宋体" w:hAnsi="宋体" w:eastAsia="宋体" w:cs="宋体"/>
          <w:sz w:val="24"/>
          <w:szCs w:val="22"/>
        </w:rPr>
      </w:pPr>
      <w:r>
        <w:rPr>
          <w:rFonts w:hint="eastAsia" w:ascii="宋体" w:hAnsi="宋体" w:eastAsia="宋体" w:cs="宋体"/>
          <w:sz w:val="24"/>
          <w:szCs w:val="22"/>
        </w:rPr>
        <w:t>3.1.4.3 浮筒搅拌器</w:t>
      </w:r>
    </w:p>
    <w:p w14:paraId="48189FB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A.采用干式搅拌器，具有良好的搅拌效果，无死区，无沉淀。</w:t>
      </w:r>
    </w:p>
    <w:p w14:paraId="73B3368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B.卖方应根据提供的工艺条件、池形，选择合适的桨叶形式，核算搅拌器的功</w:t>
      </w:r>
    </w:p>
    <w:p w14:paraId="3D406C4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率，并提供相关资料。</w:t>
      </w:r>
    </w:p>
    <w:p w14:paraId="6B85D9E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C.搅拌机在额定负荷条件下运行的无故障工作时间不少于 2 万小时，使用寿命 20 年以上。</w:t>
      </w:r>
    </w:p>
    <w:p w14:paraId="09050FB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D.设备在操作转速下运行必须平稳、无振动。</w:t>
      </w:r>
    </w:p>
    <w:p w14:paraId="2237C98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E.在最不利设计条件下连续工作，所有轴承应具有至少10万小时的使用寿命。</w:t>
      </w:r>
    </w:p>
    <w:p w14:paraId="513BEE4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 能在冲击荷载情况下运行，其额定功率应大于搅拌机设计轴功率的 1.2 倍。</w:t>
      </w:r>
    </w:p>
    <w:p w14:paraId="0331F62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G.电机应具有过电流保护等功能。</w:t>
      </w:r>
    </w:p>
    <w:p w14:paraId="2EBC615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H.电机采用直接驱动搅拌叶轮的方式。</w:t>
      </w:r>
    </w:p>
    <w:p w14:paraId="0BEF7BD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I.电机功率应满足搅拌器性能要求。</w:t>
      </w:r>
    </w:p>
    <w:p w14:paraId="7D6F804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J.搅拌器叶轮采用316L不锈钢。</w:t>
      </w:r>
    </w:p>
    <w:p w14:paraId="399A4B4A">
      <w:pPr>
        <w:pStyle w:val="3"/>
        <w:rPr>
          <w:rFonts w:ascii="宋体" w:hAnsi="宋体" w:eastAsia="宋体" w:cs="宋体"/>
          <w:sz w:val="24"/>
          <w:szCs w:val="22"/>
        </w:rPr>
      </w:pPr>
      <w:r>
        <w:rPr>
          <w:rFonts w:hint="eastAsia" w:ascii="宋体" w:hAnsi="宋体" w:eastAsia="宋体" w:cs="宋体"/>
          <w:sz w:val="24"/>
          <w:szCs w:val="22"/>
        </w:rPr>
        <w:t>3.1.4.4 水泵</w:t>
      </w:r>
    </w:p>
    <w:p w14:paraId="6F4721A2">
      <w:pPr>
        <w:spacing w:line="360" w:lineRule="auto"/>
        <w:ind w:firstLine="241" w:firstLineChars="100"/>
        <w:rPr>
          <w:rFonts w:ascii="宋体" w:hAnsi="宋体" w:eastAsia="宋体" w:cs="宋体"/>
          <w:b/>
          <w:bCs/>
          <w:sz w:val="24"/>
          <w:szCs w:val="32"/>
        </w:rPr>
      </w:pPr>
      <w:r>
        <w:rPr>
          <w:rFonts w:hint="eastAsia" w:ascii="宋体" w:hAnsi="宋体" w:eastAsia="宋体" w:cs="宋体"/>
          <w:b/>
          <w:bCs/>
          <w:sz w:val="24"/>
          <w:szCs w:val="32"/>
        </w:rPr>
        <w:t>A. 参数如下：</w:t>
      </w:r>
    </w:p>
    <w:p w14:paraId="16E23632">
      <w:pPr>
        <w:spacing w:line="360" w:lineRule="auto"/>
        <w:ind w:firstLine="241" w:firstLineChars="100"/>
        <w:rPr>
          <w:rFonts w:ascii="宋体" w:hAnsi="宋体" w:eastAsia="宋体" w:cs="宋体"/>
          <w:b/>
          <w:bCs/>
          <w:sz w:val="24"/>
          <w:szCs w:val="32"/>
        </w:rPr>
      </w:pPr>
      <w:r>
        <w:rPr>
          <w:rFonts w:hint="eastAsia" w:ascii="宋体" w:hAnsi="宋体" w:eastAsia="宋体" w:cs="宋体"/>
          <w:b/>
          <w:bCs/>
          <w:sz w:val="24"/>
          <w:szCs w:val="32"/>
        </w:rPr>
        <w:t>表一：</w:t>
      </w:r>
    </w:p>
    <w:tbl>
      <w:tblPr>
        <w:tblStyle w:val="8"/>
        <w:tblW w:w="8432"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811"/>
        <w:gridCol w:w="2809"/>
        <w:gridCol w:w="2812"/>
      </w:tblGrid>
      <w:tr w14:paraId="6D923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3" w:hRule="atLeast"/>
        </w:trPr>
        <w:tc>
          <w:tcPr>
            <w:tcW w:w="2811" w:type="dxa"/>
          </w:tcPr>
          <w:p w14:paraId="7F45D6D4">
            <w:pPr>
              <w:pStyle w:val="10"/>
              <w:spacing w:before="154" w:line="210" w:lineRule="auto"/>
              <w:ind w:left="990"/>
              <w:rPr>
                <w:rFonts w:ascii="Arial" w:hAnsi="Arial" w:cs="Arial"/>
              </w:rPr>
            </w:pPr>
            <w:r>
              <w:rPr>
                <w:rFonts w:ascii="Arial" w:hAnsi="Arial" w:cs="Arial"/>
                <w:b/>
                <w:bCs/>
                <w:spacing w:val="-4"/>
              </w:rPr>
              <w:t>设备名称</w:t>
            </w:r>
          </w:p>
        </w:tc>
        <w:tc>
          <w:tcPr>
            <w:tcW w:w="2809" w:type="dxa"/>
          </w:tcPr>
          <w:p w14:paraId="354F8BD6">
            <w:pPr>
              <w:pStyle w:val="10"/>
              <w:spacing w:before="93" w:line="221" w:lineRule="auto"/>
              <w:ind w:left="778"/>
              <w:rPr>
                <w:rFonts w:ascii="Arial" w:hAnsi="Arial" w:cs="Arial"/>
              </w:rPr>
            </w:pPr>
            <w:r>
              <w:rPr>
                <w:rFonts w:ascii="Arial" w:hAnsi="Arial" w:cs="Arial"/>
                <w:b/>
                <w:bCs/>
                <w:spacing w:val="-3"/>
              </w:rPr>
              <w:t>混合液回流泵</w:t>
            </w:r>
          </w:p>
        </w:tc>
        <w:tc>
          <w:tcPr>
            <w:tcW w:w="2812" w:type="dxa"/>
          </w:tcPr>
          <w:p w14:paraId="47B45E4B">
            <w:pPr>
              <w:pStyle w:val="10"/>
              <w:spacing w:before="154" w:line="210" w:lineRule="auto"/>
              <w:ind w:left="882"/>
              <w:rPr>
                <w:rFonts w:ascii="Arial" w:hAnsi="Arial" w:cs="Arial"/>
              </w:rPr>
            </w:pPr>
            <w:r>
              <w:rPr>
                <w:rFonts w:ascii="Arial" w:hAnsi="Arial" w:cs="Arial"/>
                <w:b/>
                <w:bCs/>
                <w:spacing w:val="-3"/>
              </w:rPr>
              <w:t>污泥回流泵</w:t>
            </w:r>
          </w:p>
        </w:tc>
      </w:tr>
      <w:tr w14:paraId="10B19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1E3B66CC">
            <w:pPr>
              <w:pStyle w:val="10"/>
              <w:spacing w:before="149" w:line="207" w:lineRule="auto"/>
              <w:ind w:left="993"/>
              <w:rPr>
                <w:rFonts w:ascii="Arial" w:hAnsi="Arial" w:cs="Arial"/>
              </w:rPr>
            </w:pPr>
            <w:r>
              <w:rPr>
                <w:rFonts w:ascii="Arial" w:hAnsi="Arial" w:cs="Arial"/>
                <w:spacing w:val="-3"/>
              </w:rPr>
              <w:t>设备编号</w:t>
            </w:r>
          </w:p>
        </w:tc>
        <w:tc>
          <w:tcPr>
            <w:tcW w:w="2809" w:type="dxa"/>
          </w:tcPr>
          <w:p w14:paraId="67E35754">
            <w:pPr>
              <w:spacing w:before="116" w:line="191" w:lineRule="auto"/>
              <w:ind w:left="514"/>
            </w:pPr>
            <w:r>
              <w:rPr>
                <w:spacing w:val="-1"/>
              </w:rPr>
              <w:t>SBR1/8-PSB101/104</w:t>
            </w:r>
          </w:p>
        </w:tc>
        <w:tc>
          <w:tcPr>
            <w:tcW w:w="2812" w:type="dxa"/>
          </w:tcPr>
          <w:p w14:paraId="179A2CB3">
            <w:pPr>
              <w:spacing w:before="116" w:line="191" w:lineRule="auto"/>
              <w:ind w:left="514"/>
            </w:pPr>
            <w:r>
              <w:rPr>
                <w:spacing w:val="-1"/>
              </w:rPr>
              <w:t>SBR1/8-PSB201/204</w:t>
            </w:r>
          </w:p>
        </w:tc>
      </w:tr>
      <w:tr w14:paraId="03EB9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0874B7AC">
            <w:pPr>
              <w:pStyle w:val="10"/>
              <w:spacing w:before="150" w:line="209" w:lineRule="auto"/>
              <w:ind w:left="1200"/>
              <w:rPr>
                <w:rFonts w:ascii="Arial" w:hAnsi="Arial" w:cs="Arial"/>
              </w:rPr>
            </w:pPr>
            <w:r>
              <w:rPr>
                <w:rFonts w:ascii="Arial" w:hAnsi="Arial" w:cs="Arial"/>
                <w:spacing w:val="-2"/>
              </w:rPr>
              <w:t>数量</w:t>
            </w:r>
          </w:p>
        </w:tc>
        <w:tc>
          <w:tcPr>
            <w:tcW w:w="2809" w:type="dxa"/>
          </w:tcPr>
          <w:p w14:paraId="00B6F69D">
            <w:pPr>
              <w:pStyle w:val="10"/>
              <w:spacing w:before="150" w:line="209" w:lineRule="auto"/>
              <w:ind w:left="570"/>
              <w:rPr>
                <w:rFonts w:ascii="Arial" w:hAnsi="Arial" w:cs="Arial"/>
              </w:rPr>
            </w:pPr>
            <w:r>
              <w:rPr>
                <w:rFonts w:ascii="Arial" w:hAnsi="Arial" w:cs="Arial"/>
                <w:spacing w:val="-2"/>
              </w:rPr>
              <w:t>32套（16用16备）</w:t>
            </w:r>
          </w:p>
        </w:tc>
        <w:tc>
          <w:tcPr>
            <w:tcW w:w="2812" w:type="dxa"/>
          </w:tcPr>
          <w:p w14:paraId="061F9033">
            <w:pPr>
              <w:pStyle w:val="10"/>
              <w:spacing w:before="150" w:line="209" w:lineRule="auto"/>
              <w:ind w:left="569"/>
              <w:rPr>
                <w:rFonts w:ascii="Arial" w:hAnsi="Arial" w:cs="Arial"/>
              </w:rPr>
            </w:pPr>
            <w:r>
              <w:rPr>
                <w:rFonts w:ascii="Arial" w:hAnsi="Arial" w:cs="Arial"/>
                <w:spacing w:val="-2"/>
              </w:rPr>
              <w:t>32套（16用16备）</w:t>
            </w:r>
          </w:p>
        </w:tc>
      </w:tr>
      <w:tr w14:paraId="165CB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0071245E">
            <w:pPr>
              <w:pStyle w:val="10"/>
              <w:spacing w:before="150" w:line="206" w:lineRule="auto"/>
              <w:ind w:left="1198"/>
              <w:rPr>
                <w:rFonts w:ascii="Arial" w:hAnsi="Arial" w:cs="Arial"/>
              </w:rPr>
            </w:pPr>
            <w:r>
              <w:rPr>
                <w:rFonts w:ascii="Arial" w:hAnsi="Arial" w:cs="Arial"/>
                <w:spacing w:val="-2"/>
              </w:rPr>
              <w:t>介质</w:t>
            </w:r>
          </w:p>
        </w:tc>
        <w:tc>
          <w:tcPr>
            <w:tcW w:w="2809" w:type="dxa"/>
          </w:tcPr>
          <w:p w14:paraId="0F8CD5D0">
            <w:pPr>
              <w:pStyle w:val="10"/>
              <w:spacing w:before="150" w:line="206" w:lineRule="auto"/>
              <w:ind w:left="1200"/>
              <w:rPr>
                <w:rFonts w:ascii="Arial" w:hAnsi="Arial" w:cs="Arial"/>
              </w:rPr>
            </w:pPr>
            <w:r>
              <w:rPr>
                <w:rFonts w:ascii="Arial" w:hAnsi="Arial" w:cs="Arial"/>
                <w:spacing w:val="-2"/>
              </w:rPr>
              <w:t>污水</w:t>
            </w:r>
          </w:p>
        </w:tc>
        <w:tc>
          <w:tcPr>
            <w:tcW w:w="2812" w:type="dxa"/>
          </w:tcPr>
          <w:p w14:paraId="28F33C4A">
            <w:pPr>
              <w:pStyle w:val="10"/>
              <w:spacing w:before="150" w:line="206" w:lineRule="auto"/>
              <w:ind w:left="1200"/>
              <w:rPr>
                <w:rFonts w:ascii="Arial" w:hAnsi="Arial" w:cs="Arial"/>
              </w:rPr>
            </w:pPr>
            <w:r>
              <w:rPr>
                <w:rFonts w:ascii="Arial" w:hAnsi="Arial" w:cs="Arial"/>
                <w:spacing w:val="-2"/>
              </w:rPr>
              <w:t>污水</w:t>
            </w:r>
          </w:p>
        </w:tc>
      </w:tr>
      <w:tr w14:paraId="4C934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7DA38BBB">
            <w:pPr>
              <w:spacing w:before="181" w:line="191" w:lineRule="auto"/>
              <w:ind w:left="1271"/>
            </w:pPr>
            <w:r>
              <w:t>pH</w:t>
            </w:r>
          </w:p>
        </w:tc>
        <w:tc>
          <w:tcPr>
            <w:tcW w:w="2809" w:type="dxa"/>
          </w:tcPr>
          <w:p w14:paraId="06347973">
            <w:pPr>
              <w:pStyle w:val="10"/>
              <w:spacing w:before="153" w:line="206" w:lineRule="auto"/>
              <w:ind w:left="1199"/>
              <w:rPr>
                <w:rFonts w:ascii="Arial" w:hAnsi="Arial" w:cs="Arial"/>
              </w:rPr>
            </w:pPr>
            <w:r>
              <w:rPr>
                <w:rFonts w:ascii="Arial" w:hAnsi="Arial" w:cs="Arial"/>
                <w:spacing w:val="-3"/>
              </w:rPr>
              <w:t>6～9</w:t>
            </w:r>
          </w:p>
        </w:tc>
        <w:tc>
          <w:tcPr>
            <w:tcW w:w="2812" w:type="dxa"/>
          </w:tcPr>
          <w:p w14:paraId="2623F5A3">
            <w:pPr>
              <w:pStyle w:val="10"/>
              <w:spacing w:before="153" w:line="206" w:lineRule="auto"/>
              <w:ind w:left="1199"/>
              <w:rPr>
                <w:rFonts w:ascii="Arial" w:hAnsi="Arial" w:cs="Arial"/>
              </w:rPr>
            </w:pPr>
            <w:r>
              <w:rPr>
                <w:rFonts w:ascii="Arial" w:hAnsi="Arial" w:cs="Arial"/>
                <w:spacing w:val="-3"/>
              </w:rPr>
              <w:t>6～9</w:t>
            </w:r>
          </w:p>
        </w:tc>
      </w:tr>
      <w:tr w14:paraId="4A10A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48D5B78B">
            <w:pPr>
              <w:pStyle w:val="10"/>
              <w:spacing w:before="152" w:line="157" w:lineRule="auto"/>
              <w:ind w:left="668"/>
              <w:rPr>
                <w:rFonts w:ascii="Arial" w:hAnsi="Arial" w:cs="Arial"/>
              </w:rPr>
            </w:pPr>
            <w:r>
              <w:rPr>
                <w:rFonts w:ascii="Arial" w:hAnsi="Arial" w:cs="Arial"/>
                <w:spacing w:val="-18"/>
              </w:rPr>
              <w:t>介质温度（C。）</w:t>
            </w:r>
          </w:p>
        </w:tc>
        <w:tc>
          <w:tcPr>
            <w:tcW w:w="2809" w:type="dxa"/>
          </w:tcPr>
          <w:p w14:paraId="49EF27E9">
            <w:pPr>
              <w:spacing w:before="185" w:line="187" w:lineRule="auto"/>
              <w:ind w:left="1159"/>
            </w:pPr>
            <w:r>
              <w:rPr>
                <w:spacing w:val="-4"/>
              </w:rPr>
              <w:t>10~30</w:t>
            </w:r>
          </w:p>
        </w:tc>
        <w:tc>
          <w:tcPr>
            <w:tcW w:w="2812" w:type="dxa"/>
          </w:tcPr>
          <w:p w14:paraId="76DAFC5E">
            <w:pPr>
              <w:spacing w:before="169" w:line="187" w:lineRule="auto"/>
              <w:ind w:left="1159"/>
            </w:pPr>
            <w:r>
              <w:rPr>
                <w:spacing w:val="-4"/>
              </w:rPr>
              <w:t>10~30</w:t>
            </w:r>
          </w:p>
        </w:tc>
      </w:tr>
      <w:tr w14:paraId="1B860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7B5C4693">
            <w:pPr>
              <w:pStyle w:val="10"/>
              <w:spacing w:before="151" w:line="205" w:lineRule="auto"/>
              <w:ind w:left="316"/>
              <w:rPr>
                <w:rFonts w:ascii="Arial" w:hAnsi="Arial" w:cs="Arial"/>
              </w:rPr>
            </w:pPr>
            <w:r>
              <w:rPr>
                <w:rFonts w:ascii="Arial" w:hAnsi="Arial" w:cs="Arial"/>
                <w:spacing w:val="-1"/>
              </w:rPr>
              <w:t>输送介质密度（kg/m</w:t>
            </w:r>
            <w:r>
              <w:rPr>
                <w:rFonts w:ascii="Arial" w:hAnsi="Arial" w:cs="Arial"/>
                <w:spacing w:val="-1"/>
                <w:position w:val="6"/>
                <w:sz w:val="13"/>
                <w:szCs w:val="13"/>
              </w:rPr>
              <w:t>3</w:t>
            </w:r>
            <w:r>
              <w:rPr>
                <w:rFonts w:ascii="Arial" w:hAnsi="Arial" w:cs="Arial"/>
                <w:spacing w:val="-1"/>
              </w:rPr>
              <w:t>）</w:t>
            </w:r>
          </w:p>
        </w:tc>
        <w:tc>
          <w:tcPr>
            <w:tcW w:w="2809" w:type="dxa"/>
          </w:tcPr>
          <w:p w14:paraId="1E0C6BA4">
            <w:pPr>
              <w:spacing w:before="183" w:line="145" w:lineRule="exact"/>
              <w:ind w:left="1274"/>
            </w:pPr>
            <w:r>
              <mc:AlternateContent>
                <mc:Choice Requires="wps">
                  <w:drawing>
                    <wp:anchor distT="0" distB="0" distL="114300" distR="114300" simplePos="0" relativeHeight="251660288" behindDoc="0" locked="0" layoutInCell="1" allowOverlap="1">
                      <wp:simplePos x="0" y="0"/>
                      <wp:positionH relativeFrom="column">
                        <wp:posOffset>709295</wp:posOffset>
                      </wp:positionH>
                      <wp:positionV relativeFrom="paragraph">
                        <wp:posOffset>150495</wp:posOffset>
                      </wp:positionV>
                      <wp:extent cx="97155" cy="990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155" cy="99060"/>
                              </a:xfrm>
                              <a:prstGeom prst="rect">
                                <a:avLst/>
                              </a:prstGeom>
                              <a:noFill/>
                              <a:ln>
                                <a:noFill/>
                              </a:ln>
                            </wps:spPr>
                            <wps:txbx>
                              <w:txbxContent>
                                <w:p w14:paraId="65607B57">
                                  <w:pPr>
                                    <w:spacing w:before="20" w:line="115" w:lineRule="exact"/>
                                    <w:ind w:left="20"/>
                                    <w:rPr>
                                      <w:rFonts w:ascii="Times New Roman" w:hAnsi="Times New Roman" w:eastAsia="Times New Roman" w:cs="Times New Roman"/>
                                    </w:rPr>
                                  </w:pPr>
                                  <w:r>
                                    <w:rPr>
                                      <w:rFonts w:ascii="Times New Roman" w:hAnsi="Times New Roman" w:eastAsia="Times New Roman" w:cs="Times New Roman"/>
                                      <w:position w:val="-2"/>
                                    </w:rPr>
                                    <w:t>~</w:t>
                                  </w:r>
                                </w:p>
                              </w:txbxContent>
                            </wps:txbx>
                            <wps:bodyPr lIns="0" tIns="0" rIns="0" bIns="0" upright="1"/>
                          </wps:wsp>
                        </a:graphicData>
                      </a:graphic>
                    </wp:anchor>
                  </w:drawing>
                </mc:Choice>
                <mc:Fallback>
                  <w:pict>
                    <v:shape id="_x0000_s1026" o:spid="_x0000_s1026" o:spt="202" type="#_x0000_t202" style="position:absolute;left:0pt;margin-left:55.85pt;margin-top:11.85pt;height:7.8pt;width:7.65pt;z-index:251660288;mso-width-relative:page;mso-height-relative:page;" filled="f" stroked="f" coordsize="21600,21600" o:gfxdata="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NqivXAAAACQEAAA8AAAAAAAAAAQAgAAAAIgAAAGRycy9kb3ducmV2LnhtbFBLAQIUABQA&#10;AAAIAIdO4kDbvSeouAEAAG8DAAAOAAAAAAAAAAEAIAAAACYBAABkcnMvZTJvRG9jLnhtbFBLBQYA&#10;AAAABgAGAFkBAABQBQAAAAA=&#10;">
                      <v:fill on="f" focussize="0,0"/>
                      <v:stroke on="f"/>
                      <v:imagedata o:title=""/>
                      <o:lock v:ext="edit" aspectratio="f"/>
                      <v:textbox inset="0mm,0mm,0mm,0mm">
                        <w:txbxContent>
                          <w:p w14:paraId="65607B57">
                            <w:pPr>
                              <w:spacing w:before="20" w:line="115" w:lineRule="exact"/>
                              <w:ind w:left="20"/>
                              <w:rPr>
                                <w:rFonts w:ascii="Times New Roman" w:hAnsi="Times New Roman" w:eastAsia="Times New Roman" w:cs="Times New Roman"/>
                              </w:rPr>
                            </w:pPr>
                            <w:r>
                              <w:rPr>
                                <w:rFonts w:ascii="Times New Roman" w:hAnsi="Times New Roman" w:eastAsia="Times New Roman" w:cs="Times New Roman"/>
                                <w:position w:val="-2"/>
                              </w:rPr>
                              <w:t>~</w:t>
                            </w:r>
                          </w:p>
                        </w:txbxContent>
                      </v:textbox>
                    </v:shape>
                  </w:pict>
                </mc:Fallback>
              </mc:AlternateContent>
            </w:r>
            <w:r>
              <w:rPr>
                <w:spacing w:val="-6"/>
                <w:position w:val="-3"/>
              </w:rPr>
              <w:t>1000</w:t>
            </w:r>
          </w:p>
        </w:tc>
        <w:tc>
          <w:tcPr>
            <w:tcW w:w="2812" w:type="dxa"/>
          </w:tcPr>
          <w:p w14:paraId="5D8A3E54">
            <w:pPr>
              <w:spacing w:before="183" w:line="187" w:lineRule="auto"/>
              <w:ind w:left="1214"/>
            </w:pPr>
            <w:r>
              <w:rPr>
                <w:spacing w:val="-6"/>
              </w:rPr>
              <w:t>1000</w:t>
            </w:r>
          </w:p>
        </w:tc>
      </w:tr>
      <w:tr w14:paraId="77243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9" w:hRule="atLeast"/>
        </w:trPr>
        <w:tc>
          <w:tcPr>
            <w:tcW w:w="2811" w:type="dxa"/>
          </w:tcPr>
          <w:p w14:paraId="00F4C872">
            <w:pPr>
              <w:pStyle w:val="10"/>
              <w:spacing w:before="165" w:line="213" w:lineRule="auto"/>
              <w:ind w:left="653"/>
              <w:rPr>
                <w:rFonts w:ascii="Arial" w:hAnsi="Arial" w:cs="Arial"/>
              </w:rPr>
            </w:pPr>
            <w:r>
              <w:rPr>
                <w:rFonts w:ascii="Arial" w:hAnsi="Arial" w:cs="Arial"/>
                <w:spacing w:val="-1"/>
              </w:rPr>
              <w:t>工作制（h/day）</w:t>
            </w:r>
          </w:p>
        </w:tc>
        <w:tc>
          <w:tcPr>
            <w:tcW w:w="2809" w:type="dxa"/>
          </w:tcPr>
          <w:p w14:paraId="49BA6B92">
            <w:pPr>
              <w:spacing w:before="196" w:line="187" w:lineRule="auto"/>
              <w:ind w:left="1300"/>
            </w:pPr>
            <w:r>
              <w:rPr>
                <w:spacing w:val="-1"/>
              </w:rPr>
              <w:t>24</w:t>
            </w:r>
          </w:p>
        </w:tc>
        <w:tc>
          <w:tcPr>
            <w:tcW w:w="2812" w:type="dxa"/>
          </w:tcPr>
          <w:p w14:paraId="0FBD95B0">
            <w:pPr>
              <w:spacing w:before="172" w:line="187" w:lineRule="auto"/>
              <w:ind w:left="1300"/>
            </w:pPr>
            <w:r>
              <w:rPr>
                <w:spacing w:val="-1"/>
              </w:rPr>
              <w:t>24</w:t>
            </w:r>
          </w:p>
        </w:tc>
      </w:tr>
      <w:tr w14:paraId="61218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9" w:hRule="atLeast"/>
        </w:trPr>
        <w:tc>
          <w:tcPr>
            <w:tcW w:w="2811" w:type="dxa"/>
          </w:tcPr>
          <w:p w14:paraId="427D1DDF">
            <w:pPr>
              <w:pStyle w:val="10"/>
              <w:spacing w:before="291" w:line="221" w:lineRule="auto"/>
              <w:ind w:left="993"/>
              <w:rPr>
                <w:rFonts w:ascii="Arial" w:hAnsi="Arial" w:cs="Arial"/>
              </w:rPr>
            </w:pPr>
            <w:r>
              <w:rPr>
                <w:rFonts w:ascii="Arial" w:hAnsi="Arial" w:cs="Arial"/>
                <w:spacing w:val="-3"/>
              </w:rPr>
              <w:t>安装方式</w:t>
            </w:r>
          </w:p>
        </w:tc>
        <w:tc>
          <w:tcPr>
            <w:tcW w:w="2809" w:type="dxa"/>
          </w:tcPr>
          <w:p w14:paraId="54EFC30F">
            <w:pPr>
              <w:pStyle w:val="10"/>
              <w:spacing w:before="153" w:line="222" w:lineRule="auto"/>
              <w:ind w:left="147" w:right="142"/>
              <w:rPr>
                <w:rFonts w:ascii="Arial" w:hAnsi="Arial" w:cs="Arial"/>
              </w:rPr>
            </w:pPr>
            <w:r>
              <w:rPr>
                <w:rFonts w:ascii="Arial" w:hAnsi="Arial" w:cs="Arial"/>
                <w:spacing w:val="-1"/>
              </w:rPr>
              <w:t>根据图纸及系统情况配套选</w:t>
            </w:r>
            <w:r>
              <w:rPr>
                <w:rFonts w:ascii="Arial" w:hAnsi="Arial" w:cs="Arial"/>
                <w:spacing w:val="5"/>
              </w:rPr>
              <w:t xml:space="preserve"> </w:t>
            </w:r>
            <w:r>
              <w:rPr>
                <w:rFonts w:ascii="Arial" w:hAnsi="Arial" w:cs="Arial"/>
              </w:rPr>
              <w:t>择</w:t>
            </w:r>
          </w:p>
        </w:tc>
        <w:tc>
          <w:tcPr>
            <w:tcW w:w="2812" w:type="dxa"/>
          </w:tcPr>
          <w:p w14:paraId="0D1B087E">
            <w:pPr>
              <w:pStyle w:val="10"/>
              <w:spacing w:before="153" w:line="222" w:lineRule="auto"/>
              <w:ind w:left="146" w:right="145"/>
              <w:rPr>
                <w:rFonts w:ascii="Arial" w:hAnsi="Arial" w:cs="Arial"/>
              </w:rPr>
            </w:pPr>
            <w:r>
              <w:rPr>
                <w:rFonts w:ascii="Arial" w:hAnsi="Arial" w:cs="Arial"/>
                <w:spacing w:val="-1"/>
              </w:rPr>
              <w:t>根据图纸及系统情况配套选</w:t>
            </w:r>
            <w:r>
              <w:rPr>
                <w:rFonts w:ascii="Arial" w:hAnsi="Arial" w:cs="Arial"/>
                <w:spacing w:val="5"/>
              </w:rPr>
              <w:t xml:space="preserve"> </w:t>
            </w:r>
            <w:r>
              <w:rPr>
                <w:rFonts w:ascii="Arial" w:hAnsi="Arial" w:cs="Arial"/>
              </w:rPr>
              <w:t>择</w:t>
            </w:r>
          </w:p>
        </w:tc>
      </w:tr>
      <w:tr w14:paraId="3D152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2811" w:type="dxa"/>
          </w:tcPr>
          <w:p w14:paraId="5F6F73A8">
            <w:pPr>
              <w:pStyle w:val="10"/>
              <w:spacing w:before="153" w:line="204" w:lineRule="auto"/>
              <w:ind w:left="993"/>
              <w:rPr>
                <w:rFonts w:ascii="Arial" w:hAnsi="Arial" w:cs="Arial"/>
              </w:rPr>
            </w:pPr>
            <w:r>
              <w:rPr>
                <w:rFonts w:ascii="Arial" w:hAnsi="Arial" w:cs="Arial"/>
                <w:spacing w:val="-3"/>
              </w:rPr>
              <w:t>安装地点</w:t>
            </w:r>
          </w:p>
        </w:tc>
        <w:tc>
          <w:tcPr>
            <w:tcW w:w="2809" w:type="dxa"/>
          </w:tcPr>
          <w:p w14:paraId="51B4EE8A">
            <w:pPr>
              <w:pStyle w:val="10"/>
              <w:spacing w:before="153" w:line="204" w:lineRule="auto"/>
              <w:ind w:left="797"/>
              <w:rPr>
                <w:rFonts w:ascii="Arial" w:hAnsi="Arial" w:cs="Arial"/>
              </w:rPr>
            </w:pPr>
            <w:r>
              <w:rPr>
                <w:rFonts w:ascii="Arial" w:hAnsi="Arial" w:cs="Arial"/>
                <w:spacing w:val="-2"/>
              </w:rPr>
              <w:t>改进型SBR池</w:t>
            </w:r>
          </w:p>
        </w:tc>
        <w:tc>
          <w:tcPr>
            <w:tcW w:w="2812" w:type="dxa"/>
          </w:tcPr>
          <w:p w14:paraId="252FFD4D">
            <w:pPr>
              <w:pStyle w:val="10"/>
              <w:spacing w:before="153" w:line="204" w:lineRule="auto"/>
              <w:ind w:left="797"/>
              <w:rPr>
                <w:rFonts w:ascii="Arial" w:hAnsi="Arial" w:cs="Arial"/>
              </w:rPr>
            </w:pPr>
            <w:r>
              <w:rPr>
                <w:rFonts w:ascii="Arial" w:hAnsi="Arial" w:cs="Arial"/>
                <w:spacing w:val="-2"/>
              </w:rPr>
              <w:t>改进型SBR池</w:t>
            </w:r>
          </w:p>
        </w:tc>
      </w:tr>
      <w:tr w14:paraId="55F57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7051115C">
            <w:pPr>
              <w:pStyle w:val="10"/>
              <w:spacing w:before="157" w:line="203" w:lineRule="auto"/>
              <w:ind w:left="1200"/>
              <w:rPr>
                <w:rFonts w:ascii="Arial" w:hAnsi="Arial" w:cs="Arial"/>
              </w:rPr>
            </w:pPr>
            <w:r>
              <w:rPr>
                <w:rFonts w:ascii="Arial" w:hAnsi="Arial" w:cs="Arial"/>
                <w:spacing w:val="-3"/>
              </w:rPr>
              <w:t>说明</w:t>
            </w:r>
          </w:p>
        </w:tc>
        <w:tc>
          <w:tcPr>
            <w:tcW w:w="2809" w:type="dxa"/>
          </w:tcPr>
          <w:p w14:paraId="7113E7A3">
            <w:pPr>
              <w:pStyle w:val="10"/>
              <w:spacing w:before="157" w:line="203" w:lineRule="auto"/>
              <w:ind w:left="778"/>
              <w:rPr>
                <w:rFonts w:ascii="Arial" w:hAnsi="Arial" w:cs="Arial"/>
              </w:rPr>
            </w:pPr>
            <w:r>
              <w:rPr>
                <w:rFonts w:ascii="Arial" w:hAnsi="Arial" w:cs="Arial"/>
                <w:spacing w:val="-1"/>
              </w:rPr>
              <w:t>全部变频控制</w:t>
            </w:r>
          </w:p>
        </w:tc>
        <w:tc>
          <w:tcPr>
            <w:tcW w:w="2812" w:type="dxa"/>
          </w:tcPr>
          <w:p w14:paraId="23AA43BD">
            <w:pPr>
              <w:pStyle w:val="10"/>
              <w:spacing w:before="157" w:line="203" w:lineRule="auto"/>
              <w:ind w:left="777"/>
              <w:rPr>
                <w:rFonts w:ascii="Arial" w:hAnsi="Arial" w:cs="Arial"/>
              </w:rPr>
            </w:pPr>
            <w:r>
              <w:rPr>
                <w:rFonts w:ascii="Arial" w:hAnsi="Arial" w:cs="Arial"/>
                <w:spacing w:val="-1"/>
              </w:rPr>
              <w:t>全部变频控制</w:t>
            </w:r>
          </w:p>
        </w:tc>
      </w:tr>
      <w:tr w14:paraId="37191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44C8ADEF">
            <w:pPr>
              <w:pStyle w:val="10"/>
              <w:spacing w:before="154" w:line="205" w:lineRule="auto"/>
              <w:ind w:left="1200"/>
              <w:rPr>
                <w:rFonts w:ascii="Arial" w:hAnsi="Arial" w:cs="Arial"/>
              </w:rPr>
            </w:pPr>
            <w:r>
              <w:rPr>
                <w:rFonts w:ascii="Arial" w:hAnsi="Arial" w:cs="Arial"/>
                <w:spacing w:val="-3"/>
              </w:rPr>
              <w:t>形式</w:t>
            </w:r>
          </w:p>
        </w:tc>
        <w:tc>
          <w:tcPr>
            <w:tcW w:w="2809" w:type="dxa"/>
          </w:tcPr>
          <w:p w14:paraId="61C57F9E">
            <w:pPr>
              <w:pStyle w:val="10"/>
              <w:spacing w:before="154" w:line="205" w:lineRule="auto"/>
              <w:ind w:left="671"/>
              <w:rPr>
                <w:rFonts w:ascii="Arial" w:hAnsi="Arial" w:cs="Arial"/>
              </w:rPr>
            </w:pPr>
            <w:r>
              <w:rPr>
                <w:rFonts w:ascii="Arial" w:hAnsi="Arial" w:cs="Arial"/>
                <w:spacing w:val="-1"/>
              </w:rPr>
              <w:t>潜水水平轴流泵</w:t>
            </w:r>
          </w:p>
        </w:tc>
        <w:tc>
          <w:tcPr>
            <w:tcW w:w="2812" w:type="dxa"/>
          </w:tcPr>
          <w:p w14:paraId="70BDA969">
            <w:pPr>
              <w:pStyle w:val="10"/>
              <w:spacing w:before="154" w:line="205" w:lineRule="auto"/>
              <w:ind w:left="671"/>
              <w:rPr>
                <w:rFonts w:ascii="Arial" w:hAnsi="Arial" w:cs="Arial"/>
              </w:rPr>
            </w:pPr>
            <w:r>
              <w:rPr>
                <w:rFonts w:ascii="Arial" w:hAnsi="Arial" w:cs="Arial"/>
                <w:spacing w:val="-1"/>
              </w:rPr>
              <w:t>潜水水平轴流泵</w:t>
            </w:r>
          </w:p>
        </w:tc>
      </w:tr>
      <w:tr w14:paraId="1F54C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2811" w:type="dxa"/>
          </w:tcPr>
          <w:p w14:paraId="58EAB30B">
            <w:pPr>
              <w:pStyle w:val="10"/>
              <w:spacing w:before="155" w:line="203" w:lineRule="auto"/>
              <w:ind w:left="1002"/>
              <w:rPr>
                <w:rFonts w:ascii="Arial" w:hAnsi="Arial" w:cs="Arial"/>
              </w:rPr>
            </w:pPr>
            <w:r>
              <w:rPr>
                <w:rFonts w:ascii="Arial" w:hAnsi="Arial" w:cs="Arial"/>
                <w:spacing w:val="-5"/>
              </w:rPr>
              <w:t>叶轮型式</w:t>
            </w:r>
          </w:p>
        </w:tc>
        <w:tc>
          <w:tcPr>
            <w:tcW w:w="2809" w:type="dxa"/>
          </w:tcPr>
          <w:p w14:paraId="3EE3A46F">
            <w:pPr>
              <w:pStyle w:val="10"/>
              <w:spacing w:before="155" w:line="203" w:lineRule="auto"/>
              <w:ind w:left="780"/>
              <w:rPr>
                <w:rFonts w:ascii="Arial" w:hAnsi="Arial" w:cs="Arial"/>
              </w:rPr>
            </w:pPr>
            <w:r>
              <w:rPr>
                <w:rFonts w:ascii="Arial" w:hAnsi="Arial" w:cs="Arial"/>
                <w:spacing w:val="-2"/>
              </w:rPr>
              <w:t>螺旋桨式叶轮</w:t>
            </w:r>
          </w:p>
        </w:tc>
        <w:tc>
          <w:tcPr>
            <w:tcW w:w="2812" w:type="dxa"/>
          </w:tcPr>
          <w:p w14:paraId="3E27FE55">
            <w:pPr>
              <w:pStyle w:val="10"/>
              <w:spacing w:before="155" w:line="203" w:lineRule="auto"/>
              <w:ind w:left="780"/>
              <w:rPr>
                <w:rFonts w:ascii="Arial" w:hAnsi="Arial" w:cs="Arial"/>
              </w:rPr>
            </w:pPr>
            <w:r>
              <w:rPr>
                <w:rFonts w:ascii="Arial" w:hAnsi="Arial" w:cs="Arial"/>
                <w:spacing w:val="-2"/>
              </w:rPr>
              <w:t>螺旋桨式叶轮</w:t>
            </w:r>
          </w:p>
        </w:tc>
      </w:tr>
      <w:tr w14:paraId="2BCB90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3" w:hRule="atLeast"/>
        </w:trPr>
        <w:tc>
          <w:tcPr>
            <w:tcW w:w="2811" w:type="dxa"/>
          </w:tcPr>
          <w:p w14:paraId="1317CDE0">
            <w:pPr>
              <w:pStyle w:val="10"/>
              <w:spacing w:before="157" w:line="207" w:lineRule="auto"/>
              <w:ind w:left="880"/>
              <w:rPr>
                <w:rFonts w:ascii="Arial" w:hAnsi="Arial" w:cs="Arial"/>
              </w:rPr>
            </w:pPr>
            <w:r>
              <w:rPr>
                <w:rFonts w:ascii="Arial" w:hAnsi="Arial" w:cs="Arial"/>
                <w:spacing w:val="-2"/>
              </w:rPr>
              <w:t>流量</w:t>
            </w:r>
            <w:r>
              <w:rPr>
                <w:rFonts w:ascii="Arial" w:hAnsi="Arial" w:cs="Arial"/>
                <w:spacing w:val="11"/>
              </w:rPr>
              <w:t xml:space="preserve"> </w:t>
            </w:r>
            <w:r>
              <w:rPr>
                <w:rFonts w:ascii="Arial" w:hAnsi="Arial" w:cs="Arial"/>
                <w:spacing w:val="-2"/>
              </w:rPr>
              <w:t>(m</w:t>
            </w:r>
            <w:r>
              <w:rPr>
                <w:rFonts w:ascii="Arial" w:hAnsi="Arial" w:cs="Arial"/>
                <w:spacing w:val="-2"/>
                <w:position w:val="6"/>
                <w:sz w:val="13"/>
                <w:szCs w:val="13"/>
              </w:rPr>
              <w:t>3</w:t>
            </w:r>
            <w:r>
              <w:rPr>
                <w:rFonts w:ascii="Arial" w:hAnsi="Arial" w:cs="Arial"/>
                <w:spacing w:val="-2"/>
              </w:rPr>
              <w:t>/h)</w:t>
            </w:r>
          </w:p>
        </w:tc>
        <w:tc>
          <w:tcPr>
            <w:tcW w:w="2809" w:type="dxa"/>
          </w:tcPr>
          <w:p w14:paraId="1341CC2A">
            <w:pPr>
              <w:spacing w:before="188" w:line="187" w:lineRule="auto"/>
              <w:ind w:left="928"/>
            </w:pPr>
            <w:r>
              <w:rPr>
                <w:spacing w:val="-1"/>
              </w:rPr>
              <w:t>2800~3200</w:t>
            </w:r>
          </w:p>
        </w:tc>
        <w:tc>
          <w:tcPr>
            <w:tcW w:w="2812" w:type="dxa"/>
          </w:tcPr>
          <w:p w14:paraId="5E422D2A">
            <w:pPr>
              <w:spacing w:before="188" w:line="187" w:lineRule="auto"/>
              <w:ind w:left="927"/>
            </w:pPr>
            <w:r>
              <w:rPr>
                <w:spacing w:val="-1"/>
              </w:rPr>
              <w:t>2200~2700</w:t>
            </w:r>
          </w:p>
        </w:tc>
      </w:tr>
      <w:tr w14:paraId="263D1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9" w:hRule="atLeast"/>
        </w:trPr>
        <w:tc>
          <w:tcPr>
            <w:tcW w:w="2811" w:type="dxa"/>
          </w:tcPr>
          <w:p w14:paraId="3B661796">
            <w:pPr>
              <w:pStyle w:val="10"/>
              <w:spacing w:before="154" w:line="206" w:lineRule="auto"/>
              <w:ind w:left="993"/>
              <w:rPr>
                <w:rFonts w:ascii="Arial" w:hAnsi="Arial" w:cs="Arial"/>
              </w:rPr>
            </w:pPr>
            <w:r>
              <w:rPr>
                <w:rFonts w:ascii="Arial" w:hAnsi="Arial" w:cs="Arial"/>
                <w:spacing w:val="-3"/>
              </w:rPr>
              <w:t>扬程</w:t>
            </w:r>
            <w:r>
              <w:rPr>
                <w:rFonts w:ascii="Arial" w:hAnsi="Arial" w:cs="Arial"/>
                <w:spacing w:val="10"/>
              </w:rPr>
              <w:t xml:space="preserve"> </w:t>
            </w:r>
            <w:r>
              <w:rPr>
                <w:rFonts w:ascii="Arial" w:hAnsi="Arial" w:cs="Arial"/>
                <w:spacing w:val="-3"/>
              </w:rPr>
              <w:t>(m)</w:t>
            </w:r>
          </w:p>
        </w:tc>
        <w:tc>
          <w:tcPr>
            <w:tcW w:w="2809" w:type="dxa"/>
          </w:tcPr>
          <w:p w14:paraId="56A3B327">
            <w:pPr>
              <w:spacing w:before="185" w:line="187" w:lineRule="auto"/>
              <w:ind w:left="1089"/>
            </w:pPr>
            <w:r>
              <w:rPr>
                <w:spacing w:val="-1"/>
              </w:rPr>
              <w:t>0.7~0.8</w:t>
            </w:r>
          </w:p>
        </w:tc>
        <w:tc>
          <w:tcPr>
            <w:tcW w:w="2812" w:type="dxa"/>
          </w:tcPr>
          <w:p w14:paraId="611CBAF4">
            <w:pPr>
              <w:spacing w:before="185" w:line="187" w:lineRule="auto"/>
              <w:ind w:left="1089"/>
            </w:pPr>
            <w:r>
              <w:rPr>
                <w:spacing w:val="-1"/>
              </w:rPr>
              <w:t>0.7~0.8</w:t>
            </w:r>
          </w:p>
        </w:tc>
      </w:tr>
      <w:tr w14:paraId="788F7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2811" w:type="dxa"/>
          </w:tcPr>
          <w:p w14:paraId="0F9D0A9B">
            <w:pPr>
              <w:pStyle w:val="10"/>
              <w:spacing w:before="151" w:line="207" w:lineRule="auto"/>
              <w:ind w:left="1028"/>
              <w:rPr>
                <w:rFonts w:ascii="Arial" w:hAnsi="Arial" w:cs="Arial"/>
              </w:rPr>
            </w:pPr>
            <w:r>
              <w:rPr>
                <w:rFonts w:ascii="Arial" w:hAnsi="Arial" w:cs="Arial"/>
                <w:spacing w:val="-2"/>
              </w:rPr>
              <w:t>效率(％)</w:t>
            </w:r>
          </w:p>
        </w:tc>
        <w:tc>
          <w:tcPr>
            <w:tcW w:w="2809" w:type="dxa"/>
          </w:tcPr>
          <w:p w14:paraId="16AC8DEA">
            <w:pPr>
              <w:spacing w:before="181" w:line="204" w:lineRule="auto"/>
              <w:ind w:left="1372"/>
            </w:pPr>
            <w:r>
              <w:t>/</w:t>
            </w:r>
          </w:p>
        </w:tc>
        <w:tc>
          <w:tcPr>
            <w:tcW w:w="2812" w:type="dxa"/>
          </w:tcPr>
          <w:p w14:paraId="74CD06EC">
            <w:pPr>
              <w:spacing w:before="181" w:line="204" w:lineRule="auto"/>
              <w:ind w:left="1372"/>
            </w:pPr>
            <w:r>
              <w:t>/</w:t>
            </w:r>
          </w:p>
        </w:tc>
      </w:tr>
      <w:tr w14:paraId="602D0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2811" w:type="dxa"/>
          </w:tcPr>
          <w:p w14:paraId="34183D75">
            <w:pPr>
              <w:pStyle w:val="10"/>
              <w:spacing w:before="152" w:line="206" w:lineRule="auto"/>
              <w:ind w:left="288"/>
              <w:rPr>
                <w:rFonts w:ascii="Arial" w:hAnsi="Arial" w:cs="Arial"/>
              </w:rPr>
            </w:pPr>
            <w:r>
              <w:rPr>
                <w:rFonts w:ascii="Arial" w:hAnsi="Arial" w:cs="Arial"/>
                <w:spacing w:val="-1"/>
              </w:rPr>
              <w:t>每小时允许起动次数(次)</w:t>
            </w:r>
          </w:p>
        </w:tc>
        <w:tc>
          <w:tcPr>
            <w:tcW w:w="2809" w:type="dxa"/>
          </w:tcPr>
          <w:p w14:paraId="20FA88A6">
            <w:pPr>
              <w:pStyle w:val="10"/>
              <w:spacing w:before="152" w:line="206" w:lineRule="auto"/>
              <w:ind w:left="1219"/>
              <w:rPr>
                <w:rFonts w:ascii="Arial" w:hAnsi="Arial" w:cs="Arial"/>
              </w:rPr>
            </w:pPr>
            <w:r>
              <w:rPr>
                <w:rFonts w:ascii="Arial" w:hAnsi="Arial" w:cs="Arial"/>
                <w:spacing w:val="-9"/>
              </w:rPr>
              <w:t>≥15</w:t>
            </w:r>
          </w:p>
        </w:tc>
        <w:tc>
          <w:tcPr>
            <w:tcW w:w="2812" w:type="dxa"/>
          </w:tcPr>
          <w:p w14:paraId="4659054C">
            <w:pPr>
              <w:pStyle w:val="10"/>
              <w:spacing w:before="152" w:line="206" w:lineRule="auto"/>
              <w:ind w:left="1219"/>
              <w:rPr>
                <w:rFonts w:ascii="Arial" w:hAnsi="Arial" w:cs="Arial"/>
              </w:rPr>
            </w:pPr>
            <w:r>
              <w:rPr>
                <w:rFonts w:ascii="Arial" w:hAnsi="Arial" w:cs="Arial"/>
                <w:spacing w:val="-9"/>
              </w:rPr>
              <w:t>≥15</w:t>
            </w:r>
          </w:p>
        </w:tc>
      </w:tr>
      <w:tr w14:paraId="2B4F1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3ABB6D05">
            <w:pPr>
              <w:pStyle w:val="10"/>
              <w:spacing w:before="154" w:line="203" w:lineRule="auto"/>
              <w:ind w:left="1223"/>
              <w:rPr>
                <w:rFonts w:ascii="Arial" w:hAnsi="Arial" w:cs="Arial"/>
              </w:rPr>
            </w:pPr>
            <w:r>
              <w:rPr>
                <w:rFonts w:ascii="Arial" w:hAnsi="Arial" w:cs="Arial"/>
                <w:spacing w:val="-8"/>
              </w:rPr>
              <w:t>电源</w:t>
            </w:r>
          </w:p>
        </w:tc>
        <w:tc>
          <w:tcPr>
            <w:tcW w:w="2809" w:type="dxa"/>
          </w:tcPr>
          <w:p w14:paraId="43523042">
            <w:pPr>
              <w:spacing w:before="181" w:line="191" w:lineRule="auto"/>
              <w:ind w:left="733"/>
            </w:pPr>
            <w:r>
              <w:rPr>
                <w:spacing w:val="-1"/>
              </w:rPr>
              <w:t>380V/3ph/50Hz</w:t>
            </w:r>
          </w:p>
        </w:tc>
        <w:tc>
          <w:tcPr>
            <w:tcW w:w="2812" w:type="dxa"/>
          </w:tcPr>
          <w:p w14:paraId="43122CD7">
            <w:pPr>
              <w:spacing w:before="181" w:line="191" w:lineRule="auto"/>
              <w:ind w:left="732"/>
            </w:pPr>
            <w:r>
              <w:rPr>
                <w:spacing w:val="-1"/>
              </w:rPr>
              <w:t>380V/3ph/50Hz</w:t>
            </w:r>
          </w:p>
        </w:tc>
      </w:tr>
      <w:tr w14:paraId="56B275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2" w:hRule="atLeast"/>
        </w:trPr>
        <w:tc>
          <w:tcPr>
            <w:tcW w:w="2811" w:type="dxa"/>
          </w:tcPr>
          <w:p w14:paraId="15497265">
            <w:pPr>
              <w:pStyle w:val="10"/>
              <w:spacing w:before="154" w:line="209" w:lineRule="auto"/>
              <w:ind w:left="354"/>
              <w:rPr>
                <w:rFonts w:ascii="Arial" w:hAnsi="Arial" w:cs="Arial"/>
              </w:rPr>
            </w:pPr>
            <w:r>
              <w:rPr>
                <w:rFonts w:ascii="Arial" w:hAnsi="Arial" w:cs="Arial"/>
                <w:spacing w:val="-3"/>
              </w:rPr>
              <w:t>电机防护等级/绝缘等级</w:t>
            </w:r>
          </w:p>
        </w:tc>
        <w:tc>
          <w:tcPr>
            <w:tcW w:w="2809" w:type="dxa"/>
          </w:tcPr>
          <w:p w14:paraId="3DB6560C">
            <w:pPr>
              <w:spacing w:before="188" w:line="187" w:lineRule="auto"/>
              <w:ind w:left="1130"/>
            </w:pPr>
            <w:r>
              <w:rPr>
                <w:spacing w:val="-1"/>
              </w:rPr>
              <w:t>IP68H</w:t>
            </w:r>
          </w:p>
        </w:tc>
        <w:tc>
          <w:tcPr>
            <w:tcW w:w="2812" w:type="dxa"/>
          </w:tcPr>
          <w:p w14:paraId="170FDD88">
            <w:pPr>
              <w:spacing w:before="188" w:line="187" w:lineRule="auto"/>
              <w:ind w:left="1130"/>
            </w:pPr>
            <w:r>
              <w:rPr>
                <w:spacing w:val="-1"/>
              </w:rPr>
              <w:t>IP68H</w:t>
            </w:r>
          </w:p>
        </w:tc>
      </w:tr>
    </w:tbl>
    <w:p w14:paraId="175A8FA7">
      <w:pPr>
        <w:spacing w:before="273" w:line="214" w:lineRule="auto"/>
        <w:ind w:left="94"/>
        <w:rPr>
          <w:spacing w:val="-3"/>
          <w:sz w:val="24"/>
        </w:rPr>
      </w:pPr>
      <w:r>
        <w:rPr>
          <w:spacing w:val="-3"/>
          <w:sz w:val="24"/>
        </w:rPr>
        <w:t>表二</w:t>
      </w:r>
    </w:p>
    <w:tbl>
      <w:tblPr>
        <w:tblStyle w:val="8"/>
        <w:tblW w:w="8432"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811"/>
        <w:gridCol w:w="2809"/>
        <w:gridCol w:w="2812"/>
      </w:tblGrid>
      <w:tr w14:paraId="3E11F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trPr>
        <w:tc>
          <w:tcPr>
            <w:tcW w:w="2811" w:type="dxa"/>
          </w:tcPr>
          <w:p w14:paraId="0845A68E">
            <w:pPr>
              <w:pStyle w:val="10"/>
              <w:spacing w:before="154" w:line="207" w:lineRule="auto"/>
              <w:ind w:left="990"/>
              <w:rPr>
                <w:rFonts w:ascii="Arial" w:hAnsi="Arial" w:cs="Arial"/>
              </w:rPr>
            </w:pPr>
            <w:r>
              <w:rPr>
                <w:rFonts w:ascii="Arial" w:hAnsi="Arial" w:cs="Arial"/>
                <w:b/>
                <w:bCs/>
                <w:spacing w:val="-4"/>
              </w:rPr>
              <w:t>设备名称</w:t>
            </w:r>
          </w:p>
        </w:tc>
        <w:tc>
          <w:tcPr>
            <w:tcW w:w="2809" w:type="dxa"/>
          </w:tcPr>
          <w:p w14:paraId="7313417E">
            <w:pPr>
              <w:pStyle w:val="10"/>
              <w:spacing w:before="94" w:line="220" w:lineRule="auto"/>
              <w:ind w:left="672"/>
              <w:rPr>
                <w:rFonts w:ascii="Arial" w:hAnsi="Arial" w:cs="Arial"/>
              </w:rPr>
            </w:pPr>
            <w:r>
              <w:rPr>
                <w:rFonts w:ascii="Arial" w:hAnsi="Arial" w:cs="Arial"/>
                <w:b/>
                <w:bCs/>
                <w:spacing w:val="-3"/>
              </w:rPr>
              <w:t>污泥浓缩提升泵</w:t>
            </w:r>
          </w:p>
        </w:tc>
        <w:tc>
          <w:tcPr>
            <w:tcW w:w="2812" w:type="dxa"/>
          </w:tcPr>
          <w:p w14:paraId="44C4698C">
            <w:pPr>
              <w:pStyle w:val="10"/>
              <w:spacing w:before="154" w:line="207" w:lineRule="auto"/>
              <w:ind w:left="669"/>
              <w:rPr>
                <w:rFonts w:ascii="Arial" w:hAnsi="Arial" w:cs="Arial"/>
              </w:rPr>
            </w:pPr>
            <w:r>
              <w:rPr>
                <w:rFonts w:ascii="Arial" w:hAnsi="Arial" w:cs="Arial"/>
                <w:b/>
                <w:bCs/>
                <w:spacing w:val="-3"/>
              </w:rPr>
              <w:t>补充污泥回流泵</w:t>
            </w:r>
          </w:p>
        </w:tc>
      </w:tr>
      <w:tr w14:paraId="40D332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51B9644E">
            <w:pPr>
              <w:pStyle w:val="10"/>
              <w:spacing w:before="150" w:line="209" w:lineRule="auto"/>
              <w:ind w:left="993"/>
              <w:rPr>
                <w:rFonts w:ascii="Arial" w:hAnsi="Arial" w:cs="Arial"/>
              </w:rPr>
            </w:pPr>
            <w:r>
              <w:rPr>
                <w:rFonts w:ascii="Arial" w:hAnsi="Arial" w:cs="Arial"/>
                <w:spacing w:val="-3"/>
              </w:rPr>
              <w:t>设备编号</w:t>
            </w:r>
          </w:p>
        </w:tc>
        <w:tc>
          <w:tcPr>
            <w:tcW w:w="2809" w:type="dxa"/>
          </w:tcPr>
          <w:p w14:paraId="5049D662">
            <w:pPr>
              <w:spacing w:before="120" w:line="191" w:lineRule="auto"/>
              <w:ind w:left="514"/>
            </w:pPr>
            <w:r>
              <w:rPr>
                <w:spacing w:val="-1"/>
              </w:rPr>
              <w:t>SBR1/8-PSB301/302</w:t>
            </w:r>
          </w:p>
        </w:tc>
        <w:tc>
          <w:tcPr>
            <w:tcW w:w="2812" w:type="dxa"/>
          </w:tcPr>
          <w:p w14:paraId="3BB24378">
            <w:pPr>
              <w:spacing w:before="120" w:line="191" w:lineRule="auto"/>
              <w:ind w:left="514"/>
            </w:pPr>
            <w:r>
              <w:rPr>
                <w:spacing w:val="-1"/>
              </w:rPr>
              <w:t>SBR1/8-PSB401/406</w:t>
            </w:r>
          </w:p>
        </w:tc>
      </w:tr>
      <w:tr w14:paraId="50814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01482565">
            <w:pPr>
              <w:pStyle w:val="10"/>
              <w:spacing w:before="151" w:line="208" w:lineRule="auto"/>
              <w:ind w:left="1200"/>
              <w:rPr>
                <w:rFonts w:ascii="Arial" w:hAnsi="Arial" w:cs="Arial"/>
              </w:rPr>
            </w:pPr>
            <w:r>
              <w:rPr>
                <w:rFonts w:ascii="Arial" w:hAnsi="Arial" w:cs="Arial"/>
                <w:spacing w:val="-2"/>
              </w:rPr>
              <w:t>数量</w:t>
            </w:r>
          </w:p>
        </w:tc>
        <w:tc>
          <w:tcPr>
            <w:tcW w:w="2809" w:type="dxa"/>
          </w:tcPr>
          <w:p w14:paraId="47CF4E0F">
            <w:pPr>
              <w:pStyle w:val="10"/>
              <w:spacing w:before="151" w:line="208" w:lineRule="auto"/>
              <w:ind w:left="794"/>
              <w:rPr>
                <w:rFonts w:ascii="Arial" w:hAnsi="Arial" w:cs="Arial"/>
              </w:rPr>
            </w:pPr>
            <w:r>
              <w:rPr>
                <w:rFonts w:ascii="Arial" w:hAnsi="Arial" w:cs="Arial"/>
                <w:spacing w:val="-4"/>
              </w:rPr>
              <w:t>16套（16用）</w:t>
            </w:r>
          </w:p>
        </w:tc>
        <w:tc>
          <w:tcPr>
            <w:tcW w:w="2812" w:type="dxa"/>
          </w:tcPr>
          <w:p w14:paraId="76F28265">
            <w:pPr>
              <w:pStyle w:val="10"/>
              <w:spacing w:before="151" w:line="208" w:lineRule="auto"/>
              <w:ind w:left="564"/>
              <w:rPr>
                <w:rFonts w:ascii="Arial" w:hAnsi="Arial" w:cs="Arial"/>
              </w:rPr>
            </w:pPr>
            <w:r>
              <w:rPr>
                <w:rFonts w:ascii="Arial" w:hAnsi="Arial" w:cs="Arial"/>
                <w:spacing w:val="-1"/>
              </w:rPr>
              <w:t>48套（32用16备）</w:t>
            </w:r>
          </w:p>
        </w:tc>
      </w:tr>
      <w:tr w14:paraId="0E695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2811" w:type="dxa"/>
          </w:tcPr>
          <w:p w14:paraId="0A68D676">
            <w:pPr>
              <w:pStyle w:val="10"/>
              <w:spacing w:before="151" w:line="206" w:lineRule="auto"/>
              <w:ind w:left="1198"/>
              <w:rPr>
                <w:rFonts w:ascii="Arial" w:hAnsi="Arial" w:cs="Arial"/>
              </w:rPr>
            </w:pPr>
            <w:r>
              <w:rPr>
                <w:rFonts w:ascii="Arial" w:hAnsi="Arial" w:cs="Arial"/>
                <w:spacing w:val="-2"/>
              </w:rPr>
              <w:t>介质</w:t>
            </w:r>
          </w:p>
        </w:tc>
        <w:tc>
          <w:tcPr>
            <w:tcW w:w="2809" w:type="dxa"/>
          </w:tcPr>
          <w:p w14:paraId="72F824C3">
            <w:pPr>
              <w:pStyle w:val="10"/>
              <w:spacing w:before="151" w:line="206" w:lineRule="auto"/>
              <w:ind w:left="1200"/>
              <w:rPr>
                <w:rFonts w:ascii="Arial" w:hAnsi="Arial" w:cs="Arial"/>
              </w:rPr>
            </w:pPr>
            <w:r>
              <w:rPr>
                <w:rFonts w:ascii="Arial" w:hAnsi="Arial" w:cs="Arial"/>
                <w:spacing w:val="-2"/>
              </w:rPr>
              <w:t>污水</w:t>
            </w:r>
          </w:p>
        </w:tc>
        <w:tc>
          <w:tcPr>
            <w:tcW w:w="2812" w:type="dxa"/>
          </w:tcPr>
          <w:p w14:paraId="34A73A03">
            <w:pPr>
              <w:pStyle w:val="10"/>
              <w:spacing w:before="151" w:line="206" w:lineRule="auto"/>
              <w:ind w:left="1200"/>
              <w:rPr>
                <w:rFonts w:ascii="Arial" w:hAnsi="Arial" w:cs="Arial"/>
              </w:rPr>
            </w:pPr>
            <w:r>
              <w:rPr>
                <w:rFonts w:ascii="Arial" w:hAnsi="Arial" w:cs="Arial"/>
                <w:spacing w:val="-2"/>
              </w:rPr>
              <w:t>污水</w:t>
            </w:r>
          </w:p>
        </w:tc>
      </w:tr>
      <w:tr w14:paraId="5279B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796BF926">
            <w:pPr>
              <w:spacing w:before="181" w:line="191" w:lineRule="auto"/>
              <w:ind w:left="1271"/>
            </w:pPr>
            <w:r>
              <w:t>pH</w:t>
            </w:r>
          </w:p>
        </w:tc>
        <w:tc>
          <w:tcPr>
            <w:tcW w:w="2809" w:type="dxa"/>
          </w:tcPr>
          <w:p w14:paraId="3E422B34">
            <w:pPr>
              <w:pStyle w:val="10"/>
              <w:spacing w:before="151" w:line="208" w:lineRule="auto"/>
              <w:ind w:left="1199"/>
              <w:rPr>
                <w:rFonts w:ascii="Arial" w:hAnsi="Arial" w:cs="Arial"/>
              </w:rPr>
            </w:pPr>
            <w:r>
              <w:rPr>
                <w:rFonts w:ascii="Arial" w:hAnsi="Arial" w:cs="Arial"/>
                <w:spacing w:val="-3"/>
              </w:rPr>
              <w:t>6～9</w:t>
            </w:r>
          </w:p>
        </w:tc>
        <w:tc>
          <w:tcPr>
            <w:tcW w:w="2812" w:type="dxa"/>
          </w:tcPr>
          <w:p w14:paraId="0B80423C">
            <w:pPr>
              <w:pStyle w:val="10"/>
              <w:spacing w:before="151" w:line="208" w:lineRule="auto"/>
              <w:ind w:left="1199"/>
              <w:rPr>
                <w:rFonts w:ascii="Arial" w:hAnsi="Arial" w:cs="Arial"/>
              </w:rPr>
            </w:pPr>
            <w:r>
              <w:rPr>
                <w:rFonts w:ascii="Arial" w:hAnsi="Arial" w:cs="Arial"/>
                <w:spacing w:val="-3"/>
              </w:rPr>
              <w:t>6～9</w:t>
            </w:r>
          </w:p>
        </w:tc>
      </w:tr>
      <w:tr w14:paraId="10F4C3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218F83E3">
            <w:pPr>
              <w:pStyle w:val="10"/>
              <w:spacing w:before="150" w:line="158" w:lineRule="auto"/>
              <w:ind w:left="668"/>
              <w:rPr>
                <w:rFonts w:ascii="Arial" w:hAnsi="Arial" w:cs="Arial"/>
              </w:rPr>
            </w:pPr>
            <w:r>
              <w:rPr>
                <w:rFonts w:ascii="Arial" w:hAnsi="Arial" w:cs="Arial"/>
                <w:spacing w:val="-18"/>
              </w:rPr>
              <w:t>介质温度（C。）</w:t>
            </w:r>
          </w:p>
        </w:tc>
        <w:tc>
          <w:tcPr>
            <w:tcW w:w="2809" w:type="dxa"/>
          </w:tcPr>
          <w:p w14:paraId="19C36233">
            <w:pPr>
              <w:spacing w:before="182" w:line="187" w:lineRule="auto"/>
              <w:ind w:left="1159"/>
            </w:pPr>
            <w:r>
              <w:rPr>
                <w:spacing w:val="-4"/>
              </w:rPr>
              <w:t>10~30</w:t>
            </w:r>
          </w:p>
        </w:tc>
        <w:tc>
          <w:tcPr>
            <w:tcW w:w="2812" w:type="dxa"/>
          </w:tcPr>
          <w:p w14:paraId="779B03FC">
            <w:pPr>
              <w:spacing w:before="168" w:line="187" w:lineRule="auto"/>
              <w:ind w:left="1159"/>
            </w:pPr>
            <w:r>
              <w:rPr>
                <w:spacing w:val="-4"/>
              </w:rPr>
              <w:t>10~30</w:t>
            </w:r>
          </w:p>
        </w:tc>
      </w:tr>
      <w:tr w14:paraId="05AC1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18E99292">
            <w:pPr>
              <w:pStyle w:val="10"/>
              <w:spacing w:before="151" w:line="205" w:lineRule="auto"/>
              <w:ind w:left="316"/>
              <w:rPr>
                <w:rFonts w:ascii="Arial" w:hAnsi="Arial" w:cs="Arial"/>
              </w:rPr>
            </w:pPr>
            <w:r>
              <w:rPr>
                <w:rFonts w:ascii="Arial" w:hAnsi="Arial" w:cs="Arial"/>
                <w:spacing w:val="-1"/>
              </w:rPr>
              <w:t>输送介质密度（kg/m</w:t>
            </w:r>
            <w:r>
              <w:rPr>
                <w:rFonts w:ascii="Arial" w:hAnsi="Arial" w:cs="Arial"/>
                <w:spacing w:val="-1"/>
                <w:position w:val="6"/>
                <w:sz w:val="13"/>
                <w:szCs w:val="13"/>
              </w:rPr>
              <w:t>3</w:t>
            </w:r>
            <w:r>
              <w:rPr>
                <w:rFonts w:ascii="Arial" w:hAnsi="Arial" w:cs="Arial"/>
                <w:spacing w:val="-1"/>
              </w:rPr>
              <w:t>）</w:t>
            </w:r>
          </w:p>
        </w:tc>
        <w:tc>
          <w:tcPr>
            <w:tcW w:w="2809" w:type="dxa"/>
          </w:tcPr>
          <w:p w14:paraId="53A8AE06">
            <w:pPr>
              <w:spacing w:before="182" w:line="145" w:lineRule="exact"/>
              <w:ind w:left="1274"/>
            </w:pPr>
            <w:r>
              <mc:AlternateContent>
                <mc:Choice Requires="wps">
                  <w:drawing>
                    <wp:anchor distT="0" distB="0" distL="114300" distR="114300" simplePos="0" relativeHeight="251661312" behindDoc="0" locked="0" layoutInCell="1" allowOverlap="1">
                      <wp:simplePos x="0" y="0"/>
                      <wp:positionH relativeFrom="column">
                        <wp:posOffset>709295</wp:posOffset>
                      </wp:positionH>
                      <wp:positionV relativeFrom="paragraph">
                        <wp:posOffset>149860</wp:posOffset>
                      </wp:positionV>
                      <wp:extent cx="97155" cy="990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7155" cy="99060"/>
                              </a:xfrm>
                              <a:prstGeom prst="rect">
                                <a:avLst/>
                              </a:prstGeom>
                              <a:noFill/>
                              <a:ln>
                                <a:noFill/>
                              </a:ln>
                            </wps:spPr>
                            <wps:txbx>
                              <w:txbxContent>
                                <w:p w14:paraId="6561FE97">
                                  <w:pPr>
                                    <w:spacing w:before="20" w:line="115" w:lineRule="exact"/>
                                    <w:ind w:left="20"/>
                                    <w:rPr>
                                      <w:rFonts w:ascii="Times New Roman" w:hAnsi="Times New Roman" w:eastAsia="Times New Roman" w:cs="Times New Roman"/>
                                    </w:rPr>
                                  </w:pPr>
                                  <w:r>
                                    <w:rPr>
                                      <w:rFonts w:ascii="Times New Roman" w:hAnsi="Times New Roman" w:eastAsia="Times New Roman" w:cs="Times New Roman"/>
                                      <w:position w:val="-2"/>
                                    </w:rPr>
                                    <w:t>~</w:t>
                                  </w:r>
                                </w:p>
                              </w:txbxContent>
                            </wps:txbx>
                            <wps:bodyPr lIns="0" tIns="0" rIns="0" bIns="0" upright="1"/>
                          </wps:wsp>
                        </a:graphicData>
                      </a:graphic>
                    </wp:anchor>
                  </w:drawing>
                </mc:Choice>
                <mc:Fallback>
                  <w:pict>
                    <v:shape id="_x0000_s1026" o:spid="_x0000_s1026" o:spt="202" type="#_x0000_t202" style="position:absolute;left:0pt;margin-left:55.85pt;margin-top:11.8pt;height:7.8pt;width:7.65pt;z-index:251661312;mso-width-relative:page;mso-height-relative:page;" filled="f" stroked="f" coordsize="21600,21600" o:gfxdata="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WThp1wAAAAkBAAAPAAAAAAAAAAEAIAAAACIAAABkcnMvZG93bnJldi54bWxQSwECFAAU&#10;AAAACACHTuJAg5x7e7kBAABvAwAADgAAAAAAAAABACAAAAAmAQAAZHJzL2Uyb0RvYy54bWxQSwUG&#10;AAAAAAYABgBZAQAAUQUAAAAA&#10;">
                      <v:fill on="f" focussize="0,0"/>
                      <v:stroke on="f"/>
                      <v:imagedata o:title=""/>
                      <o:lock v:ext="edit" aspectratio="f"/>
                      <v:textbox inset="0mm,0mm,0mm,0mm">
                        <w:txbxContent>
                          <w:p w14:paraId="6561FE97">
                            <w:pPr>
                              <w:spacing w:before="20" w:line="115" w:lineRule="exact"/>
                              <w:ind w:left="20"/>
                              <w:rPr>
                                <w:rFonts w:ascii="Times New Roman" w:hAnsi="Times New Roman" w:eastAsia="Times New Roman" w:cs="Times New Roman"/>
                              </w:rPr>
                            </w:pPr>
                            <w:r>
                              <w:rPr>
                                <w:rFonts w:ascii="Times New Roman" w:hAnsi="Times New Roman" w:eastAsia="Times New Roman" w:cs="Times New Roman"/>
                                <w:position w:val="-2"/>
                              </w:rPr>
                              <w:t>~</w:t>
                            </w:r>
                          </w:p>
                        </w:txbxContent>
                      </v:textbox>
                    </v:shape>
                  </w:pict>
                </mc:Fallback>
              </mc:AlternateContent>
            </w:r>
            <w:r>
              <w:rPr>
                <w:spacing w:val="-6"/>
                <w:position w:val="-3"/>
              </w:rPr>
              <w:t>1000</w:t>
            </w:r>
          </w:p>
        </w:tc>
        <w:tc>
          <w:tcPr>
            <w:tcW w:w="2812" w:type="dxa"/>
          </w:tcPr>
          <w:p w14:paraId="092904DC">
            <w:pPr>
              <w:spacing w:before="182" w:line="187" w:lineRule="auto"/>
              <w:ind w:left="1214"/>
            </w:pPr>
            <w:r>
              <w:rPr>
                <w:spacing w:val="-6"/>
              </w:rPr>
              <w:t>1000</w:t>
            </w:r>
          </w:p>
        </w:tc>
      </w:tr>
      <w:tr w14:paraId="68712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7" w:hRule="atLeast"/>
        </w:trPr>
        <w:tc>
          <w:tcPr>
            <w:tcW w:w="2811" w:type="dxa"/>
          </w:tcPr>
          <w:p w14:paraId="35D04E27">
            <w:pPr>
              <w:pStyle w:val="10"/>
              <w:spacing w:before="164" w:line="213" w:lineRule="auto"/>
              <w:ind w:left="653"/>
              <w:rPr>
                <w:rFonts w:ascii="Arial" w:hAnsi="Arial" w:cs="Arial"/>
              </w:rPr>
            </w:pPr>
            <w:r>
              <w:rPr>
                <w:rFonts w:ascii="Arial" w:hAnsi="Arial" w:cs="Arial"/>
                <w:spacing w:val="-1"/>
              </w:rPr>
              <w:t>工作制（h/day）</w:t>
            </w:r>
          </w:p>
        </w:tc>
        <w:tc>
          <w:tcPr>
            <w:tcW w:w="2809" w:type="dxa"/>
          </w:tcPr>
          <w:p w14:paraId="1352F9D9">
            <w:pPr>
              <w:spacing w:before="195" w:line="187" w:lineRule="auto"/>
              <w:ind w:left="1300"/>
            </w:pPr>
            <w:r>
              <w:rPr>
                <w:spacing w:val="-1"/>
              </w:rPr>
              <w:t>24</w:t>
            </w:r>
          </w:p>
        </w:tc>
        <w:tc>
          <w:tcPr>
            <w:tcW w:w="2812" w:type="dxa"/>
          </w:tcPr>
          <w:p w14:paraId="7147BED7">
            <w:pPr>
              <w:spacing w:before="169" w:line="187" w:lineRule="auto"/>
              <w:ind w:left="1300"/>
            </w:pPr>
            <w:r>
              <w:rPr>
                <w:spacing w:val="-1"/>
              </w:rPr>
              <w:t>24</w:t>
            </w:r>
          </w:p>
        </w:tc>
      </w:tr>
      <w:tr w14:paraId="68289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2" w:hRule="atLeast"/>
        </w:trPr>
        <w:tc>
          <w:tcPr>
            <w:tcW w:w="2811" w:type="dxa"/>
          </w:tcPr>
          <w:p w14:paraId="575CBD51">
            <w:pPr>
              <w:pStyle w:val="10"/>
              <w:spacing w:before="289" w:line="221" w:lineRule="auto"/>
              <w:ind w:left="993"/>
              <w:rPr>
                <w:rFonts w:ascii="Arial" w:hAnsi="Arial" w:cs="Arial"/>
              </w:rPr>
            </w:pPr>
            <w:r>
              <w:rPr>
                <w:rFonts w:ascii="Arial" w:hAnsi="Arial" w:cs="Arial"/>
                <w:spacing w:val="-3"/>
              </w:rPr>
              <w:t>安装方式</w:t>
            </w:r>
          </w:p>
        </w:tc>
        <w:tc>
          <w:tcPr>
            <w:tcW w:w="2809" w:type="dxa"/>
          </w:tcPr>
          <w:p w14:paraId="1BD7A598">
            <w:pPr>
              <w:pStyle w:val="10"/>
              <w:spacing w:before="154" w:line="223" w:lineRule="auto"/>
              <w:ind w:left="1305" w:right="142" w:hanging="1158"/>
              <w:rPr>
                <w:rFonts w:ascii="Arial" w:hAnsi="Arial" w:cs="Arial"/>
              </w:rPr>
            </w:pPr>
            <w:r>
              <w:rPr>
                <w:rFonts w:ascii="Arial" w:hAnsi="Arial" w:cs="Arial"/>
                <w:spacing w:val="-1"/>
              </w:rPr>
              <w:t>根据图纸及系统情况配套选</w:t>
            </w:r>
            <w:r>
              <w:rPr>
                <w:rFonts w:ascii="Arial" w:hAnsi="Arial" w:cs="Arial"/>
                <w:spacing w:val="5"/>
              </w:rPr>
              <w:t xml:space="preserve"> </w:t>
            </w:r>
            <w:r>
              <w:rPr>
                <w:rFonts w:ascii="Arial" w:hAnsi="Arial" w:cs="Arial"/>
              </w:rPr>
              <w:t>择</w:t>
            </w:r>
          </w:p>
        </w:tc>
        <w:tc>
          <w:tcPr>
            <w:tcW w:w="2812" w:type="dxa"/>
          </w:tcPr>
          <w:p w14:paraId="3AF8718A">
            <w:pPr>
              <w:pStyle w:val="10"/>
              <w:spacing w:before="154" w:line="223" w:lineRule="auto"/>
              <w:ind w:left="1305" w:right="145" w:hanging="1159"/>
              <w:rPr>
                <w:rFonts w:ascii="Arial" w:hAnsi="Arial" w:cs="Arial"/>
              </w:rPr>
            </w:pPr>
            <w:r>
              <w:rPr>
                <w:rFonts w:ascii="Arial" w:hAnsi="Arial" w:cs="Arial"/>
                <w:spacing w:val="-1"/>
              </w:rPr>
              <w:t>根据图纸及系统情况配套选</w:t>
            </w:r>
            <w:r>
              <w:rPr>
                <w:rFonts w:ascii="Arial" w:hAnsi="Arial" w:cs="Arial"/>
                <w:spacing w:val="5"/>
              </w:rPr>
              <w:t xml:space="preserve"> </w:t>
            </w:r>
            <w:r>
              <w:rPr>
                <w:rFonts w:ascii="Arial" w:hAnsi="Arial" w:cs="Arial"/>
              </w:rPr>
              <w:t>择</w:t>
            </w:r>
          </w:p>
        </w:tc>
      </w:tr>
      <w:tr w14:paraId="58988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2811" w:type="dxa"/>
          </w:tcPr>
          <w:p w14:paraId="77A5C91A">
            <w:pPr>
              <w:pStyle w:val="10"/>
              <w:spacing w:before="152" w:line="205" w:lineRule="auto"/>
              <w:ind w:left="993"/>
              <w:rPr>
                <w:rFonts w:ascii="Arial" w:hAnsi="Arial" w:cs="Arial"/>
              </w:rPr>
            </w:pPr>
            <w:r>
              <w:rPr>
                <w:rFonts w:ascii="Arial" w:hAnsi="Arial" w:cs="Arial"/>
                <w:spacing w:val="-3"/>
              </w:rPr>
              <w:t>安装地点</w:t>
            </w:r>
          </w:p>
        </w:tc>
        <w:tc>
          <w:tcPr>
            <w:tcW w:w="2809" w:type="dxa"/>
          </w:tcPr>
          <w:p w14:paraId="2E20D5E5">
            <w:pPr>
              <w:pStyle w:val="10"/>
              <w:spacing w:before="152" w:line="205" w:lineRule="auto"/>
              <w:ind w:left="797"/>
              <w:rPr>
                <w:rFonts w:ascii="Arial" w:hAnsi="Arial" w:cs="Arial"/>
              </w:rPr>
            </w:pPr>
            <w:r>
              <w:rPr>
                <w:rFonts w:ascii="Arial" w:hAnsi="Arial" w:cs="Arial"/>
                <w:spacing w:val="-2"/>
              </w:rPr>
              <w:t>改进型SBR池</w:t>
            </w:r>
          </w:p>
        </w:tc>
        <w:tc>
          <w:tcPr>
            <w:tcW w:w="2812" w:type="dxa"/>
          </w:tcPr>
          <w:p w14:paraId="3CBA77F3">
            <w:pPr>
              <w:pStyle w:val="10"/>
              <w:spacing w:before="152" w:line="205" w:lineRule="auto"/>
              <w:ind w:left="797"/>
              <w:rPr>
                <w:rFonts w:ascii="Arial" w:hAnsi="Arial" w:cs="Arial"/>
              </w:rPr>
            </w:pPr>
            <w:r>
              <w:rPr>
                <w:rFonts w:ascii="Arial" w:hAnsi="Arial" w:cs="Arial"/>
                <w:spacing w:val="-2"/>
              </w:rPr>
              <w:t>改进型SBR池</w:t>
            </w:r>
          </w:p>
        </w:tc>
      </w:tr>
      <w:tr w14:paraId="7F476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6DEF8C74">
            <w:pPr>
              <w:pStyle w:val="10"/>
              <w:spacing w:before="152" w:line="207" w:lineRule="auto"/>
              <w:ind w:left="1200"/>
              <w:rPr>
                <w:rFonts w:ascii="Arial" w:hAnsi="Arial" w:cs="Arial"/>
              </w:rPr>
            </w:pPr>
            <w:r>
              <w:rPr>
                <w:rFonts w:ascii="Arial" w:hAnsi="Arial" w:cs="Arial"/>
                <w:spacing w:val="-3"/>
              </w:rPr>
              <w:t>说明</w:t>
            </w:r>
          </w:p>
        </w:tc>
        <w:tc>
          <w:tcPr>
            <w:tcW w:w="2809" w:type="dxa"/>
          </w:tcPr>
          <w:p w14:paraId="19EC416B">
            <w:pPr>
              <w:pStyle w:val="10"/>
              <w:spacing w:before="152" w:line="207" w:lineRule="auto"/>
              <w:ind w:left="778"/>
              <w:rPr>
                <w:rFonts w:ascii="Arial" w:hAnsi="Arial" w:cs="Arial"/>
              </w:rPr>
            </w:pPr>
            <w:r>
              <w:rPr>
                <w:rFonts w:ascii="Arial" w:hAnsi="Arial" w:cs="Arial"/>
                <w:spacing w:val="-1"/>
              </w:rPr>
              <w:t>全部变频控制</w:t>
            </w:r>
          </w:p>
        </w:tc>
        <w:tc>
          <w:tcPr>
            <w:tcW w:w="2812" w:type="dxa"/>
          </w:tcPr>
          <w:p w14:paraId="17966257">
            <w:pPr>
              <w:pStyle w:val="10"/>
              <w:spacing w:before="152" w:line="207" w:lineRule="auto"/>
              <w:ind w:left="1355"/>
              <w:rPr>
                <w:rFonts w:ascii="Arial" w:hAnsi="Arial" w:cs="Arial"/>
              </w:rPr>
            </w:pPr>
            <w:r>
              <w:rPr>
                <w:rFonts w:ascii="Arial" w:hAnsi="Arial" w:cs="Arial"/>
              </w:rPr>
              <w:t>/</w:t>
            </w:r>
          </w:p>
        </w:tc>
      </w:tr>
      <w:tr w14:paraId="4EE0A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72400BA1">
            <w:pPr>
              <w:pStyle w:val="10"/>
              <w:spacing w:before="152" w:line="204" w:lineRule="auto"/>
              <w:ind w:left="1200"/>
              <w:rPr>
                <w:rFonts w:ascii="Arial" w:hAnsi="Arial" w:cs="Arial"/>
              </w:rPr>
            </w:pPr>
            <w:r>
              <w:rPr>
                <w:rFonts w:ascii="Arial" w:hAnsi="Arial" w:cs="Arial"/>
                <w:spacing w:val="-3"/>
              </w:rPr>
              <w:t>形式</w:t>
            </w:r>
          </w:p>
        </w:tc>
        <w:tc>
          <w:tcPr>
            <w:tcW w:w="2809" w:type="dxa"/>
          </w:tcPr>
          <w:p w14:paraId="1E0B1ABF">
            <w:pPr>
              <w:pStyle w:val="10"/>
              <w:spacing w:before="152" w:line="204" w:lineRule="auto"/>
              <w:ind w:left="671"/>
              <w:rPr>
                <w:rFonts w:ascii="Arial" w:hAnsi="Arial" w:cs="Arial"/>
              </w:rPr>
            </w:pPr>
            <w:r>
              <w:rPr>
                <w:rFonts w:ascii="Arial" w:hAnsi="Arial" w:cs="Arial"/>
                <w:spacing w:val="-1"/>
              </w:rPr>
              <w:t>潜水水平轴流泵</w:t>
            </w:r>
          </w:p>
        </w:tc>
        <w:tc>
          <w:tcPr>
            <w:tcW w:w="2812" w:type="dxa"/>
          </w:tcPr>
          <w:p w14:paraId="2B0DE396">
            <w:pPr>
              <w:pStyle w:val="10"/>
              <w:spacing w:before="152" w:line="204" w:lineRule="auto"/>
              <w:ind w:left="886"/>
              <w:rPr>
                <w:rFonts w:ascii="Arial" w:hAnsi="Arial" w:cs="Arial"/>
              </w:rPr>
            </w:pPr>
            <w:r>
              <w:rPr>
                <w:rFonts w:ascii="Arial" w:hAnsi="Arial" w:cs="Arial"/>
                <w:spacing w:val="-2"/>
              </w:rPr>
              <w:t>离心潜水泵</w:t>
            </w:r>
          </w:p>
        </w:tc>
      </w:tr>
      <w:tr w14:paraId="34AAA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1CA3DE91">
            <w:pPr>
              <w:pStyle w:val="10"/>
              <w:spacing w:before="155" w:line="204" w:lineRule="auto"/>
              <w:ind w:left="1002"/>
              <w:rPr>
                <w:rFonts w:ascii="Arial" w:hAnsi="Arial" w:cs="Arial"/>
              </w:rPr>
            </w:pPr>
            <w:r>
              <w:rPr>
                <w:rFonts w:ascii="Arial" w:hAnsi="Arial" w:cs="Arial"/>
                <w:spacing w:val="-5"/>
              </w:rPr>
              <w:t>叶轮型式</w:t>
            </w:r>
          </w:p>
        </w:tc>
        <w:tc>
          <w:tcPr>
            <w:tcW w:w="2809" w:type="dxa"/>
          </w:tcPr>
          <w:p w14:paraId="559E2F0D">
            <w:pPr>
              <w:pStyle w:val="10"/>
              <w:spacing w:before="155" w:line="204" w:lineRule="auto"/>
              <w:ind w:left="780"/>
              <w:rPr>
                <w:rFonts w:ascii="Arial" w:hAnsi="Arial" w:cs="Arial"/>
              </w:rPr>
            </w:pPr>
            <w:r>
              <w:rPr>
                <w:rFonts w:ascii="Arial" w:hAnsi="Arial" w:cs="Arial"/>
                <w:spacing w:val="-2"/>
              </w:rPr>
              <w:t>螺旋桨式叶轮</w:t>
            </w:r>
          </w:p>
        </w:tc>
        <w:tc>
          <w:tcPr>
            <w:tcW w:w="2812" w:type="dxa"/>
          </w:tcPr>
          <w:p w14:paraId="307FDF6A">
            <w:pPr>
              <w:pStyle w:val="10"/>
              <w:spacing w:before="155" w:line="204" w:lineRule="auto"/>
              <w:ind w:left="885"/>
              <w:rPr>
                <w:rFonts w:ascii="Arial" w:hAnsi="Arial" w:cs="Arial"/>
              </w:rPr>
            </w:pPr>
            <w:r>
              <w:rPr>
                <w:rFonts w:ascii="Arial" w:hAnsi="Arial" w:cs="Arial"/>
                <w:spacing w:val="-2"/>
              </w:rPr>
              <w:t>无堵塞叶轮</w:t>
            </w:r>
          </w:p>
        </w:tc>
      </w:tr>
      <w:tr w14:paraId="1EFF2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122B9128">
            <w:pPr>
              <w:pStyle w:val="10"/>
              <w:spacing w:before="153" w:line="206" w:lineRule="auto"/>
              <w:ind w:left="880"/>
              <w:rPr>
                <w:rFonts w:ascii="Arial" w:hAnsi="Arial" w:cs="Arial"/>
              </w:rPr>
            </w:pPr>
            <w:r>
              <w:rPr>
                <w:rFonts w:ascii="Arial" w:hAnsi="Arial" w:cs="Arial"/>
                <w:spacing w:val="-2"/>
              </w:rPr>
              <w:t>流量</w:t>
            </w:r>
            <w:r>
              <w:rPr>
                <w:rFonts w:ascii="Arial" w:hAnsi="Arial" w:cs="Arial"/>
                <w:spacing w:val="11"/>
              </w:rPr>
              <w:t xml:space="preserve"> </w:t>
            </w:r>
            <w:r>
              <w:rPr>
                <w:rFonts w:ascii="Arial" w:hAnsi="Arial" w:cs="Arial"/>
                <w:spacing w:val="-2"/>
              </w:rPr>
              <w:t>(m</w:t>
            </w:r>
            <w:r>
              <w:rPr>
                <w:rFonts w:ascii="Arial" w:hAnsi="Arial" w:cs="Arial"/>
                <w:spacing w:val="-2"/>
                <w:position w:val="6"/>
                <w:sz w:val="13"/>
                <w:szCs w:val="13"/>
              </w:rPr>
              <w:t>3</w:t>
            </w:r>
            <w:r>
              <w:rPr>
                <w:rFonts w:ascii="Arial" w:hAnsi="Arial" w:cs="Arial"/>
                <w:spacing w:val="-2"/>
              </w:rPr>
              <w:t>/h)</w:t>
            </w:r>
          </w:p>
        </w:tc>
        <w:tc>
          <w:tcPr>
            <w:tcW w:w="2809" w:type="dxa"/>
          </w:tcPr>
          <w:p w14:paraId="2C6C7902">
            <w:pPr>
              <w:spacing w:before="187" w:line="187" w:lineRule="auto"/>
              <w:ind w:left="948"/>
            </w:pPr>
            <w:r>
              <w:rPr>
                <w:spacing w:val="-3"/>
              </w:rPr>
              <w:t>1250~1850</w:t>
            </w:r>
          </w:p>
        </w:tc>
        <w:tc>
          <w:tcPr>
            <w:tcW w:w="2812" w:type="dxa"/>
          </w:tcPr>
          <w:p w14:paraId="586B1485">
            <w:pPr>
              <w:spacing w:before="187" w:line="187" w:lineRule="auto"/>
              <w:ind w:left="1246"/>
            </w:pPr>
            <w:r>
              <w:rPr>
                <w:spacing w:val="-1"/>
              </w:rPr>
              <w:t>400</w:t>
            </w:r>
          </w:p>
        </w:tc>
      </w:tr>
      <w:tr w14:paraId="58C46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3D9B5D00">
            <w:pPr>
              <w:pStyle w:val="10"/>
              <w:spacing w:before="154" w:line="203" w:lineRule="auto"/>
              <w:ind w:left="993"/>
              <w:rPr>
                <w:rFonts w:ascii="Arial" w:hAnsi="Arial" w:cs="Arial"/>
              </w:rPr>
            </w:pPr>
            <w:r>
              <w:rPr>
                <w:rFonts w:ascii="Arial" w:hAnsi="Arial" w:cs="Arial"/>
                <w:spacing w:val="-3"/>
              </w:rPr>
              <w:t>扬程</w:t>
            </w:r>
            <w:r>
              <w:rPr>
                <w:rFonts w:ascii="Arial" w:hAnsi="Arial" w:cs="Arial"/>
                <w:spacing w:val="10"/>
              </w:rPr>
              <w:t xml:space="preserve"> </w:t>
            </w:r>
            <w:r>
              <w:rPr>
                <w:rFonts w:ascii="Arial" w:hAnsi="Arial" w:cs="Arial"/>
                <w:spacing w:val="-3"/>
              </w:rPr>
              <w:t>(m)</w:t>
            </w:r>
          </w:p>
        </w:tc>
        <w:tc>
          <w:tcPr>
            <w:tcW w:w="2809" w:type="dxa"/>
          </w:tcPr>
          <w:p w14:paraId="0C4B9A60">
            <w:pPr>
              <w:spacing w:before="185" w:line="187" w:lineRule="auto"/>
              <w:ind w:left="1089"/>
            </w:pPr>
            <w:r>
              <w:rPr>
                <w:spacing w:val="-1"/>
              </w:rPr>
              <w:t>0.7~0.9</w:t>
            </w:r>
          </w:p>
        </w:tc>
        <w:tc>
          <w:tcPr>
            <w:tcW w:w="2812" w:type="dxa"/>
          </w:tcPr>
          <w:p w14:paraId="4B6E1264">
            <w:pPr>
              <w:spacing w:before="185" w:line="187" w:lineRule="auto"/>
              <w:ind w:left="1278"/>
            </w:pPr>
            <w:r>
              <w:rPr>
                <w:spacing w:val="-2"/>
              </w:rPr>
              <w:t>3.5</w:t>
            </w:r>
          </w:p>
        </w:tc>
      </w:tr>
      <w:tr w14:paraId="6D0ED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0164FAE4">
            <w:pPr>
              <w:pStyle w:val="10"/>
              <w:spacing w:before="157" w:line="203" w:lineRule="auto"/>
              <w:ind w:left="1028"/>
              <w:rPr>
                <w:rFonts w:ascii="Arial" w:hAnsi="Arial" w:cs="Arial"/>
              </w:rPr>
            </w:pPr>
            <w:r>
              <w:rPr>
                <w:rFonts w:ascii="Arial" w:hAnsi="Arial" w:cs="Arial"/>
                <w:spacing w:val="-2"/>
              </w:rPr>
              <w:t>效率(％)</w:t>
            </w:r>
          </w:p>
        </w:tc>
        <w:tc>
          <w:tcPr>
            <w:tcW w:w="2809" w:type="dxa"/>
          </w:tcPr>
          <w:p w14:paraId="19F9B088">
            <w:pPr>
              <w:spacing w:before="184" w:line="202" w:lineRule="auto"/>
              <w:ind w:left="1372"/>
            </w:pPr>
            <w:r>
              <w:t>/</w:t>
            </w:r>
          </w:p>
        </w:tc>
        <w:tc>
          <w:tcPr>
            <w:tcW w:w="2812" w:type="dxa"/>
          </w:tcPr>
          <w:p w14:paraId="1AF611A0">
            <w:pPr>
              <w:spacing w:before="184" w:line="202" w:lineRule="auto"/>
              <w:ind w:left="1372"/>
            </w:pPr>
            <w:r>
              <w:t>/</w:t>
            </w:r>
          </w:p>
        </w:tc>
      </w:tr>
      <w:tr w14:paraId="65168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6DB2C9E1">
            <w:pPr>
              <w:pStyle w:val="10"/>
              <w:spacing w:before="154" w:line="205" w:lineRule="auto"/>
              <w:ind w:left="288"/>
              <w:rPr>
                <w:rFonts w:ascii="Arial" w:hAnsi="Arial" w:cs="Arial"/>
              </w:rPr>
            </w:pPr>
            <w:r>
              <w:rPr>
                <w:rFonts w:ascii="Arial" w:hAnsi="Arial" w:cs="Arial"/>
                <w:spacing w:val="-1"/>
              </w:rPr>
              <w:t>每小时允许起动次数(次)</w:t>
            </w:r>
          </w:p>
        </w:tc>
        <w:tc>
          <w:tcPr>
            <w:tcW w:w="2809" w:type="dxa"/>
          </w:tcPr>
          <w:p w14:paraId="7EF7A4CF">
            <w:pPr>
              <w:pStyle w:val="10"/>
              <w:spacing w:before="154" w:line="205" w:lineRule="auto"/>
              <w:ind w:left="1219"/>
              <w:rPr>
                <w:rFonts w:ascii="Arial" w:hAnsi="Arial" w:cs="Arial"/>
              </w:rPr>
            </w:pPr>
            <w:r>
              <w:rPr>
                <w:rFonts w:ascii="Arial" w:hAnsi="Arial" w:cs="Arial"/>
                <w:spacing w:val="-9"/>
              </w:rPr>
              <w:t>≥15</w:t>
            </w:r>
          </w:p>
        </w:tc>
        <w:tc>
          <w:tcPr>
            <w:tcW w:w="2812" w:type="dxa"/>
          </w:tcPr>
          <w:p w14:paraId="7D7AA4F0">
            <w:pPr>
              <w:pStyle w:val="10"/>
              <w:spacing w:before="154" w:line="205" w:lineRule="auto"/>
              <w:ind w:left="1219"/>
              <w:rPr>
                <w:rFonts w:ascii="Arial" w:hAnsi="Arial" w:cs="Arial"/>
              </w:rPr>
            </w:pPr>
            <w:r>
              <w:rPr>
                <w:rFonts w:ascii="Arial" w:hAnsi="Arial" w:cs="Arial"/>
                <w:spacing w:val="-9"/>
              </w:rPr>
              <w:t>≥15</w:t>
            </w:r>
          </w:p>
        </w:tc>
      </w:tr>
      <w:tr w14:paraId="12F70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2811" w:type="dxa"/>
          </w:tcPr>
          <w:p w14:paraId="2B8F9CDB">
            <w:pPr>
              <w:pStyle w:val="10"/>
              <w:spacing w:before="156" w:line="202" w:lineRule="auto"/>
              <w:ind w:left="1223"/>
              <w:rPr>
                <w:rFonts w:ascii="Arial" w:hAnsi="Arial" w:cs="Arial"/>
              </w:rPr>
            </w:pPr>
            <w:r>
              <w:rPr>
                <w:rFonts w:ascii="Arial" w:hAnsi="Arial" w:cs="Arial"/>
                <w:spacing w:val="-8"/>
              </w:rPr>
              <w:t>电源</w:t>
            </w:r>
          </w:p>
        </w:tc>
        <w:tc>
          <w:tcPr>
            <w:tcW w:w="2809" w:type="dxa"/>
          </w:tcPr>
          <w:p w14:paraId="3F813B99">
            <w:pPr>
              <w:spacing w:before="183" w:line="191" w:lineRule="auto"/>
              <w:ind w:left="733"/>
            </w:pPr>
            <w:r>
              <w:rPr>
                <w:spacing w:val="-1"/>
              </w:rPr>
              <w:t>380V/3ph/50Hz</w:t>
            </w:r>
          </w:p>
        </w:tc>
        <w:tc>
          <w:tcPr>
            <w:tcW w:w="2812" w:type="dxa"/>
          </w:tcPr>
          <w:p w14:paraId="5BD845B4">
            <w:pPr>
              <w:spacing w:before="183" w:line="191" w:lineRule="auto"/>
              <w:ind w:left="732"/>
            </w:pPr>
            <w:r>
              <w:rPr>
                <w:spacing w:val="-1"/>
              </w:rPr>
              <w:t>380V/3ph/50Hz</w:t>
            </w:r>
          </w:p>
        </w:tc>
      </w:tr>
      <w:tr w14:paraId="4762F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3" w:hRule="atLeast"/>
        </w:trPr>
        <w:tc>
          <w:tcPr>
            <w:tcW w:w="2811" w:type="dxa"/>
          </w:tcPr>
          <w:p w14:paraId="2975655E">
            <w:pPr>
              <w:pStyle w:val="10"/>
              <w:spacing w:before="155" w:line="209" w:lineRule="auto"/>
              <w:ind w:left="354"/>
              <w:rPr>
                <w:rFonts w:ascii="Arial" w:hAnsi="Arial" w:cs="Arial"/>
              </w:rPr>
            </w:pPr>
            <w:r>
              <w:rPr>
                <w:rFonts w:ascii="Arial" w:hAnsi="Arial" w:cs="Arial"/>
                <w:spacing w:val="-3"/>
              </w:rPr>
              <w:t>电机防护等级/绝缘等级</w:t>
            </w:r>
          </w:p>
        </w:tc>
        <w:tc>
          <w:tcPr>
            <w:tcW w:w="2809" w:type="dxa"/>
          </w:tcPr>
          <w:p w14:paraId="17BE9514">
            <w:pPr>
              <w:spacing w:before="189" w:line="187" w:lineRule="auto"/>
              <w:ind w:left="1130"/>
            </w:pPr>
            <w:r>
              <w:rPr>
                <w:spacing w:val="-1"/>
              </w:rPr>
              <w:t>IP68H</w:t>
            </w:r>
          </w:p>
        </w:tc>
        <w:tc>
          <w:tcPr>
            <w:tcW w:w="2812" w:type="dxa"/>
          </w:tcPr>
          <w:p w14:paraId="0569D026">
            <w:pPr>
              <w:spacing w:before="189" w:line="187" w:lineRule="auto"/>
              <w:ind w:left="1130"/>
            </w:pPr>
            <w:r>
              <w:rPr>
                <w:spacing w:val="-1"/>
              </w:rPr>
              <w:t>IP68H</w:t>
            </w:r>
          </w:p>
        </w:tc>
      </w:tr>
    </w:tbl>
    <w:p w14:paraId="3ACD384D">
      <w:pPr>
        <w:spacing w:before="273" w:line="214" w:lineRule="auto"/>
        <w:ind w:left="94"/>
        <w:rPr>
          <w:sz w:val="24"/>
        </w:rPr>
      </w:pPr>
      <w:r>
        <w:rPr>
          <w:spacing w:val="-3"/>
          <w:sz w:val="24"/>
        </w:rPr>
        <w:t>表三</w:t>
      </w:r>
    </w:p>
    <w:tbl>
      <w:tblPr>
        <w:tblStyle w:val="8"/>
        <w:tblW w:w="8432" w:type="dxa"/>
        <w:tblInd w:w="3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811"/>
        <w:gridCol w:w="2809"/>
        <w:gridCol w:w="2812"/>
      </w:tblGrid>
      <w:tr w14:paraId="0507E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trPr>
        <w:tc>
          <w:tcPr>
            <w:tcW w:w="2811" w:type="dxa"/>
          </w:tcPr>
          <w:p w14:paraId="6DF5C493">
            <w:pPr>
              <w:pStyle w:val="10"/>
              <w:spacing w:before="154" w:line="207" w:lineRule="auto"/>
              <w:ind w:left="990"/>
              <w:rPr>
                <w:rFonts w:ascii="Arial" w:hAnsi="Arial" w:cs="Arial"/>
              </w:rPr>
            </w:pPr>
            <w:r>
              <w:rPr>
                <w:rFonts w:ascii="Arial" w:hAnsi="Arial" w:cs="Arial"/>
                <w:b/>
                <w:bCs/>
                <w:spacing w:val="-4"/>
              </w:rPr>
              <w:t>设备名称</w:t>
            </w:r>
          </w:p>
        </w:tc>
        <w:tc>
          <w:tcPr>
            <w:tcW w:w="2809" w:type="dxa"/>
          </w:tcPr>
          <w:p w14:paraId="08833D1B">
            <w:pPr>
              <w:pStyle w:val="10"/>
              <w:spacing w:before="93" w:line="221" w:lineRule="auto"/>
              <w:ind w:left="881"/>
              <w:rPr>
                <w:rFonts w:ascii="Arial" w:hAnsi="Arial" w:cs="Arial"/>
              </w:rPr>
            </w:pPr>
            <w:r>
              <w:rPr>
                <w:rFonts w:ascii="Arial" w:hAnsi="Arial" w:cs="Arial"/>
                <w:b/>
                <w:bCs/>
                <w:spacing w:val="-3"/>
              </w:rPr>
              <w:t>剩余污泥泵</w:t>
            </w:r>
          </w:p>
        </w:tc>
        <w:tc>
          <w:tcPr>
            <w:tcW w:w="2812" w:type="dxa"/>
          </w:tcPr>
          <w:p w14:paraId="2DCBF878">
            <w:pPr>
              <w:pStyle w:val="10"/>
              <w:spacing w:before="154" w:line="207" w:lineRule="auto"/>
              <w:ind w:left="669"/>
              <w:rPr>
                <w:rFonts w:ascii="Arial" w:hAnsi="Arial" w:cs="Arial"/>
              </w:rPr>
            </w:pPr>
            <w:r>
              <w:rPr>
                <w:rFonts w:ascii="Arial" w:hAnsi="Arial" w:cs="Arial"/>
                <w:b/>
                <w:bCs/>
                <w:spacing w:val="-3"/>
              </w:rPr>
              <w:t>碳源分流提升泵</w:t>
            </w:r>
          </w:p>
        </w:tc>
      </w:tr>
      <w:tr w14:paraId="029E1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2811" w:type="dxa"/>
          </w:tcPr>
          <w:p w14:paraId="1C4C2B93">
            <w:pPr>
              <w:pStyle w:val="10"/>
              <w:spacing w:before="152" w:line="206" w:lineRule="auto"/>
              <w:ind w:left="993"/>
              <w:rPr>
                <w:rFonts w:ascii="Arial" w:hAnsi="Arial" w:cs="Arial"/>
              </w:rPr>
            </w:pPr>
            <w:r>
              <w:rPr>
                <w:rFonts w:ascii="Arial" w:hAnsi="Arial" w:cs="Arial"/>
                <w:spacing w:val="-3"/>
              </w:rPr>
              <w:t>设备编号</w:t>
            </w:r>
          </w:p>
        </w:tc>
        <w:tc>
          <w:tcPr>
            <w:tcW w:w="2809" w:type="dxa"/>
          </w:tcPr>
          <w:p w14:paraId="313078D3">
            <w:pPr>
              <w:spacing w:before="119" w:line="191" w:lineRule="auto"/>
              <w:ind w:left="514"/>
            </w:pPr>
            <w:r>
              <w:rPr>
                <w:spacing w:val="-1"/>
              </w:rPr>
              <w:t>SBR1/8-PSB501/506</w:t>
            </w:r>
          </w:p>
        </w:tc>
        <w:tc>
          <w:tcPr>
            <w:tcW w:w="2812" w:type="dxa"/>
          </w:tcPr>
          <w:p w14:paraId="2B980900">
            <w:pPr>
              <w:spacing w:before="119" w:line="191" w:lineRule="auto"/>
              <w:ind w:left="514"/>
            </w:pPr>
            <w:r>
              <w:rPr>
                <w:spacing w:val="-1"/>
              </w:rPr>
              <w:t>SBR1/8-PSB601/602</w:t>
            </w:r>
          </w:p>
        </w:tc>
      </w:tr>
      <w:tr w14:paraId="5463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2811" w:type="dxa"/>
          </w:tcPr>
          <w:p w14:paraId="04E728BE">
            <w:pPr>
              <w:pStyle w:val="10"/>
              <w:spacing w:before="151" w:line="207" w:lineRule="auto"/>
              <w:ind w:left="1200"/>
              <w:rPr>
                <w:rFonts w:ascii="Arial" w:hAnsi="Arial" w:cs="Arial"/>
              </w:rPr>
            </w:pPr>
            <w:r>
              <w:rPr>
                <w:rFonts w:ascii="Arial" w:hAnsi="Arial" w:cs="Arial"/>
                <w:spacing w:val="-2"/>
              </w:rPr>
              <w:t>数量</w:t>
            </w:r>
          </w:p>
        </w:tc>
        <w:tc>
          <w:tcPr>
            <w:tcW w:w="2809" w:type="dxa"/>
          </w:tcPr>
          <w:p w14:paraId="3312A9CA">
            <w:pPr>
              <w:pStyle w:val="10"/>
              <w:spacing w:before="151" w:line="207" w:lineRule="auto"/>
              <w:ind w:left="564"/>
              <w:rPr>
                <w:rFonts w:ascii="Arial" w:hAnsi="Arial" w:cs="Arial"/>
              </w:rPr>
            </w:pPr>
            <w:r>
              <w:rPr>
                <w:rFonts w:ascii="Arial" w:hAnsi="Arial" w:cs="Arial"/>
              </w:rPr>
              <w:t>48套（32用16备）</w:t>
            </w:r>
          </w:p>
        </w:tc>
        <w:tc>
          <w:tcPr>
            <w:tcW w:w="2812" w:type="dxa"/>
          </w:tcPr>
          <w:p w14:paraId="6E086DA8">
            <w:pPr>
              <w:pStyle w:val="10"/>
              <w:spacing w:before="151" w:line="207" w:lineRule="auto"/>
              <w:ind w:left="794"/>
              <w:rPr>
                <w:rFonts w:ascii="Arial" w:hAnsi="Arial" w:cs="Arial"/>
              </w:rPr>
            </w:pPr>
            <w:r>
              <w:rPr>
                <w:rFonts w:ascii="Arial" w:hAnsi="Arial" w:cs="Arial"/>
                <w:spacing w:val="-4"/>
              </w:rPr>
              <w:t>16套（16用）</w:t>
            </w:r>
          </w:p>
        </w:tc>
      </w:tr>
      <w:tr w14:paraId="2D470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11168054">
            <w:pPr>
              <w:pStyle w:val="10"/>
              <w:spacing w:before="152" w:line="204" w:lineRule="auto"/>
              <w:ind w:left="1198"/>
              <w:rPr>
                <w:rFonts w:ascii="Arial" w:hAnsi="Arial" w:cs="Arial"/>
              </w:rPr>
            </w:pPr>
            <w:r>
              <w:rPr>
                <w:rFonts w:ascii="Arial" w:hAnsi="Arial" w:cs="Arial"/>
                <w:spacing w:val="-2"/>
              </w:rPr>
              <w:t>介质</w:t>
            </w:r>
          </w:p>
        </w:tc>
        <w:tc>
          <w:tcPr>
            <w:tcW w:w="2809" w:type="dxa"/>
          </w:tcPr>
          <w:p w14:paraId="2745BED4">
            <w:pPr>
              <w:pStyle w:val="10"/>
              <w:spacing w:before="152" w:line="204" w:lineRule="auto"/>
              <w:ind w:left="1200"/>
              <w:rPr>
                <w:rFonts w:ascii="Arial" w:hAnsi="Arial" w:cs="Arial"/>
              </w:rPr>
            </w:pPr>
            <w:r>
              <w:rPr>
                <w:rFonts w:ascii="Arial" w:hAnsi="Arial" w:cs="Arial"/>
                <w:spacing w:val="-2"/>
              </w:rPr>
              <w:t>污水</w:t>
            </w:r>
          </w:p>
        </w:tc>
        <w:tc>
          <w:tcPr>
            <w:tcW w:w="2812" w:type="dxa"/>
          </w:tcPr>
          <w:p w14:paraId="39B69A37">
            <w:pPr>
              <w:pStyle w:val="10"/>
              <w:spacing w:before="152" w:line="204" w:lineRule="auto"/>
              <w:ind w:left="1200"/>
              <w:rPr>
                <w:rFonts w:ascii="Arial" w:hAnsi="Arial" w:cs="Arial"/>
              </w:rPr>
            </w:pPr>
            <w:r>
              <w:rPr>
                <w:rFonts w:ascii="Arial" w:hAnsi="Arial" w:cs="Arial"/>
                <w:spacing w:val="-2"/>
              </w:rPr>
              <w:t>污水</w:t>
            </w:r>
          </w:p>
        </w:tc>
      </w:tr>
      <w:tr w14:paraId="6BA44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1947EF5A">
            <w:pPr>
              <w:spacing w:before="184" w:line="191" w:lineRule="auto"/>
              <w:ind w:left="1271"/>
            </w:pPr>
            <w:r>
              <w:t>pH</w:t>
            </w:r>
          </w:p>
        </w:tc>
        <w:tc>
          <w:tcPr>
            <w:tcW w:w="2809" w:type="dxa"/>
          </w:tcPr>
          <w:p w14:paraId="77B60F15">
            <w:pPr>
              <w:pStyle w:val="10"/>
              <w:spacing w:before="155" w:line="204" w:lineRule="auto"/>
              <w:ind w:left="1199"/>
              <w:rPr>
                <w:rFonts w:ascii="Arial" w:hAnsi="Arial" w:cs="Arial"/>
              </w:rPr>
            </w:pPr>
            <w:r>
              <w:rPr>
                <w:rFonts w:ascii="Arial" w:hAnsi="Arial" w:cs="Arial"/>
                <w:spacing w:val="-3"/>
              </w:rPr>
              <w:t>6～9</w:t>
            </w:r>
          </w:p>
        </w:tc>
        <w:tc>
          <w:tcPr>
            <w:tcW w:w="2812" w:type="dxa"/>
          </w:tcPr>
          <w:p w14:paraId="1E6D8C19">
            <w:pPr>
              <w:pStyle w:val="10"/>
              <w:spacing w:before="155" w:line="204" w:lineRule="auto"/>
              <w:ind w:left="1199"/>
              <w:rPr>
                <w:rFonts w:ascii="Arial" w:hAnsi="Arial" w:cs="Arial"/>
              </w:rPr>
            </w:pPr>
            <w:r>
              <w:rPr>
                <w:rFonts w:ascii="Arial" w:hAnsi="Arial" w:cs="Arial"/>
                <w:spacing w:val="-3"/>
              </w:rPr>
              <w:t>6～9</w:t>
            </w:r>
          </w:p>
        </w:tc>
      </w:tr>
      <w:tr w14:paraId="6D8D47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2" w:hRule="atLeast"/>
        </w:trPr>
        <w:tc>
          <w:tcPr>
            <w:tcW w:w="2811" w:type="dxa"/>
          </w:tcPr>
          <w:p w14:paraId="18E25B93">
            <w:pPr>
              <w:pStyle w:val="10"/>
              <w:spacing w:before="153" w:line="159" w:lineRule="auto"/>
              <w:ind w:left="668"/>
              <w:rPr>
                <w:rFonts w:ascii="Arial" w:hAnsi="Arial" w:cs="Arial"/>
              </w:rPr>
            </w:pPr>
            <w:r>
              <w:rPr>
                <w:rFonts w:ascii="Arial" w:hAnsi="Arial" w:cs="Arial"/>
                <w:spacing w:val="-18"/>
              </w:rPr>
              <w:t>介质温度（C。）</w:t>
            </w:r>
          </w:p>
        </w:tc>
        <w:tc>
          <w:tcPr>
            <w:tcW w:w="2809" w:type="dxa"/>
          </w:tcPr>
          <w:p w14:paraId="3EDFC72E">
            <w:pPr>
              <w:spacing w:before="187" w:line="187" w:lineRule="auto"/>
              <w:ind w:left="1159"/>
            </w:pPr>
            <w:r>
              <w:rPr>
                <w:spacing w:val="-4"/>
              </w:rPr>
              <w:t>10~30</w:t>
            </w:r>
          </w:p>
        </w:tc>
        <w:tc>
          <w:tcPr>
            <w:tcW w:w="2812" w:type="dxa"/>
          </w:tcPr>
          <w:p w14:paraId="29E91311">
            <w:pPr>
              <w:spacing w:before="170" w:line="187" w:lineRule="auto"/>
              <w:ind w:left="1159"/>
            </w:pPr>
            <w:r>
              <w:rPr>
                <w:spacing w:val="-4"/>
              </w:rPr>
              <w:t>10~30</w:t>
            </w:r>
          </w:p>
        </w:tc>
      </w:tr>
      <w:tr w14:paraId="02AE8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0" w:hRule="atLeast"/>
        </w:trPr>
        <w:tc>
          <w:tcPr>
            <w:tcW w:w="2811" w:type="dxa"/>
          </w:tcPr>
          <w:p w14:paraId="5FFBADB2">
            <w:pPr>
              <w:pStyle w:val="10"/>
              <w:spacing w:before="154" w:line="207" w:lineRule="auto"/>
              <w:ind w:left="316"/>
              <w:rPr>
                <w:rFonts w:ascii="Arial" w:hAnsi="Arial" w:cs="Arial"/>
              </w:rPr>
            </w:pPr>
            <w:r>
              <w:rPr>
                <w:rFonts w:ascii="Arial" w:hAnsi="Arial" w:cs="Arial"/>
                <w:spacing w:val="-1"/>
              </w:rPr>
              <w:t>输送介质密度（kg/m</w:t>
            </w:r>
            <w:r>
              <w:rPr>
                <w:rFonts w:ascii="Arial" w:hAnsi="Arial" w:cs="Arial"/>
                <w:spacing w:val="-1"/>
                <w:position w:val="6"/>
                <w:sz w:val="13"/>
                <w:szCs w:val="13"/>
              </w:rPr>
              <w:t>3</w:t>
            </w:r>
            <w:r>
              <w:rPr>
                <w:rFonts w:ascii="Arial" w:hAnsi="Arial" w:cs="Arial"/>
                <w:spacing w:val="-1"/>
              </w:rPr>
              <w:t>）</w:t>
            </w:r>
          </w:p>
        </w:tc>
        <w:tc>
          <w:tcPr>
            <w:tcW w:w="2809" w:type="dxa"/>
          </w:tcPr>
          <w:p w14:paraId="55435D1B">
            <w:pPr>
              <w:spacing w:before="185" w:line="145" w:lineRule="exact"/>
              <w:ind w:left="1274"/>
            </w:pPr>
            <w:r>
              <mc:AlternateContent>
                <mc:Choice Requires="wps">
                  <w:drawing>
                    <wp:anchor distT="0" distB="0" distL="114300" distR="114300" simplePos="0" relativeHeight="251662336" behindDoc="0" locked="0" layoutInCell="1" allowOverlap="1">
                      <wp:simplePos x="0" y="0"/>
                      <wp:positionH relativeFrom="column">
                        <wp:posOffset>709295</wp:posOffset>
                      </wp:positionH>
                      <wp:positionV relativeFrom="paragraph">
                        <wp:posOffset>151765</wp:posOffset>
                      </wp:positionV>
                      <wp:extent cx="97155" cy="9906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7155" cy="99060"/>
                              </a:xfrm>
                              <a:prstGeom prst="rect">
                                <a:avLst/>
                              </a:prstGeom>
                              <a:noFill/>
                              <a:ln>
                                <a:noFill/>
                              </a:ln>
                            </wps:spPr>
                            <wps:txbx>
                              <w:txbxContent>
                                <w:p w14:paraId="3337F4D3">
                                  <w:pPr>
                                    <w:spacing w:before="20" w:line="115" w:lineRule="exact"/>
                                    <w:ind w:left="20"/>
                                    <w:rPr>
                                      <w:rFonts w:ascii="Times New Roman" w:hAnsi="Times New Roman" w:eastAsia="Times New Roman" w:cs="Times New Roman"/>
                                    </w:rPr>
                                  </w:pPr>
                                  <w:r>
                                    <w:rPr>
                                      <w:rFonts w:ascii="Times New Roman" w:hAnsi="Times New Roman" w:eastAsia="Times New Roman" w:cs="Times New Roman"/>
                                      <w:position w:val="-2"/>
                                    </w:rPr>
                                    <w:t>~</w:t>
                                  </w:r>
                                </w:p>
                              </w:txbxContent>
                            </wps:txbx>
                            <wps:bodyPr lIns="0" tIns="0" rIns="0" bIns="0" upright="1"/>
                          </wps:wsp>
                        </a:graphicData>
                      </a:graphic>
                    </wp:anchor>
                  </w:drawing>
                </mc:Choice>
                <mc:Fallback>
                  <w:pict>
                    <v:shape id="_x0000_s1026" o:spid="_x0000_s1026" o:spt="202" type="#_x0000_t202" style="position:absolute;left:0pt;margin-left:55.85pt;margin-top:11.95pt;height:7.8pt;width:7.65pt;z-index:251662336;mso-width-relative:page;mso-height-relative:page;" filled="f" stroked="f" coordsize="21600,21600" o:gfxdata="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UAWD9gAAAAJAQAADwAAAAAAAAABACAAAAAiAAAAZHJzL2Rvd25yZXYueG1sUEsBAhQA&#10;FAAAAAgAh07iQEt8sDW5AQAAbwMAAA4AAAAAAAAAAQAgAAAAJwEAAGRycy9lMm9Eb2MueG1sUEsF&#10;BgAAAAAGAAYAWQEAAFIFAAAAAA==&#10;">
                      <v:fill on="f" focussize="0,0"/>
                      <v:stroke on="f"/>
                      <v:imagedata o:title=""/>
                      <o:lock v:ext="edit" aspectratio="f"/>
                      <v:textbox inset="0mm,0mm,0mm,0mm">
                        <w:txbxContent>
                          <w:p w14:paraId="3337F4D3">
                            <w:pPr>
                              <w:spacing w:before="20" w:line="115" w:lineRule="exact"/>
                              <w:ind w:left="20"/>
                              <w:rPr>
                                <w:rFonts w:ascii="Times New Roman" w:hAnsi="Times New Roman" w:eastAsia="Times New Roman" w:cs="Times New Roman"/>
                              </w:rPr>
                            </w:pPr>
                            <w:r>
                              <w:rPr>
                                <w:rFonts w:ascii="Times New Roman" w:hAnsi="Times New Roman" w:eastAsia="Times New Roman" w:cs="Times New Roman"/>
                                <w:position w:val="-2"/>
                              </w:rPr>
                              <w:t>~</w:t>
                            </w:r>
                          </w:p>
                        </w:txbxContent>
                      </v:textbox>
                    </v:shape>
                  </w:pict>
                </mc:Fallback>
              </mc:AlternateContent>
            </w:r>
            <w:r>
              <w:rPr>
                <w:spacing w:val="-6"/>
                <w:position w:val="-3"/>
              </w:rPr>
              <w:t>1000</w:t>
            </w:r>
          </w:p>
        </w:tc>
        <w:tc>
          <w:tcPr>
            <w:tcW w:w="2812" w:type="dxa"/>
          </w:tcPr>
          <w:p w14:paraId="1457ADAD">
            <w:pPr>
              <w:spacing w:before="185" w:line="187" w:lineRule="auto"/>
              <w:ind w:left="1214"/>
            </w:pPr>
            <w:r>
              <w:rPr>
                <w:spacing w:val="-6"/>
              </w:rPr>
              <w:t>1000</w:t>
            </w:r>
          </w:p>
        </w:tc>
      </w:tr>
      <w:tr w14:paraId="47DF9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7" w:hRule="atLeast"/>
        </w:trPr>
        <w:tc>
          <w:tcPr>
            <w:tcW w:w="2811" w:type="dxa"/>
          </w:tcPr>
          <w:p w14:paraId="7CE3DAA1">
            <w:pPr>
              <w:pStyle w:val="10"/>
              <w:spacing w:before="162" w:line="213" w:lineRule="auto"/>
              <w:ind w:left="653"/>
              <w:rPr>
                <w:rFonts w:ascii="Arial" w:hAnsi="Arial" w:cs="Arial"/>
              </w:rPr>
            </w:pPr>
            <w:r>
              <w:rPr>
                <w:rFonts w:ascii="Arial" w:hAnsi="Arial" w:cs="Arial"/>
                <w:spacing w:val="-1"/>
              </w:rPr>
              <w:t>工作制（h/day）</w:t>
            </w:r>
          </w:p>
        </w:tc>
        <w:tc>
          <w:tcPr>
            <w:tcW w:w="2809" w:type="dxa"/>
          </w:tcPr>
          <w:p w14:paraId="4C474235">
            <w:pPr>
              <w:spacing w:before="193" w:line="187" w:lineRule="auto"/>
              <w:ind w:left="1300"/>
            </w:pPr>
            <w:r>
              <w:rPr>
                <w:spacing w:val="-1"/>
              </w:rPr>
              <w:t>24</w:t>
            </w:r>
          </w:p>
        </w:tc>
        <w:tc>
          <w:tcPr>
            <w:tcW w:w="2812" w:type="dxa"/>
          </w:tcPr>
          <w:p w14:paraId="64C3D56D">
            <w:pPr>
              <w:spacing w:before="167" w:line="187" w:lineRule="auto"/>
              <w:ind w:left="1300"/>
            </w:pPr>
            <w:r>
              <w:rPr>
                <w:spacing w:val="-1"/>
              </w:rPr>
              <w:t>24</w:t>
            </w:r>
          </w:p>
        </w:tc>
      </w:tr>
      <w:tr w14:paraId="20BC0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1" w:hRule="atLeast"/>
        </w:trPr>
        <w:tc>
          <w:tcPr>
            <w:tcW w:w="2811" w:type="dxa"/>
          </w:tcPr>
          <w:p w14:paraId="68EB30E1">
            <w:pPr>
              <w:pStyle w:val="10"/>
              <w:spacing w:before="287" w:line="221" w:lineRule="auto"/>
              <w:ind w:left="993"/>
              <w:rPr>
                <w:rFonts w:ascii="Arial" w:hAnsi="Arial" w:cs="Arial"/>
              </w:rPr>
            </w:pPr>
            <w:r>
              <w:rPr>
                <w:rFonts w:ascii="Arial" w:hAnsi="Arial" w:cs="Arial"/>
                <w:spacing w:val="-3"/>
              </w:rPr>
              <w:t>安装方式</w:t>
            </w:r>
          </w:p>
        </w:tc>
        <w:tc>
          <w:tcPr>
            <w:tcW w:w="2809" w:type="dxa"/>
          </w:tcPr>
          <w:p w14:paraId="21BF2146">
            <w:pPr>
              <w:pStyle w:val="10"/>
              <w:spacing w:before="153" w:line="223" w:lineRule="auto"/>
              <w:ind w:left="1305" w:right="142" w:hanging="1158"/>
              <w:rPr>
                <w:rFonts w:ascii="Arial" w:hAnsi="Arial" w:cs="Arial"/>
              </w:rPr>
            </w:pPr>
            <w:r>
              <w:rPr>
                <w:rFonts w:ascii="Arial" w:hAnsi="Arial" w:cs="Arial"/>
                <w:spacing w:val="-1"/>
              </w:rPr>
              <w:t>根据图纸及系统情况配套选</w:t>
            </w:r>
            <w:r>
              <w:rPr>
                <w:rFonts w:ascii="Arial" w:hAnsi="Arial" w:cs="Arial"/>
                <w:spacing w:val="5"/>
              </w:rPr>
              <w:t xml:space="preserve"> </w:t>
            </w:r>
            <w:r>
              <w:rPr>
                <w:rFonts w:ascii="Arial" w:hAnsi="Arial" w:cs="Arial"/>
              </w:rPr>
              <w:t>择</w:t>
            </w:r>
          </w:p>
        </w:tc>
        <w:tc>
          <w:tcPr>
            <w:tcW w:w="2812" w:type="dxa"/>
          </w:tcPr>
          <w:p w14:paraId="3C6C45BC">
            <w:pPr>
              <w:pStyle w:val="10"/>
              <w:spacing w:before="153" w:line="223" w:lineRule="auto"/>
              <w:ind w:left="1305" w:right="145" w:hanging="1159"/>
              <w:rPr>
                <w:rFonts w:ascii="Arial" w:hAnsi="Arial" w:cs="Arial"/>
              </w:rPr>
            </w:pPr>
            <w:r>
              <w:rPr>
                <w:rFonts w:ascii="Arial" w:hAnsi="Arial" w:cs="Arial"/>
                <w:spacing w:val="-1"/>
              </w:rPr>
              <w:t>根据图纸及系统情况配套选</w:t>
            </w:r>
            <w:r>
              <w:rPr>
                <w:rFonts w:ascii="Arial" w:hAnsi="Arial" w:cs="Arial"/>
                <w:spacing w:val="5"/>
              </w:rPr>
              <w:t xml:space="preserve"> </w:t>
            </w:r>
            <w:r>
              <w:rPr>
                <w:rFonts w:ascii="Arial" w:hAnsi="Arial" w:cs="Arial"/>
              </w:rPr>
              <w:t>择</w:t>
            </w:r>
          </w:p>
        </w:tc>
      </w:tr>
      <w:tr w14:paraId="49EFF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68386942">
            <w:pPr>
              <w:pStyle w:val="10"/>
              <w:spacing w:before="151" w:line="205" w:lineRule="auto"/>
              <w:ind w:left="993"/>
              <w:rPr>
                <w:rFonts w:ascii="Arial" w:hAnsi="Arial" w:cs="Arial"/>
              </w:rPr>
            </w:pPr>
            <w:r>
              <w:rPr>
                <w:rFonts w:ascii="Arial" w:hAnsi="Arial" w:cs="Arial"/>
                <w:spacing w:val="-3"/>
              </w:rPr>
              <w:t>安装地点</w:t>
            </w:r>
          </w:p>
        </w:tc>
        <w:tc>
          <w:tcPr>
            <w:tcW w:w="2809" w:type="dxa"/>
          </w:tcPr>
          <w:p w14:paraId="572B019C">
            <w:pPr>
              <w:pStyle w:val="10"/>
              <w:spacing w:before="151" w:line="205" w:lineRule="auto"/>
              <w:ind w:left="797"/>
              <w:rPr>
                <w:rFonts w:ascii="Arial" w:hAnsi="Arial" w:cs="Arial"/>
              </w:rPr>
            </w:pPr>
            <w:r>
              <w:rPr>
                <w:rFonts w:ascii="Arial" w:hAnsi="Arial" w:cs="Arial"/>
                <w:spacing w:val="-2"/>
              </w:rPr>
              <w:t>改进型SBR池</w:t>
            </w:r>
          </w:p>
        </w:tc>
        <w:tc>
          <w:tcPr>
            <w:tcW w:w="2812" w:type="dxa"/>
          </w:tcPr>
          <w:p w14:paraId="27E9A872">
            <w:pPr>
              <w:pStyle w:val="10"/>
              <w:spacing w:before="151" w:line="205" w:lineRule="auto"/>
              <w:ind w:left="797"/>
              <w:rPr>
                <w:rFonts w:ascii="Arial" w:hAnsi="Arial" w:cs="Arial"/>
              </w:rPr>
            </w:pPr>
            <w:r>
              <w:rPr>
                <w:rFonts w:ascii="Arial" w:hAnsi="Arial" w:cs="Arial"/>
                <w:spacing w:val="-2"/>
              </w:rPr>
              <w:t>改进型SBR池</w:t>
            </w:r>
          </w:p>
        </w:tc>
      </w:tr>
      <w:tr w14:paraId="04327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14FEB506">
            <w:pPr>
              <w:pStyle w:val="10"/>
              <w:spacing w:before="152" w:line="207" w:lineRule="auto"/>
              <w:ind w:left="1200"/>
              <w:rPr>
                <w:rFonts w:ascii="Arial" w:hAnsi="Arial" w:cs="Arial"/>
              </w:rPr>
            </w:pPr>
            <w:r>
              <w:rPr>
                <w:rFonts w:ascii="Arial" w:hAnsi="Arial" w:cs="Arial"/>
                <w:spacing w:val="-3"/>
              </w:rPr>
              <w:t>说明</w:t>
            </w:r>
          </w:p>
        </w:tc>
        <w:tc>
          <w:tcPr>
            <w:tcW w:w="2809" w:type="dxa"/>
          </w:tcPr>
          <w:p w14:paraId="0A7356FD">
            <w:pPr>
              <w:pStyle w:val="10"/>
              <w:spacing w:before="152" w:line="207" w:lineRule="auto"/>
              <w:ind w:left="1355"/>
              <w:rPr>
                <w:rFonts w:ascii="Arial" w:hAnsi="Arial" w:cs="Arial"/>
              </w:rPr>
            </w:pPr>
            <w:r>
              <w:rPr>
                <w:rFonts w:ascii="Arial" w:hAnsi="Arial" w:cs="Arial"/>
              </w:rPr>
              <w:t>/</w:t>
            </w:r>
          </w:p>
        </w:tc>
        <w:tc>
          <w:tcPr>
            <w:tcW w:w="2812" w:type="dxa"/>
          </w:tcPr>
          <w:p w14:paraId="05DCD70B">
            <w:pPr>
              <w:pStyle w:val="10"/>
              <w:spacing w:before="152" w:line="207" w:lineRule="auto"/>
              <w:ind w:left="777"/>
              <w:rPr>
                <w:rFonts w:ascii="Arial" w:hAnsi="Arial" w:cs="Arial"/>
              </w:rPr>
            </w:pPr>
            <w:r>
              <w:rPr>
                <w:rFonts w:ascii="Arial" w:hAnsi="Arial" w:cs="Arial"/>
                <w:spacing w:val="-1"/>
              </w:rPr>
              <w:t>全部变频控制</w:t>
            </w:r>
          </w:p>
        </w:tc>
      </w:tr>
      <w:tr w14:paraId="550E9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201DE6F3">
            <w:pPr>
              <w:pStyle w:val="10"/>
              <w:spacing w:before="152" w:line="207" w:lineRule="auto"/>
              <w:ind w:left="1200"/>
              <w:rPr>
                <w:rFonts w:ascii="Arial" w:hAnsi="Arial" w:cs="Arial"/>
              </w:rPr>
            </w:pPr>
            <w:r>
              <w:rPr>
                <w:rFonts w:ascii="Arial" w:hAnsi="Arial" w:cs="Arial"/>
                <w:spacing w:val="-3"/>
              </w:rPr>
              <w:t>形式</w:t>
            </w:r>
          </w:p>
        </w:tc>
        <w:tc>
          <w:tcPr>
            <w:tcW w:w="2809" w:type="dxa"/>
          </w:tcPr>
          <w:p w14:paraId="3631B0C6">
            <w:pPr>
              <w:pStyle w:val="10"/>
              <w:spacing w:before="152" w:line="207" w:lineRule="auto"/>
              <w:ind w:left="887"/>
              <w:rPr>
                <w:rFonts w:ascii="Arial" w:hAnsi="Arial" w:cs="Arial"/>
              </w:rPr>
            </w:pPr>
            <w:r>
              <w:rPr>
                <w:rFonts w:ascii="Arial" w:hAnsi="Arial" w:cs="Arial"/>
                <w:spacing w:val="-2"/>
              </w:rPr>
              <w:t>离心潜水泵</w:t>
            </w:r>
          </w:p>
        </w:tc>
        <w:tc>
          <w:tcPr>
            <w:tcW w:w="2812" w:type="dxa"/>
          </w:tcPr>
          <w:p w14:paraId="2B57741F">
            <w:pPr>
              <w:pStyle w:val="10"/>
              <w:spacing w:before="152" w:line="207" w:lineRule="auto"/>
              <w:ind w:left="671"/>
              <w:rPr>
                <w:rFonts w:ascii="Arial" w:hAnsi="Arial" w:cs="Arial"/>
              </w:rPr>
            </w:pPr>
            <w:r>
              <w:rPr>
                <w:rFonts w:ascii="Arial" w:hAnsi="Arial" w:cs="Arial"/>
                <w:spacing w:val="-1"/>
              </w:rPr>
              <w:t>潜水水平轴流泵</w:t>
            </w:r>
          </w:p>
        </w:tc>
      </w:tr>
      <w:tr w14:paraId="0FECE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2C605BF5">
            <w:pPr>
              <w:pStyle w:val="10"/>
              <w:spacing w:before="152" w:line="204" w:lineRule="auto"/>
              <w:ind w:left="1002"/>
              <w:rPr>
                <w:rFonts w:ascii="Arial" w:hAnsi="Arial" w:cs="Arial"/>
              </w:rPr>
            </w:pPr>
            <w:r>
              <w:rPr>
                <w:rFonts w:ascii="Arial" w:hAnsi="Arial" w:cs="Arial"/>
                <w:spacing w:val="-5"/>
              </w:rPr>
              <w:t>叶轮型式</w:t>
            </w:r>
          </w:p>
        </w:tc>
        <w:tc>
          <w:tcPr>
            <w:tcW w:w="2809" w:type="dxa"/>
          </w:tcPr>
          <w:p w14:paraId="07B48BFE">
            <w:pPr>
              <w:pStyle w:val="10"/>
              <w:spacing w:before="152" w:line="204" w:lineRule="auto"/>
              <w:ind w:left="885"/>
              <w:rPr>
                <w:rFonts w:ascii="Arial" w:hAnsi="Arial" w:cs="Arial"/>
              </w:rPr>
            </w:pPr>
            <w:r>
              <w:rPr>
                <w:rFonts w:ascii="Arial" w:hAnsi="Arial" w:cs="Arial"/>
                <w:spacing w:val="-2"/>
              </w:rPr>
              <w:t>无堵塞叶轮</w:t>
            </w:r>
          </w:p>
        </w:tc>
        <w:tc>
          <w:tcPr>
            <w:tcW w:w="2812" w:type="dxa"/>
          </w:tcPr>
          <w:p w14:paraId="346B356A">
            <w:pPr>
              <w:pStyle w:val="10"/>
              <w:spacing w:before="152" w:line="204" w:lineRule="auto"/>
              <w:ind w:left="780"/>
              <w:rPr>
                <w:rFonts w:ascii="Arial" w:hAnsi="Arial" w:cs="Arial"/>
              </w:rPr>
            </w:pPr>
            <w:r>
              <w:rPr>
                <w:rFonts w:ascii="Arial" w:hAnsi="Arial" w:cs="Arial"/>
                <w:spacing w:val="-2"/>
              </w:rPr>
              <w:t>螺旋桨式叶轮</w:t>
            </w:r>
          </w:p>
        </w:tc>
      </w:tr>
      <w:tr w14:paraId="71133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0E9E1517">
            <w:pPr>
              <w:pStyle w:val="10"/>
              <w:spacing w:before="153" w:line="206" w:lineRule="auto"/>
              <w:ind w:left="880"/>
              <w:rPr>
                <w:rFonts w:ascii="Arial" w:hAnsi="Arial" w:cs="Arial"/>
              </w:rPr>
            </w:pPr>
            <w:r>
              <w:rPr>
                <w:rFonts w:ascii="Arial" w:hAnsi="Arial" w:cs="Arial"/>
                <w:spacing w:val="-2"/>
              </w:rPr>
              <w:t>流量</w:t>
            </w:r>
            <w:r>
              <w:rPr>
                <w:rFonts w:ascii="Arial" w:hAnsi="Arial" w:cs="Arial"/>
                <w:spacing w:val="11"/>
              </w:rPr>
              <w:t xml:space="preserve"> </w:t>
            </w:r>
            <w:r>
              <w:rPr>
                <w:rFonts w:ascii="Arial" w:hAnsi="Arial" w:cs="Arial"/>
                <w:spacing w:val="-2"/>
              </w:rPr>
              <w:t>(m</w:t>
            </w:r>
            <w:r>
              <w:rPr>
                <w:rFonts w:ascii="Arial" w:hAnsi="Arial" w:cs="Arial"/>
                <w:spacing w:val="-2"/>
                <w:position w:val="6"/>
                <w:sz w:val="13"/>
                <w:szCs w:val="13"/>
              </w:rPr>
              <w:t>3</w:t>
            </w:r>
            <w:r>
              <w:rPr>
                <w:rFonts w:ascii="Arial" w:hAnsi="Arial" w:cs="Arial"/>
                <w:spacing w:val="-2"/>
              </w:rPr>
              <w:t>/h)</w:t>
            </w:r>
          </w:p>
        </w:tc>
        <w:tc>
          <w:tcPr>
            <w:tcW w:w="2809" w:type="dxa"/>
          </w:tcPr>
          <w:p w14:paraId="619BC542">
            <w:pPr>
              <w:spacing w:before="187" w:line="187" w:lineRule="auto"/>
              <w:ind w:left="1267"/>
            </w:pPr>
            <w:r>
              <w:rPr>
                <w:spacing w:val="-6"/>
              </w:rPr>
              <w:t>120</w:t>
            </w:r>
          </w:p>
        </w:tc>
        <w:tc>
          <w:tcPr>
            <w:tcW w:w="2812" w:type="dxa"/>
          </w:tcPr>
          <w:p w14:paraId="2FEB4DC5">
            <w:pPr>
              <w:spacing w:before="187" w:line="187" w:lineRule="auto"/>
              <w:ind w:left="1246"/>
            </w:pPr>
            <w:r>
              <w:rPr>
                <w:spacing w:val="-1"/>
              </w:rPr>
              <w:t>400</w:t>
            </w:r>
          </w:p>
        </w:tc>
      </w:tr>
      <w:tr w14:paraId="23D22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trPr>
        <w:tc>
          <w:tcPr>
            <w:tcW w:w="2811" w:type="dxa"/>
          </w:tcPr>
          <w:p w14:paraId="09DAF181">
            <w:pPr>
              <w:pStyle w:val="10"/>
              <w:spacing w:before="153" w:line="204" w:lineRule="auto"/>
              <w:ind w:left="993"/>
              <w:rPr>
                <w:rFonts w:ascii="Arial" w:hAnsi="Arial" w:cs="Arial"/>
              </w:rPr>
            </w:pPr>
            <w:r>
              <w:rPr>
                <w:rFonts w:ascii="Arial" w:hAnsi="Arial" w:cs="Arial"/>
                <w:spacing w:val="-3"/>
              </w:rPr>
              <w:t>扬程</w:t>
            </w:r>
            <w:r>
              <w:rPr>
                <w:rFonts w:ascii="Arial" w:hAnsi="Arial" w:cs="Arial"/>
                <w:spacing w:val="10"/>
              </w:rPr>
              <w:t xml:space="preserve"> </w:t>
            </w:r>
            <w:r>
              <w:rPr>
                <w:rFonts w:ascii="Arial" w:hAnsi="Arial" w:cs="Arial"/>
                <w:spacing w:val="-3"/>
              </w:rPr>
              <w:t>(m)</w:t>
            </w:r>
          </w:p>
        </w:tc>
        <w:tc>
          <w:tcPr>
            <w:tcW w:w="2809" w:type="dxa"/>
          </w:tcPr>
          <w:p w14:paraId="2F6FAAEB">
            <w:pPr>
              <w:spacing w:before="185" w:line="187" w:lineRule="auto"/>
              <w:ind w:left="1282"/>
            </w:pPr>
            <w:r>
              <w:rPr>
                <w:spacing w:val="-3"/>
              </w:rPr>
              <w:t>8.0</w:t>
            </w:r>
          </w:p>
        </w:tc>
        <w:tc>
          <w:tcPr>
            <w:tcW w:w="2812" w:type="dxa"/>
          </w:tcPr>
          <w:p w14:paraId="69FCD707">
            <w:pPr>
              <w:spacing w:before="185" w:line="187" w:lineRule="auto"/>
              <w:ind w:left="1278"/>
            </w:pPr>
            <w:r>
              <w:rPr>
                <w:spacing w:val="-2"/>
              </w:rPr>
              <w:t>3.5</w:t>
            </w:r>
          </w:p>
        </w:tc>
      </w:tr>
      <w:tr w14:paraId="589A7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509658B2">
            <w:pPr>
              <w:pStyle w:val="10"/>
              <w:spacing w:before="155" w:line="204" w:lineRule="auto"/>
              <w:ind w:left="1028"/>
              <w:rPr>
                <w:rFonts w:ascii="Arial" w:hAnsi="Arial" w:cs="Arial"/>
              </w:rPr>
            </w:pPr>
            <w:r>
              <w:rPr>
                <w:rFonts w:ascii="Arial" w:hAnsi="Arial" w:cs="Arial"/>
                <w:spacing w:val="-2"/>
              </w:rPr>
              <w:t>效率(％)</w:t>
            </w:r>
          </w:p>
        </w:tc>
        <w:tc>
          <w:tcPr>
            <w:tcW w:w="2809" w:type="dxa"/>
          </w:tcPr>
          <w:p w14:paraId="32D585FF">
            <w:pPr>
              <w:spacing w:before="183" w:line="203" w:lineRule="auto"/>
              <w:ind w:left="1372"/>
            </w:pPr>
            <w:r>
              <w:t>/</w:t>
            </w:r>
          </w:p>
        </w:tc>
        <w:tc>
          <w:tcPr>
            <w:tcW w:w="2812" w:type="dxa"/>
          </w:tcPr>
          <w:p w14:paraId="44825F9A">
            <w:pPr>
              <w:spacing w:before="183" w:line="203" w:lineRule="auto"/>
              <w:ind w:left="1372"/>
            </w:pPr>
            <w:r>
              <w:t>/</w:t>
            </w:r>
          </w:p>
        </w:tc>
      </w:tr>
      <w:tr w14:paraId="32954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2811" w:type="dxa"/>
          </w:tcPr>
          <w:p w14:paraId="394FD066">
            <w:pPr>
              <w:pStyle w:val="10"/>
              <w:spacing w:before="153" w:line="206" w:lineRule="auto"/>
              <w:ind w:left="288"/>
              <w:rPr>
                <w:rFonts w:ascii="Arial" w:hAnsi="Arial" w:cs="Arial"/>
              </w:rPr>
            </w:pPr>
            <w:r>
              <w:rPr>
                <w:rFonts w:ascii="Arial" w:hAnsi="Arial" w:cs="Arial"/>
                <w:spacing w:val="-1"/>
              </w:rPr>
              <w:t>每小时允许起动次数(次)</w:t>
            </w:r>
          </w:p>
        </w:tc>
        <w:tc>
          <w:tcPr>
            <w:tcW w:w="2809" w:type="dxa"/>
          </w:tcPr>
          <w:p w14:paraId="45FA9DEA">
            <w:pPr>
              <w:pStyle w:val="10"/>
              <w:spacing w:before="153" w:line="206" w:lineRule="auto"/>
              <w:ind w:left="1219"/>
              <w:rPr>
                <w:rFonts w:ascii="Arial" w:hAnsi="Arial" w:cs="Arial"/>
              </w:rPr>
            </w:pPr>
            <w:r>
              <w:rPr>
                <w:rFonts w:ascii="Arial" w:hAnsi="Arial" w:cs="Arial"/>
                <w:spacing w:val="-9"/>
              </w:rPr>
              <w:t>≥15</w:t>
            </w:r>
          </w:p>
        </w:tc>
        <w:tc>
          <w:tcPr>
            <w:tcW w:w="2812" w:type="dxa"/>
          </w:tcPr>
          <w:p w14:paraId="3A88F113">
            <w:pPr>
              <w:pStyle w:val="10"/>
              <w:spacing w:before="153" w:line="206" w:lineRule="auto"/>
              <w:ind w:left="1219"/>
              <w:rPr>
                <w:rFonts w:ascii="Arial" w:hAnsi="Arial" w:cs="Arial"/>
              </w:rPr>
            </w:pPr>
            <w:r>
              <w:rPr>
                <w:rFonts w:ascii="Arial" w:hAnsi="Arial" w:cs="Arial"/>
                <w:spacing w:val="-9"/>
              </w:rPr>
              <w:t>≥15</w:t>
            </w:r>
          </w:p>
        </w:tc>
      </w:tr>
      <w:tr w14:paraId="00EF6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5" w:hRule="atLeast"/>
        </w:trPr>
        <w:tc>
          <w:tcPr>
            <w:tcW w:w="2811" w:type="dxa"/>
          </w:tcPr>
          <w:p w14:paraId="231CE94D">
            <w:pPr>
              <w:pStyle w:val="10"/>
              <w:spacing w:before="154" w:line="203" w:lineRule="auto"/>
              <w:ind w:left="1223"/>
              <w:rPr>
                <w:rFonts w:ascii="Arial" w:hAnsi="Arial" w:cs="Arial"/>
              </w:rPr>
            </w:pPr>
            <w:r>
              <w:rPr>
                <w:rFonts w:ascii="Arial" w:hAnsi="Arial" w:cs="Arial"/>
                <w:spacing w:val="-8"/>
              </w:rPr>
              <w:t>电源</w:t>
            </w:r>
          </w:p>
        </w:tc>
        <w:tc>
          <w:tcPr>
            <w:tcW w:w="2809" w:type="dxa"/>
          </w:tcPr>
          <w:p w14:paraId="272EEF57">
            <w:pPr>
              <w:spacing w:before="182" w:line="191" w:lineRule="auto"/>
              <w:ind w:left="733"/>
            </w:pPr>
            <w:r>
              <w:rPr>
                <w:spacing w:val="-1"/>
              </w:rPr>
              <w:t>380V/3ph/50Hz</w:t>
            </w:r>
          </w:p>
        </w:tc>
        <w:tc>
          <w:tcPr>
            <w:tcW w:w="2812" w:type="dxa"/>
          </w:tcPr>
          <w:p w14:paraId="4EA09134">
            <w:pPr>
              <w:spacing w:before="182" w:line="191" w:lineRule="auto"/>
              <w:ind w:left="732"/>
            </w:pPr>
            <w:r>
              <w:rPr>
                <w:spacing w:val="-1"/>
              </w:rPr>
              <w:t>380V/3ph/50Hz</w:t>
            </w:r>
          </w:p>
        </w:tc>
      </w:tr>
      <w:tr w14:paraId="14D23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3" w:hRule="atLeast"/>
        </w:trPr>
        <w:tc>
          <w:tcPr>
            <w:tcW w:w="2811" w:type="dxa"/>
          </w:tcPr>
          <w:p w14:paraId="7B1062B8">
            <w:pPr>
              <w:pStyle w:val="10"/>
              <w:spacing w:before="157" w:line="207" w:lineRule="auto"/>
              <w:ind w:left="354"/>
              <w:rPr>
                <w:rFonts w:ascii="Arial" w:hAnsi="Arial" w:cs="Arial"/>
              </w:rPr>
            </w:pPr>
            <w:r>
              <w:rPr>
                <w:rFonts w:ascii="Arial" w:hAnsi="Arial" w:cs="Arial"/>
                <w:spacing w:val="-3"/>
              </w:rPr>
              <w:t>电机防护等级/绝缘等级</w:t>
            </w:r>
          </w:p>
        </w:tc>
        <w:tc>
          <w:tcPr>
            <w:tcW w:w="2809" w:type="dxa"/>
          </w:tcPr>
          <w:p w14:paraId="3EA8270E">
            <w:pPr>
              <w:spacing w:before="188" w:line="187" w:lineRule="auto"/>
              <w:ind w:left="1130"/>
            </w:pPr>
            <w:r>
              <w:rPr>
                <w:spacing w:val="-1"/>
              </w:rPr>
              <w:t>IP68H</w:t>
            </w:r>
          </w:p>
        </w:tc>
        <w:tc>
          <w:tcPr>
            <w:tcW w:w="2812" w:type="dxa"/>
          </w:tcPr>
          <w:p w14:paraId="53EF0CFE">
            <w:pPr>
              <w:spacing w:before="188" w:line="187" w:lineRule="auto"/>
              <w:ind w:left="1130"/>
            </w:pPr>
            <w:r>
              <w:rPr>
                <w:spacing w:val="-1"/>
              </w:rPr>
              <w:t>IP68H</w:t>
            </w:r>
          </w:p>
        </w:tc>
      </w:tr>
    </w:tbl>
    <w:p w14:paraId="605489AA">
      <w:pPr>
        <w:spacing w:before="273" w:line="214" w:lineRule="auto"/>
        <w:ind w:left="94"/>
        <w:rPr>
          <w:b/>
          <w:bCs/>
          <w:spacing w:val="-3"/>
          <w:sz w:val="24"/>
        </w:rPr>
      </w:pPr>
      <w:r>
        <w:rPr>
          <w:rFonts w:hint="eastAsia"/>
          <w:b/>
          <w:bCs/>
          <w:spacing w:val="-3"/>
          <w:sz w:val="24"/>
        </w:rPr>
        <w:t>B.其他技术要求详见如下描述</w:t>
      </w:r>
    </w:p>
    <w:p w14:paraId="26322B68">
      <w:pPr>
        <w:spacing w:before="273" w:line="360" w:lineRule="auto"/>
        <w:ind w:left="96" w:firstLine="468" w:firstLineChars="200"/>
        <w:rPr>
          <w:rFonts w:ascii="宋体" w:hAnsi="宋体" w:eastAsia="宋体" w:cs="宋体"/>
          <w:spacing w:val="-3"/>
          <w:sz w:val="24"/>
        </w:rPr>
      </w:pPr>
      <w:r>
        <w:rPr>
          <w:rFonts w:hint="eastAsia" w:ascii="宋体" w:hAnsi="宋体" w:eastAsia="宋体" w:cs="宋体"/>
          <w:spacing w:val="-3"/>
          <w:sz w:val="24"/>
        </w:rPr>
        <w:tab/>
      </w:r>
      <w:r>
        <w:rPr>
          <w:rFonts w:hint="eastAsia" w:ascii="宋体" w:hAnsi="宋体" w:eastAsia="宋体" w:cs="宋体"/>
          <w:spacing w:val="-3"/>
          <w:sz w:val="24"/>
        </w:rPr>
        <w:t>卖方应提供保证设备安全、稳定、可靠运行的全套设备、辅助及安装连接附 件，并负责指导安装、调试及试运行等工作。设备主要组成部分及供货范围 （不限于此）：</w:t>
      </w:r>
    </w:p>
    <w:p w14:paraId="6DB7F6CA">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1.潜水轴流泵</w:t>
      </w:r>
    </w:p>
    <w:p w14:paraId="4583A48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-装配完整的潜水轴流泵（包括泵壳、叶轮、机械密封、泵轴等） -     耐磨环</w:t>
      </w:r>
    </w:p>
    <w:p w14:paraId="664CE17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-潜水电机</w:t>
      </w:r>
    </w:p>
    <w:p w14:paraId="2E731C3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-提升链或钢丝绳、起吊锁扣、电缆固定装置（包括减震及固定架） 等</w:t>
      </w:r>
    </w:p>
    <w:p w14:paraId="110EB02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-每台泵需提供水下电缆（每台泵：不少于15米或长度根据现场条件 配）、电缆保护套、接头、紧固件、电缆接线箱、紧线器、电缆 夹</w:t>
      </w:r>
    </w:p>
    <w:p w14:paraId="7B8925F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-渗漏保护器、过热保护器 (安装在现场控制箱内)</w:t>
      </w:r>
    </w:p>
    <w:p w14:paraId="5781F4A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-现场控制箱（内置上述：电机综合保护器）</w:t>
      </w:r>
    </w:p>
    <w:p w14:paraId="2F93A3F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-泵导流筒、短管、三通及法兰、泵盖、橡胶活接头、防旋板、拍门 等</w:t>
      </w:r>
    </w:p>
    <w:p w14:paraId="4E068A9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-变频器</w:t>
      </w:r>
    </w:p>
    <w:p w14:paraId="6BFF4B0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-所有连接附件、化学地脚螺栓</w:t>
      </w:r>
    </w:p>
    <w:p w14:paraId="3BEDF74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-移动式吊架（带行走胶轮和定位机构）</w:t>
      </w:r>
    </w:p>
    <w:p w14:paraId="333521CF">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2. 排污泵</w:t>
      </w:r>
    </w:p>
    <w:p w14:paraId="185EDE1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装配完整的潜污泵（包括泵壳、叶轮、机械密封、泵轴等）</w:t>
      </w:r>
    </w:p>
    <w:p w14:paraId="0A79D9D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潜水电机</w:t>
      </w:r>
    </w:p>
    <w:p w14:paraId="7FA5DDC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基座、鸭脚弯头及耦合装置</w:t>
      </w:r>
    </w:p>
    <w:p w14:paraId="1939CD4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包括支架、导杆、提升链、支撑件</w:t>
      </w:r>
    </w:p>
    <w:p w14:paraId="5984AFE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潜水电缆（每台泵：不少于15米或长度根据现场条件配）及保护套、 电缆固定装置、接头、紧固件、电缆接线箱</w:t>
      </w:r>
    </w:p>
    <w:p w14:paraId="525CF09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低液位保护器、渗漏保护器、热敏开关</w:t>
      </w:r>
    </w:p>
    <w:p w14:paraId="5287534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液位计或液位开关等控制装置，具有低液位停泵、高液位启泵、超 过液位报警功能（信号上传中控室）</w:t>
      </w:r>
    </w:p>
    <w:p w14:paraId="2C92DD5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-现场控制箱，箱内预留远方控制接点及运行故障无源接点信号端子至PLC</w:t>
      </w:r>
    </w:p>
    <w:p w14:paraId="1942AAA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-所有连接附件</w:t>
      </w:r>
    </w:p>
    <w:p w14:paraId="2D98894D">
      <w:pPr>
        <w:spacing w:line="360" w:lineRule="auto"/>
        <w:ind w:firstLine="482" w:firstLineChars="200"/>
        <w:rPr>
          <w:rFonts w:ascii="宋体" w:hAnsi="宋体" w:eastAsia="宋体" w:cs="宋体"/>
          <w:sz w:val="24"/>
        </w:rPr>
      </w:pPr>
      <w:r>
        <w:rPr>
          <w:rFonts w:hint="eastAsia" w:ascii="宋体" w:hAnsi="宋体" w:eastAsia="宋体" w:cs="宋体"/>
          <w:b/>
          <w:bCs/>
          <w:sz w:val="24"/>
        </w:rPr>
        <w:t>技术要求</w:t>
      </w:r>
      <w:r>
        <w:rPr>
          <w:rFonts w:hint="eastAsia" w:ascii="宋体" w:hAnsi="宋体" w:eastAsia="宋体" w:cs="宋体"/>
          <w:sz w:val="24"/>
        </w:rPr>
        <w:t xml:space="preserve"> </w:t>
      </w:r>
    </w:p>
    <w:p w14:paraId="4FD82C42">
      <w:pPr>
        <w:spacing w:line="360" w:lineRule="auto"/>
        <w:ind w:firstLine="482" w:firstLineChars="200"/>
        <w:rPr>
          <w:rFonts w:ascii="宋体" w:hAnsi="宋体" w:eastAsia="宋体" w:cs="宋体"/>
          <w:b/>
          <w:bCs/>
          <w:sz w:val="24"/>
        </w:rPr>
      </w:pPr>
      <w:r>
        <w:rPr>
          <w:rFonts w:hint="eastAsia" w:ascii="宋体" w:hAnsi="宋体" w:eastAsia="宋体" w:cs="宋体"/>
          <w:b/>
          <w:bCs/>
          <w:sz w:val="24"/>
        </w:rPr>
        <w:t>潜水泵</w:t>
      </w:r>
    </w:p>
    <w:p w14:paraId="3326BF49">
      <w:pPr>
        <w:spacing w:line="360" w:lineRule="auto"/>
        <w:ind w:firstLine="480" w:firstLineChars="200"/>
        <w:rPr>
          <w:rFonts w:ascii="宋体" w:hAnsi="宋体" w:eastAsia="宋体" w:cs="宋体"/>
          <w:sz w:val="24"/>
        </w:rPr>
      </w:pPr>
      <w:r>
        <w:rPr>
          <w:rFonts w:hint="eastAsia" w:ascii="宋体" w:hAnsi="宋体" w:eastAsia="宋体" w:cs="宋体"/>
          <w:sz w:val="24"/>
        </w:rPr>
        <w:t>A.泵壳要有足够的厚度承受所有的负荷，包括静水压试验压力以及连续工作压 力。</w:t>
      </w:r>
    </w:p>
    <w:p w14:paraId="70852F27">
      <w:pPr>
        <w:spacing w:line="360" w:lineRule="auto"/>
        <w:ind w:firstLine="480" w:firstLineChars="200"/>
        <w:rPr>
          <w:rFonts w:ascii="宋体" w:hAnsi="宋体" w:eastAsia="宋体" w:cs="宋体"/>
          <w:sz w:val="24"/>
        </w:rPr>
      </w:pPr>
      <w:r>
        <w:rPr>
          <w:rFonts w:hint="eastAsia" w:ascii="宋体" w:hAnsi="宋体" w:eastAsia="宋体" w:cs="宋体"/>
          <w:sz w:val="24"/>
        </w:rPr>
        <w:t>B.离心泵与排水连接座密封应保证可靠无泄漏无脱落。</w:t>
      </w:r>
    </w:p>
    <w:p w14:paraId="406EF0FD">
      <w:pPr>
        <w:spacing w:line="360" w:lineRule="auto"/>
        <w:ind w:firstLine="480" w:firstLineChars="200"/>
        <w:rPr>
          <w:rFonts w:ascii="宋体" w:hAnsi="宋体" w:eastAsia="宋体" w:cs="宋体"/>
          <w:sz w:val="24"/>
        </w:rPr>
      </w:pPr>
      <w:r>
        <w:rPr>
          <w:rFonts w:hint="eastAsia" w:ascii="宋体" w:hAnsi="宋体" w:eastAsia="宋体" w:cs="宋体"/>
          <w:sz w:val="24"/>
        </w:rPr>
        <w:t>C.叶轮和泵轴之间采用键连接固定在轴的端部，并加以密封，叶轮和轴必须采用锁定装置以防叶轮和轴无论是正转还是偶尔发生反转都不会发生松动。</w:t>
      </w:r>
    </w:p>
    <w:p w14:paraId="7B2003A1">
      <w:pPr>
        <w:spacing w:line="360" w:lineRule="auto"/>
        <w:ind w:firstLine="480" w:firstLineChars="200"/>
        <w:rPr>
          <w:rFonts w:ascii="宋体" w:hAnsi="宋体" w:eastAsia="宋体" w:cs="宋体"/>
          <w:sz w:val="24"/>
        </w:rPr>
      </w:pPr>
      <w:r>
        <w:rPr>
          <w:rFonts w:hint="eastAsia" w:ascii="宋体" w:hAnsi="宋体" w:eastAsia="宋体" w:cs="宋体"/>
          <w:sz w:val="24"/>
        </w:rPr>
        <w:t>D.离心泵叶轮采用闭式无堵塞设计或采用半开式多叶片、后扫式、无堵塞设计。半开式多叶片无堵塞叶轮的导叶部分应进行硬化处理，当叶轮旋转时能够通 过泵室（或插入环）上的释放凹槽对叶轮进行清洁，使叶片上不积累杂质， 从而维持水泵能无堵塞运行。叶轮具有特定角度的完全后扫式导叶，能够处理固体、纤维、粘稠污泥和其它污水中的杂质。叶轮锁定在轴上。</w:t>
      </w:r>
    </w:p>
    <w:p w14:paraId="16384302">
      <w:pPr>
        <w:spacing w:line="360" w:lineRule="auto"/>
        <w:ind w:firstLine="480" w:firstLineChars="200"/>
        <w:rPr>
          <w:rFonts w:ascii="宋体" w:hAnsi="宋体" w:eastAsia="宋体" w:cs="宋体"/>
          <w:sz w:val="24"/>
        </w:rPr>
      </w:pPr>
      <w:r>
        <w:rPr>
          <w:rFonts w:hint="eastAsia" w:ascii="宋体" w:hAnsi="宋体" w:eastAsia="宋体" w:cs="宋体"/>
          <w:sz w:val="24"/>
        </w:rPr>
        <w:t>E.吸砂泵的叶轮表面应有耐磨损涂层，其使用寿命应不小于 3 年。</w:t>
      </w:r>
    </w:p>
    <w:p w14:paraId="076F5F99">
      <w:pPr>
        <w:spacing w:line="360" w:lineRule="auto"/>
        <w:ind w:firstLine="480" w:firstLineChars="200"/>
        <w:rPr>
          <w:rFonts w:ascii="宋体" w:hAnsi="宋体" w:eastAsia="宋体" w:cs="宋体"/>
          <w:sz w:val="24"/>
        </w:rPr>
      </w:pPr>
      <w:r>
        <w:rPr>
          <w:rFonts w:hint="eastAsia" w:ascii="宋体" w:hAnsi="宋体" w:eastAsia="宋体" w:cs="宋体"/>
          <w:sz w:val="24"/>
        </w:rPr>
        <w:t>F.混合液回流泵为潜水轴流泵，安放于导流筒内，无需螺栓固定。</w:t>
      </w:r>
    </w:p>
    <w:p w14:paraId="56B32914">
      <w:pPr>
        <w:spacing w:line="360" w:lineRule="auto"/>
        <w:ind w:firstLine="480" w:firstLineChars="200"/>
        <w:rPr>
          <w:rFonts w:ascii="宋体" w:hAnsi="宋体" w:eastAsia="宋体" w:cs="宋体"/>
          <w:sz w:val="24"/>
        </w:rPr>
      </w:pPr>
      <w:r>
        <w:rPr>
          <w:rFonts w:hint="eastAsia" w:ascii="宋体" w:hAnsi="宋体" w:eastAsia="宋体" w:cs="宋体"/>
          <w:sz w:val="24"/>
        </w:rPr>
        <w:t>G.潜水轴流泵导筒安装于混凝土筒壁。导流筒内应设有定位装置，保证潜水泵 工作时泵体不产生转动。</w:t>
      </w:r>
    </w:p>
    <w:p w14:paraId="323BBC75">
      <w:pPr>
        <w:spacing w:line="360" w:lineRule="auto"/>
        <w:ind w:firstLine="480" w:firstLineChars="200"/>
        <w:rPr>
          <w:rFonts w:ascii="宋体" w:hAnsi="宋体" w:eastAsia="宋体" w:cs="宋体"/>
          <w:sz w:val="24"/>
        </w:rPr>
      </w:pPr>
      <w:r>
        <w:rPr>
          <w:rFonts w:hint="eastAsia" w:ascii="宋体" w:hAnsi="宋体" w:eastAsia="宋体" w:cs="宋体"/>
          <w:sz w:val="24"/>
        </w:rPr>
        <w:t>H.潜水轴流泵壳的吸入口与导流筒底板的安装结合面处应有密封橡胶。</w:t>
      </w:r>
    </w:p>
    <w:p w14:paraId="38B9A654">
      <w:pPr>
        <w:spacing w:line="360" w:lineRule="auto"/>
        <w:ind w:firstLine="480" w:firstLineChars="200"/>
        <w:rPr>
          <w:rFonts w:ascii="宋体" w:hAnsi="宋体" w:eastAsia="宋体" w:cs="宋体"/>
          <w:sz w:val="24"/>
        </w:rPr>
      </w:pPr>
      <w:r>
        <w:rPr>
          <w:rFonts w:hint="eastAsia" w:ascii="宋体" w:hAnsi="宋体" w:eastAsia="宋体" w:cs="宋体"/>
          <w:sz w:val="24"/>
        </w:rPr>
        <w:t>I.潜水轴流泵叶轮具自清洁功能，不易堵塞，并且有非常好的过流特性。叶轮应作动平衡和静平衡试验。</w:t>
      </w:r>
    </w:p>
    <w:p w14:paraId="452EA57A">
      <w:pPr>
        <w:spacing w:line="360" w:lineRule="auto"/>
        <w:ind w:firstLine="480" w:firstLineChars="200"/>
        <w:rPr>
          <w:rFonts w:ascii="宋体" w:hAnsi="宋体" w:eastAsia="宋体" w:cs="宋体"/>
          <w:sz w:val="24"/>
        </w:rPr>
      </w:pPr>
      <w:r>
        <w:rPr>
          <w:rFonts w:hint="eastAsia" w:ascii="宋体" w:hAnsi="宋体" w:eastAsia="宋体" w:cs="宋体"/>
          <w:sz w:val="24"/>
        </w:rPr>
        <w:t>J. 泵和电机的轴应是连续无间断的轴，泵轴须是电机轴的延伸。耦连不能被接受。</w:t>
      </w:r>
    </w:p>
    <w:p w14:paraId="298F25AB">
      <w:pPr>
        <w:spacing w:line="360" w:lineRule="auto"/>
        <w:ind w:firstLine="480" w:firstLineChars="200"/>
        <w:rPr>
          <w:rFonts w:ascii="宋体" w:hAnsi="宋体" w:eastAsia="宋体" w:cs="宋体"/>
          <w:sz w:val="24"/>
        </w:rPr>
      </w:pPr>
      <w:r>
        <w:rPr>
          <w:rFonts w:hint="eastAsia" w:ascii="宋体" w:hAnsi="宋体" w:eastAsia="宋体" w:cs="宋体"/>
          <w:sz w:val="24"/>
        </w:rPr>
        <w:t>K.泵轴应在油脂润滑的上下轴承上转动，上轴承主要用于承担径向力。下轴承 承担径向力及轴向力。轴承寿命最低为10万小时。</w:t>
      </w:r>
    </w:p>
    <w:p w14:paraId="73A4DD9F">
      <w:pPr>
        <w:spacing w:line="360" w:lineRule="auto"/>
        <w:ind w:firstLine="480" w:firstLineChars="200"/>
        <w:rPr>
          <w:rFonts w:ascii="宋体" w:hAnsi="宋体" w:eastAsia="宋体" w:cs="宋体"/>
          <w:sz w:val="24"/>
        </w:rPr>
      </w:pPr>
      <w:r>
        <w:rPr>
          <w:rFonts w:hint="eastAsia" w:ascii="宋体" w:hAnsi="宋体" w:eastAsia="宋体" w:cs="宋体"/>
          <w:sz w:val="24"/>
        </w:rPr>
        <w:t>L.大功率潜水泵轴承应设置温度传感器，如果温度过高，传感器应实施报警并停机。</w:t>
      </w:r>
    </w:p>
    <w:p w14:paraId="16D70810">
      <w:pPr>
        <w:spacing w:line="360" w:lineRule="auto"/>
        <w:ind w:firstLine="480" w:firstLineChars="200"/>
        <w:rPr>
          <w:rFonts w:ascii="宋体" w:hAnsi="宋体" w:eastAsia="宋体" w:cs="宋体"/>
          <w:sz w:val="24"/>
        </w:rPr>
      </w:pPr>
      <w:r>
        <w:rPr>
          <w:rFonts w:hint="eastAsia" w:ascii="宋体" w:hAnsi="宋体" w:eastAsia="宋体" w:cs="宋体"/>
          <w:sz w:val="24"/>
        </w:rPr>
        <w:t>M.每台泵至少应配有上下两个双重独立的机械密封系统。密封在油腔内运行， 该油腔能以一稳定的流速对重叠的密封面进行润滑。</w:t>
      </w:r>
    </w:p>
    <w:p w14:paraId="525D057C">
      <w:pPr>
        <w:spacing w:line="360" w:lineRule="auto"/>
        <w:ind w:firstLine="480" w:firstLineChars="200"/>
        <w:rPr>
          <w:rFonts w:ascii="宋体" w:hAnsi="宋体" w:eastAsia="宋体" w:cs="宋体"/>
          <w:sz w:val="24"/>
        </w:rPr>
      </w:pPr>
      <w:r>
        <w:rPr>
          <w:rFonts w:hint="eastAsia" w:ascii="宋体" w:hAnsi="宋体" w:eastAsia="宋体" w:cs="宋体"/>
          <w:sz w:val="24"/>
        </w:rPr>
        <w:t>N.根据上述要求，潜水泵在蜗壳和叶轮间安装耐磨环。必须将耐磨环可靠地固 定在泵壳上，在正常运行条件下或逆向运转时都不会发生松动。耐磨环紧固 方式应考虑到拆卸方便。</w:t>
      </w:r>
    </w:p>
    <w:p w14:paraId="55A83E50">
      <w:pPr>
        <w:spacing w:line="360" w:lineRule="auto"/>
        <w:ind w:firstLine="482" w:firstLineChars="200"/>
        <w:rPr>
          <w:rFonts w:ascii="宋体" w:hAnsi="宋体" w:eastAsia="宋体" w:cs="宋体"/>
          <w:b/>
          <w:bCs/>
          <w:sz w:val="24"/>
        </w:rPr>
      </w:pPr>
      <w:r>
        <w:rPr>
          <w:rFonts w:hint="eastAsia" w:ascii="宋体" w:hAnsi="宋体" w:eastAsia="宋体" w:cs="宋体"/>
          <w:b/>
          <w:bCs/>
          <w:sz w:val="24"/>
        </w:rPr>
        <w:t>电机</w:t>
      </w:r>
    </w:p>
    <w:p w14:paraId="326B5BDB">
      <w:pPr>
        <w:spacing w:line="360" w:lineRule="auto"/>
        <w:ind w:firstLine="480" w:firstLineChars="200"/>
        <w:rPr>
          <w:rFonts w:ascii="宋体" w:hAnsi="宋体" w:eastAsia="宋体" w:cs="宋体"/>
          <w:sz w:val="24"/>
        </w:rPr>
      </w:pPr>
      <w:r>
        <w:rPr>
          <w:rFonts w:hint="eastAsia" w:ascii="宋体" w:hAnsi="宋体" w:eastAsia="宋体" w:cs="宋体"/>
          <w:sz w:val="24"/>
        </w:rPr>
        <w:t>A.电机为感应式鼠笼电机。电机应采用专为潜水泵设计并能连续泵送温度最高为40℃的介质。为监视每相绕组上的温度，在定子绕组线圈中应装有热敏开 关，热敏开关应与外部电机过载保护相连接并接到控制柜。</w:t>
      </w:r>
    </w:p>
    <w:p w14:paraId="5BAF9D66">
      <w:pPr>
        <w:spacing w:line="360" w:lineRule="auto"/>
        <w:ind w:firstLine="480" w:firstLineChars="200"/>
        <w:rPr>
          <w:rFonts w:ascii="宋体" w:hAnsi="宋体" w:eastAsia="宋体" w:cs="宋体"/>
          <w:sz w:val="24"/>
        </w:rPr>
      </w:pPr>
      <w:r>
        <w:rPr>
          <w:rFonts w:hint="eastAsia" w:ascii="宋体" w:hAnsi="宋体" w:eastAsia="宋体" w:cs="宋体"/>
          <w:sz w:val="24"/>
        </w:rPr>
        <w:t>B.潜水电机和水泵为保证其适配性均应由同一制造商制造。</w:t>
      </w:r>
    </w:p>
    <w:p w14:paraId="7B363EC6">
      <w:pPr>
        <w:spacing w:line="360" w:lineRule="auto"/>
        <w:ind w:firstLine="480" w:firstLineChars="200"/>
        <w:rPr>
          <w:rFonts w:ascii="宋体" w:hAnsi="宋体" w:eastAsia="宋体" w:cs="宋体"/>
          <w:sz w:val="24"/>
        </w:rPr>
      </w:pPr>
      <w:r>
        <w:rPr>
          <w:rFonts w:hint="eastAsia" w:ascii="宋体" w:hAnsi="宋体" w:eastAsia="宋体" w:cs="宋体"/>
          <w:sz w:val="24"/>
        </w:rPr>
        <w:t>C.组合服务因子（电压、频率、重力因素）应达到最小值为1.15，电机电压的 误差应为10％，电机设计在最高40℃环境下工作，并且定子绕组的平均温升不超过 80℃，应提供一份能显示转矩，电流，功率因素，输入输出功率和效率的性能表。该性能表还应包括启动和零负荷特性的数据。</w:t>
      </w:r>
    </w:p>
    <w:p w14:paraId="6B132145">
      <w:pPr>
        <w:spacing w:line="360" w:lineRule="auto"/>
        <w:ind w:left="719" w:leftChars="228" w:hanging="240" w:hangingChars="100"/>
        <w:rPr>
          <w:rFonts w:ascii="宋体" w:hAnsi="宋体" w:eastAsia="宋体" w:cs="宋体"/>
          <w:sz w:val="24"/>
        </w:rPr>
      </w:pPr>
      <w:r>
        <w:rPr>
          <w:rFonts w:hint="eastAsia" w:ascii="宋体" w:hAnsi="宋体" w:eastAsia="宋体" w:cs="宋体"/>
          <w:sz w:val="24"/>
        </w:rPr>
        <w:t>D.卖方需提供电机的每个保护传感器的信号规格，保证信号能传送到 MCC</w:t>
      </w:r>
    </w:p>
    <w:p w14:paraId="57F05145">
      <w:pPr>
        <w:spacing w:line="360" w:lineRule="auto"/>
        <w:ind w:left="719" w:leftChars="228" w:hanging="240" w:hangingChars="100"/>
        <w:rPr>
          <w:rFonts w:ascii="宋体" w:hAnsi="宋体" w:eastAsia="宋体" w:cs="宋体"/>
          <w:sz w:val="24"/>
        </w:rPr>
      </w:pPr>
      <w:r>
        <w:rPr>
          <w:rFonts w:hint="eastAsia" w:ascii="宋体" w:hAnsi="宋体" w:eastAsia="宋体" w:cs="宋体"/>
          <w:sz w:val="24"/>
        </w:rPr>
        <w:t>E.电机的定子绕组需安装超温传感器。</w:t>
      </w:r>
    </w:p>
    <w:p w14:paraId="396AB1FD">
      <w:pPr>
        <w:spacing w:line="360" w:lineRule="auto"/>
        <w:ind w:firstLine="480" w:firstLineChars="200"/>
        <w:rPr>
          <w:rFonts w:ascii="宋体" w:hAnsi="宋体" w:eastAsia="宋体" w:cs="宋体"/>
          <w:sz w:val="24"/>
        </w:rPr>
      </w:pPr>
      <w:r>
        <w:rPr>
          <w:rFonts w:hint="eastAsia" w:ascii="宋体" w:hAnsi="宋体" w:eastAsia="宋体" w:cs="宋体"/>
          <w:sz w:val="24"/>
        </w:rPr>
        <w:t>F.安装防渗漏传感器防止液体进入定子绕组。</w:t>
      </w:r>
    </w:p>
    <w:p w14:paraId="4D3AFC4B">
      <w:pPr>
        <w:spacing w:line="360" w:lineRule="auto"/>
        <w:ind w:firstLine="480" w:firstLineChars="200"/>
        <w:rPr>
          <w:rFonts w:ascii="宋体" w:hAnsi="宋体" w:eastAsia="宋体" w:cs="宋体"/>
          <w:sz w:val="24"/>
        </w:rPr>
      </w:pPr>
      <w:r>
        <w:rPr>
          <w:rFonts w:hint="eastAsia" w:ascii="宋体" w:hAnsi="宋体" w:eastAsia="宋体" w:cs="宋体"/>
          <w:sz w:val="24"/>
        </w:rPr>
        <w:t>G.水检测装置应安装在电机的电缆接线室内。</w:t>
      </w:r>
    </w:p>
    <w:p w14:paraId="6AEDAABA">
      <w:pPr>
        <w:spacing w:line="360" w:lineRule="auto"/>
        <w:ind w:firstLine="480" w:firstLineChars="200"/>
        <w:rPr>
          <w:rFonts w:ascii="宋体" w:hAnsi="宋体" w:eastAsia="宋体" w:cs="宋体"/>
          <w:sz w:val="24"/>
        </w:rPr>
      </w:pPr>
      <w:r>
        <w:rPr>
          <w:rFonts w:hint="eastAsia" w:ascii="宋体" w:hAnsi="宋体" w:eastAsia="宋体" w:cs="宋体"/>
          <w:sz w:val="24"/>
        </w:rPr>
        <w:t xml:space="preserve">H.潜水泵电动机应是直冷式电机，即电机靠接触周围的介质水进行冷却。供货厂家需要根据设计院图纸运行水位考虑潜水电机配置冷却夹套。 </w:t>
      </w:r>
    </w:p>
    <w:p w14:paraId="3ABB8779">
      <w:pPr>
        <w:spacing w:line="360" w:lineRule="auto"/>
        <w:ind w:firstLine="480" w:firstLineChars="200"/>
        <w:rPr>
          <w:rFonts w:ascii="宋体" w:hAnsi="宋体" w:eastAsia="宋体" w:cs="宋体"/>
          <w:sz w:val="24"/>
        </w:rPr>
      </w:pPr>
      <w:r>
        <w:rPr>
          <w:rFonts w:hint="eastAsia" w:ascii="宋体" w:hAnsi="宋体" w:eastAsia="宋体" w:cs="宋体"/>
          <w:sz w:val="24"/>
        </w:rPr>
        <w:t>I.所有电机功率大于 60kW 的电机均不接受无冷却夹套的设计。</w:t>
      </w:r>
    </w:p>
    <w:p w14:paraId="474907FF">
      <w:pPr>
        <w:spacing w:line="360" w:lineRule="auto"/>
        <w:ind w:firstLine="480" w:firstLineChars="200"/>
        <w:rPr>
          <w:rFonts w:ascii="宋体" w:hAnsi="宋体" w:eastAsia="宋体" w:cs="宋体"/>
          <w:sz w:val="24"/>
        </w:rPr>
      </w:pPr>
      <w:r>
        <w:rPr>
          <w:rFonts w:hint="eastAsia" w:ascii="宋体" w:hAnsi="宋体" w:eastAsia="宋体" w:cs="宋体"/>
          <w:sz w:val="24"/>
        </w:rPr>
        <w:t>J.电机功率的备用系数（配套系数）应满足 GB/T24674-2021 标准的要求。</w:t>
      </w:r>
    </w:p>
    <w:p w14:paraId="57C48FB6">
      <w:pPr>
        <w:spacing w:line="360" w:lineRule="auto"/>
        <w:ind w:firstLine="480" w:firstLineChars="200"/>
        <w:rPr>
          <w:rFonts w:ascii="宋体" w:hAnsi="宋体" w:eastAsia="宋体" w:cs="宋体"/>
          <w:sz w:val="24"/>
        </w:rPr>
      </w:pPr>
      <w:r>
        <w:rPr>
          <w:rFonts w:hint="eastAsia" w:ascii="宋体" w:hAnsi="宋体" w:eastAsia="宋体" w:cs="宋体"/>
          <w:sz w:val="24"/>
        </w:rPr>
        <w:t>K.电机能效等级应不低于 GB18613-2020《电动机能效限定值及能效等级》3 级， 变频泵电机 50Hz 时能效等级应不低于 GB18613-2020《电动机能效限定值及能效等级》3级。</w:t>
      </w:r>
    </w:p>
    <w:p w14:paraId="2ACA1D4C">
      <w:pPr>
        <w:spacing w:line="360" w:lineRule="auto"/>
        <w:ind w:firstLine="482" w:firstLineChars="200"/>
        <w:rPr>
          <w:rFonts w:ascii="宋体" w:hAnsi="宋体" w:eastAsia="宋体" w:cs="宋体"/>
          <w:b/>
          <w:bCs/>
          <w:sz w:val="24"/>
        </w:rPr>
      </w:pPr>
      <w:r>
        <w:rPr>
          <w:rFonts w:hint="eastAsia" w:ascii="宋体" w:hAnsi="宋体" w:eastAsia="宋体" w:cs="宋体"/>
          <w:b/>
          <w:bCs/>
          <w:sz w:val="24"/>
        </w:rPr>
        <w:t>电缆密封</w:t>
      </w:r>
    </w:p>
    <w:p w14:paraId="26D2C0D5">
      <w:pPr>
        <w:spacing w:line="360" w:lineRule="auto"/>
        <w:ind w:firstLine="480" w:firstLineChars="200"/>
        <w:rPr>
          <w:rFonts w:ascii="宋体" w:hAnsi="宋体" w:eastAsia="宋体" w:cs="宋体"/>
          <w:sz w:val="24"/>
        </w:rPr>
      </w:pPr>
      <w:r>
        <w:rPr>
          <w:rFonts w:hint="eastAsia" w:ascii="宋体" w:hAnsi="宋体" w:eastAsia="宋体" w:cs="宋体"/>
          <w:sz w:val="24"/>
        </w:rPr>
        <w:t>A.电机配有用于控制和动力的水下电缆，并进行可靠的密封，。为了达到最大限 度地保护电机，即使在偶然的不正常运行情况下，电缆损坏且电机仍在水下， 电缆进口也不会有湿汽进入电机和接线盒，。</w:t>
      </w:r>
    </w:p>
    <w:p w14:paraId="7E3C6525">
      <w:pPr>
        <w:spacing w:line="360" w:lineRule="auto"/>
        <w:ind w:firstLine="480" w:firstLineChars="200"/>
        <w:rPr>
          <w:rFonts w:ascii="宋体" w:hAnsi="宋体" w:eastAsia="宋体" w:cs="宋体"/>
          <w:sz w:val="24"/>
        </w:rPr>
      </w:pPr>
      <w:r>
        <w:rPr>
          <w:rFonts w:hint="eastAsia" w:ascii="宋体" w:hAnsi="宋体" w:eastAsia="宋体" w:cs="宋体"/>
          <w:sz w:val="24"/>
        </w:rPr>
        <w:t xml:space="preserve">B.电缆进线密封设计应能消除一定的扭矩，以形成一个防水的潜水密封。 </w:t>
      </w:r>
    </w:p>
    <w:p w14:paraId="6E013E5D">
      <w:pPr>
        <w:spacing w:line="360" w:lineRule="auto"/>
        <w:ind w:firstLine="480" w:firstLineChars="200"/>
        <w:rPr>
          <w:rFonts w:ascii="宋体" w:hAnsi="宋体" w:eastAsia="宋体" w:cs="宋体"/>
          <w:sz w:val="24"/>
        </w:rPr>
      </w:pPr>
      <w:r>
        <w:rPr>
          <w:rFonts w:hint="eastAsia" w:ascii="宋体" w:hAnsi="宋体" w:eastAsia="宋体" w:cs="宋体"/>
          <w:sz w:val="24"/>
        </w:rPr>
        <w:t>C.电缆接头部分，应采取措施防止由于温差引起的电缆内外空气交换。</w:t>
      </w:r>
    </w:p>
    <w:p w14:paraId="40C274CA">
      <w:pPr>
        <w:spacing w:line="360" w:lineRule="auto"/>
        <w:ind w:firstLine="480" w:firstLineChars="200"/>
        <w:rPr>
          <w:rFonts w:ascii="宋体" w:hAnsi="宋体" w:eastAsia="宋体" w:cs="宋体"/>
          <w:sz w:val="24"/>
        </w:rPr>
      </w:pPr>
      <w:r>
        <w:rPr>
          <w:rFonts w:hint="eastAsia" w:ascii="宋体" w:hAnsi="宋体" w:eastAsia="宋体" w:cs="宋体"/>
          <w:sz w:val="24"/>
        </w:rPr>
        <w:t>D.电缆密封应可方便更换。</w:t>
      </w:r>
    </w:p>
    <w:p w14:paraId="7F073EB9">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主要零部件材料</w:t>
      </w:r>
    </w:p>
    <w:p w14:paraId="53FE3B23">
      <w:pPr>
        <w:spacing w:line="360" w:lineRule="auto"/>
        <w:ind w:firstLine="480" w:firstLineChars="200"/>
        <w:rPr>
          <w:rFonts w:ascii="宋体" w:hAnsi="宋体" w:eastAsia="宋体" w:cs="宋体"/>
          <w:sz w:val="24"/>
        </w:rPr>
      </w:pPr>
      <w:r>
        <w:rPr>
          <w:rFonts w:hint="eastAsia" w:ascii="宋体" w:hAnsi="宋体" w:eastAsia="宋体" w:cs="宋体"/>
          <w:sz w:val="24"/>
        </w:rPr>
        <w:t>A.离心潜水泵</w:t>
      </w:r>
    </w:p>
    <w:p w14:paraId="5B2F9856">
      <w:pPr>
        <w:spacing w:line="360" w:lineRule="auto"/>
        <w:ind w:firstLine="480" w:firstLineChars="200"/>
        <w:rPr>
          <w:rFonts w:ascii="宋体" w:hAnsi="宋体" w:eastAsia="宋体" w:cs="宋体"/>
          <w:sz w:val="24"/>
        </w:rPr>
      </w:pPr>
      <w:r>
        <w:rPr>
          <w:rFonts w:hint="eastAsia" w:ascii="宋体" w:hAnsi="宋体" w:eastAsia="宋体" w:cs="宋体"/>
          <w:sz w:val="24"/>
        </w:rPr>
        <w:t>泵壳、电机壳</w:t>
      </w:r>
      <w:r>
        <w:rPr>
          <w:rFonts w:hint="eastAsia" w:ascii="宋体" w:hAnsi="宋体" w:eastAsia="宋体" w:cs="宋体"/>
          <w:sz w:val="24"/>
        </w:rPr>
        <w:tab/>
      </w:r>
      <w:r>
        <w:rPr>
          <w:rFonts w:hint="eastAsia" w:ascii="宋体" w:hAnsi="宋体" w:eastAsia="宋体" w:cs="宋体"/>
          <w:sz w:val="24"/>
        </w:rPr>
        <w:t>HT250及以上</w:t>
      </w:r>
    </w:p>
    <w:p w14:paraId="4BF4074A">
      <w:pPr>
        <w:spacing w:line="360" w:lineRule="auto"/>
        <w:ind w:firstLine="480" w:firstLineChars="200"/>
        <w:rPr>
          <w:rFonts w:ascii="宋体" w:hAnsi="宋体" w:eastAsia="宋体" w:cs="宋体"/>
          <w:sz w:val="24"/>
        </w:rPr>
      </w:pPr>
      <w:r>
        <w:rPr>
          <w:rFonts w:hint="eastAsia" w:ascii="宋体" w:hAnsi="宋体" w:eastAsia="宋体" w:cs="宋体"/>
          <w:sz w:val="24"/>
        </w:rPr>
        <w:t>泵座及鸭脚弯头</w:t>
      </w:r>
      <w:r>
        <w:rPr>
          <w:rFonts w:hint="eastAsia" w:ascii="宋体" w:hAnsi="宋体" w:eastAsia="宋体" w:cs="宋体"/>
          <w:sz w:val="24"/>
        </w:rPr>
        <w:tab/>
      </w:r>
      <w:r>
        <w:rPr>
          <w:rFonts w:hint="eastAsia" w:ascii="宋体" w:hAnsi="宋体" w:eastAsia="宋体" w:cs="宋体"/>
          <w:sz w:val="24"/>
        </w:rPr>
        <w:t>HT250及以上</w:t>
      </w:r>
    </w:p>
    <w:p w14:paraId="6BC878DF">
      <w:pPr>
        <w:spacing w:line="360" w:lineRule="auto"/>
        <w:ind w:firstLine="480" w:firstLineChars="200"/>
        <w:rPr>
          <w:rFonts w:ascii="宋体" w:hAnsi="宋体" w:eastAsia="宋体" w:cs="宋体"/>
          <w:sz w:val="24"/>
        </w:rPr>
      </w:pPr>
      <w:r>
        <w:rPr>
          <w:rFonts w:hint="eastAsia" w:ascii="宋体" w:hAnsi="宋体" w:eastAsia="宋体" w:cs="宋体"/>
          <w:sz w:val="24"/>
        </w:rPr>
        <w:t>叶轮</w:t>
      </w:r>
      <w:r>
        <w:rPr>
          <w:rFonts w:hint="eastAsia" w:ascii="宋体" w:hAnsi="宋体" w:eastAsia="宋体" w:cs="宋体"/>
          <w:sz w:val="24"/>
        </w:rPr>
        <w:tab/>
      </w:r>
      <w:r>
        <w:rPr>
          <w:rFonts w:hint="eastAsia" w:ascii="宋体" w:hAnsi="宋体" w:eastAsia="宋体" w:cs="宋体"/>
          <w:sz w:val="24"/>
        </w:rPr>
        <w:t>HT250及以上</w:t>
      </w:r>
    </w:p>
    <w:p w14:paraId="04D1FECC">
      <w:pPr>
        <w:spacing w:line="360" w:lineRule="auto"/>
        <w:ind w:firstLine="480" w:firstLineChars="200"/>
        <w:rPr>
          <w:rFonts w:ascii="宋体" w:hAnsi="宋体" w:eastAsia="宋体" w:cs="宋体"/>
          <w:sz w:val="24"/>
        </w:rPr>
      </w:pPr>
      <w:r>
        <w:rPr>
          <w:rFonts w:hint="eastAsia" w:ascii="宋体" w:hAnsi="宋体" w:eastAsia="宋体" w:cs="宋体"/>
          <w:sz w:val="24"/>
        </w:rPr>
        <w:t>耐磨环（如有）</w:t>
      </w:r>
      <w:r>
        <w:rPr>
          <w:rFonts w:hint="eastAsia" w:ascii="宋体" w:hAnsi="宋体" w:eastAsia="宋体" w:cs="宋体"/>
          <w:sz w:val="24"/>
        </w:rPr>
        <w:tab/>
      </w:r>
      <w:r>
        <w:rPr>
          <w:rFonts w:hint="eastAsia" w:ascii="宋体" w:hAnsi="宋体" w:eastAsia="宋体" w:cs="宋体"/>
          <w:sz w:val="24"/>
        </w:rPr>
        <w:t>HT300或304不锈钢</w:t>
      </w:r>
    </w:p>
    <w:p w14:paraId="07288E49">
      <w:pPr>
        <w:spacing w:line="360" w:lineRule="auto"/>
        <w:ind w:firstLine="480" w:firstLineChars="200"/>
        <w:rPr>
          <w:rFonts w:ascii="宋体" w:hAnsi="宋体" w:eastAsia="宋体" w:cs="宋体"/>
          <w:sz w:val="24"/>
        </w:rPr>
      </w:pPr>
      <w:r>
        <w:rPr>
          <w:rFonts w:hint="eastAsia" w:ascii="宋体" w:hAnsi="宋体" w:eastAsia="宋体" w:cs="宋体"/>
          <w:sz w:val="24"/>
        </w:rPr>
        <w:t>泵轴(或轴套)</w:t>
      </w:r>
      <w:r>
        <w:rPr>
          <w:rFonts w:hint="eastAsia" w:ascii="宋体" w:hAnsi="宋体" w:eastAsia="宋体" w:cs="宋体"/>
          <w:sz w:val="24"/>
        </w:rPr>
        <w:tab/>
      </w:r>
      <w:r>
        <w:rPr>
          <w:rFonts w:hint="eastAsia" w:ascii="宋体" w:hAnsi="宋体" w:eastAsia="宋体" w:cs="宋体"/>
          <w:sz w:val="24"/>
        </w:rPr>
        <w:t>420或431不锈钢</w:t>
      </w:r>
    </w:p>
    <w:p w14:paraId="39E74682">
      <w:pPr>
        <w:spacing w:line="360" w:lineRule="auto"/>
        <w:ind w:firstLine="480" w:firstLineChars="200"/>
        <w:rPr>
          <w:rFonts w:ascii="宋体" w:hAnsi="宋体" w:eastAsia="宋体" w:cs="宋体"/>
          <w:sz w:val="24"/>
        </w:rPr>
      </w:pPr>
      <w:r>
        <w:rPr>
          <w:rFonts w:hint="eastAsia" w:ascii="宋体" w:hAnsi="宋体" w:eastAsia="宋体" w:cs="宋体"/>
          <w:sz w:val="24"/>
        </w:rPr>
        <w:t>机械密封</w:t>
      </w:r>
      <w:r>
        <w:rPr>
          <w:rFonts w:hint="eastAsia" w:ascii="宋体" w:hAnsi="宋体" w:eastAsia="宋体" w:cs="宋体"/>
          <w:sz w:val="24"/>
        </w:rPr>
        <w:tab/>
      </w:r>
      <w:r>
        <w:rPr>
          <w:rFonts w:hint="eastAsia" w:ascii="宋体" w:hAnsi="宋体" w:eastAsia="宋体" w:cs="宋体"/>
          <w:sz w:val="24"/>
        </w:rPr>
        <w:t>碳化钨或碳化硅</w:t>
      </w:r>
    </w:p>
    <w:p w14:paraId="7888C7B5">
      <w:pPr>
        <w:spacing w:line="360" w:lineRule="auto"/>
        <w:ind w:firstLine="480" w:firstLineChars="200"/>
        <w:rPr>
          <w:rFonts w:ascii="宋体" w:hAnsi="宋体" w:eastAsia="宋体" w:cs="宋体"/>
          <w:sz w:val="24"/>
        </w:rPr>
      </w:pPr>
      <w:r>
        <w:rPr>
          <w:rFonts w:hint="eastAsia" w:ascii="宋体" w:hAnsi="宋体" w:eastAsia="宋体" w:cs="宋体"/>
          <w:sz w:val="24"/>
        </w:rPr>
        <w:t>导杆或导向索</w:t>
      </w:r>
      <w:r>
        <w:rPr>
          <w:rFonts w:hint="eastAsia" w:ascii="宋体" w:hAnsi="宋体" w:eastAsia="宋体" w:cs="宋体"/>
          <w:sz w:val="24"/>
        </w:rPr>
        <w:tab/>
      </w:r>
      <w:r>
        <w:rPr>
          <w:rFonts w:hint="eastAsia" w:ascii="宋体" w:hAnsi="宋体" w:eastAsia="宋体" w:cs="宋体"/>
          <w:sz w:val="24"/>
        </w:rPr>
        <w:t>304不锈钢</w:t>
      </w:r>
    </w:p>
    <w:p w14:paraId="32626CD5">
      <w:pPr>
        <w:spacing w:line="360" w:lineRule="auto"/>
        <w:ind w:firstLine="480" w:firstLineChars="200"/>
        <w:rPr>
          <w:rFonts w:ascii="宋体" w:hAnsi="宋体" w:eastAsia="宋体" w:cs="宋体"/>
          <w:sz w:val="24"/>
        </w:rPr>
      </w:pPr>
      <w:r>
        <w:rPr>
          <w:rFonts w:hint="eastAsia" w:ascii="宋体" w:hAnsi="宋体" w:eastAsia="宋体" w:cs="宋体"/>
          <w:sz w:val="24"/>
        </w:rPr>
        <w:t>泵吊架</w:t>
      </w:r>
      <w:r>
        <w:rPr>
          <w:rFonts w:hint="eastAsia" w:ascii="宋体" w:hAnsi="宋体" w:eastAsia="宋体" w:cs="宋体"/>
          <w:sz w:val="24"/>
        </w:rPr>
        <w:tab/>
      </w:r>
      <w:r>
        <w:rPr>
          <w:rFonts w:hint="eastAsia" w:ascii="宋体" w:hAnsi="宋体" w:eastAsia="宋体" w:cs="宋体"/>
          <w:sz w:val="24"/>
        </w:rPr>
        <w:t>AISI 304不锈钢</w:t>
      </w:r>
    </w:p>
    <w:p w14:paraId="04F5E772">
      <w:pPr>
        <w:spacing w:line="360" w:lineRule="auto"/>
        <w:ind w:firstLine="480" w:firstLineChars="200"/>
        <w:rPr>
          <w:rFonts w:ascii="宋体" w:hAnsi="宋体" w:eastAsia="宋体" w:cs="宋体"/>
          <w:sz w:val="24"/>
        </w:rPr>
      </w:pPr>
      <w:r>
        <w:rPr>
          <w:rFonts w:hint="eastAsia" w:ascii="宋体" w:hAnsi="宋体" w:eastAsia="宋体" w:cs="宋体"/>
          <w:sz w:val="24"/>
        </w:rPr>
        <w:t>提升链</w:t>
      </w:r>
      <w:r>
        <w:rPr>
          <w:rFonts w:hint="eastAsia" w:ascii="宋体" w:hAnsi="宋体" w:eastAsia="宋体" w:cs="宋体"/>
          <w:sz w:val="24"/>
        </w:rPr>
        <w:tab/>
      </w:r>
      <w:r>
        <w:rPr>
          <w:rFonts w:hint="eastAsia" w:ascii="宋体" w:hAnsi="宋体" w:eastAsia="宋体" w:cs="宋体"/>
          <w:sz w:val="24"/>
        </w:rPr>
        <w:t>304不锈钢</w:t>
      </w:r>
    </w:p>
    <w:p w14:paraId="68BCBF80">
      <w:pPr>
        <w:spacing w:line="360" w:lineRule="auto"/>
        <w:ind w:firstLine="480" w:firstLineChars="200"/>
        <w:rPr>
          <w:rFonts w:ascii="宋体" w:hAnsi="宋体" w:eastAsia="宋体" w:cs="宋体"/>
          <w:sz w:val="24"/>
        </w:rPr>
      </w:pPr>
      <w:r>
        <w:rPr>
          <w:rFonts w:hint="eastAsia" w:ascii="宋体" w:hAnsi="宋体" w:eastAsia="宋体" w:cs="宋体"/>
          <w:sz w:val="24"/>
        </w:rPr>
        <w:t>所有安装连接附件/化学地脚螺栓</w:t>
      </w:r>
      <w:r>
        <w:rPr>
          <w:rFonts w:hint="eastAsia" w:ascii="宋体" w:hAnsi="宋体" w:eastAsia="宋体" w:cs="宋体"/>
          <w:sz w:val="24"/>
        </w:rPr>
        <w:tab/>
      </w:r>
      <w:r>
        <w:rPr>
          <w:rFonts w:hint="eastAsia" w:ascii="宋体" w:hAnsi="宋体" w:eastAsia="宋体" w:cs="宋体"/>
          <w:sz w:val="24"/>
        </w:rPr>
        <w:t>304不锈钢</w:t>
      </w:r>
    </w:p>
    <w:p w14:paraId="2C0B8F75">
      <w:pPr>
        <w:spacing w:line="360" w:lineRule="auto"/>
        <w:ind w:firstLine="480" w:firstLineChars="200"/>
        <w:rPr>
          <w:rFonts w:ascii="宋体" w:hAnsi="宋体" w:eastAsia="宋体" w:cs="宋体"/>
          <w:sz w:val="24"/>
        </w:rPr>
      </w:pPr>
      <w:r>
        <w:rPr>
          <w:rFonts w:hint="eastAsia" w:ascii="宋体" w:hAnsi="宋体" w:eastAsia="宋体" w:cs="宋体"/>
          <w:sz w:val="24"/>
        </w:rPr>
        <w:t>B.潜水轴流泵</w:t>
      </w:r>
    </w:p>
    <w:p w14:paraId="528B3BF1">
      <w:pPr>
        <w:spacing w:line="360" w:lineRule="auto"/>
        <w:ind w:firstLine="480" w:firstLineChars="200"/>
        <w:rPr>
          <w:rFonts w:ascii="宋体" w:hAnsi="宋体" w:eastAsia="宋体" w:cs="宋体"/>
          <w:sz w:val="24"/>
        </w:rPr>
      </w:pPr>
      <w:r>
        <w:rPr>
          <w:rFonts w:hint="eastAsia" w:ascii="宋体" w:hAnsi="宋体" w:eastAsia="宋体" w:cs="宋体"/>
          <w:sz w:val="24"/>
        </w:rPr>
        <w:t>泵壳</w:t>
      </w:r>
      <w:r>
        <w:rPr>
          <w:rFonts w:hint="eastAsia" w:ascii="宋体" w:hAnsi="宋体" w:eastAsia="宋体" w:cs="宋体"/>
          <w:sz w:val="24"/>
        </w:rPr>
        <w:tab/>
      </w:r>
      <w:r>
        <w:rPr>
          <w:rFonts w:hint="eastAsia" w:ascii="宋体" w:hAnsi="宋体" w:eastAsia="宋体" w:cs="宋体"/>
          <w:sz w:val="24"/>
        </w:rPr>
        <w:t>HT250及以上</w:t>
      </w:r>
    </w:p>
    <w:p w14:paraId="42876E7B">
      <w:pPr>
        <w:spacing w:line="360" w:lineRule="auto"/>
        <w:ind w:firstLine="480" w:firstLineChars="200"/>
        <w:rPr>
          <w:rFonts w:ascii="宋体" w:hAnsi="宋体" w:eastAsia="宋体" w:cs="宋体"/>
          <w:sz w:val="24"/>
        </w:rPr>
      </w:pPr>
      <w:r>
        <w:rPr>
          <w:rFonts w:hint="eastAsia" w:ascii="宋体" w:hAnsi="宋体" w:eastAsia="宋体" w:cs="宋体"/>
          <w:sz w:val="24"/>
        </w:rPr>
        <w:t>叶轮</w:t>
      </w:r>
      <w:r>
        <w:rPr>
          <w:rFonts w:hint="eastAsia" w:ascii="宋体" w:hAnsi="宋体" w:eastAsia="宋体" w:cs="宋体"/>
          <w:sz w:val="24"/>
        </w:rPr>
        <w:tab/>
      </w:r>
      <w:r>
        <w:rPr>
          <w:rFonts w:hint="eastAsia" w:ascii="宋体" w:hAnsi="宋体" w:eastAsia="宋体" w:cs="宋体"/>
          <w:sz w:val="24"/>
        </w:rPr>
        <w:t>不锈钢</w:t>
      </w:r>
    </w:p>
    <w:p w14:paraId="60A64E08">
      <w:pPr>
        <w:spacing w:line="360" w:lineRule="auto"/>
        <w:ind w:firstLine="480" w:firstLineChars="200"/>
        <w:rPr>
          <w:rFonts w:ascii="宋体" w:hAnsi="宋体" w:eastAsia="宋体" w:cs="宋体"/>
          <w:sz w:val="24"/>
        </w:rPr>
      </w:pPr>
      <w:r>
        <w:rPr>
          <w:rFonts w:hint="eastAsia" w:ascii="宋体" w:hAnsi="宋体" w:eastAsia="宋体" w:cs="宋体"/>
          <w:sz w:val="24"/>
        </w:rPr>
        <w:t>耐磨环</w:t>
      </w:r>
      <w:r>
        <w:rPr>
          <w:rFonts w:hint="eastAsia" w:ascii="宋体" w:hAnsi="宋体" w:eastAsia="宋体" w:cs="宋体"/>
          <w:sz w:val="24"/>
        </w:rPr>
        <w:tab/>
      </w:r>
      <w:r>
        <w:rPr>
          <w:rFonts w:hint="eastAsia" w:ascii="宋体" w:hAnsi="宋体" w:eastAsia="宋体" w:cs="宋体"/>
          <w:sz w:val="24"/>
        </w:rPr>
        <w:t>不锈钢</w:t>
      </w:r>
    </w:p>
    <w:p w14:paraId="670C7194">
      <w:pPr>
        <w:spacing w:line="360" w:lineRule="auto"/>
        <w:ind w:firstLine="480" w:firstLineChars="200"/>
        <w:rPr>
          <w:rFonts w:ascii="宋体" w:hAnsi="宋体" w:eastAsia="宋体" w:cs="宋体"/>
          <w:sz w:val="24"/>
        </w:rPr>
      </w:pPr>
      <w:r>
        <w:rPr>
          <w:rFonts w:hint="eastAsia" w:ascii="宋体" w:hAnsi="宋体" w:eastAsia="宋体" w:cs="宋体"/>
          <w:sz w:val="24"/>
        </w:rPr>
        <w:t>泵轴(或轴套)</w:t>
      </w:r>
      <w:r>
        <w:rPr>
          <w:rFonts w:hint="eastAsia" w:ascii="宋体" w:hAnsi="宋体" w:eastAsia="宋体" w:cs="宋体"/>
          <w:sz w:val="24"/>
        </w:rPr>
        <w:tab/>
      </w:r>
      <w:r>
        <w:rPr>
          <w:rFonts w:hint="eastAsia" w:ascii="宋体" w:hAnsi="宋体" w:eastAsia="宋体" w:cs="宋体"/>
          <w:sz w:val="24"/>
        </w:rPr>
        <w:t>不锈钢420</w:t>
      </w:r>
    </w:p>
    <w:p w14:paraId="636E3173">
      <w:pPr>
        <w:spacing w:line="360" w:lineRule="auto"/>
        <w:ind w:firstLine="480" w:firstLineChars="200"/>
        <w:rPr>
          <w:rFonts w:ascii="宋体" w:hAnsi="宋体" w:eastAsia="宋体" w:cs="宋体"/>
          <w:sz w:val="24"/>
        </w:rPr>
      </w:pPr>
      <w:r>
        <w:rPr>
          <w:rFonts w:hint="eastAsia" w:ascii="宋体" w:hAnsi="宋体" w:eastAsia="宋体" w:cs="宋体"/>
          <w:sz w:val="24"/>
        </w:rPr>
        <w:t>机械密封</w:t>
      </w:r>
      <w:r>
        <w:rPr>
          <w:rFonts w:hint="eastAsia" w:ascii="宋体" w:hAnsi="宋体" w:eastAsia="宋体" w:cs="宋体"/>
          <w:sz w:val="24"/>
        </w:rPr>
        <w:tab/>
      </w:r>
      <w:r>
        <w:rPr>
          <w:rFonts w:hint="eastAsia" w:ascii="宋体" w:hAnsi="宋体" w:eastAsia="宋体" w:cs="宋体"/>
          <w:sz w:val="24"/>
        </w:rPr>
        <w:t>碳化钨或碳化硅</w:t>
      </w:r>
    </w:p>
    <w:p w14:paraId="156BFE31">
      <w:pPr>
        <w:spacing w:line="360" w:lineRule="auto"/>
        <w:ind w:firstLine="480" w:firstLineChars="200"/>
        <w:rPr>
          <w:rFonts w:ascii="宋体" w:hAnsi="宋体" w:eastAsia="宋体" w:cs="宋体"/>
          <w:sz w:val="24"/>
        </w:rPr>
      </w:pPr>
      <w:r>
        <w:rPr>
          <w:rFonts w:hint="eastAsia" w:ascii="宋体" w:hAnsi="宋体" w:eastAsia="宋体" w:cs="宋体"/>
          <w:sz w:val="24"/>
        </w:rPr>
        <w:t>井筒组件</w:t>
      </w:r>
      <w:r>
        <w:rPr>
          <w:rFonts w:hint="eastAsia" w:ascii="宋体" w:hAnsi="宋体" w:eastAsia="宋体" w:cs="宋体"/>
          <w:sz w:val="24"/>
        </w:rPr>
        <w:tab/>
      </w:r>
      <w:r>
        <w:rPr>
          <w:rFonts w:hint="eastAsia" w:ascii="宋体" w:hAnsi="宋体" w:eastAsia="宋体" w:cs="宋体"/>
          <w:sz w:val="24"/>
        </w:rPr>
        <w:t>碳钢防腐</w:t>
      </w:r>
    </w:p>
    <w:p w14:paraId="6B03697A">
      <w:pPr>
        <w:spacing w:line="360" w:lineRule="auto"/>
        <w:ind w:firstLine="480" w:firstLineChars="200"/>
        <w:rPr>
          <w:rFonts w:ascii="宋体" w:hAnsi="宋体" w:eastAsia="宋体" w:cs="宋体"/>
          <w:sz w:val="24"/>
        </w:rPr>
      </w:pPr>
      <w:r>
        <w:rPr>
          <w:rFonts w:hint="eastAsia" w:ascii="宋体" w:hAnsi="宋体" w:eastAsia="宋体" w:cs="宋体"/>
          <w:sz w:val="24"/>
        </w:rPr>
        <w:t>防旋流板</w:t>
      </w:r>
      <w:r>
        <w:rPr>
          <w:rFonts w:hint="eastAsia" w:ascii="宋体" w:hAnsi="宋体" w:eastAsia="宋体" w:cs="宋体"/>
          <w:sz w:val="24"/>
        </w:rPr>
        <w:tab/>
      </w:r>
      <w:r>
        <w:rPr>
          <w:rFonts w:hint="eastAsia" w:ascii="宋体" w:hAnsi="宋体" w:eastAsia="宋体" w:cs="宋体"/>
          <w:sz w:val="24"/>
        </w:rPr>
        <w:t>不锈钢304</w:t>
      </w:r>
    </w:p>
    <w:p w14:paraId="7CF258B0">
      <w:pPr>
        <w:spacing w:line="360" w:lineRule="auto"/>
        <w:ind w:firstLine="480" w:firstLineChars="200"/>
        <w:rPr>
          <w:rFonts w:ascii="宋体" w:hAnsi="宋体" w:eastAsia="宋体" w:cs="宋体"/>
          <w:sz w:val="24"/>
        </w:rPr>
      </w:pPr>
      <w:r>
        <w:rPr>
          <w:rFonts w:hint="eastAsia" w:ascii="宋体" w:hAnsi="宋体" w:eastAsia="宋体" w:cs="宋体"/>
          <w:sz w:val="24"/>
        </w:rPr>
        <w:t>泵吊架</w:t>
      </w:r>
      <w:r>
        <w:rPr>
          <w:rFonts w:hint="eastAsia" w:ascii="宋体" w:hAnsi="宋体" w:eastAsia="宋体" w:cs="宋体"/>
          <w:sz w:val="24"/>
        </w:rPr>
        <w:tab/>
      </w:r>
      <w:r>
        <w:rPr>
          <w:rFonts w:hint="eastAsia" w:ascii="宋体" w:hAnsi="宋体" w:eastAsia="宋体" w:cs="宋体"/>
          <w:sz w:val="24"/>
        </w:rPr>
        <w:t>碳钢防腐或热浸锌防腐</w:t>
      </w:r>
    </w:p>
    <w:p w14:paraId="78416360">
      <w:pPr>
        <w:spacing w:line="360" w:lineRule="auto"/>
        <w:ind w:firstLine="480" w:firstLineChars="200"/>
        <w:rPr>
          <w:rFonts w:ascii="宋体" w:hAnsi="宋体" w:eastAsia="宋体" w:cs="宋体"/>
          <w:sz w:val="24"/>
        </w:rPr>
      </w:pPr>
      <w:r>
        <w:rPr>
          <w:rFonts w:hint="eastAsia" w:ascii="宋体" w:hAnsi="宋体" w:eastAsia="宋体" w:cs="宋体"/>
          <w:sz w:val="24"/>
        </w:rPr>
        <w:t>链/钢丝绳/电缆保护套/电缆固定 装置</w:t>
      </w:r>
      <w:r>
        <w:rPr>
          <w:rFonts w:hint="eastAsia" w:ascii="宋体" w:hAnsi="宋体" w:eastAsia="宋体" w:cs="宋体"/>
          <w:sz w:val="24"/>
        </w:rPr>
        <w:tab/>
      </w:r>
      <w:r>
        <w:rPr>
          <w:rFonts w:hint="eastAsia" w:ascii="宋体" w:hAnsi="宋体" w:eastAsia="宋体" w:cs="宋体"/>
          <w:sz w:val="24"/>
        </w:rPr>
        <w:t>不锈钢304</w:t>
      </w:r>
    </w:p>
    <w:p w14:paraId="7F8E5B6C">
      <w:pPr>
        <w:spacing w:line="360" w:lineRule="auto"/>
        <w:ind w:firstLine="480" w:firstLineChars="200"/>
        <w:rPr>
          <w:rFonts w:ascii="宋体" w:hAnsi="宋体" w:eastAsia="宋体" w:cs="宋体"/>
          <w:sz w:val="24"/>
        </w:rPr>
      </w:pPr>
      <w:r>
        <w:rPr>
          <w:rFonts w:hint="eastAsia" w:ascii="宋体" w:hAnsi="宋体" w:eastAsia="宋体" w:cs="宋体"/>
          <w:sz w:val="24"/>
        </w:rPr>
        <w:t>所有安装连接附件/化学地脚螺栓</w:t>
      </w:r>
      <w:r>
        <w:rPr>
          <w:rFonts w:hint="eastAsia" w:ascii="宋体" w:hAnsi="宋体" w:eastAsia="宋体" w:cs="宋体"/>
          <w:sz w:val="24"/>
        </w:rPr>
        <w:tab/>
      </w:r>
      <w:r>
        <w:rPr>
          <w:rFonts w:hint="eastAsia" w:ascii="宋体" w:hAnsi="宋体" w:eastAsia="宋体" w:cs="宋体"/>
          <w:sz w:val="24"/>
        </w:rPr>
        <w:t>不锈钢304</w:t>
      </w:r>
    </w:p>
    <w:p w14:paraId="135640B0">
      <w:pPr>
        <w:spacing w:line="360" w:lineRule="auto"/>
        <w:ind w:firstLine="482" w:firstLineChars="200"/>
        <w:rPr>
          <w:rFonts w:ascii="宋体" w:hAnsi="宋体" w:eastAsia="宋体" w:cs="宋体"/>
          <w:b/>
          <w:bCs/>
          <w:sz w:val="24"/>
        </w:rPr>
      </w:pPr>
      <w:r>
        <w:rPr>
          <w:rFonts w:hint="eastAsia" w:ascii="宋体" w:hAnsi="宋体" w:eastAsia="宋体" w:cs="宋体"/>
          <w:b/>
          <w:bCs/>
          <w:sz w:val="24"/>
        </w:rPr>
        <w:t>控制</w:t>
      </w:r>
    </w:p>
    <w:p w14:paraId="6EFC5C8D">
      <w:pPr>
        <w:spacing w:line="360" w:lineRule="auto"/>
        <w:ind w:firstLine="480" w:firstLineChars="200"/>
        <w:rPr>
          <w:rFonts w:ascii="宋体" w:hAnsi="宋体" w:eastAsia="宋体" w:cs="宋体"/>
          <w:sz w:val="24"/>
        </w:rPr>
      </w:pPr>
      <w:r>
        <w:rPr>
          <w:rFonts w:hint="eastAsia" w:ascii="宋体" w:hAnsi="宋体" w:eastAsia="宋体" w:cs="宋体"/>
          <w:sz w:val="24"/>
        </w:rPr>
        <w:t>A.潜水泵带现场控制箱或按钮箱。</w:t>
      </w:r>
    </w:p>
    <w:p w14:paraId="62778B66">
      <w:pPr>
        <w:spacing w:line="360" w:lineRule="auto"/>
        <w:ind w:firstLine="480" w:firstLineChars="200"/>
        <w:rPr>
          <w:rFonts w:ascii="宋体" w:hAnsi="宋体" w:eastAsia="宋体" w:cs="宋体"/>
          <w:sz w:val="24"/>
        </w:rPr>
      </w:pPr>
      <w:r>
        <w:rPr>
          <w:rFonts w:hint="eastAsia" w:ascii="宋体" w:hAnsi="宋体" w:eastAsia="宋体" w:cs="宋体"/>
          <w:sz w:val="24"/>
        </w:rPr>
        <w:t>B.现场控制箱应将水泵的状态信号以点对点或通信（带可编程控制器）的方式， 传输到相应的控制站并可以接受控制站的控制信号。</w:t>
      </w:r>
    </w:p>
    <w:p w14:paraId="1F2BC3C3">
      <w:pPr>
        <w:spacing w:line="360" w:lineRule="auto"/>
        <w:ind w:firstLine="480" w:firstLineChars="200"/>
        <w:rPr>
          <w:rFonts w:ascii="宋体" w:hAnsi="宋体" w:eastAsia="宋体" w:cs="宋体"/>
          <w:sz w:val="24"/>
        </w:rPr>
      </w:pPr>
      <w:r>
        <w:rPr>
          <w:rFonts w:hint="eastAsia" w:ascii="宋体" w:hAnsi="宋体" w:eastAsia="宋体" w:cs="宋体"/>
          <w:sz w:val="24"/>
        </w:rPr>
        <w:t>C.成套提供的检测仪表的电源由现场控制箱提供，其测量信号连接至现场控制箱并带有足够长的连接电缆。</w:t>
      </w:r>
    </w:p>
    <w:p w14:paraId="6D01E568">
      <w:pPr>
        <w:spacing w:line="360" w:lineRule="auto"/>
        <w:ind w:firstLine="482" w:firstLineChars="200"/>
        <w:rPr>
          <w:rFonts w:ascii="宋体" w:hAnsi="宋体" w:eastAsia="宋体" w:cs="宋体"/>
          <w:b/>
          <w:bCs/>
          <w:sz w:val="24"/>
        </w:rPr>
      </w:pPr>
      <w:r>
        <w:rPr>
          <w:rFonts w:hint="eastAsia" w:ascii="宋体" w:hAnsi="宋体" w:eastAsia="宋体" w:cs="宋体"/>
          <w:b/>
          <w:bCs/>
          <w:sz w:val="24"/>
        </w:rPr>
        <w:t xml:space="preserve">出厂检验 </w:t>
      </w:r>
    </w:p>
    <w:p w14:paraId="7CCAB140">
      <w:pPr>
        <w:spacing w:line="360" w:lineRule="auto"/>
        <w:ind w:firstLine="480" w:firstLineChars="200"/>
        <w:rPr>
          <w:rFonts w:ascii="宋体" w:hAnsi="宋体" w:eastAsia="宋体" w:cs="宋体"/>
          <w:sz w:val="24"/>
        </w:rPr>
      </w:pPr>
      <w:r>
        <w:rPr>
          <w:rFonts w:hint="eastAsia" w:ascii="宋体" w:hAnsi="宋体" w:eastAsia="宋体" w:cs="宋体"/>
          <w:sz w:val="24"/>
        </w:rPr>
        <w:t>A.所有泵在制造过程中与制造之后以及发运之前，应经受检查，包括材料及铸 件的检验，制造时部件与制造工艺的检验及油漆工作的检查。</w:t>
      </w:r>
    </w:p>
    <w:p w14:paraId="06FEE8CD">
      <w:pPr>
        <w:spacing w:line="360" w:lineRule="auto"/>
        <w:ind w:firstLine="480" w:firstLineChars="200"/>
        <w:rPr>
          <w:rFonts w:ascii="宋体" w:hAnsi="宋体" w:eastAsia="宋体" w:cs="宋体"/>
          <w:sz w:val="24"/>
        </w:rPr>
      </w:pPr>
      <w:r>
        <w:rPr>
          <w:rFonts w:hint="eastAsia" w:ascii="宋体" w:hAnsi="宋体" w:eastAsia="宋体" w:cs="宋体"/>
          <w:sz w:val="24"/>
        </w:rPr>
        <w:t>B.在浇铸泵壳, 叶轮时所取得的试棒化学分析, 以验证其成分符合泵结构所批准的材料。</w:t>
      </w:r>
    </w:p>
    <w:p w14:paraId="7C35C062">
      <w:pPr>
        <w:spacing w:line="360" w:lineRule="auto"/>
        <w:ind w:firstLine="480" w:firstLineChars="200"/>
        <w:rPr>
          <w:rFonts w:ascii="宋体" w:hAnsi="宋体" w:eastAsia="宋体" w:cs="宋体"/>
          <w:sz w:val="24"/>
        </w:rPr>
      </w:pPr>
      <w:r>
        <w:rPr>
          <w:rFonts w:hint="eastAsia" w:ascii="宋体" w:hAnsi="宋体" w:eastAsia="宋体" w:cs="宋体"/>
          <w:sz w:val="24"/>
        </w:rPr>
        <w:t>C.卖方应提供所有的泵轴机械密封及耐磨内衬材料的试验证明。</w:t>
      </w:r>
    </w:p>
    <w:p w14:paraId="35226D7B">
      <w:pPr>
        <w:spacing w:line="360" w:lineRule="auto"/>
        <w:ind w:firstLine="480" w:firstLineChars="200"/>
        <w:rPr>
          <w:rFonts w:ascii="宋体" w:hAnsi="宋体" w:eastAsia="宋体" w:cs="宋体"/>
          <w:sz w:val="24"/>
        </w:rPr>
      </w:pPr>
      <w:r>
        <w:rPr>
          <w:rFonts w:hint="eastAsia" w:ascii="宋体" w:hAnsi="宋体" w:eastAsia="宋体" w:cs="宋体"/>
          <w:sz w:val="24"/>
        </w:rPr>
        <w:t>D.每台泵都应做以下试验:</w:t>
      </w:r>
    </w:p>
    <w:p w14:paraId="04CEE785">
      <w:pPr>
        <w:spacing w:line="360" w:lineRule="auto"/>
        <w:ind w:firstLine="480" w:firstLineChars="200"/>
        <w:rPr>
          <w:rFonts w:ascii="宋体" w:hAnsi="宋体" w:eastAsia="宋体" w:cs="宋体"/>
          <w:sz w:val="24"/>
        </w:rPr>
      </w:pPr>
      <w:r>
        <w:rPr>
          <w:rFonts w:hint="eastAsia" w:ascii="宋体" w:hAnsi="宋体" w:eastAsia="宋体" w:cs="宋体"/>
          <w:sz w:val="24"/>
        </w:rPr>
        <w:t>1.静水压试验</w:t>
      </w:r>
    </w:p>
    <w:p w14:paraId="10949902">
      <w:pPr>
        <w:spacing w:line="360" w:lineRule="auto"/>
        <w:ind w:firstLine="480" w:firstLineChars="200"/>
        <w:rPr>
          <w:rFonts w:ascii="宋体" w:hAnsi="宋体" w:eastAsia="宋体" w:cs="宋体"/>
          <w:sz w:val="24"/>
        </w:rPr>
      </w:pPr>
      <w:r>
        <w:rPr>
          <w:rFonts w:hint="eastAsia" w:ascii="宋体" w:hAnsi="宋体" w:eastAsia="宋体" w:cs="宋体"/>
          <w:sz w:val="24"/>
        </w:rPr>
        <w:t>2.泵的性能试验</w:t>
      </w:r>
    </w:p>
    <w:p w14:paraId="2FBEA457">
      <w:pPr>
        <w:spacing w:line="360" w:lineRule="auto"/>
        <w:ind w:firstLine="480" w:firstLineChars="200"/>
        <w:rPr>
          <w:rFonts w:ascii="宋体" w:hAnsi="宋体" w:eastAsia="宋体" w:cs="宋体"/>
          <w:sz w:val="24"/>
        </w:rPr>
      </w:pPr>
      <w:r>
        <w:rPr>
          <w:rFonts w:hint="eastAsia" w:ascii="宋体" w:hAnsi="宋体" w:eastAsia="宋体" w:cs="宋体"/>
          <w:sz w:val="24"/>
        </w:rPr>
        <w:t>3.泵的清水汽蚀试验</w:t>
      </w:r>
    </w:p>
    <w:p w14:paraId="3FB36370">
      <w:pPr>
        <w:spacing w:line="360" w:lineRule="auto"/>
        <w:ind w:firstLine="480" w:firstLineChars="200"/>
        <w:rPr>
          <w:rFonts w:ascii="宋体" w:hAnsi="宋体" w:eastAsia="宋体" w:cs="宋体"/>
          <w:sz w:val="24"/>
        </w:rPr>
      </w:pPr>
      <w:r>
        <w:rPr>
          <w:rFonts w:hint="eastAsia" w:ascii="宋体" w:hAnsi="宋体" w:eastAsia="宋体" w:cs="宋体"/>
          <w:sz w:val="24"/>
        </w:rPr>
        <w:t>4.泵的噪音震动试验</w:t>
      </w:r>
    </w:p>
    <w:p w14:paraId="5FFAA49D">
      <w:pPr>
        <w:spacing w:line="360" w:lineRule="auto"/>
        <w:ind w:firstLine="482" w:firstLineChars="200"/>
        <w:rPr>
          <w:rFonts w:ascii="宋体" w:hAnsi="宋体" w:eastAsia="宋体" w:cs="宋体"/>
          <w:b/>
          <w:bCs/>
          <w:sz w:val="24"/>
        </w:rPr>
      </w:pPr>
      <w:r>
        <w:rPr>
          <w:rFonts w:hint="eastAsia" w:ascii="宋体" w:hAnsi="宋体" w:eastAsia="宋体" w:cs="宋体"/>
          <w:b/>
          <w:bCs/>
          <w:sz w:val="24"/>
        </w:rPr>
        <w:t>静水压试验</w:t>
      </w:r>
    </w:p>
    <w:p w14:paraId="2D8A0E93">
      <w:pPr>
        <w:spacing w:line="360" w:lineRule="auto"/>
        <w:ind w:firstLine="480" w:firstLineChars="200"/>
        <w:rPr>
          <w:rFonts w:ascii="宋体" w:hAnsi="宋体" w:eastAsia="宋体" w:cs="宋体"/>
          <w:sz w:val="24"/>
        </w:rPr>
      </w:pPr>
      <w:r>
        <w:rPr>
          <w:rFonts w:hint="eastAsia" w:ascii="宋体" w:hAnsi="宋体" w:eastAsia="宋体" w:cs="宋体"/>
          <w:sz w:val="24"/>
        </w:rPr>
        <w:t>A.每台泵应经受在正常运行条件和额定转速时,泵体应以最大工作压力的1.75 倍的压力做静水压试验。试验压力应至少保持30分钟,其间所有的连接和密 封处都不应有任何泄漏。</w:t>
      </w:r>
    </w:p>
    <w:p w14:paraId="245DFAB1">
      <w:pPr>
        <w:spacing w:line="360" w:lineRule="auto"/>
        <w:ind w:firstLine="480" w:firstLineChars="200"/>
        <w:rPr>
          <w:rFonts w:ascii="宋体" w:hAnsi="宋体" w:eastAsia="宋体" w:cs="宋体"/>
          <w:sz w:val="24"/>
        </w:rPr>
      </w:pPr>
      <w:r>
        <w:rPr>
          <w:rFonts w:hint="eastAsia" w:ascii="宋体" w:hAnsi="宋体" w:eastAsia="宋体" w:cs="宋体"/>
          <w:sz w:val="24"/>
        </w:rPr>
        <w:t>B.在泵体内保持压力试验期间,如探测到缺陷时,应进行 X-射线探伤,以确定缺陷的程度.允许的缺陷程度应按ASTME44所规定的严重程度2来确定。</w:t>
      </w:r>
    </w:p>
    <w:p w14:paraId="4467113F">
      <w:pPr>
        <w:spacing w:line="360" w:lineRule="auto"/>
        <w:ind w:firstLine="482" w:firstLineChars="200"/>
        <w:rPr>
          <w:rFonts w:ascii="宋体" w:hAnsi="宋体" w:eastAsia="宋体" w:cs="宋体"/>
          <w:b/>
          <w:bCs/>
          <w:sz w:val="24"/>
        </w:rPr>
      </w:pPr>
      <w:r>
        <w:rPr>
          <w:rFonts w:hint="eastAsia" w:ascii="宋体" w:hAnsi="宋体" w:eastAsia="宋体" w:cs="宋体"/>
          <w:b/>
          <w:bCs/>
          <w:sz w:val="24"/>
        </w:rPr>
        <w:t>性能试验</w:t>
      </w:r>
    </w:p>
    <w:p w14:paraId="410D7986">
      <w:pPr>
        <w:spacing w:line="360" w:lineRule="auto"/>
        <w:ind w:firstLine="480" w:firstLineChars="200"/>
        <w:rPr>
          <w:rFonts w:ascii="宋体" w:hAnsi="宋体" w:eastAsia="宋体" w:cs="宋体"/>
          <w:sz w:val="24"/>
        </w:rPr>
      </w:pPr>
      <w:r>
        <w:rPr>
          <w:rFonts w:hint="eastAsia" w:ascii="宋体" w:hAnsi="宋体" w:eastAsia="宋体" w:cs="宋体"/>
          <w:sz w:val="24"/>
        </w:rPr>
        <w:t>A.在泵内部施涂料之前, 除本技术说明另有规定要求外, 应按照国际标准 ISO-2548 用清水进行全部性能试验。</w:t>
      </w:r>
    </w:p>
    <w:p w14:paraId="3CFBE924">
      <w:pPr>
        <w:spacing w:line="360" w:lineRule="auto"/>
        <w:ind w:firstLine="480" w:firstLineChars="200"/>
        <w:rPr>
          <w:rFonts w:ascii="宋体" w:hAnsi="宋体" w:eastAsia="宋体" w:cs="宋体"/>
          <w:sz w:val="24"/>
        </w:rPr>
      </w:pPr>
      <w:r>
        <w:rPr>
          <w:rFonts w:hint="eastAsia" w:ascii="宋体" w:hAnsi="宋体" w:eastAsia="宋体" w:cs="宋体"/>
          <w:sz w:val="24"/>
        </w:rPr>
        <w:t>B.流量测量装置应符合国际标准 ISO2548 的规定。</w:t>
      </w:r>
    </w:p>
    <w:p w14:paraId="272BCD4A">
      <w:pPr>
        <w:spacing w:line="360" w:lineRule="auto"/>
        <w:ind w:firstLine="480" w:firstLineChars="200"/>
        <w:rPr>
          <w:rFonts w:ascii="宋体" w:hAnsi="宋体" w:eastAsia="宋体" w:cs="宋体"/>
          <w:sz w:val="24"/>
        </w:rPr>
      </w:pPr>
      <w:r>
        <w:rPr>
          <w:rFonts w:hint="eastAsia" w:ascii="宋体" w:hAnsi="宋体" w:eastAsia="宋体" w:cs="宋体"/>
          <w:sz w:val="24"/>
        </w:rPr>
        <w:t>C.在泵内部施涂料之前, 除本技术说明另有规定要求外,应按照国标 GB/T3216 《回转动力泵水力性能验收试验 1 级 2 级和 3 级》用清水进行全部性能试验， 试验标准达到 3B 等级。</w:t>
      </w:r>
    </w:p>
    <w:p w14:paraId="566F6719">
      <w:pPr>
        <w:spacing w:line="360" w:lineRule="auto"/>
        <w:ind w:firstLine="482" w:firstLineChars="200"/>
        <w:rPr>
          <w:rFonts w:ascii="宋体" w:hAnsi="宋体" w:eastAsia="宋体" w:cs="宋体"/>
          <w:b/>
          <w:bCs/>
          <w:sz w:val="24"/>
        </w:rPr>
      </w:pPr>
      <w:r>
        <w:rPr>
          <w:rFonts w:hint="eastAsia" w:ascii="宋体" w:hAnsi="宋体" w:eastAsia="宋体" w:cs="宋体"/>
          <w:b/>
          <w:bCs/>
          <w:sz w:val="24"/>
        </w:rPr>
        <w:t>噪声和振动试验</w:t>
      </w:r>
    </w:p>
    <w:p w14:paraId="0AD31469">
      <w:pPr>
        <w:spacing w:line="360" w:lineRule="auto"/>
        <w:ind w:firstLine="480" w:firstLineChars="200"/>
        <w:rPr>
          <w:rFonts w:ascii="宋体" w:hAnsi="宋体" w:eastAsia="宋体" w:cs="宋体"/>
          <w:sz w:val="24"/>
        </w:rPr>
      </w:pPr>
      <w:r>
        <w:rPr>
          <w:rFonts w:hint="eastAsia" w:ascii="宋体" w:hAnsi="宋体" w:eastAsia="宋体" w:cs="宋体"/>
          <w:sz w:val="24"/>
        </w:rPr>
        <w:t>A.在进行泵的清水性能试验时，应对每台泵组进行噪声和振动试验，以证明是 否符合技术规定中的要求，噪声测定应遵照 ISO 或 GB 的有关要求，,在泵任 何工况运转时以声功率为准，在条件不具备时允许采用声压法，其噪声不得 大于规定值。振动测定应遵照 ISO 或 GB 的有关要求，在泵工作范围内的振 动评价应达到 B 级。</w:t>
      </w:r>
    </w:p>
    <w:p w14:paraId="5EC2A9F4">
      <w:pPr>
        <w:spacing w:line="360" w:lineRule="auto"/>
        <w:ind w:firstLine="482" w:firstLineChars="200"/>
        <w:rPr>
          <w:rFonts w:ascii="宋体" w:hAnsi="宋体" w:eastAsia="宋体" w:cs="宋体"/>
          <w:b/>
          <w:bCs/>
          <w:sz w:val="24"/>
        </w:rPr>
      </w:pPr>
      <w:r>
        <w:rPr>
          <w:rFonts w:hint="eastAsia" w:ascii="宋体" w:hAnsi="宋体" w:eastAsia="宋体" w:cs="宋体"/>
          <w:b/>
          <w:bCs/>
          <w:sz w:val="24"/>
        </w:rPr>
        <w:t>固体通过能力试验</w:t>
      </w:r>
    </w:p>
    <w:p w14:paraId="6CFEDD1D">
      <w:pPr>
        <w:spacing w:line="360" w:lineRule="auto"/>
        <w:ind w:firstLine="480" w:firstLineChars="200"/>
        <w:rPr>
          <w:rFonts w:ascii="宋体" w:hAnsi="宋体" w:eastAsia="宋体" w:cs="宋体"/>
          <w:sz w:val="24"/>
        </w:rPr>
      </w:pPr>
      <w:r>
        <w:rPr>
          <w:rFonts w:hint="eastAsia" w:ascii="宋体" w:hAnsi="宋体" w:eastAsia="宋体" w:cs="宋体"/>
          <w:sz w:val="24"/>
        </w:rPr>
        <w:t>A.泵应进行悬浮固体物通过能力试验，试验装置应能使各种固体物引入到泵的 吸水入口。</w:t>
      </w:r>
    </w:p>
    <w:p w14:paraId="08759BD2">
      <w:pPr>
        <w:spacing w:line="360" w:lineRule="auto"/>
        <w:ind w:firstLine="482" w:firstLineChars="200"/>
        <w:rPr>
          <w:rFonts w:ascii="宋体" w:hAnsi="宋体" w:eastAsia="宋体" w:cs="宋体"/>
          <w:b/>
          <w:bCs/>
          <w:sz w:val="24"/>
        </w:rPr>
      </w:pPr>
      <w:r>
        <w:rPr>
          <w:rFonts w:hint="eastAsia" w:ascii="宋体" w:hAnsi="宋体" w:eastAsia="宋体" w:cs="宋体"/>
          <w:b/>
          <w:bCs/>
          <w:sz w:val="24"/>
        </w:rPr>
        <w:t>泵的拒收</w:t>
      </w:r>
    </w:p>
    <w:p w14:paraId="22E78B8D">
      <w:pPr>
        <w:spacing w:line="360" w:lineRule="auto"/>
        <w:ind w:firstLine="480" w:firstLineChars="200"/>
        <w:rPr>
          <w:rFonts w:ascii="宋体" w:hAnsi="宋体" w:eastAsia="宋体" w:cs="宋体"/>
          <w:sz w:val="24"/>
        </w:rPr>
      </w:pPr>
      <w:r>
        <w:rPr>
          <w:rFonts w:hint="eastAsia" w:ascii="宋体" w:hAnsi="宋体" w:eastAsia="宋体" w:cs="宋体"/>
          <w:sz w:val="24"/>
        </w:rPr>
        <w:t>A.如果未能通过以下试验，泵将被拒绝接受:</w:t>
      </w:r>
    </w:p>
    <w:p w14:paraId="27E165E8">
      <w:pPr>
        <w:spacing w:line="360" w:lineRule="auto"/>
        <w:ind w:firstLine="480" w:firstLineChars="200"/>
        <w:rPr>
          <w:rFonts w:ascii="宋体" w:hAnsi="宋体" w:eastAsia="宋体" w:cs="宋体"/>
          <w:sz w:val="24"/>
        </w:rPr>
      </w:pPr>
      <w:r>
        <w:rPr>
          <w:rFonts w:hint="eastAsia" w:ascii="宋体" w:hAnsi="宋体" w:eastAsia="宋体" w:cs="宋体"/>
          <w:sz w:val="24"/>
        </w:rPr>
        <w:t>1.未能通过静水压试验</w:t>
      </w:r>
    </w:p>
    <w:p w14:paraId="0D0F4C47">
      <w:pPr>
        <w:spacing w:line="360" w:lineRule="auto"/>
        <w:ind w:firstLine="480" w:firstLineChars="200"/>
        <w:rPr>
          <w:rFonts w:ascii="宋体" w:hAnsi="宋体" w:eastAsia="宋体" w:cs="宋体"/>
          <w:sz w:val="24"/>
        </w:rPr>
      </w:pPr>
      <w:r>
        <w:rPr>
          <w:rFonts w:hint="eastAsia" w:ascii="宋体" w:hAnsi="宋体" w:eastAsia="宋体" w:cs="宋体"/>
          <w:sz w:val="24"/>
        </w:rPr>
        <w:t>2.未能通过汽蚀试验</w:t>
      </w:r>
    </w:p>
    <w:p w14:paraId="1EEDEEDA">
      <w:pPr>
        <w:spacing w:line="360" w:lineRule="auto"/>
        <w:ind w:firstLine="480" w:firstLineChars="200"/>
        <w:rPr>
          <w:rFonts w:ascii="宋体" w:hAnsi="宋体" w:eastAsia="宋体" w:cs="宋体"/>
          <w:sz w:val="24"/>
        </w:rPr>
      </w:pPr>
      <w:r>
        <w:rPr>
          <w:rFonts w:hint="eastAsia" w:ascii="宋体" w:hAnsi="宋体" w:eastAsia="宋体" w:cs="宋体"/>
          <w:sz w:val="24"/>
        </w:rPr>
        <w:t>3.未能通过噪声和振动试验</w:t>
      </w:r>
    </w:p>
    <w:p w14:paraId="28F0D75F">
      <w:pPr>
        <w:spacing w:line="360" w:lineRule="auto"/>
        <w:ind w:firstLine="480" w:firstLineChars="200"/>
        <w:rPr>
          <w:rFonts w:ascii="宋体" w:hAnsi="宋体" w:eastAsia="宋体" w:cs="宋体"/>
          <w:sz w:val="24"/>
        </w:rPr>
      </w:pPr>
      <w:r>
        <w:rPr>
          <w:rFonts w:hint="eastAsia" w:ascii="宋体" w:hAnsi="宋体" w:eastAsia="宋体" w:cs="宋体"/>
          <w:sz w:val="24"/>
        </w:rPr>
        <w:t>4.未能通过固体物通过能力试验</w:t>
      </w:r>
    </w:p>
    <w:p w14:paraId="3A831780">
      <w:pPr>
        <w:spacing w:line="360" w:lineRule="auto"/>
        <w:ind w:firstLine="480" w:firstLineChars="200"/>
        <w:rPr>
          <w:rFonts w:ascii="宋体" w:hAnsi="宋体" w:eastAsia="宋体" w:cs="宋体"/>
          <w:sz w:val="24"/>
        </w:rPr>
      </w:pPr>
      <w:r>
        <w:rPr>
          <w:rFonts w:hint="eastAsia" w:ascii="宋体" w:hAnsi="宋体" w:eastAsia="宋体" w:cs="宋体"/>
          <w:sz w:val="24"/>
        </w:rPr>
        <w:t>5.未能通过满足国际标准 ISO2548 条款中所规定的消耗功率，效率，扬程 和流量的偏差极限</w:t>
      </w:r>
    </w:p>
    <w:p w14:paraId="522967FC">
      <w:pPr>
        <w:spacing w:line="360" w:lineRule="auto"/>
        <w:ind w:firstLine="482" w:firstLineChars="200"/>
        <w:rPr>
          <w:rFonts w:ascii="宋体" w:hAnsi="宋体" w:eastAsia="宋体" w:cs="宋体"/>
          <w:b/>
          <w:bCs/>
          <w:sz w:val="24"/>
        </w:rPr>
      </w:pPr>
      <w:r>
        <w:rPr>
          <w:rFonts w:hint="eastAsia" w:ascii="宋体" w:hAnsi="宋体" w:eastAsia="宋体" w:cs="宋体"/>
          <w:b/>
          <w:bCs/>
          <w:sz w:val="24"/>
        </w:rPr>
        <w:t>调试与试车</w:t>
      </w:r>
    </w:p>
    <w:p w14:paraId="19870A43">
      <w:pPr>
        <w:spacing w:line="360" w:lineRule="auto"/>
        <w:ind w:firstLine="480" w:firstLineChars="200"/>
        <w:rPr>
          <w:rFonts w:ascii="宋体" w:hAnsi="宋体" w:eastAsia="宋体" w:cs="宋体"/>
          <w:sz w:val="24"/>
        </w:rPr>
      </w:pPr>
      <w:r>
        <w:rPr>
          <w:rFonts w:hint="eastAsia" w:ascii="宋体" w:hAnsi="宋体" w:eastAsia="宋体" w:cs="宋体"/>
          <w:sz w:val="24"/>
        </w:rPr>
        <w:t>A.带负荷运行（根据池中容量可进行调整），检测水泵的流量、扬程及效率须符 合设计要求。</w:t>
      </w:r>
    </w:p>
    <w:p w14:paraId="6CA16C67">
      <w:pPr>
        <w:spacing w:line="360" w:lineRule="auto"/>
        <w:ind w:firstLine="480" w:firstLineChars="200"/>
        <w:rPr>
          <w:rFonts w:ascii="宋体" w:hAnsi="宋体" w:eastAsia="宋体" w:cs="宋体"/>
          <w:sz w:val="24"/>
        </w:rPr>
      </w:pPr>
      <w:r>
        <w:rPr>
          <w:rFonts w:hint="eastAsia" w:ascii="宋体" w:hAnsi="宋体" w:eastAsia="宋体" w:cs="宋体"/>
          <w:sz w:val="24"/>
        </w:rPr>
        <w:t>B.运转时应平稳、无异常声音、振动和温升，电机电流正常。</w:t>
      </w:r>
    </w:p>
    <w:p w14:paraId="07C890E0">
      <w:pPr>
        <w:spacing w:line="360" w:lineRule="auto"/>
        <w:ind w:firstLine="480" w:firstLineChars="200"/>
        <w:rPr>
          <w:rFonts w:ascii="宋体" w:hAnsi="宋体" w:eastAsia="宋体" w:cs="宋体"/>
          <w:sz w:val="24"/>
        </w:rPr>
      </w:pPr>
      <w:r>
        <w:rPr>
          <w:rFonts w:hint="eastAsia" w:ascii="宋体" w:hAnsi="宋体" w:eastAsia="宋体" w:cs="宋体"/>
          <w:sz w:val="24"/>
        </w:rPr>
        <w:t>C.检测电机安全保护措施须符合潜水泵技术要求。</w:t>
      </w:r>
    </w:p>
    <w:p w14:paraId="346A92C1">
      <w:pPr>
        <w:pStyle w:val="3"/>
        <w:rPr>
          <w:rFonts w:ascii="宋体" w:hAnsi="宋体" w:eastAsia="宋体" w:cs="宋体"/>
          <w:sz w:val="24"/>
          <w:szCs w:val="22"/>
        </w:rPr>
      </w:pPr>
      <w:r>
        <w:rPr>
          <w:rFonts w:hint="eastAsia" w:ascii="宋体" w:hAnsi="宋体" w:eastAsia="宋体" w:cs="宋体"/>
          <w:sz w:val="24"/>
          <w:szCs w:val="22"/>
        </w:rPr>
        <w:t>3.1.4.5 曝气系统</w:t>
      </w:r>
    </w:p>
    <w:p w14:paraId="778CC47C">
      <w:pPr>
        <w:spacing w:line="360" w:lineRule="auto"/>
        <w:ind w:firstLine="480" w:firstLineChars="200"/>
        <w:rPr>
          <w:rFonts w:ascii="宋体" w:hAnsi="宋体" w:eastAsia="宋体" w:cs="宋体"/>
          <w:sz w:val="24"/>
        </w:rPr>
      </w:pPr>
      <w:r>
        <w:rPr>
          <w:rFonts w:hint="eastAsia" w:ascii="宋体" w:hAnsi="宋体" w:eastAsia="宋体" w:cs="宋体"/>
          <w:sz w:val="24"/>
        </w:rPr>
        <w:t>A.生化池曝气系统为板条式微孔曝气器系统，系统供货工作范围包括系统内所有设备 （包括附属设备）以及系统所有配套的设施的制造、出厂检验、供货、指导安装、调试和试运行等内容。生化池底部曝气系统内所有管路（以池底向上 一米为界，包括：空气支管对接法兰及密封和连接螺栓、空气分配支管、固 定支架、池底曝气系统管路附件等）。</w:t>
      </w:r>
    </w:p>
    <w:p w14:paraId="6E5AC919">
      <w:pPr>
        <w:pStyle w:val="3"/>
        <w:rPr>
          <w:rFonts w:ascii="宋体" w:hAnsi="宋体" w:eastAsia="宋体" w:cs="宋体"/>
          <w:sz w:val="24"/>
          <w:szCs w:val="22"/>
        </w:rPr>
      </w:pPr>
      <w:r>
        <w:rPr>
          <w:rFonts w:hint="eastAsia" w:ascii="宋体" w:hAnsi="宋体" w:eastAsia="宋体" w:cs="宋体"/>
          <w:sz w:val="24"/>
          <w:szCs w:val="22"/>
        </w:rPr>
        <w:t>3.1.4.6 可提升微孔曝气系统</w:t>
      </w:r>
    </w:p>
    <w:p w14:paraId="2BE1AE42">
      <w:pPr>
        <w:spacing w:line="360" w:lineRule="auto"/>
        <w:ind w:firstLine="480" w:firstLineChars="200"/>
        <w:rPr>
          <w:rFonts w:ascii="宋体" w:hAnsi="宋体" w:eastAsia="宋体" w:cs="宋体"/>
          <w:sz w:val="24"/>
        </w:rPr>
      </w:pPr>
      <w:r>
        <w:rPr>
          <w:rFonts w:hint="eastAsia" w:ascii="宋体" w:hAnsi="宋体" w:eastAsia="宋体" w:cs="宋体"/>
          <w:sz w:val="24"/>
        </w:rPr>
        <w:t>A.可提升式曝气器采用板条式微孔曝气器，曝气器采用 EPDM 等材质及以上柔性曝气扩散膜（根据曝气温度选定,如PU材质等）、UPVC 支撑管、提升导轨及不锈钢管夹。</w:t>
      </w:r>
    </w:p>
    <w:p w14:paraId="0BE6DC4B">
      <w:pPr>
        <w:spacing w:line="360" w:lineRule="auto"/>
        <w:ind w:firstLine="480" w:firstLineChars="200"/>
        <w:rPr>
          <w:rFonts w:ascii="宋体" w:hAnsi="宋体" w:eastAsia="宋体" w:cs="宋体"/>
          <w:sz w:val="24"/>
        </w:rPr>
      </w:pPr>
      <w:r>
        <w:rPr>
          <w:rFonts w:hint="eastAsia" w:ascii="宋体" w:hAnsi="宋体" w:eastAsia="宋体" w:cs="宋体"/>
          <w:sz w:val="24"/>
        </w:rPr>
        <w:t>B. 提升曝气系统的整体提升导轨为镀锌钢，固定支架为不锈钢材质。</w:t>
      </w:r>
    </w:p>
    <w:p w14:paraId="329DD335">
      <w:pPr>
        <w:spacing w:line="360" w:lineRule="auto"/>
        <w:ind w:firstLine="480" w:firstLineChars="200"/>
        <w:rPr>
          <w:rFonts w:ascii="宋体" w:hAnsi="宋体" w:eastAsia="宋体" w:cs="宋体"/>
          <w:sz w:val="24"/>
        </w:rPr>
      </w:pPr>
      <w:r>
        <w:rPr>
          <w:rFonts w:hint="eastAsia" w:ascii="宋体" w:hAnsi="宋体" w:eastAsia="宋体" w:cs="宋体"/>
          <w:sz w:val="24"/>
        </w:rPr>
        <w:t>C.可提升式曝气系统配备电动提升装置，提升装置将曝气器升至水面后，曝气器可以做 360°旋转。</w:t>
      </w:r>
    </w:p>
    <w:p w14:paraId="6BBC674D">
      <w:pPr>
        <w:spacing w:line="360" w:lineRule="auto"/>
        <w:ind w:firstLine="480" w:firstLineChars="200"/>
        <w:rPr>
          <w:rFonts w:ascii="宋体" w:hAnsi="宋体" w:eastAsia="宋体" w:cs="宋体"/>
          <w:sz w:val="24"/>
        </w:rPr>
      </w:pPr>
      <w:r>
        <w:rPr>
          <w:rFonts w:hint="eastAsia" w:ascii="宋体" w:hAnsi="宋体" w:eastAsia="宋体" w:cs="宋体"/>
          <w:sz w:val="24"/>
        </w:rPr>
        <w:t>D.曝气系统设置有溶氧仪，通过仪表与控制阀（调节阀）之间的联动，可以控 制曝气量。</w:t>
      </w:r>
    </w:p>
    <w:p w14:paraId="35D3E704">
      <w:pPr>
        <w:pStyle w:val="3"/>
        <w:rPr>
          <w:rFonts w:ascii="宋体" w:hAnsi="宋体" w:eastAsia="宋体" w:cs="宋体"/>
          <w:sz w:val="24"/>
          <w:szCs w:val="22"/>
        </w:rPr>
      </w:pPr>
      <w:r>
        <w:rPr>
          <w:rFonts w:hint="eastAsia" w:ascii="宋体" w:hAnsi="宋体" w:eastAsia="宋体" w:cs="宋体"/>
          <w:sz w:val="24"/>
          <w:szCs w:val="22"/>
        </w:rPr>
        <w:t>3.1.4.7 固定微孔曝气系统</w:t>
      </w:r>
    </w:p>
    <w:p w14:paraId="1D52499D">
      <w:pPr>
        <w:spacing w:line="360" w:lineRule="auto"/>
        <w:ind w:firstLine="480" w:firstLineChars="200"/>
        <w:rPr>
          <w:rFonts w:ascii="宋体" w:hAnsi="宋体" w:eastAsia="宋体" w:cs="宋体"/>
          <w:sz w:val="24"/>
        </w:rPr>
      </w:pPr>
      <w:r>
        <w:rPr>
          <w:rFonts w:hint="eastAsia" w:ascii="宋体" w:hAnsi="宋体" w:eastAsia="宋体" w:cs="宋体"/>
          <w:sz w:val="24"/>
        </w:rPr>
        <w:t>A. 固定式曝气器采用板条式微孔曝气器，曝气器采用 EPDM等材质及以上柔性曝气扩散膜（根据曝气温度选定，如PU材质等）、UPVC 支撑管及不锈钢管夹。</w:t>
      </w:r>
    </w:p>
    <w:p w14:paraId="78DED89C">
      <w:pPr>
        <w:spacing w:line="360" w:lineRule="auto"/>
        <w:ind w:firstLine="480" w:firstLineChars="200"/>
        <w:rPr>
          <w:rFonts w:ascii="宋体" w:hAnsi="宋体" w:eastAsia="宋体" w:cs="宋体"/>
          <w:sz w:val="24"/>
        </w:rPr>
      </w:pPr>
      <w:r>
        <w:rPr>
          <w:rFonts w:hint="eastAsia" w:ascii="宋体" w:hAnsi="宋体" w:eastAsia="宋体" w:cs="宋体"/>
          <w:sz w:val="24"/>
        </w:rPr>
        <w:t>B.空气管材质为 UPVC，空气管固定支架材质为 304 不锈钢，固定螺栓 304 不锈钢。</w:t>
      </w:r>
    </w:p>
    <w:p w14:paraId="1828CAF1">
      <w:pPr>
        <w:pStyle w:val="3"/>
        <w:rPr>
          <w:rFonts w:ascii="宋体" w:hAnsi="宋体" w:eastAsia="宋体" w:cs="宋体"/>
          <w:sz w:val="24"/>
          <w:szCs w:val="22"/>
        </w:rPr>
      </w:pPr>
      <w:r>
        <w:rPr>
          <w:rFonts w:hint="eastAsia" w:ascii="宋体" w:hAnsi="宋体" w:eastAsia="宋体" w:cs="宋体"/>
          <w:sz w:val="24"/>
          <w:szCs w:val="22"/>
        </w:rPr>
        <w:t>3.1.4.8 空气控制出水堰</w:t>
      </w:r>
    </w:p>
    <w:p w14:paraId="6FFE332C">
      <w:pPr>
        <w:spacing w:line="360" w:lineRule="auto"/>
        <w:ind w:firstLine="480" w:firstLineChars="200"/>
        <w:rPr>
          <w:rFonts w:ascii="宋体" w:hAnsi="宋体" w:eastAsia="宋体" w:cs="宋体"/>
          <w:sz w:val="24"/>
        </w:rPr>
      </w:pPr>
      <w:r>
        <w:rPr>
          <w:rFonts w:hint="eastAsia" w:ascii="宋体" w:hAnsi="宋体" w:eastAsia="宋体" w:cs="宋体"/>
          <w:sz w:val="24"/>
        </w:rPr>
        <w:t>A.空气控制出水堰的主要作用是控制反应池的出水，可有效防止曝气池内混合 液对出水槽的污染</w:t>
      </w:r>
    </w:p>
    <w:p w14:paraId="05FE24F6">
      <w:pPr>
        <w:spacing w:line="360" w:lineRule="auto"/>
        <w:ind w:firstLine="480" w:firstLineChars="200"/>
        <w:rPr>
          <w:rFonts w:ascii="宋体" w:hAnsi="宋体" w:eastAsia="宋体" w:cs="宋体"/>
          <w:sz w:val="24"/>
        </w:rPr>
      </w:pPr>
      <w:r>
        <w:rPr>
          <w:rFonts w:hint="eastAsia" w:ascii="宋体" w:hAnsi="宋体" w:eastAsia="宋体" w:cs="宋体"/>
          <w:sz w:val="24"/>
        </w:rPr>
        <w:t>B.出水堰材质为不锈钢。</w:t>
      </w:r>
    </w:p>
    <w:p w14:paraId="01DC9C28">
      <w:pPr>
        <w:pStyle w:val="3"/>
        <w:rPr>
          <w:rFonts w:ascii="宋体" w:hAnsi="宋体" w:eastAsia="宋体" w:cs="宋体"/>
          <w:sz w:val="24"/>
          <w:szCs w:val="22"/>
        </w:rPr>
      </w:pPr>
      <w:r>
        <w:rPr>
          <w:rFonts w:hint="eastAsia" w:ascii="宋体" w:hAnsi="宋体" w:eastAsia="宋体" w:cs="宋体"/>
          <w:sz w:val="24"/>
          <w:szCs w:val="22"/>
        </w:rPr>
        <w:t>3.1.4.9 撇渣管</w:t>
      </w:r>
    </w:p>
    <w:p w14:paraId="075F5325">
      <w:pPr>
        <w:spacing w:line="360" w:lineRule="auto"/>
        <w:ind w:firstLine="480" w:firstLineChars="200"/>
        <w:rPr>
          <w:rFonts w:ascii="宋体" w:hAnsi="宋体" w:eastAsia="宋体" w:cs="宋体"/>
          <w:sz w:val="24"/>
        </w:rPr>
      </w:pPr>
      <w:r>
        <w:rPr>
          <w:rFonts w:hint="eastAsia" w:ascii="宋体" w:hAnsi="宋体" w:eastAsia="宋体" w:cs="宋体"/>
          <w:sz w:val="24"/>
        </w:rPr>
        <w:t>A.带手轮的电动旋转撇渣管，主要适用于收集序批池液面的浮渣，泡沫等漂浮 物</w:t>
      </w:r>
    </w:p>
    <w:p w14:paraId="6F057727">
      <w:pPr>
        <w:spacing w:line="360" w:lineRule="auto"/>
        <w:ind w:firstLine="480" w:firstLineChars="200"/>
        <w:rPr>
          <w:rFonts w:ascii="宋体" w:hAnsi="宋体" w:eastAsia="宋体" w:cs="宋体"/>
          <w:sz w:val="24"/>
        </w:rPr>
      </w:pPr>
      <w:r>
        <w:rPr>
          <w:rFonts w:hint="eastAsia" w:ascii="宋体" w:hAnsi="宋体" w:eastAsia="宋体" w:cs="宋体"/>
          <w:sz w:val="24"/>
        </w:rPr>
        <w:t>B.配渣管为不锈钢材质。</w:t>
      </w:r>
    </w:p>
    <w:p w14:paraId="3FB8F34B">
      <w:pPr>
        <w:spacing w:line="360" w:lineRule="auto"/>
        <w:ind w:firstLine="480" w:firstLineChars="200"/>
        <w:rPr>
          <w:rFonts w:ascii="宋体" w:hAnsi="宋体" w:eastAsia="宋体" w:cs="宋体"/>
          <w:sz w:val="24"/>
        </w:rPr>
      </w:pPr>
      <w:r>
        <w:rPr>
          <w:rFonts w:hint="eastAsia" w:ascii="宋体" w:hAnsi="宋体" w:eastAsia="宋体" w:cs="宋体"/>
          <w:sz w:val="24"/>
        </w:rPr>
        <w:t>C.撇渣管能做60度的灵活转动，并设有限位挡块，两端的轴承支承有良好的密封措施。</w:t>
      </w:r>
    </w:p>
    <w:p w14:paraId="355A5099">
      <w:pPr>
        <w:pStyle w:val="3"/>
        <w:rPr>
          <w:rFonts w:ascii="宋体" w:hAnsi="宋体" w:eastAsia="宋体" w:cs="宋体"/>
          <w:sz w:val="24"/>
          <w:szCs w:val="22"/>
        </w:rPr>
      </w:pPr>
      <w:r>
        <w:rPr>
          <w:rFonts w:hint="eastAsia" w:ascii="宋体" w:hAnsi="宋体" w:eastAsia="宋体" w:cs="宋体"/>
          <w:sz w:val="24"/>
          <w:szCs w:val="22"/>
        </w:rPr>
        <w:t>3.1.4.10 闸门</w:t>
      </w:r>
    </w:p>
    <w:p w14:paraId="64D2DAF1">
      <w:pPr>
        <w:spacing w:line="360" w:lineRule="auto"/>
        <w:ind w:firstLine="480" w:firstLineChars="200"/>
        <w:rPr>
          <w:rFonts w:ascii="宋体" w:hAnsi="宋体" w:eastAsia="宋体" w:cs="宋体"/>
          <w:sz w:val="24"/>
        </w:rPr>
      </w:pPr>
      <w:r>
        <w:rPr>
          <w:rFonts w:hint="eastAsia" w:ascii="宋体" w:hAnsi="宋体" w:eastAsia="宋体" w:cs="宋体"/>
          <w:sz w:val="24"/>
        </w:rPr>
        <w:t>卖方应提供保证设备安全、稳定、可靠运行的全套设备、辅助及安装连接附件负责指导安装、调试及试运行等工作。设备主要组成部分及供货范围 （不限于此）：</w:t>
      </w:r>
    </w:p>
    <w:p w14:paraId="082635D5">
      <w:pPr>
        <w:spacing w:line="360" w:lineRule="auto"/>
        <w:ind w:firstLine="480" w:firstLineChars="200"/>
        <w:rPr>
          <w:rFonts w:ascii="宋体" w:hAnsi="宋体" w:eastAsia="宋体" w:cs="宋体"/>
          <w:sz w:val="24"/>
        </w:rPr>
      </w:pPr>
      <w:r>
        <w:rPr>
          <w:rFonts w:hint="eastAsia" w:ascii="宋体" w:hAnsi="宋体" w:eastAsia="宋体" w:cs="宋体"/>
          <w:sz w:val="24"/>
        </w:rPr>
        <w:t>-  装配完整的闸门（闸框及导轨、闸板、闸杆、密封等）</w:t>
      </w:r>
    </w:p>
    <w:p w14:paraId="3CEBDD88">
      <w:pPr>
        <w:spacing w:line="360" w:lineRule="auto"/>
        <w:ind w:firstLine="480" w:firstLineChars="200"/>
        <w:rPr>
          <w:rFonts w:ascii="宋体" w:hAnsi="宋体" w:eastAsia="宋体" w:cs="宋体"/>
          <w:sz w:val="24"/>
        </w:rPr>
      </w:pPr>
      <w:r>
        <w:rPr>
          <w:rFonts w:hint="eastAsia" w:ascii="宋体" w:hAnsi="宋体" w:eastAsia="宋体" w:cs="宋体"/>
          <w:sz w:val="24"/>
        </w:rPr>
        <w:t>-  电动执行机构（一体式、带控制装置）</w:t>
      </w:r>
    </w:p>
    <w:p w14:paraId="3F9E8A3D">
      <w:pPr>
        <w:spacing w:line="360" w:lineRule="auto"/>
        <w:ind w:firstLine="480" w:firstLineChars="200"/>
        <w:rPr>
          <w:rFonts w:ascii="宋体" w:hAnsi="宋体" w:eastAsia="宋体" w:cs="宋体"/>
          <w:sz w:val="24"/>
        </w:rPr>
      </w:pPr>
      <w:r>
        <w:rPr>
          <w:rFonts w:hint="eastAsia" w:ascii="宋体" w:hAnsi="宋体" w:eastAsia="宋体" w:cs="宋体"/>
          <w:sz w:val="24"/>
        </w:rPr>
        <w:t>-  支座</w:t>
      </w:r>
    </w:p>
    <w:p w14:paraId="402A2C36">
      <w:pPr>
        <w:spacing w:line="360" w:lineRule="auto"/>
        <w:ind w:firstLine="480" w:firstLineChars="200"/>
        <w:rPr>
          <w:rFonts w:ascii="宋体" w:hAnsi="宋体" w:eastAsia="宋体" w:cs="宋体"/>
          <w:sz w:val="24"/>
        </w:rPr>
      </w:pPr>
      <w:r>
        <w:rPr>
          <w:rFonts w:hint="eastAsia" w:ascii="宋体" w:hAnsi="宋体" w:eastAsia="宋体" w:cs="宋体"/>
          <w:sz w:val="24"/>
        </w:rPr>
        <w:t>-  闸杆托架</w:t>
      </w:r>
    </w:p>
    <w:p w14:paraId="2CEEFC98">
      <w:pPr>
        <w:spacing w:line="360" w:lineRule="auto"/>
        <w:ind w:firstLine="480" w:firstLineChars="200"/>
        <w:rPr>
          <w:rFonts w:ascii="宋体" w:hAnsi="宋体" w:eastAsia="宋体" w:cs="宋体"/>
          <w:sz w:val="24"/>
        </w:rPr>
      </w:pPr>
      <w:r>
        <w:rPr>
          <w:rFonts w:hint="eastAsia" w:ascii="宋体" w:hAnsi="宋体" w:eastAsia="宋体" w:cs="宋体"/>
          <w:sz w:val="24"/>
        </w:rPr>
        <w:t>-  螺杆保护套</w:t>
      </w:r>
    </w:p>
    <w:p w14:paraId="675D190D">
      <w:pPr>
        <w:spacing w:line="360" w:lineRule="auto"/>
        <w:ind w:firstLine="480" w:firstLineChars="200"/>
        <w:rPr>
          <w:rFonts w:ascii="宋体" w:hAnsi="宋体" w:eastAsia="宋体" w:cs="宋体"/>
          <w:sz w:val="24"/>
        </w:rPr>
      </w:pPr>
      <w:r>
        <w:rPr>
          <w:rFonts w:hint="eastAsia" w:ascii="宋体" w:hAnsi="宋体" w:eastAsia="宋体" w:cs="宋体"/>
          <w:sz w:val="24"/>
        </w:rPr>
        <w:t>-  调整底板</w:t>
      </w:r>
    </w:p>
    <w:p w14:paraId="7996ECA6">
      <w:pPr>
        <w:spacing w:line="360" w:lineRule="auto"/>
        <w:ind w:firstLine="480" w:firstLineChars="200"/>
        <w:rPr>
          <w:rFonts w:ascii="宋体" w:hAnsi="宋体" w:eastAsia="宋体" w:cs="宋体"/>
          <w:color w:val="FF0000"/>
          <w:sz w:val="24"/>
        </w:rPr>
      </w:pPr>
      <w:r>
        <w:rPr>
          <w:rFonts w:hint="eastAsia" w:ascii="宋体" w:hAnsi="宋体" w:eastAsia="宋体" w:cs="宋体"/>
          <w:sz w:val="24"/>
        </w:rPr>
        <w:t>- 所有安装连接附件、化学地脚螺栓</w:t>
      </w:r>
    </w:p>
    <w:p w14:paraId="2E018FD8">
      <w:pPr>
        <w:spacing w:before="265" w:line="220" w:lineRule="auto"/>
        <w:ind w:left="318"/>
        <w:rPr>
          <w:sz w:val="24"/>
        </w:rPr>
      </w:pPr>
      <w:r>
        <w:rPr>
          <w:spacing w:val="-4"/>
          <w:sz w:val="24"/>
        </w:rPr>
        <w:t>B.</w:t>
      </w:r>
      <w:r>
        <w:rPr>
          <w:spacing w:val="3"/>
          <w:sz w:val="24"/>
        </w:rPr>
        <w:t xml:space="preserve">    </w:t>
      </w:r>
      <w:r>
        <w:rPr>
          <w:spacing w:val="-4"/>
          <w:sz w:val="24"/>
        </w:rPr>
        <w:t>资料提交</w:t>
      </w:r>
    </w:p>
    <w:p w14:paraId="0CF82EE8">
      <w:pPr>
        <w:spacing w:before="266" w:line="360" w:lineRule="auto"/>
        <w:ind w:right="204" w:firstLine="480" w:firstLineChars="200"/>
        <w:rPr>
          <w:spacing w:val="-2"/>
          <w:sz w:val="24"/>
        </w:rPr>
      </w:pPr>
      <w:r>
        <w:rPr>
          <w:sz w:val="24"/>
        </w:rPr>
        <w:t>- 投标人在投标时，应提供闸门</w:t>
      </w:r>
      <w:r>
        <w:rPr>
          <w:rFonts w:hint="eastAsia"/>
          <w:sz w:val="24"/>
        </w:rPr>
        <w:t>规格</w:t>
      </w:r>
      <w:r>
        <w:rPr>
          <w:sz w:val="24"/>
        </w:rPr>
        <w:t>、电动头</w:t>
      </w:r>
      <w:r>
        <w:rPr>
          <w:rFonts w:hint="eastAsia"/>
          <w:sz w:val="24"/>
        </w:rPr>
        <w:t>功率</w:t>
      </w:r>
      <w:r>
        <w:rPr>
          <w:sz w:val="24"/>
        </w:rPr>
        <w:t>、闸门和电动头生</w:t>
      </w:r>
      <w:r>
        <w:rPr>
          <w:spacing w:val="-2"/>
          <w:sz w:val="24"/>
        </w:rPr>
        <w:t>产厂家的产品样本。</w:t>
      </w:r>
    </w:p>
    <w:p w14:paraId="282C412A">
      <w:pPr>
        <w:spacing w:before="266" w:line="360" w:lineRule="auto"/>
        <w:ind w:right="204" w:firstLine="474" w:firstLineChars="200"/>
        <w:rPr>
          <w:b/>
          <w:bCs/>
          <w:spacing w:val="-2"/>
          <w:sz w:val="24"/>
        </w:rPr>
      </w:pPr>
      <w:r>
        <w:rPr>
          <w:b/>
          <w:bCs/>
          <w:spacing w:val="-2"/>
          <w:sz w:val="24"/>
        </w:rPr>
        <w:t>铸铁闸门</w:t>
      </w:r>
    </w:p>
    <w:tbl>
      <w:tblPr>
        <w:tblStyle w:val="8"/>
        <w:tblW w:w="9090" w:type="dxa"/>
        <w:tblInd w:w="100" w:type="dxa"/>
        <w:tblLayout w:type="autofit"/>
        <w:tblCellMar>
          <w:top w:w="0" w:type="dxa"/>
          <w:left w:w="108" w:type="dxa"/>
          <w:bottom w:w="0" w:type="dxa"/>
          <w:right w:w="108" w:type="dxa"/>
        </w:tblCellMar>
      </w:tblPr>
      <w:tblGrid>
        <w:gridCol w:w="1320"/>
        <w:gridCol w:w="1224"/>
        <w:gridCol w:w="645"/>
        <w:gridCol w:w="1019"/>
        <w:gridCol w:w="1080"/>
        <w:gridCol w:w="1372"/>
        <w:gridCol w:w="1080"/>
        <w:gridCol w:w="1350"/>
      </w:tblGrid>
      <w:tr w14:paraId="1177FE71">
        <w:tblPrEx>
          <w:tblCellMar>
            <w:top w:w="0" w:type="dxa"/>
            <w:left w:w="108" w:type="dxa"/>
            <w:bottom w:w="0" w:type="dxa"/>
            <w:right w:w="108" w:type="dxa"/>
          </w:tblCellMar>
        </w:tblPrEx>
        <w:trPr>
          <w:trHeight w:val="70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BBA7">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设备编号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7D5D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闸门规格(m)(W×H/Φ)</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D4E8">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89CB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水压 方向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5A3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闸口中心至池顶高(m)</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F21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闸口中心至液面最大距离(m)</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0F9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驱动方式 密封方式</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907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安装地点/ 说明</w:t>
            </w:r>
          </w:p>
        </w:tc>
      </w:tr>
      <w:tr w14:paraId="48105331">
        <w:tblPrEx>
          <w:tblCellMar>
            <w:top w:w="0" w:type="dxa"/>
            <w:left w:w="108" w:type="dxa"/>
            <w:bottom w:w="0" w:type="dxa"/>
            <w:right w:w="108" w:type="dxa"/>
          </w:tblCellMar>
        </w:tblPrEx>
        <w:trPr>
          <w:trHeight w:val="678"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02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SBR1/8-EA V101/104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68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40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63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2E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BF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正 0.50 反 0.4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30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手/电动/金 属密封</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5D4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改进型 SBR 生物池</w:t>
            </w:r>
          </w:p>
        </w:tc>
      </w:tr>
      <w:tr w14:paraId="0CB66418">
        <w:tblPrEx>
          <w:tblCellMar>
            <w:top w:w="0" w:type="dxa"/>
            <w:left w:w="108" w:type="dxa"/>
            <w:bottom w:w="0" w:type="dxa"/>
            <w:right w:w="108" w:type="dxa"/>
          </w:tblCellMar>
        </w:tblPrEx>
        <w:trPr>
          <w:trHeight w:val="663"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58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SBR1/8-EA V201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1E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BE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35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C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4D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正 0.50 反 0.4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E7F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手/电动/金 属密封</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AC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改进型 SBR 生物池</w:t>
            </w:r>
          </w:p>
        </w:tc>
      </w:tr>
      <w:tr w14:paraId="2AD9B609">
        <w:tblPrEx>
          <w:tblCellMar>
            <w:top w:w="0" w:type="dxa"/>
            <w:left w:w="108" w:type="dxa"/>
            <w:bottom w:w="0" w:type="dxa"/>
            <w:right w:w="108" w:type="dxa"/>
          </w:tblCellMar>
        </w:tblPrEx>
        <w:trPr>
          <w:trHeight w:val="737"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A0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SBR1/8-E GV101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6E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1.2×1.2</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8D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1EE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正向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BF0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8.65</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12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7.9</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4E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手/电动/金 属密封</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E6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改进型 SBR 生物池</w:t>
            </w:r>
          </w:p>
        </w:tc>
      </w:tr>
      <w:tr w14:paraId="32BAEC22">
        <w:tblPrEx>
          <w:tblCellMar>
            <w:top w:w="0" w:type="dxa"/>
            <w:left w:w="108" w:type="dxa"/>
            <w:bottom w:w="0" w:type="dxa"/>
            <w:right w:w="108" w:type="dxa"/>
          </w:tblCellMar>
        </w:tblPrEx>
        <w:trPr>
          <w:trHeight w:val="500" w:hRule="atLeast"/>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D2941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电源：380V/3ph/50Hz</w:t>
            </w:r>
          </w:p>
        </w:tc>
      </w:tr>
      <w:tr w14:paraId="018A763D">
        <w:tblPrEx>
          <w:tblCellMar>
            <w:top w:w="0" w:type="dxa"/>
            <w:left w:w="108" w:type="dxa"/>
            <w:bottom w:w="0" w:type="dxa"/>
            <w:right w:w="108" w:type="dxa"/>
          </w:tblCellMar>
        </w:tblPrEx>
        <w:trPr>
          <w:trHeight w:val="500" w:hRule="atLeast"/>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01A1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防护等级/绝缘等级：IP67/F</w:t>
            </w:r>
          </w:p>
        </w:tc>
      </w:tr>
      <w:tr w14:paraId="2837C6E0">
        <w:tblPrEx>
          <w:tblCellMar>
            <w:top w:w="0" w:type="dxa"/>
            <w:left w:w="108" w:type="dxa"/>
            <w:bottom w:w="0" w:type="dxa"/>
            <w:right w:w="108" w:type="dxa"/>
          </w:tblCellMar>
        </w:tblPrEx>
        <w:trPr>
          <w:trHeight w:val="500" w:hRule="atLeast"/>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E6B1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噪音：≤75dB(A)</w:t>
            </w:r>
          </w:p>
        </w:tc>
      </w:tr>
      <w:tr w14:paraId="548E010C">
        <w:tblPrEx>
          <w:tblCellMar>
            <w:top w:w="0" w:type="dxa"/>
            <w:left w:w="108" w:type="dxa"/>
            <w:bottom w:w="0" w:type="dxa"/>
            <w:right w:w="108" w:type="dxa"/>
          </w:tblCellMar>
        </w:tblPrEx>
        <w:trPr>
          <w:trHeight w:val="500" w:hRule="atLeast"/>
        </w:trPr>
        <w:tc>
          <w:tcPr>
            <w:tcW w:w="909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D536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泄漏量：正向：1.0L/min.m；反向：2.0L/min.m</w:t>
            </w:r>
          </w:p>
        </w:tc>
      </w:tr>
    </w:tbl>
    <w:p w14:paraId="66CB0931">
      <w:pPr>
        <w:spacing w:before="272" w:line="412" w:lineRule="auto"/>
        <w:ind w:right="6242"/>
        <w:rPr>
          <w:b/>
          <w:bCs/>
        </w:rPr>
      </w:pPr>
      <w:r>
        <w:rPr>
          <w:b/>
          <w:bCs/>
          <w:spacing w:val="-3"/>
          <w:sz w:val="24"/>
        </w:rPr>
        <w:t>技术要求</w:t>
      </w:r>
    </w:p>
    <w:p w14:paraId="162C82DB">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铸铁闸门制造商应具有炉内净尺寸4000mm×4000mm规格以上的退火热处理车间以及树脂砂造型的设施，投标时应提供书面证明文件。闸门制造商应具备铸造与机加工的能力。</w:t>
      </w:r>
    </w:p>
    <w:p w14:paraId="44A4CE2B">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闸门采用金属材料密封止水，升杆式闸门。闸门均为附壁式安装、四边密封。</w:t>
      </w:r>
    </w:p>
    <w:p w14:paraId="018633D2">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闸门的设计、制造及检验应满足 CJ/T  3006 标准的要求。闸板、闸框和导轨 均应按最大工作水压设计。并且，在最大设计水压下，闸板、闸框和导轨的 拉伸、压缩和剪切强度的安全系数不应小于 5。闸板挠度应不大于构件长度 的 1/1500。门板的厚度应在计算厚度上增加2mm的腐蚀余量。</w:t>
      </w:r>
    </w:p>
    <w:p w14:paraId="147EBDDB">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闸门设计最大正向受压应不小于 0.1MPa，反向受压应不小于 0.02MPa（计算 压力时必须根据闸门高度考虑闸门底部的受力）。若超过上述压力值，按实际压力值进行设计计算。闸门的闸板、闸框、导轨等应采用树脂砂铸型的铸造工艺，浇铸成型的铸件应质地细密，无铸件不允许有裂缝、疏松和浇不足等 缺陷。铸件浇铸后应通过热处理消除应力，以保证铸件的尺寸稳定、防止变形开裂而影响密封止水效果。闸框、闸板和导轨等主要铸铁件应进行时效处理。</w:t>
      </w:r>
    </w:p>
    <w:p w14:paraId="5D4647BC">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导轨可与闸框制成一体，也可用螺栓或螺钉等紧固件连接在门框上。闸板开 启到最高位置时，其导轨顶端应高于闸板高度的 2/3（下开式闸板应为全长）。</w:t>
      </w:r>
    </w:p>
    <w:p w14:paraId="6C3AE015">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密封座应分别置于经机加工的门框和门板的相应位置上，用于与密封座相同 材料制作的沉头螺钉紧固。在启闭门板过程中，不能变形和松动，螺钉头部 与密封座工作面一起精加工，其表面粗糙度不大于 3.2µm。</w:t>
      </w:r>
    </w:p>
    <w:p w14:paraId="29B373A0">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在闸门两侧必须设置可调节的楔紧装置，楔紧副两楔紧面的表面粗糙度应小 于3.2µm。</w:t>
      </w:r>
    </w:p>
    <w:p w14:paraId="64678D7A">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在工作水位条件下，正向止水闸门密封面的渗漏量应小于 1.0L/min.m（密封 长度）。反向止水闸门密封面的渗漏量应小于 2.0L/min.m（密封长度）。在最大工作压力条件下，闸门密封面的渗漏量应小于1.25L/min.m（密封长度），反向渗漏量应小于2.5L/min.m（密封长度）。</w:t>
      </w:r>
    </w:p>
    <w:p w14:paraId="73AB5EAE">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闸杆应按最大工作开启和关闭力设计，其拉伸、压缩和剪切强度的安全系数 不应小于 5，且不小于在闸门关闭时电动启闭机装置输出推力的 1.25 倍。闸 杆的长径（回转半径，即闸杆小径/4）比不大于200，在最大工作压力条件下，闸杆无纵向弯曲或永久性变形，轴导架间距应不大于 2500mm。闸杆与导向  装置之间的间隙应小于 3mm。应设有闸杆保护套。闸杆稳定系数应不小于 2。 闸杆长度应留出至少 150mm 裕量。</w:t>
      </w:r>
    </w:p>
    <w:p w14:paraId="105C1F7E">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所有紧固件应按最大工作开启和关闭力设计，其拉伸、压缩和剪切强度的安 全系数不应小于 5，材质应为不锈钢。</w:t>
      </w:r>
    </w:p>
    <w:p w14:paraId="3930D601">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所有铸铁件应按重度腐蚀淹没的使用条件进行可靠的喷涂处理。在涂漆前必 须清除毛刺、氧化皮、锈斑、锈迹、粘砂、结疤和油污等脏物。将浇口、冒 口、多肉和锐边等铲平，保持表面平整光洁。闸门非工作接触面的涂漆不得 有起泡、剥落、皱纹和流挂等对外观质量有影响的缺陷。清水池闸门的防腐 喷涂应采用无毒船舶水仓漆，底漆膜（干膜）厚度应不小于 0.15mm，面漆膜 （干膜）厚度应不小于 0.1mm，总漆膜厚度不小于 0.25mm；其它闸门可采 用环氧沥青漆，漆膜厚度要求同上述要求。</w:t>
      </w:r>
    </w:p>
    <w:p w14:paraId="218EA4CE">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闸板应能在任何高度位置定位。下开式闸门的导轨长度应为闸板的全长。须</w:t>
      </w:r>
    </w:p>
    <w:p w14:paraId="78552E67">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在闸导轨底部设挡块，闸板与闸杆的连接应有锁紧装置，防止闸板脱落。</w:t>
      </w:r>
    </w:p>
    <w:p w14:paraId="76E20EC4">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闸门的闸框及导轨、轴导架等的固定安装均不设预埋铁，应采用化学地脚螺 栓安装。</w:t>
      </w:r>
    </w:p>
    <w:p w14:paraId="595D5E07">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电动调节型闸门采用电动调节启闭机，接收控制信号完成开度调节，并反馈 开度信号至中控室。电动调节启闭机应能频繁启停。</w:t>
      </w:r>
    </w:p>
    <w:p w14:paraId="6DED10E0">
      <w:pPr>
        <w:numPr>
          <w:ilvl w:val="0"/>
          <w:numId w:val="3"/>
        </w:numPr>
        <w:spacing w:line="360" w:lineRule="auto"/>
        <w:ind w:firstLine="480" w:firstLineChars="200"/>
        <w:rPr>
          <w:rFonts w:ascii="宋体" w:hAnsi="宋体" w:eastAsia="宋体" w:cs="宋体"/>
          <w:sz w:val="24"/>
        </w:rPr>
      </w:pPr>
      <w:r>
        <w:rPr>
          <w:rFonts w:hint="eastAsia" w:ascii="宋体" w:hAnsi="宋体" w:eastAsia="宋体" w:cs="宋体"/>
          <w:sz w:val="24"/>
        </w:rPr>
        <w:t>闸门在全开位置时，应保证闸板100%在闸框导轨内，并设置压紧装置将其紧迫，避免由于水流冲击造成的振动。</w:t>
      </w:r>
    </w:p>
    <w:p w14:paraId="3AAD5584">
      <w:pPr>
        <w:spacing w:line="360" w:lineRule="auto"/>
        <w:ind w:firstLine="482" w:firstLineChars="200"/>
        <w:rPr>
          <w:rFonts w:ascii="宋体" w:hAnsi="宋体" w:eastAsia="宋体" w:cs="宋体"/>
          <w:b/>
          <w:bCs/>
          <w:sz w:val="24"/>
        </w:rPr>
      </w:pPr>
      <w:r>
        <w:rPr>
          <w:rFonts w:hint="eastAsia" w:ascii="宋体" w:hAnsi="宋体" w:eastAsia="宋体" w:cs="宋体"/>
          <w:b/>
          <w:bCs/>
          <w:sz w:val="24"/>
        </w:rPr>
        <w:t>启闭机</w:t>
      </w:r>
    </w:p>
    <w:p w14:paraId="26B67169">
      <w:pPr>
        <w:spacing w:line="360" w:lineRule="auto"/>
        <w:ind w:firstLine="480" w:firstLineChars="200"/>
        <w:rPr>
          <w:rFonts w:ascii="宋体" w:hAnsi="宋体" w:eastAsia="宋体" w:cs="宋体"/>
          <w:sz w:val="24"/>
        </w:rPr>
      </w:pPr>
      <w:r>
        <w:rPr>
          <w:rFonts w:hint="eastAsia" w:ascii="宋体" w:hAnsi="宋体" w:eastAsia="宋体" w:cs="宋体"/>
          <w:sz w:val="24"/>
        </w:rPr>
        <w:t>A. 启闭机的启闭力应大于最大计算启闭力的 1.35 倍。启闭机应设有手动操作机 构，且手动操作力不大于 200N。手轮或手柄上应标有闸门开、闭方向，顺时针为关闭。操作高度离地面 0.75~1 米。动力驱动的闸门的启闭装置输出转速应不小于 18r/min，启闭速度应不低于 0.25m/min。电动执行机构应设置刻度 盘来指示闸门的开闭及任何中间位置。电机功率的备用系数应不小于1.3。</w:t>
      </w:r>
    </w:p>
    <w:p w14:paraId="4029956C">
      <w:pPr>
        <w:spacing w:line="360" w:lineRule="auto"/>
        <w:ind w:firstLine="480" w:firstLineChars="200"/>
        <w:rPr>
          <w:rFonts w:ascii="宋体" w:hAnsi="宋体" w:eastAsia="宋体" w:cs="宋体"/>
          <w:sz w:val="24"/>
        </w:rPr>
      </w:pPr>
      <w:r>
        <w:rPr>
          <w:rFonts w:hint="eastAsia" w:ascii="宋体" w:hAnsi="宋体" w:eastAsia="宋体" w:cs="宋体"/>
          <w:sz w:val="24"/>
        </w:rPr>
        <w:t>B. 电动执行机构的控制装置应与执行机构为一整体。应设置刻度盘指示闸门的 开闭及任何中间位置，并安装过扭矩保护装置及限位开关、自动/手动开关、 防冷凝加热器、温控保护开关等。应能满足全天候运行要求，免维护。</w:t>
      </w:r>
    </w:p>
    <w:p w14:paraId="165626A1">
      <w:pPr>
        <w:spacing w:line="360" w:lineRule="auto"/>
        <w:ind w:firstLine="480" w:firstLineChars="200"/>
        <w:rPr>
          <w:rFonts w:ascii="宋体" w:hAnsi="宋体" w:eastAsia="宋体" w:cs="宋体"/>
          <w:sz w:val="24"/>
        </w:rPr>
      </w:pPr>
      <w:r>
        <w:rPr>
          <w:rFonts w:hint="eastAsia" w:ascii="宋体" w:hAnsi="宋体" w:eastAsia="宋体" w:cs="宋体"/>
          <w:sz w:val="24"/>
        </w:rPr>
        <w:t>C.在电动执行机构上，电机、一体化控制单元、用户端子等应采用插拔接头的 方式，其安装在 4×90 度角方向可调，便于安装调试和维修更换。</w:t>
      </w:r>
    </w:p>
    <w:p w14:paraId="0214B287">
      <w:pPr>
        <w:spacing w:line="360" w:lineRule="auto"/>
        <w:ind w:firstLine="480" w:firstLineChars="200"/>
        <w:rPr>
          <w:rFonts w:ascii="宋体" w:hAnsi="宋体" w:eastAsia="宋体" w:cs="宋体"/>
          <w:sz w:val="24"/>
        </w:rPr>
      </w:pPr>
      <w:r>
        <w:rPr>
          <w:rFonts w:hint="eastAsia" w:ascii="宋体" w:hAnsi="宋体" w:eastAsia="宋体" w:cs="宋体"/>
          <w:sz w:val="24"/>
        </w:rPr>
        <w:t>D.应采用按钮式开关操作，使控制按钮与控制电路之间完全密封隔离无机械接 触。防止外部环境的有害气体与内部电路的接触。</w:t>
      </w:r>
    </w:p>
    <w:p w14:paraId="6F1195D2">
      <w:pPr>
        <w:spacing w:line="360" w:lineRule="auto"/>
        <w:ind w:firstLine="480" w:firstLineChars="200"/>
        <w:rPr>
          <w:rFonts w:ascii="宋体" w:hAnsi="宋体" w:eastAsia="宋体" w:cs="宋体"/>
          <w:sz w:val="24"/>
        </w:rPr>
      </w:pPr>
      <w:r>
        <w:rPr>
          <w:rFonts w:hint="eastAsia" w:ascii="宋体" w:hAnsi="宋体" w:eastAsia="宋体" w:cs="宋体"/>
          <w:sz w:val="24"/>
        </w:rPr>
        <w:t>E.电动执行机构的手动操作在手动操作模式下可以设定行程开关和执行紧急操 作。当电机在停止状态时， 拉动手/自动切换手柄可以将电动机与传动机构脱 离，同时，将手动机构与传动机构连接在一起。</w:t>
      </w:r>
    </w:p>
    <w:p w14:paraId="10AD7CA6">
      <w:pPr>
        <w:spacing w:line="360" w:lineRule="auto"/>
        <w:ind w:firstLine="480" w:firstLineChars="200"/>
        <w:rPr>
          <w:rFonts w:ascii="宋体" w:hAnsi="宋体" w:eastAsia="宋体" w:cs="宋体"/>
          <w:sz w:val="24"/>
        </w:rPr>
      </w:pPr>
      <w:r>
        <w:rPr>
          <w:rFonts w:hint="eastAsia" w:ascii="宋体" w:hAnsi="宋体" w:eastAsia="宋体" w:cs="宋体"/>
          <w:sz w:val="24"/>
        </w:rPr>
        <w:t>F. 由于地下车间光线比较暗，启闭机应配置 LED 开闭指示灯，以便于闸门运行状况的观察和操控。</w:t>
      </w:r>
    </w:p>
    <w:p w14:paraId="6A93B150">
      <w:pPr>
        <w:spacing w:line="360" w:lineRule="auto"/>
        <w:ind w:firstLine="480" w:firstLineChars="200"/>
        <w:rPr>
          <w:rFonts w:ascii="宋体" w:hAnsi="宋体" w:eastAsia="宋体" w:cs="宋体"/>
          <w:sz w:val="24"/>
        </w:rPr>
      </w:pPr>
      <w:r>
        <w:rPr>
          <w:rFonts w:hint="eastAsia" w:ascii="宋体" w:hAnsi="宋体" w:eastAsia="宋体" w:cs="宋体"/>
          <w:sz w:val="24"/>
        </w:rPr>
        <w:t>G. 所有跨越闸门的开闭信号要上传至中控室。</w:t>
      </w:r>
    </w:p>
    <w:p w14:paraId="3F062F11">
      <w:pPr>
        <w:spacing w:line="360" w:lineRule="auto"/>
        <w:ind w:firstLine="482" w:firstLineChars="200"/>
        <w:rPr>
          <w:rFonts w:ascii="宋体" w:hAnsi="宋体" w:eastAsia="宋体" w:cs="宋体"/>
          <w:b/>
          <w:bCs/>
          <w:sz w:val="24"/>
        </w:rPr>
      </w:pPr>
      <w:r>
        <w:rPr>
          <w:rFonts w:hint="eastAsia" w:ascii="宋体" w:hAnsi="宋体" w:eastAsia="宋体" w:cs="宋体"/>
          <w:b/>
          <w:bCs/>
          <w:sz w:val="24"/>
        </w:rPr>
        <w:t>其它要求</w:t>
      </w:r>
    </w:p>
    <w:p w14:paraId="6B487351">
      <w:pPr>
        <w:spacing w:line="360" w:lineRule="auto"/>
        <w:ind w:firstLine="480" w:firstLineChars="200"/>
        <w:rPr>
          <w:rFonts w:ascii="宋体" w:hAnsi="宋体" w:eastAsia="宋体" w:cs="宋体"/>
          <w:sz w:val="24"/>
        </w:rPr>
      </w:pPr>
      <w:r>
        <w:rPr>
          <w:rFonts w:hint="eastAsia" w:ascii="宋体" w:hAnsi="宋体" w:eastAsia="宋体" w:cs="宋体"/>
          <w:sz w:val="24"/>
        </w:rPr>
        <w:t>A.闸门的闸框及导轨、轴导架、启闭机等的固定安装均不设预埋铁，应采用化 学地脚螺栓安装。</w:t>
      </w:r>
    </w:p>
    <w:p w14:paraId="557CE9F4">
      <w:pPr>
        <w:spacing w:line="360" w:lineRule="auto"/>
        <w:ind w:firstLine="480" w:firstLineChars="200"/>
        <w:rPr>
          <w:rFonts w:ascii="宋体" w:hAnsi="宋体" w:eastAsia="宋体" w:cs="宋体"/>
          <w:sz w:val="24"/>
        </w:rPr>
      </w:pPr>
      <w:r>
        <w:rPr>
          <w:rFonts w:hint="eastAsia" w:ascii="宋体" w:hAnsi="宋体" w:eastAsia="宋体" w:cs="宋体"/>
          <w:sz w:val="24"/>
        </w:rPr>
        <w:t>B.丝杆应有可靠的防脱落保护。丝杆外应有可显示丝杆位置的保护罩，用足够 数量的不锈钢螺栓牢固固定在启闭机上，保护罩本体应采用不锈钢304制作，应设有刻度指示闸门的开启位置。保护罩本体上开槽后用有机玻璃封堵，以便于观察闸门的开闭位置。保护罩中心与丝杆轴线偏差不得大于 5mm。开度指示器应准确可靠。</w:t>
      </w:r>
    </w:p>
    <w:p w14:paraId="3428157A">
      <w:pPr>
        <w:spacing w:line="360" w:lineRule="auto"/>
        <w:ind w:firstLine="480" w:firstLineChars="200"/>
        <w:rPr>
          <w:rFonts w:ascii="宋体" w:hAnsi="宋体" w:eastAsia="宋体" w:cs="宋体"/>
          <w:sz w:val="24"/>
        </w:rPr>
      </w:pPr>
      <w:r>
        <w:rPr>
          <w:rFonts w:hint="eastAsia" w:ascii="宋体" w:hAnsi="宋体" w:eastAsia="宋体" w:cs="宋体"/>
          <w:sz w:val="24"/>
        </w:rPr>
        <w:t>C.当闸孔洞带有穿墙套管时，穿墙套管的外径一般大于闸孔径 90~100mm，闸 框的固定螺栓与套管之间应留出至少 80mm（根据化学螺栓生产厂家的安装 手册确定）的间隙。保证闸门安装的牢固性。</w:t>
      </w:r>
    </w:p>
    <w:p w14:paraId="00CCA903">
      <w:pPr>
        <w:spacing w:line="360" w:lineRule="auto"/>
        <w:ind w:firstLine="480" w:firstLineChars="200"/>
        <w:rPr>
          <w:rFonts w:ascii="宋体" w:hAnsi="宋体" w:eastAsia="宋体" w:cs="宋体"/>
          <w:sz w:val="24"/>
        </w:rPr>
      </w:pPr>
      <w:r>
        <w:rPr>
          <w:rFonts w:hint="eastAsia" w:ascii="宋体" w:hAnsi="宋体" w:eastAsia="宋体" w:cs="宋体"/>
          <w:sz w:val="24"/>
        </w:rPr>
        <w:t>D. 启闭机座底部应配一块调平钢板，用于启闭机安装时机座调平，保证设备安 装精度。也可采用靠背螺母来调整启闭机的安装精度，配套调整螺母为本合 同供货范围。</w:t>
      </w:r>
    </w:p>
    <w:p w14:paraId="467C9AB3">
      <w:pPr>
        <w:spacing w:line="360" w:lineRule="auto"/>
        <w:rPr>
          <w:rFonts w:ascii="宋体" w:hAnsi="宋体" w:eastAsia="宋体" w:cs="宋体"/>
          <w:sz w:val="24"/>
        </w:rPr>
      </w:pPr>
      <w:r>
        <w:rPr>
          <w:b/>
          <w:bCs/>
          <w:spacing w:val="-3"/>
          <w:sz w:val="24"/>
        </w:rPr>
        <w:t>主要零部件材料</w:t>
      </w:r>
      <w:r>
        <w:rPr>
          <w:sz w:val="24"/>
        </w:rPr>
        <w:t xml:space="preserve"> </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7417529A">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B1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闸框及导轨</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C8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623D8FCD">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8D0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60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35D6F27C">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2A2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AD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2Cr13</w:t>
            </w:r>
          </w:p>
        </w:tc>
      </w:tr>
      <w:tr w14:paraId="57E901F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44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楔块</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11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铜合金</w:t>
            </w:r>
          </w:p>
        </w:tc>
      </w:tr>
      <w:tr w14:paraId="7BBE99B2">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C8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89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铜合金</w:t>
            </w:r>
          </w:p>
        </w:tc>
      </w:tr>
      <w:tr w14:paraId="60DD2461">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3C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闸杆螺母</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1D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铜合金</w:t>
            </w:r>
          </w:p>
        </w:tc>
      </w:tr>
      <w:tr w14:paraId="39E55D8C">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75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闸杆保护套</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64E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r w14:paraId="3DB92E3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8B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启闭机座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6D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62A35FA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66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调平底板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F5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碳钢防腐</w:t>
            </w:r>
          </w:p>
        </w:tc>
      </w:tr>
      <w:tr w14:paraId="0EC485D5">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8F8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所有安装连接附件/化学地脚螺栓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F2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bl>
    <w:p w14:paraId="22A7BA11">
      <w:pPr>
        <w:spacing w:line="360" w:lineRule="auto"/>
        <w:ind w:firstLine="480" w:firstLineChars="200"/>
        <w:rPr>
          <w:rFonts w:ascii="宋体" w:hAnsi="宋体" w:eastAsia="宋体" w:cs="宋体"/>
          <w:sz w:val="24"/>
        </w:rPr>
        <w:sectPr>
          <w:footerReference r:id="rId6" w:type="first"/>
          <w:headerReference r:id="rId3" w:type="default"/>
          <w:footerReference r:id="rId4" w:type="default"/>
          <w:footerReference r:id="rId5" w:type="even"/>
          <w:pgSz w:w="11907" w:h="16839"/>
          <w:pgMar w:top="1364" w:right="1400" w:bottom="1525" w:left="1785" w:header="928" w:footer="1365" w:gutter="0"/>
          <w:cols w:space="720" w:num="1"/>
        </w:sectPr>
      </w:pPr>
    </w:p>
    <w:p w14:paraId="0251C1E0">
      <w:pPr>
        <w:spacing w:line="360" w:lineRule="auto"/>
        <w:ind w:firstLine="482" w:firstLineChars="200"/>
        <w:rPr>
          <w:rFonts w:ascii="宋体" w:hAnsi="宋体" w:eastAsia="宋体" w:cs="宋体"/>
          <w:b/>
          <w:bCs/>
          <w:sz w:val="24"/>
        </w:rPr>
      </w:pPr>
      <w:r>
        <w:rPr>
          <w:rFonts w:hint="eastAsia" w:ascii="宋体" w:hAnsi="宋体" w:eastAsia="宋体" w:cs="宋体"/>
          <w:b/>
          <w:bCs/>
          <w:sz w:val="24"/>
        </w:rPr>
        <w:t>控制</w:t>
      </w:r>
    </w:p>
    <w:p w14:paraId="158754AB">
      <w:pPr>
        <w:spacing w:line="360" w:lineRule="auto"/>
        <w:ind w:firstLine="480" w:firstLineChars="200"/>
        <w:rPr>
          <w:rFonts w:ascii="宋体" w:hAnsi="宋体" w:eastAsia="宋体" w:cs="宋体"/>
          <w:sz w:val="24"/>
        </w:rPr>
      </w:pPr>
      <w:r>
        <w:rPr>
          <w:rFonts w:hint="eastAsia" w:ascii="宋体" w:hAnsi="宋体" w:eastAsia="宋体" w:cs="宋体"/>
          <w:sz w:val="24"/>
        </w:rPr>
        <w:t>A.电动闸门的控制装置与驱动装置为一体。</w:t>
      </w:r>
    </w:p>
    <w:p w14:paraId="03C7D0A3">
      <w:pPr>
        <w:spacing w:line="360" w:lineRule="auto"/>
        <w:ind w:firstLine="480" w:firstLineChars="200"/>
        <w:rPr>
          <w:rFonts w:ascii="宋体" w:hAnsi="宋体" w:eastAsia="宋体" w:cs="宋体"/>
          <w:sz w:val="24"/>
        </w:rPr>
      </w:pPr>
      <w:r>
        <w:rPr>
          <w:rFonts w:hint="eastAsia" w:ascii="宋体" w:hAnsi="宋体" w:eastAsia="宋体" w:cs="宋体"/>
          <w:sz w:val="24"/>
        </w:rPr>
        <w:t>B.电动闸门执行机构应以无源接点的形式输出故障、全开、全关、就地/远方转 换开关位置信号，并接受远方的控制信号。</w:t>
      </w:r>
    </w:p>
    <w:p w14:paraId="239B9D49">
      <w:pPr>
        <w:spacing w:line="360" w:lineRule="auto"/>
        <w:ind w:firstLine="482" w:firstLineChars="200"/>
        <w:rPr>
          <w:rFonts w:ascii="宋体" w:hAnsi="宋体" w:eastAsia="宋体" w:cs="宋体"/>
          <w:b/>
          <w:bCs/>
          <w:sz w:val="24"/>
        </w:rPr>
      </w:pPr>
      <w:r>
        <w:rPr>
          <w:rFonts w:hint="eastAsia" w:ascii="宋体" w:hAnsi="宋体" w:eastAsia="宋体" w:cs="宋体"/>
          <w:b/>
          <w:bCs/>
          <w:sz w:val="24"/>
        </w:rPr>
        <w:t>出厂检验</w:t>
      </w:r>
    </w:p>
    <w:p w14:paraId="23EDC978">
      <w:pPr>
        <w:spacing w:line="360" w:lineRule="auto"/>
        <w:ind w:firstLine="480" w:firstLineChars="200"/>
        <w:rPr>
          <w:rFonts w:ascii="宋体" w:hAnsi="宋体" w:eastAsia="宋体" w:cs="宋体"/>
          <w:sz w:val="24"/>
        </w:rPr>
      </w:pPr>
      <w:r>
        <w:rPr>
          <w:rFonts w:hint="eastAsia" w:ascii="宋体" w:hAnsi="宋体" w:eastAsia="宋体" w:cs="宋体"/>
          <w:sz w:val="24"/>
        </w:rPr>
        <w:t>A.按 AWWAC504 标准校核启闭机的所有功能，并进行常规试验。</w:t>
      </w:r>
    </w:p>
    <w:p w14:paraId="7456D329">
      <w:pPr>
        <w:spacing w:line="360" w:lineRule="auto"/>
        <w:ind w:firstLine="480" w:firstLineChars="200"/>
        <w:rPr>
          <w:rFonts w:ascii="宋体" w:hAnsi="宋体" w:eastAsia="宋体" w:cs="宋体"/>
          <w:sz w:val="24"/>
        </w:rPr>
      </w:pPr>
      <w:r>
        <w:rPr>
          <w:rFonts w:hint="eastAsia" w:ascii="宋体" w:hAnsi="宋体" w:eastAsia="宋体" w:cs="宋体"/>
          <w:sz w:val="24"/>
        </w:rPr>
        <w:t>B.闸门总装后，应作适当调整，并进行 2~3 次全启全闭操作，保证移动灵活。 当门板在全闭位置时，密封座处的间隙不大于0.1 mm,闸板与闸框导向槽之间的前后总间隙不大于1.6mm,闸板密封座下边缘应高于闸框密封座下边缘， 其相对位置应不大于2mm。当闸板在全闭位置时，门板与门框的各楔紧面应同时相互楔紧。</w:t>
      </w:r>
    </w:p>
    <w:p w14:paraId="41EFD28A">
      <w:pPr>
        <w:spacing w:line="360" w:lineRule="auto"/>
        <w:ind w:firstLine="470" w:firstLineChars="200"/>
        <w:rPr>
          <w:sz w:val="24"/>
        </w:rPr>
      </w:pPr>
      <w:r>
        <w:rPr>
          <w:b/>
          <w:bCs/>
          <w:spacing w:val="-3"/>
          <w:sz w:val="24"/>
        </w:rPr>
        <w:t>调试与试车</w:t>
      </w:r>
    </w:p>
    <w:p w14:paraId="286CE1B5">
      <w:pPr>
        <w:spacing w:line="360" w:lineRule="auto"/>
        <w:ind w:firstLine="480" w:firstLineChars="200"/>
        <w:rPr>
          <w:rFonts w:ascii="宋体" w:hAnsi="宋体" w:eastAsia="宋体" w:cs="宋体"/>
          <w:sz w:val="24"/>
        </w:rPr>
      </w:pPr>
      <w:r>
        <w:rPr>
          <w:rFonts w:hint="eastAsia" w:ascii="宋体" w:hAnsi="宋体" w:eastAsia="宋体" w:cs="宋体"/>
          <w:sz w:val="24"/>
        </w:rPr>
        <w:t>A. 按照标准 GB50231《机械设备安装工程施工及验收通用规范》第七章的要求 进行试运行试验。</w:t>
      </w:r>
    </w:p>
    <w:p w14:paraId="741BB3F8">
      <w:pPr>
        <w:spacing w:line="360" w:lineRule="auto"/>
        <w:ind w:firstLine="480" w:firstLineChars="200"/>
        <w:rPr>
          <w:rFonts w:ascii="宋体" w:hAnsi="宋体" w:eastAsia="宋体" w:cs="宋体"/>
          <w:sz w:val="24"/>
        </w:rPr>
      </w:pPr>
      <w:r>
        <w:rPr>
          <w:rFonts w:hint="eastAsia" w:ascii="宋体" w:hAnsi="宋体" w:eastAsia="宋体" w:cs="宋体"/>
          <w:sz w:val="24"/>
        </w:rPr>
        <w:t>B.闸门安装后,应对电动启闭机内的润滑油脂进行检查和加注。</w:t>
      </w:r>
    </w:p>
    <w:p w14:paraId="65D41B6A">
      <w:pPr>
        <w:spacing w:line="360" w:lineRule="auto"/>
        <w:ind w:firstLine="480" w:firstLineChars="200"/>
      </w:pPr>
      <w:r>
        <w:rPr>
          <w:rFonts w:hint="eastAsia" w:ascii="宋体" w:hAnsi="宋体" w:eastAsia="宋体" w:cs="宋体"/>
          <w:sz w:val="24"/>
        </w:rPr>
        <w:t>C.闸门安装完毕后应对密封面、滑道表面进行彻底清理，不得有任何杂物，清理后闸门在无水条件下，至少作门板启闭3次试验，操作灵活，手感轻便，齿杆副啮合平稳，门板无卡位、突跳现象，限位准确，启闭机的过载保护机 构应动作灵敏可靠。</w:t>
      </w:r>
    </w:p>
    <w:p w14:paraId="152CA81F">
      <w:pPr>
        <w:spacing w:line="360" w:lineRule="auto"/>
        <w:ind w:firstLine="480" w:firstLineChars="200"/>
        <w:rPr>
          <w:rFonts w:ascii="宋体" w:hAnsi="宋体" w:eastAsia="宋体" w:cs="宋体"/>
          <w:sz w:val="24"/>
        </w:rPr>
      </w:pPr>
      <w:r>
        <w:rPr>
          <w:rFonts w:hint="eastAsia" w:ascii="宋体" w:hAnsi="宋体" w:eastAsia="宋体" w:cs="宋体"/>
          <w:sz w:val="24"/>
        </w:rPr>
        <w:t>D.正常水压条件下，正向止水闸门密封面 的渗漏量应小于 1.0L/min.m（密封长度），反向止水闸门密封面的渗漏量应小 于 2.0L/min.m（密封长度）；在最大设计水位条件下，正向止水闸门的泄漏量 应不大于 1.25 L/min.m（密封长度），反向应不大于 2.5 L/min.m（密封长度）。</w:t>
      </w:r>
    </w:p>
    <w:p w14:paraId="6D3A7557">
      <w:pPr>
        <w:spacing w:line="360" w:lineRule="auto"/>
        <w:ind w:firstLine="480" w:firstLineChars="200"/>
        <w:rPr>
          <w:rFonts w:ascii="宋体" w:hAnsi="宋体" w:eastAsia="宋体" w:cs="宋体"/>
          <w:sz w:val="24"/>
        </w:rPr>
      </w:pPr>
      <w:r>
        <w:rPr>
          <w:rFonts w:hint="eastAsia" w:ascii="宋体" w:hAnsi="宋体" w:eastAsia="宋体" w:cs="宋体"/>
          <w:sz w:val="24"/>
        </w:rPr>
        <w:t xml:space="preserve">E.限位开关与闸门实际位置相符，行程限位器的位置重复偏差不大于±5mm。 </w:t>
      </w:r>
    </w:p>
    <w:p w14:paraId="76B480C4">
      <w:pPr>
        <w:spacing w:line="360" w:lineRule="auto"/>
        <w:ind w:firstLine="480" w:firstLineChars="200"/>
        <w:rPr>
          <w:rFonts w:ascii="宋体" w:hAnsi="宋体" w:eastAsia="宋体" w:cs="宋体"/>
          <w:sz w:val="24"/>
        </w:rPr>
      </w:pPr>
      <w:r>
        <w:rPr>
          <w:rFonts w:hint="eastAsia" w:ascii="宋体" w:hAnsi="宋体" w:eastAsia="宋体" w:cs="宋体"/>
          <w:sz w:val="24"/>
        </w:rPr>
        <w:t>F.手动操作力矩应小于150Nm。</w:t>
      </w:r>
    </w:p>
    <w:p w14:paraId="2E557307">
      <w:pPr>
        <w:spacing w:line="360" w:lineRule="auto"/>
        <w:ind w:firstLine="480" w:firstLineChars="200"/>
        <w:rPr>
          <w:rFonts w:ascii="宋体" w:hAnsi="宋体" w:eastAsia="宋体" w:cs="宋体"/>
          <w:sz w:val="24"/>
        </w:rPr>
        <w:sectPr>
          <w:footerReference r:id="rId10" w:type="first"/>
          <w:headerReference r:id="rId7" w:type="default"/>
          <w:footerReference r:id="rId8" w:type="default"/>
          <w:footerReference r:id="rId9" w:type="even"/>
          <w:pgSz w:w="11907" w:h="16839"/>
          <w:pgMar w:top="1364" w:right="1411" w:bottom="1525" w:left="1785" w:header="928" w:footer="1365" w:gutter="0"/>
          <w:cols w:space="720" w:num="1"/>
        </w:sectPr>
      </w:pPr>
    </w:p>
    <w:p w14:paraId="36A8CF00">
      <w:pPr>
        <w:pStyle w:val="3"/>
        <w:rPr>
          <w:rFonts w:ascii="宋体" w:hAnsi="宋体" w:eastAsia="宋体" w:cs="宋体"/>
          <w:sz w:val="24"/>
          <w:szCs w:val="22"/>
        </w:rPr>
      </w:pPr>
      <w:r>
        <w:rPr>
          <w:rFonts w:hint="eastAsia" w:ascii="宋体" w:hAnsi="宋体" w:eastAsia="宋体" w:cs="宋体"/>
          <w:sz w:val="24"/>
          <w:szCs w:val="22"/>
        </w:rPr>
        <w:t>3.1.4.11阀门及接头</w:t>
      </w:r>
    </w:p>
    <w:p w14:paraId="0519F83D">
      <w:pPr>
        <w:spacing w:line="360" w:lineRule="auto"/>
        <w:ind w:firstLine="480" w:firstLineChars="200"/>
        <w:rPr>
          <w:rFonts w:ascii="宋体" w:hAnsi="宋体" w:eastAsia="宋体" w:cs="宋体"/>
          <w:sz w:val="24"/>
        </w:rPr>
      </w:pPr>
      <w:r>
        <w:rPr>
          <w:rFonts w:hint="eastAsia" w:ascii="宋体" w:hAnsi="宋体" w:eastAsia="宋体" w:cs="宋体"/>
          <w:sz w:val="24"/>
        </w:rPr>
        <w:t>刀闸阀和浆液阀</w:t>
      </w:r>
    </w:p>
    <w:p w14:paraId="5054E957">
      <w:pPr>
        <w:spacing w:line="360" w:lineRule="auto"/>
        <w:ind w:firstLine="480" w:firstLineChars="200"/>
        <w:rPr>
          <w:rFonts w:ascii="宋体" w:hAnsi="宋体" w:eastAsia="宋体" w:cs="宋体"/>
          <w:sz w:val="24"/>
        </w:rPr>
      </w:pPr>
      <w:r>
        <w:rPr>
          <w:rFonts w:hint="eastAsia" w:ascii="宋体" w:hAnsi="宋体" w:eastAsia="宋体" w:cs="宋体"/>
          <w:sz w:val="24"/>
        </w:rPr>
        <w:t>A.刀闸阀和浆液阀应满足 JB/T8691-2013 标准的要求。</w:t>
      </w:r>
    </w:p>
    <w:p w14:paraId="64889CC0">
      <w:pPr>
        <w:spacing w:line="360" w:lineRule="auto"/>
        <w:ind w:firstLine="480" w:firstLineChars="200"/>
        <w:rPr>
          <w:rFonts w:ascii="宋体" w:hAnsi="宋体" w:eastAsia="宋体" w:cs="宋体"/>
          <w:sz w:val="24"/>
        </w:rPr>
      </w:pPr>
      <w:r>
        <w:rPr>
          <w:rFonts w:hint="eastAsia" w:ascii="宋体" w:hAnsi="宋体" w:eastAsia="宋体" w:cs="宋体"/>
          <w:sz w:val="24"/>
        </w:rPr>
        <w:t>B.阀体为整体式，不允许有任何铸造缺陷。阀体的结构长度和极限偏差应按 GB/T 12221-2005 中的规定。</w:t>
      </w:r>
    </w:p>
    <w:p w14:paraId="67F24C09">
      <w:pPr>
        <w:spacing w:line="360" w:lineRule="auto"/>
        <w:ind w:firstLine="480" w:firstLineChars="200"/>
        <w:rPr>
          <w:rFonts w:ascii="宋体" w:hAnsi="宋体" w:eastAsia="宋体" w:cs="宋体"/>
          <w:sz w:val="24"/>
        </w:rPr>
      </w:pPr>
      <w:r>
        <w:rPr>
          <w:rFonts w:hint="eastAsia" w:ascii="宋体" w:hAnsi="宋体" w:eastAsia="宋体" w:cs="宋体"/>
          <w:sz w:val="24"/>
        </w:rPr>
        <w:t>C.两侧法兰面上位置相同的两螺栓孔的同轴度公差值应≤1.0mm。</w:t>
      </w:r>
    </w:p>
    <w:p w14:paraId="555BF0C0">
      <w:pPr>
        <w:spacing w:line="360" w:lineRule="auto"/>
        <w:ind w:firstLine="480" w:firstLineChars="200"/>
        <w:rPr>
          <w:rFonts w:ascii="宋体" w:hAnsi="宋体" w:eastAsia="宋体" w:cs="宋体"/>
          <w:sz w:val="24"/>
        </w:rPr>
      </w:pPr>
      <w:r>
        <w:rPr>
          <w:rFonts w:hint="eastAsia" w:ascii="宋体" w:hAnsi="宋体" w:eastAsia="宋体" w:cs="宋体"/>
          <w:sz w:val="24"/>
        </w:rPr>
        <w:t>D.阀板由铬镍不锈钢板制成，阀板两侧的平面度不低于 1.6μm。阀板与阀杆的 连接应牢固可靠，在使用中不应脱落。</w:t>
      </w:r>
    </w:p>
    <w:p w14:paraId="432FDCC7">
      <w:pPr>
        <w:spacing w:line="360" w:lineRule="auto"/>
        <w:ind w:firstLine="480" w:firstLineChars="200"/>
        <w:rPr>
          <w:rFonts w:ascii="宋体" w:hAnsi="宋体" w:eastAsia="宋体" w:cs="宋体"/>
          <w:sz w:val="24"/>
        </w:rPr>
      </w:pPr>
      <w:r>
        <w:rPr>
          <w:rFonts w:hint="eastAsia" w:ascii="宋体" w:hAnsi="宋体" w:eastAsia="宋体" w:cs="宋体"/>
          <w:sz w:val="24"/>
        </w:rPr>
        <w:t>E.阀杆的传动螺纹应为梯形螺纹。阀杆和阀杆螺母的旋合长度不得小于阀杆螺 纹直径的1.4 倍。</w:t>
      </w:r>
    </w:p>
    <w:p w14:paraId="1E358EC5">
      <w:pPr>
        <w:spacing w:line="360" w:lineRule="auto"/>
        <w:ind w:firstLine="480" w:firstLineChars="200"/>
        <w:rPr>
          <w:rFonts w:ascii="宋体" w:hAnsi="宋体" w:eastAsia="宋体" w:cs="宋体"/>
          <w:sz w:val="24"/>
        </w:rPr>
      </w:pPr>
      <w:r>
        <w:rPr>
          <w:rFonts w:hint="eastAsia" w:ascii="宋体" w:hAnsi="宋体" w:eastAsia="宋体" w:cs="宋体"/>
          <w:sz w:val="24"/>
        </w:rPr>
        <w:t>F.填料压盖采用整体式。</w:t>
      </w:r>
    </w:p>
    <w:p w14:paraId="07B2D231">
      <w:pPr>
        <w:spacing w:line="360" w:lineRule="auto"/>
        <w:ind w:firstLine="480" w:firstLineChars="200"/>
        <w:rPr>
          <w:rFonts w:ascii="宋体" w:hAnsi="宋体" w:eastAsia="宋体" w:cs="宋体"/>
          <w:sz w:val="24"/>
        </w:rPr>
      </w:pPr>
      <w:r>
        <w:rPr>
          <w:rFonts w:hint="eastAsia" w:ascii="宋体" w:hAnsi="宋体" w:eastAsia="宋体" w:cs="宋体"/>
          <w:sz w:val="24"/>
        </w:rPr>
        <w:t>G.阀体内外表面及非不锈钢材质的阀板应采用静电环氧树脂喷涂防腐</w:t>
      </w:r>
    </w:p>
    <w:p w14:paraId="7236653C">
      <w:pPr>
        <w:spacing w:line="360" w:lineRule="auto"/>
        <w:ind w:firstLine="480" w:firstLineChars="200"/>
        <w:rPr>
          <w:rFonts w:ascii="宋体" w:hAnsi="宋体" w:eastAsia="宋体" w:cs="宋体"/>
          <w:sz w:val="24"/>
        </w:rPr>
      </w:pPr>
      <w:r>
        <w:rPr>
          <w:rFonts w:hint="eastAsia" w:ascii="宋体" w:hAnsi="宋体" w:eastAsia="宋体" w:cs="宋体"/>
          <w:sz w:val="24"/>
        </w:rPr>
        <w:t>H.驱动手轮上应清楚地标明阀门开闭方向，手轮顺时针旋转为关闭阀门，人工 操作力应不大于15kg。如手动操作力过大，应考虑用齿轮箱辅助操作，降低手轮上的操作力矩。</w:t>
      </w:r>
    </w:p>
    <w:p w14:paraId="2BD69AEC">
      <w:pPr>
        <w:spacing w:line="360" w:lineRule="auto"/>
        <w:ind w:firstLine="480" w:firstLineChars="200"/>
        <w:rPr>
          <w:rFonts w:ascii="宋体" w:hAnsi="宋体" w:eastAsia="宋体" w:cs="宋体"/>
          <w:sz w:val="24"/>
        </w:rPr>
      </w:pPr>
      <w:r>
        <w:rPr>
          <w:rFonts w:hint="eastAsia" w:ascii="宋体" w:hAnsi="宋体" w:eastAsia="宋体" w:cs="宋体"/>
          <w:sz w:val="24"/>
        </w:rPr>
        <w:t>I. 所有放空用浆液阀或刀闸阀应采用不锈钢材质的阀体及手轮。</w:t>
      </w:r>
    </w:p>
    <w:p w14:paraId="63020767">
      <w:pPr>
        <w:spacing w:line="360" w:lineRule="auto"/>
        <w:ind w:firstLine="482" w:firstLineChars="200"/>
        <w:rPr>
          <w:rFonts w:ascii="宋体" w:hAnsi="宋体" w:eastAsia="宋体" w:cs="宋体"/>
          <w:b/>
          <w:bCs/>
          <w:sz w:val="24"/>
        </w:rPr>
      </w:pPr>
      <w:r>
        <w:rPr>
          <w:rFonts w:hint="eastAsia" w:ascii="宋体" w:hAnsi="宋体" w:eastAsia="宋体" w:cs="宋体"/>
          <w:b/>
          <w:bCs/>
          <w:sz w:val="24"/>
        </w:rPr>
        <w:t>蝶阀</w:t>
      </w:r>
    </w:p>
    <w:p w14:paraId="5FE2F90C">
      <w:pPr>
        <w:spacing w:line="360" w:lineRule="auto"/>
        <w:ind w:firstLine="480" w:firstLineChars="200"/>
        <w:rPr>
          <w:rFonts w:ascii="宋体" w:hAnsi="宋体" w:eastAsia="宋体" w:cs="宋体"/>
          <w:sz w:val="24"/>
        </w:rPr>
      </w:pPr>
      <w:r>
        <w:rPr>
          <w:rFonts w:hint="eastAsia" w:ascii="宋体" w:hAnsi="宋体" w:eastAsia="宋体" w:cs="宋体"/>
          <w:sz w:val="24"/>
        </w:rPr>
        <w:t>A.阀门分别为双偏心和中线型结构，双向密封。阀门应满足CJ/T 261-2015标准要求，且弹性密封的蝶阀应不低于GB/T12238-2008 标准的要求，金属密封的蝶阀应不低于JB/T8527 标准的要求。</w:t>
      </w:r>
    </w:p>
    <w:p w14:paraId="21791A27">
      <w:pPr>
        <w:spacing w:line="360" w:lineRule="auto"/>
        <w:ind w:firstLine="480" w:firstLineChars="200"/>
        <w:rPr>
          <w:rFonts w:ascii="宋体" w:hAnsi="宋体" w:eastAsia="宋体" w:cs="宋体"/>
          <w:sz w:val="24"/>
        </w:rPr>
      </w:pPr>
      <w:r>
        <w:rPr>
          <w:rFonts w:hint="eastAsia" w:ascii="宋体" w:hAnsi="宋体" w:eastAsia="宋体" w:cs="宋体"/>
          <w:sz w:val="24"/>
        </w:rPr>
        <w:t>B.阀体应采用高强度球墨铸铁材料，整体树脂砂型铸造工艺铸造而成，不允许 有任何铸造缺陷。内外表面均用喷砂抛丸方式除锈后进行环氧树脂喷涂。金属密封的阀门采用铸钢阀体。</w:t>
      </w:r>
    </w:p>
    <w:p w14:paraId="3DED0703">
      <w:pPr>
        <w:spacing w:line="360" w:lineRule="auto"/>
        <w:ind w:firstLine="480" w:firstLineChars="200"/>
        <w:rPr>
          <w:rFonts w:ascii="宋体" w:hAnsi="宋体" w:eastAsia="宋体" w:cs="宋体"/>
          <w:sz w:val="24"/>
        </w:rPr>
      </w:pPr>
      <w:r>
        <w:rPr>
          <w:rFonts w:hint="eastAsia" w:ascii="宋体" w:hAnsi="宋体" w:eastAsia="宋体" w:cs="宋体"/>
          <w:sz w:val="24"/>
        </w:rPr>
        <w:t>C.阀板(DN&lt;300)需采用中线型阀门，应根据介质条件选用与之相适用的阀板材 质。阀板的边缘应带有能起到密封效果的突缘；密封橡胶完整地覆盖整个阀 体内部，牢牢的固定在阀体上，密封橡胶材料采用 EPDM，鼓风机出口应采 用耐热橡胶。蝶阀为双向密封，对流体无方向要求，即使在最高工作压力条 件下也应可靠地达到零泄漏。</w:t>
      </w:r>
    </w:p>
    <w:p w14:paraId="4932C473">
      <w:pPr>
        <w:spacing w:line="360" w:lineRule="auto"/>
        <w:ind w:firstLine="480" w:firstLineChars="200"/>
        <w:rPr>
          <w:rFonts w:ascii="宋体" w:hAnsi="宋体" w:eastAsia="宋体" w:cs="宋体"/>
          <w:sz w:val="24"/>
        </w:rPr>
      </w:pPr>
    </w:p>
    <w:p w14:paraId="3BA738C2">
      <w:pPr>
        <w:spacing w:line="360" w:lineRule="auto"/>
        <w:ind w:firstLine="480" w:firstLineChars="200"/>
        <w:rPr>
          <w:rFonts w:ascii="宋体" w:hAnsi="宋体" w:eastAsia="宋体" w:cs="宋体"/>
          <w:sz w:val="24"/>
        </w:rPr>
      </w:pPr>
      <w:r>
        <w:rPr>
          <w:rFonts w:hint="eastAsia" w:ascii="宋体" w:hAnsi="宋体" w:eastAsia="宋体" w:cs="宋体"/>
          <w:sz w:val="24"/>
        </w:rPr>
        <w:t>D.阀板(DN≥300)需采用双偏心或三偏心阀门，应具有良好的导流性能，压降小 的特点。在水流速较高时， 各流道水流能相互制衡，避免阀板出现颤抖现象， 确保阀门的稳固性。阀板边缘需用 316 不锈钢以火焰喷涂工艺包覆以增加板 阀边缘强度。</w:t>
      </w:r>
    </w:p>
    <w:p w14:paraId="1939412C">
      <w:pPr>
        <w:spacing w:line="360" w:lineRule="auto"/>
        <w:ind w:firstLine="480" w:firstLineChars="200"/>
        <w:rPr>
          <w:rFonts w:ascii="宋体" w:hAnsi="宋体" w:eastAsia="宋体" w:cs="宋体"/>
          <w:sz w:val="24"/>
        </w:rPr>
      </w:pPr>
      <w:r>
        <w:rPr>
          <w:rFonts w:hint="eastAsia" w:ascii="宋体" w:hAnsi="宋体" w:eastAsia="宋体" w:cs="宋体"/>
          <w:sz w:val="24"/>
        </w:rPr>
        <w:t>E.阀座(DN≥300)采用燕尾式自锁紧结构，无需任何固定装置也不产生任何松 动；阀座密封圈材料应有良好的耐磨性及抗老化性，阀座区域不会出现任何 锈蚀。阀体上的密封橡胶圈应具备在表皮破损的情况下，在阀外进行在线维 修而不需要将阀门拆卸或停水再进行维修。</w:t>
      </w:r>
    </w:p>
    <w:p w14:paraId="4485EE88">
      <w:pPr>
        <w:spacing w:line="360" w:lineRule="auto"/>
        <w:ind w:firstLine="480" w:firstLineChars="200"/>
        <w:rPr>
          <w:rFonts w:ascii="宋体" w:hAnsi="宋体" w:eastAsia="宋体" w:cs="宋体"/>
          <w:sz w:val="24"/>
        </w:rPr>
      </w:pPr>
      <w:r>
        <w:rPr>
          <w:rFonts w:hint="eastAsia" w:ascii="宋体" w:hAnsi="宋体" w:eastAsia="宋体" w:cs="宋体"/>
          <w:sz w:val="24"/>
        </w:rPr>
        <w:t>F.阀体上的密封座也可采用耐磨型不锈钢材质，且表面应平整光滑。阀座耐腐 蚀、耐磨损和高强度，阀座与阀体同寿命。阀板密封圈以锯齿状可靠地嵌入 阀板上，无需螺栓固定，且有一定的嵌入自由度, 能利用水压在一定范围内 自身调节密封，保证双向密封。不用特殊工具，可对橡胶阀座进行更换或调 整。</w:t>
      </w:r>
    </w:p>
    <w:p w14:paraId="611C9E10">
      <w:pPr>
        <w:spacing w:line="360" w:lineRule="auto"/>
        <w:ind w:firstLine="480" w:firstLineChars="200"/>
        <w:rPr>
          <w:rFonts w:ascii="宋体" w:hAnsi="宋体" w:eastAsia="宋体" w:cs="宋体"/>
          <w:sz w:val="24"/>
        </w:rPr>
      </w:pPr>
      <w:r>
        <w:rPr>
          <w:rFonts w:hint="eastAsia" w:ascii="宋体" w:hAnsi="宋体" w:eastAsia="宋体" w:cs="宋体"/>
          <w:sz w:val="24"/>
        </w:rPr>
        <w:t>G.阀体内外表面及非不锈钢材质的阀板应采用静电环氧树脂喷涂防腐。鼓风机出口蝶阀 应采用耐高温防腐涂料。</w:t>
      </w:r>
    </w:p>
    <w:p w14:paraId="21E8B0AB">
      <w:pPr>
        <w:spacing w:line="360" w:lineRule="auto"/>
        <w:ind w:firstLine="480" w:firstLineChars="200"/>
        <w:rPr>
          <w:rFonts w:ascii="宋体" w:hAnsi="宋体" w:eastAsia="宋体" w:cs="宋体"/>
          <w:sz w:val="24"/>
        </w:rPr>
      </w:pPr>
      <w:r>
        <w:rPr>
          <w:rFonts w:hint="eastAsia" w:ascii="宋体" w:hAnsi="宋体" w:eastAsia="宋体" w:cs="宋体"/>
          <w:sz w:val="24"/>
        </w:rPr>
        <w:t>H.阀杆可为整体也可为分体短轴，其嵌轴孔的长度应小于轴径的 1.5  倍。蝶板 和阀杆的连接强度应至少能传递阀杆所能承受的最大扭矩的 75%，且在给定 的工作条件下不松动。</w:t>
      </w:r>
    </w:p>
    <w:p w14:paraId="76CE5653">
      <w:pPr>
        <w:spacing w:line="360" w:lineRule="auto"/>
        <w:ind w:firstLine="480" w:firstLineChars="200"/>
        <w:rPr>
          <w:rFonts w:ascii="宋体" w:hAnsi="宋体" w:eastAsia="宋体" w:cs="宋体"/>
          <w:sz w:val="24"/>
        </w:rPr>
      </w:pPr>
      <w:r>
        <w:rPr>
          <w:rFonts w:hint="eastAsia" w:ascii="宋体" w:hAnsi="宋体" w:eastAsia="宋体" w:cs="宋体"/>
          <w:sz w:val="24"/>
        </w:rPr>
        <w:t>I.轴承应能承受阀杆所传递的最大荷载，且为自润滑轴承。阀杆伸出端橡胶密 封圈不应少于三道。</w:t>
      </w:r>
    </w:p>
    <w:p w14:paraId="64D2B5EC">
      <w:pPr>
        <w:spacing w:line="360" w:lineRule="auto"/>
        <w:ind w:firstLine="480" w:firstLineChars="200"/>
        <w:rPr>
          <w:rFonts w:ascii="宋体" w:hAnsi="宋体" w:eastAsia="宋体" w:cs="宋体"/>
          <w:sz w:val="24"/>
        </w:rPr>
      </w:pPr>
      <w:r>
        <w:rPr>
          <w:rFonts w:hint="eastAsia" w:ascii="宋体" w:hAnsi="宋体" w:eastAsia="宋体" w:cs="宋体"/>
          <w:sz w:val="24"/>
        </w:rPr>
        <w:t>J.曝气鼓风机和反冲洗鼓风机出口处蝶阀应能长期耐受 200℃以上的高温，鼓 风机出风管路的阀门应采用氟橡胶或金属密封。生物池空气管路阀门应能长 期耐受 50~100℃的高温。</w:t>
      </w:r>
    </w:p>
    <w:p w14:paraId="0299FDAC">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阀门驱动装置</w:t>
      </w:r>
    </w:p>
    <w:p w14:paraId="68A5684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A.驱动装置应能保证蝶阀在最高允许工作压力和最大流速的工况下正常操作。 应不低于GB/T 24923-2010 标准的要求。</w:t>
      </w:r>
    </w:p>
    <w:p w14:paraId="2C9E5FD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B.电机应为鼠笼电机,应包括热保护开关、接线箱、标准线夹和销等。</w:t>
      </w:r>
    </w:p>
    <w:p w14:paraId="52D0534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C.电动执行机构操作方式应符合 VDE0530/IEC34 的要求。电动执行机构的最大 输出扭矩应大于额定扭矩的3倍。</w:t>
      </w:r>
    </w:p>
    <w:p w14:paraId="1D17111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D.电动执行机构连续运行时间应不低于30min。</w:t>
      </w:r>
    </w:p>
    <w:p w14:paraId="18F7CB2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E.电动执行机构应设置刻度盘来指示阀门的开闭及任何中间位置，并安装过扭 矩保护装置及限位开关、自动/手动开关、防冷凝加热器等。</w:t>
      </w:r>
    </w:p>
    <w:p w14:paraId="7539F75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F.其密封应符合 DIN 40050/IEC 529 标准要求。 </w:t>
      </w:r>
    </w:p>
    <w:p w14:paraId="4BD323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G.与阀杆的连接形式应符合 ISO5210。</w:t>
      </w:r>
    </w:p>
    <w:p w14:paraId="7E06677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H.电动执行机构应设有手动操作机构，且手动操作力不大于 150N。</w:t>
      </w:r>
    </w:p>
    <w:p w14:paraId="56BC9C1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I.现场控制装置和执行机构应为一体。阀门井中安装的电动阀门应采用控制箱， 安装在地面以上，以方便操作。</w:t>
      </w:r>
    </w:p>
    <w:p w14:paraId="1CBC35F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J.电源：               380V/3ph/50Hz</w:t>
      </w:r>
    </w:p>
    <w:p w14:paraId="7B6FB70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K.防护等级/绝缘等级：   IP67/F</w:t>
      </w:r>
    </w:p>
    <w:p w14:paraId="07CE318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L.电机噪音：            ≤75dB(A)</w:t>
      </w:r>
    </w:p>
    <w:p w14:paraId="0C4F171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M.手动阀门应采用蜗轮蜗杆结构，且手动操作力不大于150N。</w:t>
      </w:r>
    </w:p>
    <w:p w14:paraId="513550F4">
      <w:pPr>
        <w:spacing w:line="360" w:lineRule="auto"/>
        <w:ind w:firstLine="482" w:firstLineChars="200"/>
        <w:rPr>
          <w:rFonts w:ascii="宋体" w:hAnsi="宋体" w:eastAsia="宋体" w:cs="宋体"/>
          <w:b/>
          <w:bCs/>
          <w:sz w:val="24"/>
        </w:rPr>
      </w:pPr>
      <w:r>
        <w:rPr>
          <w:rFonts w:hint="eastAsia" w:ascii="宋体" w:hAnsi="宋体" w:eastAsia="宋体" w:cs="宋体"/>
          <w:b/>
          <w:bCs/>
          <w:sz w:val="24"/>
        </w:rPr>
        <w:t>止回阀</w:t>
      </w:r>
    </w:p>
    <w:p w14:paraId="056F6FB2">
      <w:pPr>
        <w:spacing w:line="360" w:lineRule="auto"/>
        <w:ind w:firstLine="480" w:firstLineChars="200"/>
        <w:rPr>
          <w:rFonts w:ascii="宋体" w:hAnsi="宋体" w:eastAsia="宋体" w:cs="宋体"/>
          <w:sz w:val="24"/>
        </w:rPr>
      </w:pPr>
      <w:r>
        <w:rPr>
          <w:rFonts w:hint="eastAsia" w:ascii="宋体" w:hAnsi="宋体" w:eastAsia="宋体" w:cs="宋体"/>
          <w:sz w:val="24"/>
        </w:rPr>
        <w:t>A.止回阀应满足 JB/T 8937-2010标准的要求。污水介质用止回阀的结构型式为单板旋启式。当阀门开启时，阀板不会阻挡通道。</w:t>
      </w:r>
    </w:p>
    <w:p w14:paraId="1F1CA4FB">
      <w:pPr>
        <w:spacing w:line="360" w:lineRule="auto"/>
        <w:ind w:firstLine="480" w:firstLineChars="200"/>
        <w:rPr>
          <w:rFonts w:ascii="宋体" w:hAnsi="宋体" w:eastAsia="宋体" w:cs="宋体"/>
          <w:sz w:val="24"/>
        </w:rPr>
      </w:pPr>
      <w:r>
        <w:rPr>
          <w:rFonts w:hint="eastAsia" w:ascii="宋体" w:hAnsi="宋体" w:eastAsia="宋体" w:cs="宋体"/>
          <w:sz w:val="24"/>
        </w:rPr>
        <w:t>B.阀体应整体铸造，并按最大工作水头设计，要有足够的强度和刚度，以承受 流体的压力。法兰尺寸应符合 ISO 标准。</w:t>
      </w:r>
    </w:p>
    <w:p w14:paraId="28F1F632">
      <w:pPr>
        <w:spacing w:line="360" w:lineRule="auto"/>
        <w:ind w:firstLine="480" w:firstLineChars="200"/>
        <w:rPr>
          <w:rFonts w:ascii="宋体" w:hAnsi="宋体" w:eastAsia="宋体" w:cs="宋体"/>
          <w:sz w:val="24"/>
        </w:rPr>
      </w:pPr>
      <w:r>
        <w:rPr>
          <w:rFonts w:hint="eastAsia" w:ascii="宋体" w:hAnsi="宋体" w:eastAsia="宋体" w:cs="宋体"/>
          <w:sz w:val="24"/>
        </w:rPr>
        <w:t>C.阀体不允许有任何铸造缺陷。阀体的结构长度的极限偏差应≤±1.5mm。</w:t>
      </w:r>
    </w:p>
    <w:p w14:paraId="657E9ACD">
      <w:pPr>
        <w:spacing w:line="360" w:lineRule="auto"/>
        <w:ind w:firstLine="480" w:firstLineChars="200"/>
        <w:rPr>
          <w:rFonts w:ascii="宋体" w:hAnsi="宋体" w:eastAsia="宋体" w:cs="宋体"/>
          <w:sz w:val="24"/>
        </w:rPr>
      </w:pPr>
      <w:r>
        <w:rPr>
          <w:rFonts w:hint="eastAsia" w:ascii="宋体" w:hAnsi="宋体" w:eastAsia="宋体" w:cs="宋体"/>
          <w:sz w:val="24"/>
        </w:rPr>
        <w:t>D.阀板的断面形状应保证对水流的阻力为最小。</w:t>
      </w:r>
    </w:p>
    <w:p w14:paraId="4505A4FB">
      <w:pPr>
        <w:spacing w:line="360" w:lineRule="auto"/>
        <w:ind w:firstLine="480" w:firstLineChars="200"/>
        <w:rPr>
          <w:rFonts w:ascii="宋体" w:hAnsi="宋体" w:eastAsia="宋体" w:cs="宋体"/>
          <w:sz w:val="24"/>
        </w:rPr>
      </w:pPr>
      <w:r>
        <w:rPr>
          <w:rFonts w:hint="eastAsia" w:ascii="宋体" w:hAnsi="宋体" w:eastAsia="宋体" w:cs="宋体"/>
          <w:sz w:val="24"/>
        </w:rPr>
        <w:t>E.密封材料为橡胶，当止回阀动作时不允许有任何松动和泄漏。阀座应易于更 换。</w:t>
      </w:r>
    </w:p>
    <w:p w14:paraId="04970A5A">
      <w:pPr>
        <w:spacing w:line="360" w:lineRule="auto"/>
        <w:ind w:firstLine="480" w:firstLineChars="200"/>
        <w:rPr>
          <w:rFonts w:ascii="宋体" w:hAnsi="宋体" w:eastAsia="宋体" w:cs="宋体"/>
          <w:sz w:val="24"/>
        </w:rPr>
      </w:pPr>
      <w:r>
        <w:rPr>
          <w:rFonts w:hint="eastAsia" w:ascii="宋体" w:hAnsi="宋体" w:eastAsia="宋体" w:cs="宋体"/>
          <w:sz w:val="24"/>
        </w:rPr>
        <w:t xml:space="preserve">F.止回阀连接端尺寸及连接端面型式应符合 GB/T 9124 或 GB/T17241 的规定。 </w:t>
      </w:r>
    </w:p>
    <w:p w14:paraId="3174D804">
      <w:pPr>
        <w:spacing w:line="360" w:lineRule="auto"/>
        <w:ind w:firstLine="480" w:firstLineChars="200"/>
        <w:rPr>
          <w:rFonts w:ascii="宋体" w:hAnsi="宋体" w:eastAsia="宋体" w:cs="宋体"/>
          <w:sz w:val="24"/>
        </w:rPr>
      </w:pPr>
      <w:r>
        <w:rPr>
          <w:rFonts w:hint="eastAsia" w:ascii="宋体" w:hAnsi="宋体" w:eastAsia="宋体" w:cs="宋体"/>
          <w:sz w:val="24"/>
        </w:rPr>
        <w:t>G.阀板由球墨铸铁制成，阀板与销轴的连接应牢固可靠，在使用中不应脱落。</w:t>
      </w:r>
    </w:p>
    <w:p w14:paraId="6A8FE991">
      <w:pPr>
        <w:spacing w:line="360" w:lineRule="auto"/>
        <w:ind w:firstLine="480" w:firstLineChars="200"/>
        <w:rPr>
          <w:rFonts w:ascii="宋体" w:hAnsi="宋体" w:eastAsia="宋体" w:cs="宋体"/>
          <w:sz w:val="24"/>
        </w:rPr>
      </w:pPr>
      <w:r>
        <w:rPr>
          <w:rFonts w:hint="eastAsia" w:ascii="宋体" w:hAnsi="宋体" w:eastAsia="宋体" w:cs="宋体"/>
          <w:sz w:val="24"/>
        </w:rPr>
        <w:t xml:space="preserve">H.鼓风机用止回阀为双平板型、带有弹簧挡板且中心绞链支承、铸铁阀体及铜 阀板。不锈钢绞链销及硅酮或氟橡胶密封圈，面向阀体的阀板平面应带有弹性密封圈。两块阀板均分别由绞链支承并自带弹簧。阀门体为环状并具有两个平端面，以便用螺栓和法兰相接。当阀门通过鼓风机额定出口流量时，其压力损失应不大于 100毫米水柱。阀门适用于200℃温度。 </w:t>
      </w:r>
    </w:p>
    <w:p w14:paraId="2E0050E5">
      <w:pPr>
        <w:spacing w:line="360" w:lineRule="auto"/>
        <w:ind w:firstLine="480" w:firstLineChars="200"/>
        <w:rPr>
          <w:rFonts w:ascii="宋体" w:hAnsi="宋体" w:eastAsia="宋体" w:cs="宋体"/>
          <w:sz w:val="24"/>
        </w:rPr>
      </w:pPr>
      <w:r>
        <w:rPr>
          <w:rFonts w:hint="eastAsia" w:ascii="宋体" w:hAnsi="宋体" w:eastAsia="宋体" w:cs="宋体"/>
          <w:sz w:val="24"/>
        </w:rPr>
        <w:t>I.阀体上应有清晰的箭头，以指示介质流经过止回阀的流向。</w:t>
      </w:r>
    </w:p>
    <w:p w14:paraId="5D2C2646">
      <w:pPr>
        <w:spacing w:line="360" w:lineRule="auto"/>
        <w:ind w:firstLine="480" w:firstLineChars="200"/>
        <w:rPr>
          <w:rFonts w:ascii="宋体" w:hAnsi="宋体" w:eastAsia="宋体" w:cs="宋体"/>
          <w:sz w:val="24"/>
        </w:rPr>
      </w:pPr>
      <w:r>
        <w:rPr>
          <w:rFonts w:hint="eastAsia" w:ascii="宋体" w:hAnsi="宋体" w:eastAsia="宋体" w:cs="宋体"/>
          <w:sz w:val="24"/>
        </w:rPr>
        <w:t>J.阀体内外表面及非不锈钢材质的阀板应采用静电环氧树脂喷涂防腐，内表面 涂层厚度不小于250μm，外表面涂层厚度不小于200μm。</w:t>
      </w:r>
    </w:p>
    <w:p w14:paraId="01C53768">
      <w:pPr>
        <w:spacing w:line="360" w:lineRule="auto"/>
        <w:ind w:firstLine="482" w:firstLineChars="200"/>
        <w:rPr>
          <w:rFonts w:ascii="宋体" w:hAnsi="宋体" w:eastAsia="宋体" w:cs="宋体"/>
          <w:b/>
          <w:bCs/>
          <w:sz w:val="24"/>
        </w:rPr>
      </w:pPr>
      <w:r>
        <w:rPr>
          <w:rFonts w:hint="eastAsia" w:ascii="宋体" w:hAnsi="宋体" w:eastAsia="宋体" w:cs="宋体"/>
          <w:b/>
          <w:bCs/>
          <w:sz w:val="24"/>
        </w:rPr>
        <w:t>微阻缓闭止回阀</w:t>
      </w:r>
    </w:p>
    <w:p w14:paraId="05EB3A72">
      <w:pPr>
        <w:spacing w:line="360" w:lineRule="auto"/>
        <w:ind w:firstLine="480" w:firstLineChars="200"/>
        <w:rPr>
          <w:rFonts w:ascii="宋体" w:hAnsi="宋体" w:eastAsia="宋体" w:cs="宋体"/>
          <w:sz w:val="24"/>
        </w:rPr>
      </w:pPr>
      <w:r>
        <w:rPr>
          <w:rFonts w:hint="eastAsia" w:ascii="宋体" w:hAnsi="宋体" w:eastAsia="宋体" w:cs="宋体"/>
          <w:sz w:val="24"/>
        </w:rPr>
        <w:t>A.微阻缓闭止回阀为外阻尼单板旋启或蝶形结构（根据安装管路长度尺寸确定）</w:t>
      </w:r>
    </w:p>
    <w:p w14:paraId="2C2DDA98">
      <w:pPr>
        <w:spacing w:line="360" w:lineRule="auto"/>
        <w:ind w:firstLine="480" w:firstLineChars="200"/>
        <w:rPr>
          <w:rFonts w:ascii="宋体" w:hAnsi="宋体" w:eastAsia="宋体" w:cs="宋体"/>
          <w:sz w:val="24"/>
        </w:rPr>
      </w:pPr>
      <w:r>
        <w:rPr>
          <w:rFonts w:hint="eastAsia" w:ascii="宋体" w:hAnsi="宋体" w:eastAsia="宋体" w:cs="宋体"/>
          <w:sz w:val="24"/>
        </w:rPr>
        <w:t>阀板由油缸活塞控制缓闭。止回阀开启时，蝶板伸出长度不应影响使用。</w:t>
      </w:r>
    </w:p>
    <w:p w14:paraId="7627C602">
      <w:pPr>
        <w:spacing w:line="360" w:lineRule="auto"/>
        <w:ind w:firstLine="480" w:firstLineChars="200"/>
        <w:rPr>
          <w:rFonts w:ascii="宋体" w:hAnsi="宋体" w:eastAsia="宋体" w:cs="宋体"/>
          <w:sz w:val="24"/>
        </w:rPr>
      </w:pPr>
      <w:r>
        <w:rPr>
          <w:rFonts w:hint="eastAsia" w:ascii="宋体" w:hAnsi="宋体" w:eastAsia="宋体" w:cs="宋体"/>
          <w:sz w:val="24"/>
        </w:rPr>
        <w:t>B.微阻缓闭止回阀应满足CJ/T 154标准要求。微阻缓闭止回阀采用法兰连接， 法兰连接尺寸、密封面型式应符合 GB/T 17241.6、GB/T 17241.7 或 GB/T 9124 的规定。</w:t>
      </w:r>
    </w:p>
    <w:p w14:paraId="6EE432A6">
      <w:pPr>
        <w:spacing w:line="360" w:lineRule="auto"/>
        <w:ind w:firstLine="480" w:firstLineChars="200"/>
        <w:rPr>
          <w:rFonts w:ascii="宋体" w:hAnsi="宋体" w:eastAsia="宋体" w:cs="宋体"/>
          <w:sz w:val="24"/>
        </w:rPr>
      </w:pPr>
      <w:r>
        <w:rPr>
          <w:rFonts w:hint="eastAsia" w:ascii="宋体" w:hAnsi="宋体" w:eastAsia="宋体" w:cs="宋体"/>
          <w:sz w:val="24"/>
        </w:rPr>
        <w:t>C.止回阀应设有调节缓闭时间的调节装置，缓闭时间应在1～60 秒范围内可调。</w:t>
      </w:r>
    </w:p>
    <w:p w14:paraId="4377EC89">
      <w:pPr>
        <w:spacing w:line="360" w:lineRule="auto"/>
        <w:ind w:firstLine="480" w:firstLineChars="200"/>
        <w:rPr>
          <w:rFonts w:ascii="宋体" w:hAnsi="宋体" w:eastAsia="宋体" w:cs="宋体"/>
          <w:sz w:val="24"/>
        </w:rPr>
      </w:pPr>
      <w:r>
        <w:rPr>
          <w:rFonts w:hint="eastAsia" w:ascii="宋体" w:hAnsi="宋体" w:eastAsia="宋体" w:cs="宋体"/>
          <w:sz w:val="24"/>
        </w:rPr>
        <w:t>D. 缓闭油缸及活塞应为外置式。缓闭装置中的阻尼活塞缸的容量应与使用的调节阀等匹配，避免阻尼活塞缸和管道的压力过高，达到可调和消除水锤的目的。</w:t>
      </w:r>
    </w:p>
    <w:p w14:paraId="6ABA22B4">
      <w:pPr>
        <w:spacing w:line="360" w:lineRule="auto"/>
        <w:ind w:firstLine="480" w:firstLineChars="200"/>
        <w:rPr>
          <w:rFonts w:ascii="宋体" w:hAnsi="宋体" w:eastAsia="宋体" w:cs="宋体"/>
          <w:sz w:val="24"/>
        </w:rPr>
      </w:pPr>
      <w:r>
        <w:rPr>
          <w:rFonts w:hint="eastAsia" w:ascii="宋体" w:hAnsi="宋体" w:eastAsia="宋体" w:cs="宋体"/>
          <w:sz w:val="24"/>
        </w:rPr>
        <w:t xml:space="preserve">E.缓闭装置阻尼活塞缸的材料应满足系统压力的要求，活塞、活塞杆的表面应镀硬铬，活塞、活塞杆密封圈应采用丁腈橡胶等耐油材料。 </w:t>
      </w:r>
    </w:p>
    <w:p w14:paraId="01D2328E">
      <w:pPr>
        <w:spacing w:line="360" w:lineRule="auto"/>
        <w:ind w:firstLine="480" w:firstLineChars="200"/>
        <w:rPr>
          <w:rFonts w:ascii="宋体" w:hAnsi="宋体" w:eastAsia="宋体" w:cs="宋体"/>
          <w:sz w:val="24"/>
        </w:rPr>
      </w:pPr>
      <w:r>
        <w:rPr>
          <w:rFonts w:hint="eastAsia" w:ascii="宋体" w:hAnsi="宋体" w:eastAsia="宋体" w:cs="宋体"/>
          <w:sz w:val="24"/>
        </w:rPr>
        <w:t>F.密封面的形式根据使用条件选定。</w:t>
      </w:r>
    </w:p>
    <w:p w14:paraId="77EA18EC">
      <w:pPr>
        <w:spacing w:line="360" w:lineRule="auto"/>
        <w:ind w:firstLine="480" w:firstLineChars="200"/>
        <w:rPr>
          <w:rFonts w:ascii="宋体" w:hAnsi="宋体" w:eastAsia="宋体" w:cs="宋体"/>
          <w:sz w:val="24"/>
        </w:rPr>
      </w:pPr>
      <w:r>
        <w:rPr>
          <w:rFonts w:hint="eastAsia" w:ascii="宋体" w:hAnsi="宋体" w:eastAsia="宋体" w:cs="宋体"/>
          <w:sz w:val="24"/>
        </w:rPr>
        <w:t>G. 阀体内外表面及非不锈钢材质的阀板应采用静电环氧树脂喷涂防腐。</w:t>
      </w:r>
    </w:p>
    <w:p w14:paraId="6ACAFD6F">
      <w:pPr>
        <w:spacing w:line="360" w:lineRule="auto"/>
        <w:ind w:firstLine="480" w:firstLineChars="200"/>
      </w:pPr>
      <w:r>
        <w:rPr>
          <w:rFonts w:hint="eastAsia" w:ascii="宋体" w:hAnsi="宋体" w:eastAsia="宋体" w:cs="宋体"/>
          <w:sz w:val="24"/>
        </w:rPr>
        <w:t>H.最大允许泄漏量应符合 GB/T 13927 的规定。</w:t>
      </w:r>
    </w:p>
    <w:p w14:paraId="08698B3B">
      <w:pPr>
        <w:spacing w:line="360" w:lineRule="auto"/>
        <w:ind w:firstLine="482" w:firstLineChars="200"/>
        <w:rPr>
          <w:rFonts w:ascii="宋体" w:hAnsi="宋体" w:eastAsia="宋体" w:cs="宋体"/>
          <w:b/>
          <w:bCs/>
          <w:sz w:val="24"/>
        </w:rPr>
      </w:pPr>
      <w:r>
        <w:rPr>
          <w:rFonts w:hint="eastAsia" w:ascii="宋体" w:hAnsi="宋体" w:eastAsia="宋体" w:cs="宋体"/>
          <w:b/>
          <w:bCs/>
          <w:sz w:val="24"/>
        </w:rPr>
        <w:t>闸阀</w:t>
      </w:r>
    </w:p>
    <w:p w14:paraId="540F0C4E">
      <w:pPr>
        <w:spacing w:line="360" w:lineRule="auto"/>
        <w:ind w:firstLine="480" w:firstLineChars="200"/>
        <w:rPr>
          <w:rFonts w:ascii="宋体" w:hAnsi="宋体" w:eastAsia="宋体" w:cs="宋体"/>
          <w:sz w:val="24"/>
        </w:rPr>
      </w:pPr>
      <w:r>
        <w:rPr>
          <w:rFonts w:hint="eastAsia" w:ascii="宋体" w:hAnsi="宋体" w:eastAsia="宋体" w:cs="宋体"/>
          <w:sz w:val="24"/>
        </w:rPr>
        <w:t>A.闸阀应满足 CJ/T 216 标准的要求。</w:t>
      </w:r>
    </w:p>
    <w:p w14:paraId="6057FD2D">
      <w:pPr>
        <w:spacing w:line="360" w:lineRule="auto"/>
        <w:ind w:firstLine="480" w:firstLineChars="200"/>
        <w:rPr>
          <w:rFonts w:ascii="宋体" w:hAnsi="宋体" w:eastAsia="宋体" w:cs="宋体"/>
          <w:sz w:val="24"/>
        </w:rPr>
      </w:pPr>
      <w:r>
        <w:rPr>
          <w:rFonts w:hint="eastAsia" w:ascii="宋体" w:hAnsi="宋体" w:eastAsia="宋体" w:cs="宋体"/>
          <w:sz w:val="24"/>
        </w:rPr>
        <w:t>B.阀体、法兰及阀座应为整体铸造。</w:t>
      </w:r>
    </w:p>
    <w:p w14:paraId="2A989651">
      <w:pPr>
        <w:spacing w:line="360" w:lineRule="auto"/>
        <w:ind w:firstLine="480" w:firstLineChars="200"/>
        <w:rPr>
          <w:rFonts w:ascii="宋体" w:hAnsi="宋体" w:eastAsia="宋体" w:cs="宋体"/>
          <w:sz w:val="24"/>
        </w:rPr>
      </w:pPr>
      <w:r>
        <w:rPr>
          <w:rFonts w:hint="eastAsia" w:ascii="宋体" w:hAnsi="宋体" w:eastAsia="宋体" w:cs="宋体"/>
          <w:sz w:val="24"/>
        </w:rPr>
        <w:t>C.阀体底部不应有凹槽，阀座处流道内径应与公称通径一致。</w:t>
      </w:r>
    </w:p>
    <w:p w14:paraId="3ACB7BA4">
      <w:pPr>
        <w:spacing w:line="360" w:lineRule="auto"/>
        <w:ind w:firstLine="480" w:firstLineChars="200"/>
        <w:rPr>
          <w:rFonts w:ascii="宋体" w:hAnsi="宋体" w:eastAsia="宋体" w:cs="宋体"/>
          <w:sz w:val="24"/>
        </w:rPr>
      </w:pPr>
      <w:r>
        <w:rPr>
          <w:rFonts w:hint="eastAsia" w:ascii="宋体" w:hAnsi="宋体" w:eastAsia="宋体" w:cs="宋体"/>
          <w:sz w:val="24"/>
        </w:rPr>
        <w:t>D.闸板应为弹性闸板，其骨架为球墨铸铁整体铸造，骨架内外表面全部包覆橡 胶。采用模压硫化成型工艺，硫化后的橡胶不应有气泡、裂纹、疤痕、创伤、铸铁外露等缺陷。闸板包覆橡胶的厚度应不小于2mm。严禁使用再生橡胶或 含石棉材料。</w:t>
      </w:r>
    </w:p>
    <w:p w14:paraId="2B5310BB">
      <w:pPr>
        <w:spacing w:line="360" w:lineRule="auto"/>
        <w:ind w:firstLine="480" w:firstLineChars="200"/>
        <w:rPr>
          <w:rFonts w:ascii="宋体" w:hAnsi="宋体" w:eastAsia="宋体" w:cs="宋体"/>
          <w:sz w:val="24"/>
        </w:rPr>
      </w:pPr>
      <w:r>
        <w:rPr>
          <w:rFonts w:hint="eastAsia" w:ascii="宋体" w:hAnsi="宋体" w:eastAsia="宋体" w:cs="宋体"/>
          <w:sz w:val="24"/>
        </w:rPr>
        <w:t>E.阀杆与阀板的连接应牢固，在任何工作条件下阀板不会发生脱落。</w:t>
      </w:r>
    </w:p>
    <w:p w14:paraId="2CB59AB8">
      <w:pPr>
        <w:spacing w:line="360" w:lineRule="auto"/>
        <w:ind w:firstLine="480" w:firstLineChars="200"/>
        <w:rPr>
          <w:rFonts w:eastAsia="宋体"/>
        </w:rPr>
      </w:pPr>
      <w:r>
        <w:rPr>
          <w:rFonts w:hint="eastAsia" w:ascii="宋体" w:hAnsi="宋体" w:eastAsia="宋体" w:cs="宋体"/>
          <w:sz w:val="24"/>
        </w:rPr>
        <w:t>F.阀体内外表面及非不锈钢材质的阀板应采用静电环氧树脂喷涂防腐，内表面 涂层厚度不小于250μm，外表面涂层厚度不小于 200μm。</w:t>
      </w:r>
    </w:p>
    <w:p w14:paraId="4DFD54F1">
      <w:pPr>
        <w:spacing w:line="360" w:lineRule="auto"/>
        <w:ind w:firstLine="482" w:firstLineChars="200"/>
        <w:rPr>
          <w:rFonts w:ascii="宋体" w:hAnsi="宋体" w:eastAsia="宋体" w:cs="宋体"/>
          <w:b/>
          <w:bCs/>
          <w:sz w:val="24"/>
        </w:rPr>
      </w:pPr>
      <w:r>
        <w:rPr>
          <w:rFonts w:hint="eastAsia" w:ascii="宋体" w:hAnsi="宋体" w:eastAsia="宋体" w:cs="宋体"/>
          <w:b/>
          <w:bCs/>
          <w:sz w:val="24"/>
        </w:rPr>
        <w:t>球阀</w:t>
      </w:r>
    </w:p>
    <w:p w14:paraId="0AB08210">
      <w:pPr>
        <w:spacing w:line="360" w:lineRule="auto"/>
        <w:ind w:firstLine="480" w:firstLineChars="200"/>
        <w:rPr>
          <w:rFonts w:ascii="宋体" w:hAnsi="宋体" w:eastAsia="宋体" w:cs="宋体"/>
          <w:sz w:val="24"/>
        </w:rPr>
      </w:pPr>
      <w:r>
        <w:rPr>
          <w:rFonts w:hint="eastAsia" w:ascii="宋体" w:hAnsi="宋体" w:eastAsia="宋体" w:cs="宋体"/>
          <w:sz w:val="24"/>
        </w:rPr>
        <w:t>A.阀门设计、制造、出厂检验、包装及运输送、检验及调试等均应满足GB/T 21385-2008标准的要求。</w:t>
      </w:r>
    </w:p>
    <w:p w14:paraId="307A517E">
      <w:pPr>
        <w:spacing w:line="360" w:lineRule="auto"/>
        <w:ind w:firstLine="480" w:firstLineChars="200"/>
        <w:rPr>
          <w:rFonts w:ascii="宋体" w:hAnsi="宋体" w:eastAsia="宋体" w:cs="宋体"/>
          <w:sz w:val="24"/>
        </w:rPr>
      </w:pPr>
      <w:r>
        <w:rPr>
          <w:rFonts w:hint="eastAsia" w:ascii="宋体" w:hAnsi="宋体" w:eastAsia="宋体" w:cs="宋体"/>
          <w:sz w:val="24"/>
        </w:rPr>
        <w:t>B.法兰与阀体为整体铸造或锻造，不允许有任何制造缺陷。阀体的结构长度和 极限偏差应按GB/T 12221 标准的规定。法兰可采用凸面式结构，并满足 GB/T 9124 标准的规定。</w:t>
      </w:r>
    </w:p>
    <w:p w14:paraId="5F9512A8">
      <w:pPr>
        <w:spacing w:line="360" w:lineRule="auto"/>
        <w:ind w:firstLine="480" w:firstLineChars="200"/>
        <w:rPr>
          <w:rFonts w:ascii="宋体" w:hAnsi="宋体" w:eastAsia="宋体" w:cs="宋体"/>
          <w:sz w:val="24"/>
        </w:rPr>
      </w:pPr>
      <w:r>
        <w:rPr>
          <w:rFonts w:hint="eastAsia" w:ascii="宋体" w:hAnsi="宋体" w:eastAsia="宋体" w:cs="宋体"/>
          <w:sz w:val="24"/>
        </w:rPr>
        <w:t>C.球阀的流道应为圆形全通径型式。</w:t>
      </w:r>
    </w:p>
    <w:p w14:paraId="74F9A699">
      <w:pPr>
        <w:spacing w:line="360" w:lineRule="auto"/>
        <w:ind w:firstLine="480" w:firstLineChars="200"/>
        <w:rPr>
          <w:rFonts w:ascii="宋体" w:hAnsi="宋体" w:eastAsia="宋体" w:cs="宋体"/>
          <w:sz w:val="24"/>
        </w:rPr>
      </w:pPr>
      <w:r>
        <w:rPr>
          <w:rFonts w:hint="eastAsia" w:ascii="宋体" w:hAnsi="宋体" w:eastAsia="宋体" w:cs="宋体"/>
          <w:sz w:val="24"/>
        </w:rPr>
        <w:t>D.球体为实心结构，不允许用空心球体。</w:t>
      </w:r>
    </w:p>
    <w:p w14:paraId="2879272E">
      <w:pPr>
        <w:spacing w:line="360" w:lineRule="auto"/>
        <w:ind w:firstLine="480" w:firstLineChars="200"/>
        <w:rPr>
          <w:rFonts w:ascii="宋体" w:hAnsi="宋体" w:eastAsia="宋体" w:cs="宋体"/>
          <w:sz w:val="24"/>
        </w:rPr>
      </w:pPr>
      <w:r>
        <w:rPr>
          <w:rFonts w:hint="eastAsia" w:ascii="宋体" w:hAnsi="宋体" w:eastAsia="宋体" w:cs="宋体"/>
          <w:sz w:val="24"/>
        </w:rPr>
        <w:t xml:space="preserve">E.阀杆应设计制造有足够的强度，保证阀门在规定的使用范围内不产生永久变 形或损伤。阀杆的抗钮强度应至少超过在阀体外阀杆抗扭强度的20%，且其结构型式应保证如若阀杆发生破坏，在介质压力作用下，阀杆不会飞出。 </w:t>
      </w:r>
    </w:p>
    <w:p w14:paraId="4AE0E341">
      <w:pPr>
        <w:spacing w:line="360" w:lineRule="auto"/>
        <w:ind w:firstLine="480" w:firstLineChars="200"/>
        <w:rPr>
          <w:rFonts w:ascii="宋体" w:hAnsi="宋体" w:eastAsia="宋体" w:cs="宋体"/>
          <w:sz w:val="24"/>
        </w:rPr>
      </w:pPr>
      <w:r>
        <w:rPr>
          <w:rFonts w:hint="eastAsia" w:ascii="宋体" w:hAnsi="宋体" w:eastAsia="宋体" w:cs="宋体"/>
          <w:sz w:val="24"/>
        </w:rPr>
        <w:t>F.填料压盖应可在不拆卸球阀的任何零部件的情况下可调节填料的密封力。</w:t>
      </w:r>
    </w:p>
    <w:p w14:paraId="307B22C2">
      <w:pPr>
        <w:spacing w:line="360" w:lineRule="auto"/>
        <w:ind w:firstLine="480" w:firstLineChars="200"/>
        <w:rPr>
          <w:rFonts w:ascii="宋体" w:hAnsi="宋体" w:eastAsia="宋体" w:cs="宋体"/>
          <w:sz w:val="24"/>
        </w:rPr>
      </w:pPr>
      <w:r>
        <w:rPr>
          <w:rFonts w:hint="eastAsia" w:ascii="宋体" w:hAnsi="宋体" w:eastAsia="宋体" w:cs="宋体"/>
          <w:sz w:val="24"/>
        </w:rPr>
        <w:t>G.球阀应能经受公称压力的 1.5 倍的压力试验，试验后，壳体（包括填料函及阀体与阀盖连接处）不得发生渗漏或引起结构损伤。密封性能应符合 GB/T 13927-2022 标准的D级规定。</w:t>
      </w:r>
    </w:p>
    <w:p w14:paraId="7EF146C3">
      <w:pPr>
        <w:spacing w:line="360" w:lineRule="auto"/>
        <w:ind w:firstLine="480" w:firstLineChars="200"/>
        <w:rPr>
          <w:rFonts w:ascii="宋体" w:hAnsi="宋体" w:eastAsia="宋体" w:cs="宋体"/>
          <w:sz w:val="24"/>
        </w:rPr>
      </w:pPr>
      <w:r>
        <w:rPr>
          <w:rFonts w:hint="eastAsia" w:ascii="宋体" w:hAnsi="宋体" w:eastAsia="宋体" w:cs="宋体"/>
          <w:sz w:val="24"/>
        </w:rPr>
        <w:t>H.阀体外表面采用静电环氧树脂喷涂防腐，表面涂层厚度不小于 150μm。内表 面的防腐及耐磨涂层应根据输送介质条件合理选配。</w:t>
      </w:r>
    </w:p>
    <w:p w14:paraId="0934A253">
      <w:pPr>
        <w:spacing w:line="360" w:lineRule="auto"/>
        <w:ind w:firstLine="480" w:firstLineChars="200"/>
        <w:rPr>
          <w:rFonts w:ascii="宋体" w:hAnsi="宋体" w:eastAsia="宋体" w:cs="宋体"/>
          <w:sz w:val="24"/>
        </w:rPr>
      </w:pPr>
      <w:r>
        <w:rPr>
          <w:rFonts w:hint="eastAsia" w:ascii="宋体" w:hAnsi="宋体" w:eastAsia="宋体" w:cs="宋体"/>
          <w:sz w:val="24"/>
        </w:rPr>
        <w:t>I.驱动装置应能保证阀门在最高允许工作压力和最大流速的工况下正常操作。 应不低于GB/T 24923-2010标准的要求。</w:t>
      </w:r>
    </w:p>
    <w:p w14:paraId="43440AD1">
      <w:pPr>
        <w:spacing w:line="360" w:lineRule="auto"/>
        <w:ind w:firstLine="480" w:firstLineChars="200"/>
        <w:rPr>
          <w:rFonts w:ascii="宋体" w:hAnsi="宋体" w:eastAsia="宋体" w:cs="宋体"/>
          <w:sz w:val="24"/>
        </w:rPr>
      </w:pPr>
      <w:r>
        <w:rPr>
          <w:rFonts w:hint="eastAsia" w:ascii="宋体" w:hAnsi="宋体" w:eastAsia="宋体" w:cs="宋体"/>
          <w:sz w:val="24"/>
        </w:rPr>
        <w:t>J.电机应为鼠笼电机, 应包括热保护开关、接线箱、标准线夹和销等。</w:t>
      </w:r>
    </w:p>
    <w:p w14:paraId="245FC467">
      <w:pPr>
        <w:spacing w:line="360" w:lineRule="auto"/>
        <w:ind w:firstLine="480" w:firstLineChars="200"/>
        <w:rPr>
          <w:rFonts w:ascii="宋体" w:hAnsi="宋体" w:eastAsia="宋体" w:cs="宋体"/>
          <w:sz w:val="24"/>
        </w:rPr>
      </w:pPr>
      <w:r>
        <w:rPr>
          <w:rFonts w:hint="eastAsia" w:ascii="宋体" w:hAnsi="宋体" w:eastAsia="宋体" w:cs="宋体"/>
          <w:sz w:val="24"/>
        </w:rPr>
        <w:t>K.电动执行机构操作方式应符合 VDE0530/IEC34 的要求。电动执行机构的最大 输出扭矩应大于额定扭矩的 3 倍。</w:t>
      </w:r>
    </w:p>
    <w:p w14:paraId="08FE5A0B">
      <w:pPr>
        <w:spacing w:line="360" w:lineRule="auto"/>
        <w:ind w:firstLine="480" w:firstLineChars="200"/>
        <w:rPr>
          <w:rFonts w:ascii="宋体" w:hAnsi="宋体" w:eastAsia="宋体" w:cs="宋体"/>
          <w:sz w:val="24"/>
        </w:rPr>
      </w:pPr>
      <w:r>
        <w:rPr>
          <w:rFonts w:hint="eastAsia" w:ascii="宋体" w:hAnsi="宋体" w:eastAsia="宋体" w:cs="宋体"/>
          <w:sz w:val="24"/>
        </w:rPr>
        <w:t>L.电动执行机构连续运行时间应不低于30min。</w:t>
      </w:r>
    </w:p>
    <w:p w14:paraId="20D11B6F">
      <w:pPr>
        <w:spacing w:line="360" w:lineRule="auto"/>
        <w:ind w:firstLine="480" w:firstLineChars="200"/>
        <w:rPr>
          <w:rFonts w:ascii="宋体" w:hAnsi="宋体" w:eastAsia="宋体" w:cs="宋体"/>
          <w:sz w:val="24"/>
        </w:rPr>
      </w:pPr>
      <w:r>
        <w:rPr>
          <w:rFonts w:hint="eastAsia" w:ascii="宋体" w:hAnsi="宋体" w:eastAsia="宋体" w:cs="宋体"/>
          <w:sz w:val="24"/>
        </w:rPr>
        <w:t>M.电动执行机构应设置刻度盘来指示阀门的开闭及任何中间位置，并安装过扭 矩保护装置及限位开关、自动/手动开关、防冷凝加热器等。</w:t>
      </w:r>
    </w:p>
    <w:p w14:paraId="11163716">
      <w:pPr>
        <w:spacing w:line="360" w:lineRule="auto"/>
        <w:ind w:firstLine="480" w:firstLineChars="200"/>
        <w:rPr>
          <w:rFonts w:ascii="宋体" w:hAnsi="宋体" w:eastAsia="宋体" w:cs="宋体"/>
          <w:sz w:val="24"/>
        </w:rPr>
      </w:pPr>
      <w:r>
        <w:rPr>
          <w:rFonts w:hint="eastAsia" w:ascii="宋体" w:hAnsi="宋体" w:eastAsia="宋体" w:cs="宋体"/>
          <w:sz w:val="24"/>
        </w:rPr>
        <w:t>N.其密封应符合 DIN 40050/IEC 529 标准要求。</w:t>
      </w:r>
    </w:p>
    <w:p w14:paraId="1C4BFE97">
      <w:pPr>
        <w:spacing w:line="360" w:lineRule="auto"/>
        <w:ind w:firstLine="480" w:firstLineChars="200"/>
        <w:rPr>
          <w:rFonts w:ascii="宋体" w:hAnsi="宋体" w:eastAsia="宋体" w:cs="宋体"/>
          <w:sz w:val="24"/>
        </w:rPr>
      </w:pPr>
      <w:r>
        <w:rPr>
          <w:rFonts w:hint="eastAsia" w:ascii="宋体" w:hAnsi="宋体" w:eastAsia="宋体" w:cs="宋体"/>
          <w:sz w:val="24"/>
        </w:rPr>
        <w:t>O.与阀杆的连接形式应符合 ISO5210。</w:t>
      </w:r>
    </w:p>
    <w:p w14:paraId="2A72B828">
      <w:pPr>
        <w:spacing w:line="360" w:lineRule="auto"/>
        <w:ind w:firstLine="480" w:firstLineChars="200"/>
        <w:rPr>
          <w:rFonts w:ascii="宋体" w:hAnsi="宋体" w:eastAsia="宋体" w:cs="宋体"/>
          <w:sz w:val="24"/>
        </w:rPr>
      </w:pPr>
      <w:r>
        <w:rPr>
          <w:rFonts w:hint="eastAsia" w:ascii="宋体" w:hAnsi="宋体" w:eastAsia="宋体" w:cs="宋体"/>
          <w:sz w:val="24"/>
        </w:rPr>
        <w:t>P.现场控制装置和执行机构应为一体结构。电动执行机构应设有手动操作机构， 且手动操作力不大于150N。</w:t>
      </w:r>
    </w:p>
    <w:p w14:paraId="0E0F8D15">
      <w:pPr>
        <w:spacing w:before="266" w:line="218" w:lineRule="auto"/>
        <w:rPr>
          <w:sz w:val="24"/>
        </w:rPr>
      </w:pPr>
      <w:r>
        <w:rPr>
          <w:b/>
          <w:bCs/>
          <w:spacing w:val="-3"/>
          <w:sz w:val="24"/>
        </w:rPr>
        <w:t>主要零部件材料</w:t>
      </w:r>
    </w:p>
    <w:p w14:paraId="05A41B1A">
      <w:pPr>
        <w:spacing w:before="270" w:line="212" w:lineRule="auto"/>
        <w:rPr>
          <w:rFonts w:ascii="宋体" w:hAnsi="宋体" w:eastAsia="宋体" w:cs="宋体"/>
          <w:spacing w:val="-3"/>
          <w:sz w:val="24"/>
        </w:rPr>
      </w:pPr>
      <w:r>
        <w:rPr>
          <w:rFonts w:hint="eastAsia" w:ascii="宋体" w:hAnsi="宋体" w:eastAsia="宋体" w:cs="宋体"/>
          <w:spacing w:val="-3"/>
          <w:sz w:val="24"/>
        </w:rPr>
        <w:t>A.拍门</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5C8D4675">
        <w:tblPrEx>
          <w:tblCellMar>
            <w:top w:w="0" w:type="dxa"/>
            <w:left w:w="108" w:type="dxa"/>
            <w:bottom w:w="0" w:type="dxa"/>
            <w:right w:w="108" w:type="dxa"/>
          </w:tblCellMar>
        </w:tblPrEx>
        <w:trPr>
          <w:trHeight w:val="398"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57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55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254FCF6B">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4E8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E8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076C0CEA">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0D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阀轴</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A7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2Cr13</w:t>
            </w:r>
          </w:p>
        </w:tc>
      </w:tr>
      <w:tr w14:paraId="5D60B050">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28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58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丁晴橡胶</w:t>
            </w:r>
          </w:p>
        </w:tc>
      </w:tr>
      <w:tr w14:paraId="37FF949B">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E4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6B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bl>
    <w:p w14:paraId="62F4C530">
      <w:pPr>
        <w:spacing w:before="270" w:line="212" w:lineRule="auto"/>
        <w:rPr>
          <w:spacing w:val="-3"/>
          <w:sz w:val="24"/>
        </w:rPr>
      </w:pPr>
    </w:p>
    <w:p w14:paraId="633DBC32">
      <w:pPr>
        <w:spacing w:before="273" w:line="214" w:lineRule="auto"/>
        <w:rPr>
          <w:rFonts w:ascii="宋体" w:hAnsi="宋体" w:eastAsia="宋体" w:cs="宋体"/>
          <w:spacing w:val="-4"/>
          <w:sz w:val="24"/>
        </w:rPr>
      </w:pPr>
      <w:r>
        <w:rPr>
          <w:rFonts w:hint="eastAsia" w:ascii="宋体" w:hAnsi="宋体" w:eastAsia="宋体" w:cs="宋体"/>
          <w:spacing w:val="-4"/>
          <w:sz w:val="24"/>
        </w:rPr>
        <w:t>B.刀闸阀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07FB375E">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AA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阀体（及阀盖）</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9E1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QT450-10或铸钢/06Cr19Ni10 （放空阀）</w:t>
            </w:r>
          </w:p>
        </w:tc>
      </w:tr>
      <w:tr w14:paraId="013BBCFB">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7D8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1C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r w14:paraId="1F0D197C">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A9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阀轴</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5A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2Cr13</w:t>
            </w:r>
          </w:p>
        </w:tc>
      </w:tr>
      <w:tr w14:paraId="692359E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71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2C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三元乙丙橡胶</w:t>
            </w:r>
          </w:p>
        </w:tc>
      </w:tr>
      <w:tr w14:paraId="6FE7BA1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C65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手轮</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32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7E9F51B7">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73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8D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bl>
    <w:p w14:paraId="410ED20B">
      <w:pPr>
        <w:rPr>
          <w:rFonts w:ascii="宋体" w:hAnsi="宋体" w:eastAsia="宋体" w:cs="宋体"/>
          <w:sz w:val="24"/>
          <w:szCs w:val="32"/>
        </w:rPr>
      </w:pPr>
      <w:r>
        <w:rPr>
          <w:rFonts w:hint="eastAsia" w:ascii="宋体" w:hAnsi="宋体" w:eastAsia="宋体" w:cs="宋体"/>
          <w:sz w:val="24"/>
          <w:szCs w:val="32"/>
        </w:rPr>
        <w:t>C.浆液阀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42CE3BEB">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C4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8F1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QT450-10或铸钢/06Cr19Ni10 （放 空阀）</w:t>
            </w:r>
          </w:p>
        </w:tc>
      </w:tr>
      <w:tr w14:paraId="7205C756">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8DE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71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r w14:paraId="3FAD731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D21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阀轴</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13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2Cr13</w:t>
            </w:r>
          </w:p>
        </w:tc>
      </w:tr>
      <w:tr w14:paraId="5BC8FB8A">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A1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3B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丁腈橡胶</w:t>
            </w:r>
          </w:p>
        </w:tc>
      </w:tr>
      <w:tr w14:paraId="53C9AAB1">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D6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手轮</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1A8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QT450-10/06Cr19Ni10（放空阀）</w:t>
            </w:r>
          </w:p>
        </w:tc>
      </w:tr>
      <w:tr w14:paraId="2BA1CEBA">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1D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19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bl>
    <w:p w14:paraId="79847841">
      <w:pPr>
        <w:spacing w:before="275" w:line="220" w:lineRule="auto"/>
        <w:rPr>
          <w:rFonts w:ascii="宋体" w:hAnsi="宋体" w:eastAsia="宋体" w:cs="宋体"/>
          <w:sz w:val="24"/>
        </w:rPr>
      </w:pPr>
      <w:r>
        <w:rPr>
          <w:rFonts w:hint="eastAsia" w:ascii="宋体" w:hAnsi="宋体" w:eastAsia="宋体" w:cs="宋体"/>
          <w:spacing w:val="-5"/>
          <w:sz w:val="24"/>
        </w:rPr>
        <w:t>D.</w:t>
      </w:r>
      <w:r>
        <w:rPr>
          <w:rFonts w:hint="eastAsia" w:ascii="宋体" w:hAnsi="宋体" w:eastAsia="宋体" w:cs="宋体"/>
          <w:spacing w:val="17"/>
          <w:sz w:val="24"/>
        </w:rPr>
        <w:t xml:space="preserve"> </w:t>
      </w:r>
      <w:r>
        <w:rPr>
          <w:rFonts w:hint="eastAsia" w:ascii="宋体" w:hAnsi="宋体" w:eastAsia="宋体" w:cs="宋体"/>
          <w:spacing w:val="-5"/>
          <w:sz w:val="24"/>
        </w:rPr>
        <w:t>蝶阀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6A3F21DD">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648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双偏心橡胶密封蝶阀阀体/阀板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DB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626C412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174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阀体(DN&lt;300)</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63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球墨铸铁（QT400-18）包覆三元乙 丙橡胶</w:t>
            </w:r>
          </w:p>
        </w:tc>
      </w:tr>
      <w:tr w14:paraId="4349FADB">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BE1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阀板(DN≥300)</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CD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27B98444">
        <w:tblPrEx>
          <w:tblCellMar>
            <w:top w:w="0" w:type="dxa"/>
            <w:left w:w="108" w:type="dxa"/>
            <w:bottom w:w="0" w:type="dxa"/>
            <w:right w:w="108" w:type="dxa"/>
          </w:tblCellMar>
        </w:tblPrEx>
        <w:trPr>
          <w:trHeight w:val="45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8F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阀板(DN&lt;300)</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005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化学药剂介质：不锈钢或球铁喷 塑 ；污水及空气介质球墨铸铁 （QT400-18）镀镍或镀铬；</w:t>
            </w:r>
          </w:p>
        </w:tc>
      </w:tr>
      <w:tr w14:paraId="7B0F5F72">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FE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6C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2Cr13</w:t>
            </w:r>
          </w:p>
        </w:tc>
      </w:tr>
      <w:tr w14:paraId="63685025">
        <w:tblPrEx>
          <w:tblCellMar>
            <w:top w:w="0" w:type="dxa"/>
            <w:left w:w="108" w:type="dxa"/>
            <w:bottom w:w="0" w:type="dxa"/>
            <w:right w:w="108" w:type="dxa"/>
          </w:tblCellMar>
        </w:tblPrEx>
        <w:trPr>
          <w:trHeight w:val="45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D8B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密封圈</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B9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三元乙丙（EPDM）或丁腈橡胶（水 或污水介质）/0Cr17Ni12Mo2或氟 橡胶（热空气介质）</w:t>
            </w:r>
          </w:p>
        </w:tc>
      </w:tr>
      <w:tr w14:paraId="3B04197A">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86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阀板边缘(DN&gt;300)或阀座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7F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0Cr17Ni12Mo2或铬镍不锈钢</w:t>
            </w:r>
          </w:p>
        </w:tc>
      </w:tr>
      <w:tr w14:paraId="7E3E6937">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34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手轮</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B6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QT450-10</w:t>
            </w:r>
          </w:p>
        </w:tc>
      </w:tr>
      <w:tr w14:paraId="4CB0F342">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6F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4DE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06Cr19Ni10</w:t>
            </w:r>
          </w:p>
        </w:tc>
      </w:tr>
    </w:tbl>
    <w:p w14:paraId="3B710929">
      <w:pPr>
        <w:spacing w:before="273" w:line="214" w:lineRule="auto"/>
        <w:rPr>
          <w:sz w:val="24"/>
        </w:rPr>
      </w:pPr>
      <w:r>
        <w:rPr>
          <w:spacing w:val="-3"/>
          <w:sz w:val="24"/>
        </w:rPr>
        <w:t>E.</w:t>
      </w:r>
      <w:r>
        <w:rPr>
          <w:spacing w:val="4"/>
          <w:sz w:val="24"/>
        </w:rPr>
        <w:t xml:space="preserve"> </w:t>
      </w:r>
      <w:r>
        <w:rPr>
          <w:spacing w:val="-3"/>
          <w:sz w:val="24"/>
        </w:rPr>
        <w:t>止回阀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4EB2C78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50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29FA2">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QT450-10</w:t>
            </w:r>
            <w:r>
              <w:rPr>
                <w:rStyle w:val="12"/>
                <w:rFonts w:hint="default"/>
                <w:lang w:bidi="ar"/>
              </w:rPr>
              <w:t>或铸钢</w:t>
            </w:r>
          </w:p>
        </w:tc>
      </w:tr>
      <w:tr w14:paraId="405B29D1">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FF9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8F6">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QT450-10</w:t>
            </w:r>
          </w:p>
        </w:tc>
      </w:tr>
      <w:tr w14:paraId="44C5DA74">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016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销轴</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770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1Cr18Ni9Ti</w:t>
            </w:r>
          </w:p>
        </w:tc>
      </w:tr>
      <w:tr w14:paraId="0C75B13E">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A7E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AA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丁腈橡胶</w:t>
            </w:r>
          </w:p>
        </w:tc>
      </w:tr>
      <w:tr w14:paraId="50B92B3B">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47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6370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06Cr19Ni10</w:t>
            </w:r>
          </w:p>
        </w:tc>
      </w:tr>
    </w:tbl>
    <w:p w14:paraId="6ABC58AA">
      <w:pPr>
        <w:spacing w:before="273" w:line="214" w:lineRule="auto"/>
        <w:ind w:left="318"/>
        <w:rPr>
          <w:spacing w:val="-2"/>
          <w:sz w:val="24"/>
        </w:rPr>
      </w:pPr>
    </w:p>
    <w:p w14:paraId="56A2509E">
      <w:pPr>
        <w:spacing w:before="273" w:line="214" w:lineRule="auto"/>
        <w:ind w:left="318"/>
        <w:rPr>
          <w:rFonts w:ascii="宋体" w:hAnsi="宋体" w:eastAsia="宋体" w:cs="宋体"/>
          <w:sz w:val="24"/>
        </w:rPr>
      </w:pPr>
      <w:r>
        <w:rPr>
          <w:rFonts w:hint="eastAsia" w:ascii="宋体" w:hAnsi="宋体" w:eastAsia="宋体" w:cs="宋体"/>
          <w:spacing w:val="-2"/>
          <w:sz w:val="24"/>
        </w:rPr>
        <w:t>F.微阻缓闭止回阀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2A7C3B2D">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95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93AD">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QT450-10</w:t>
            </w:r>
          </w:p>
        </w:tc>
      </w:tr>
      <w:tr w14:paraId="564A6E93">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F3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B040">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QT450-10</w:t>
            </w:r>
          </w:p>
        </w:tc>
      </w:tr>
      <w:tr w14:paraId="7B5EE770">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0E9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销轴</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7171F">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1Cr18Ni9Ti</w:t>
            </w:r>
          </w:p>
        </w:tc>
      </w:tr>
      <w:tr w14:paraId="648E8F20">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9D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29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丁腈橡胶</w:t>
            </w:r>
          </w:p>
        </w:tc>
      </w:tr>
      <w:tr w14:paraId="00376695">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A3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EAB1D">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06Cr19Ni10</w:t>
            </w:r>
          </w:p>
        </w:tc>
      </w:tr>
    </w:tbl>
    <w:p w14:paraId="68671D18">
      <w:pPr>
        <w:spacing w:before="273" w:line="214" w:lineRule="auto"/>
        <w:rPr>
          <w:rFonts w:ascii="宋体" w:hAnsi="宋体" w:eastAsia="宋体" w:cs="宋体"/>
          <w:sz w:val="24"/>
        </w:rPr>
      </w:pPr>
      <w:r>
        <w:rPr>
          <w:rFonts w:hint="eastAsia" w:ascii="宋体" w:hAnsi="宋体" w:eastAsia="宋体" w:cs="宋体"/>
          <w:spacing w:val="-7"/>
          <w:sz w:val="24"/>
        </w:rPr>
        <w:t>G.</w:t>
      </w:r>
      <w:r>
        <w:rPr>
          <w:rFonts w:hint="eastAsia" w:ascii="宋体" w:hAnsi="宋体" w:eastAsia="宋体" w:cs="宋体"/>
          <w:spacing w:val="2"/>
          <w:sz w:val="24"/>
        </w:rPr>
        <w:t xml:space="preserve"> </w:t>
      </w:r>
      <w:r>
        <w:rPr>
          <w:rFonts w:hint="eastAsia" w:ascii="宋体" w:hAnsi="宋体" w:eastAsia="宋体" w:cs="宋体"/>
          <w:spacing w:val="-7"/>
          <w:sz w:val="24"/>
        </w:rPr>
        <w:t>闸阀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47C9FB13">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20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5E07">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HT250</w:t>
            </w:r>
          </w:p>
        </w:tc>
      </w:tr>
      <w:tr w14:paraId="69B5AAAC">
        <w:tblPrEx>
          <w:tblCellMar>
            <w:top w:w="0" w:type="dxa"/>
            <w:left w:w="108" w:type="dxa"/>
            <w:bottom w:w="0" w:type="dxa"/>
            <w:right w:w="108" w:type="dxa"/>
          </w:tblCellMar>
        </w:tblPrEx>
        <w:trPr>
          <w:trHeight w:val="458"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DB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阀板</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13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球墨铸铁包覆橡胶；甲醇储罐用闸</w:t>
            </w:r>
            <w:r>
              <w:rPr>
                <w:rStyle w:val="13"/>
                <w:rFonts w:eastAsia="宋体"/>
                <w:lang w:bidi="ar"/>
              </w:rPr>
              <w:t xml:space="preserve"> </w:t>
            </w:r>
            <w:r>
              <w:rPr>
                <w:rFonts w:hint="eastAsia" w:ascii="宋体" w:hAnsi="宋体" w:eastAsia="宋体" w:cs="宋体"/>
                <w:color w:val="000000"/>
                <w:kern w:val="0"/>
                <w:sz w:val="18"/>
                <w:szCs w:val="18"/>
                <w:lang w:bidi="ar"/>
              </w:rPr>
              <w:t>阀的橡胶应能耐甲醇腐蚀</w:t>
            </w:r>
          </w:p>
        </w:tc>
      </w:tr>
      <w:tr w14:paraId="4FCE7A36">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82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阀轴</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70458">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2Cr13</w:t>
            </w:r>
          </w:p>
        </w:tc>
      </w:tr>
      <w:tr w14:paraId="7ECD5EE8">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46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4CA7">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06Cr19Ni10</w:t>
            </w:r>
          </w:p>
        </w:tc>
      </w:tr>
    </w:tbl>
    <w:p w14:paraId="27BEEBFC">
      <w:pPr>
        <w:spacing w:before="273" w:line="212" w:lineRule="auto"/>
        <w:rPr>
          <w:rFonts w:ascii="宋体" w:hAnsi="宋体" w:eastAsia="宋体" w:cs="宋体"/>
          <w:sz w:val="24"/>
        </w:rPr>
      </w:pPr>
      <w:r>
        <w:rPr>
          <w:rFonts w:hint="eastAsia" w:ascii="宋体" w:hAnsi="宋体" w:eastAsia="宋体" w:cs="宋体"/>
          <w:spacing w:val="-3"/>
          <w:sz w:val="24"/>
        </w:rPr>
        <w:t>H.</w:t>
      </w:r>
      <w:r>
        <w:rPr>
          <w:rFonts w:hint="eastAsia" w:ascii="宋体" w:hAnsi="宋体" w:eastAsia="宋体" w:cs="宋体"/>
          <w:spacing w:val="16"/>
          <w:sz w:val="24"/>
        </w:rPr>
        <w:t xml:space="preserve"> </w:t>
      </w:r>
      <w:r>
        <w:rPr>
          <w:rFonts w:hint="eastAsia" w:ascii="宋体" w:hAnsi="宋体" w:eastAsia="宋体" w:cs="宋体"/>
          <w:spacing w:val="-3"/>
          <w:sz w:val="24"/>
        </w:rPr>
        <w:t>球阀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08895DF9">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E6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59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铸钢或锻钢</w:t>
            </w:r>
          </w:p>
        </w:tc>
      </w:tr>
      <w:tr w14:paraId="22B45E3E">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6C5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球体及金属阀座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0B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锻钢</w:t>
            </w:r>
            <w:r>
              <w:rPr>
                <w:rFonts w:ascii="Arial" w:hAnsi="Arial" w:eastAsia="宋体" w:cs="Arial"/>
                <w:color w:val="000000"/>
                <w:kern w:val="0"/>
                <w:sz w:val="18"/>
                <w:szCs w:val="18"/>
                <w:lang w:bidi="ar"/>
              </w:rPr>
              <w:t>+</w:t>
            </w:r>
            <w:r>
              <w:rPr>
                <w:rFonts w:hint="eastAsia" w:ascii="宋体" w:hAnsi="宋体" w:eastAsia="宋体" w:cs="宋体"/>
                <w:color w:val="000000"/>
                <w:kern w:val="0"/>
                <w:sz w:val="18"/>
                <w:szCs w:val="18"/>
                <w:lang w:bidi="ar"/>
              </w:rPr>
              <w:t>硬质合金</w:t>
            </w:r>
          </w:p>
        </w:tc>
      </w:tr>
      <w:tr w14:paraId="2BD39583">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40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阀杆</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54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根据输送介质及受压条件选用</w:t>
            </w:r>
          </w:p>
        </w:tc>
      </w:tr>
      <w:tr w14:paraId="33EEA6D3">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8C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阀座弹簧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F5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w:t>
            </w:r>
          </w:p>
        </w:tc>
      </w:tr>
      <w:tr w14:paraId="76FAAE28">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BE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手轮</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D00F">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QT450-10</w:t>
            </w:r>
          </w:p>
        </w:tc>
      </w:tr>
      <w:tr w14:paraId="53B59718">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25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FC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经调质处理的高强度合金钢并经</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热浸锌处理</w:t>
            </w:r>
          </w:p>
        </w:tc>
      </w:tr>
    </w:tbl>
    <w:p w14:paraId="787262FC">
      <w:pPr>
        <w:spacing w:before="273" w:line="214" w:lineRule="auto"/>
        <w:rPr>
          <w:rFonts w:ascii="宋体" w:hAnsi="宋体" w:eastAsia="宋体" w:cs="宋体"/>
          <w:sz w:val="24"/>
        </w:rPr>
      </w:pPr>
      <w:r>
        <w:rPr>
          <w:rFonts w:hint="eastAsia" w:ascii="宋体" w:hAnsi="宋体" w:eastAsia="宋体" w:cs="宋体"/>
          <w:spacing w:val="-4"/>
          <w:sz w:val="24"/>
        </w:rPr>
        <w:t>I.</w:t>
      </w:r>
      <w:r>
        <w:rPr>
          <w:rFonts w:hint="eastAsia" w:ascii="宋体" w:hAnsi="宋体" w:eastAsia="宋体" w:cs="宋体"/>
          <w:spacing w:val="5"/>
          <w:sz w:val="24"/>
        </w:rPr>
        <w:t xml:space="preserve"> </w:t>
      </w:r>
      <w:r>
        <w:rPr>
          <w:rFonts w:hint="eastAsia" w:ascii="宋体" w:hAnsi="宋体" w:eastAsia="宋体" w:cs="宋体"/>
          <w:spacing w:val="-4"/>
          <w:sz w:val="24"/>
        </w:rPr>
        <w:t>排气阀</w:t>
      </w:r>
    </w:p>
    <w:tbl>
      <w:tblPr>
        <w:tblStyle w:val="8"/>
        <w:tblW w:w="8528" w:type="dxa"/>
        <w:tblInd w:w="100" w:type="dxa"/>
        <w:tblLayout w:type="autofit"/>
        <w:tblCellMar>
          <w:top w:w="0" w:type="dxa"/>
          <w:left w:w="108" w:type="dxa"/>
          <w:bottom w:w="0" w:type="dxa"/>
          <w:right w:w="108" w:type="dxa"/>
        </w:tblCellMar>
      </w:tblPr>
      <w:tblGrid>
        <w:gridCol w:w="4141"/>
        <w:gridCol w:w="4387"/>
      </w:tblGrid>
      <w:tr w14:paraId="4D1F1162">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53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51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w:t>
            </w:r>
          </w:p>
        </w:tc>
      </w:tr>
      <w:tr w14:paraId="0E7A7763">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C4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阀盖</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85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球墨铸铁或碳钢</w:t>
            </w:r>
          </w:p>
        </w:tc>
      </w:tr>
      <w:tr w14:paraId="42EE8B78">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2DB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密封环</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DED8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丁腈橡胶</w:t>
            </w:r>
          </w:p>
        </w:tc>
      </w:tr>
      <w:tr w14:paraId="3945FE45">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47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活塞</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0E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w:t>
            </w:r>
            <w:r>
              <w:rPr>
                <w:rStyle w:val="14"/>
                <w:rFonts w:eastAsia="宋体"/>
                <w:lang w:bidi="ar"/>
              </w:rPr>
              <w:t>304</w:t>
            </w:r>
          </w:p>
        </w:tc>
      </w:tr>
    </w:tbl>
    <w:p w14:paraId="4D387615">
      <w:pPr>
        <w:spacing w:before="274" w:line="212" w:lineRule="auto"/>
        <w:rPr>
          <w:rFonts w:ascii="宋体" w:hAnsi="宋体" w:eastAsia="宋体" w:cs="宋体"/>
          <w:sz w:val="24"/>
        </w:rPr>
      </w:pPr>
      <w:r>
        <w:rPr>
          <w:rFonts w:hint="eastAsia" w:ascii="宋体" w:hAnsi="宋体" w:eastAsia="宋体" w:cs="宋体"/>
          <w:spacing w:val="-1"/>
          <w:sz w:val="24"/>
        </w:rPr>
        <w:t>J. 真空破坏阀</w:t>
      </w:r>
    </w:p>
    <w:tbl>
      <w:tblPr>
        <w:tblStyle w:val="8"/>
        <w:tblW w:w="8528" w:type="dxa"/>
        <w:tblInd w:w="100" w:type="dxa"/>
        <w:tblLayout w:type="autofit"/>
        <w:tblCellMar>
          <w:top w:w="0" w:type="dxa"/>
          <w:left w:w="108" w:type="dxa"/>
          <w:bottom w:w="0" w:type="dxa"/>
          <w:right w:w="108" w:type="dxa"/>
        </w:tblCellMar>
      </w:tblPr>
      <w:tblGrid>
        <w:gridCol w:w="4140"/>
        <w:gridCol w:w="4388"/>
      </w:tblGrid>
      <w:tr w14:paraId="321D5BE7">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6D5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阀体</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A43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球墨铸铁或以上</w:t>
            </w:r>
          </w:p>
        </w:tc>
      </w:tr>
      <w:tr w14:paraId="7396E333">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79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阀盖</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89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球墨铸铁或以上</w:t>
            </w:r>
          </w:p>
        </w:tc>
      </w:tr>
      <w:tr w14:paraId="2D600E75">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18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阀瓣</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12C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w:t>
            </w:r>
            <w:r>
              <w:rPr>
                <w:rFonts w:ascii="Arial" w:hAnsi="Arial" w:eastAsia="宋体" w:cs="Arial"/>
                <w:color w:val="000000"/>
                <w:kern w:val="0"/>
                <w:sz w:val="18"/>
                <w:szCs w:val="18"/>
                <w:lang w:bidi="ar"/>
              </w:rPr>
              <w:t>304+</w:t>
            </w:r>
            <w:r>
              <w:rPr>
                <w:rFonts w:hint="eastAsia" w:ascii="宋体" w:hAnsi="宋体" w:eastAsia="宋体" w:cs="宋体"/>
                <w:color w:val="000000"/>
                <w:kern w:val="0"/>
                <w:sz w:val="18"/>
                <w:szCs w:val="18"/>
                <w:lang w:bidi="ar"/>
              </w:rPr>
              <w:t>丁腈橡胶（</w:t>
            </w:r>
            <w:r>
              <w:rPr>
                <w:rFonts w:ascii="Arial" w:hAnsi="Arial" w:eastAsia="宋体" w:cs="Arial"/>
                <w:color w:val="000000"/>
                <w:kern w:val="0"/>
                <w:sz w:val="18"/>
                <w:szCs w:val="18"/>
                <w:lang w:bidi="ar"/>
              </w:rPr>
              <w:t>NBR</w:t>
            </w:r>
            <w:r>
              <w:rPr>
                <w:rFonts w:hint="eastAsia" w:ascii="宋体" w:hAnsi="宋体" w:eastAsia="宋体" w:cs="宋体"/>
                <w:color w:val="000000"/>
                <w:kern w:val="0"/>
                <w:sz w:val="18"/>
                <w:szCs w:val="18"/>
                <w:lang w:bidi="ar"/>
              </w:rPr>
              <w:t>）</w:t>
            </w:r>
          </w:p>
        </w:tc>
      </w:tr>
      <w:tr w14:paraId="74119CD0">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5F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阀座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E5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w:t>
            </w:r>
            <w:r>
              <w:rPr>
                <w:rFonts w:ascii="Arial" w:hAnsi="Arial" w:eastAsia="宋体" w:cs="Arial"/>
                <w:color w:val="000000"/>
                <w:kern w:val="0"/>
                <w:sz w:val="18"/>
                <w:szCs w:val="18"/>
                <w:lang w:bidi="ar"/>
              </w:rPr>
              <w:t>304</w:t>
            </w:r>
          </w:p>
        </w:tc>
      </w:tr>
      <w:tr w14:paraId="69ABCADF">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9C0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弹簧</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73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w:t>
            </w:r>
            <w:r>
              <w:rPr>
                <w:rFonts w:ascii="Arial" w:hAnsi="Arial" w:eastAsia="宋体" w:cs="Arial"/>
                <w:color w:val="000000"/>
                <w:kern w:val="0"/>
                <w:sz w:val="18"/>
                <w:szCs w:val="18"/>
                <w:lang w:bidi="ar"/>
              </w:rPr>
              <w:t>304</w:t>
            </w:r>
          </w:p>
        </w:tc>
      </w:tr>
      <w:tr w14:paraId="36460945">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BE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滤网</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E1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w:t>
            </w:r>
            <w:r>
              <w:rPr>
                <w:rFonts w:ascii="Arial" w:hAnsi="Arial" w:eastAsia="宋体" w:cs="Arial"/>
                <w:color w:val="000000"/>
                <w:kern w:val="0"/>
                <w:sz w:val="18"/>
                <w:szCs w:val="18"/>
                <w:lang w:bidi="ar"/>
              </w:rPr>
              <w:t>304</w:t>
            </w:r>
          </w:p>
        </w:tc>
      </w:tr>
      <w:tr w14:paraId="6EDBA112">
        <w:tblPrEx>
          <w:tblCellMar>
            <w:top w:w="0" w:type="dxa"/>
            <w:left w:w="108" w:type="dxa"/>
            <w:bottom w:w="0" w:type="dxa"/>
            <w:right w:w="108" w:type="dxa"/>
          </w:tblCellMar>
        </w:tblPrEx>
        <w:trPr>
          <w:trHeight w:val="400" w:hRule="atLeast"/>
        </w:trPr>
        <w:tc>
          <w:tcPr>
            <w:tcW w:w="41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6E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排气罩</w:t>
            </w:r>
          </w:p>
        </w:tc>
        <w:tc>
          <w:tcPr>
            <w:tcW w:w="4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C4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球墨铸铁或</w:t>
            </w:r>
            <w:r>
              <w:rPr>
                <w:rFonts w:ascii="Arial" w:hAnsi="Arial" w:eastAsia="宋体" w:cs="Arial"/>
                <w:color w:val="000000"/>
                <w:kern w:val="0"/>
                <w:sz w:val="18"/>
                <w:szCs w:val="18"/>
                <w:lang w:bidi="ar"/>
              </w:rPr>
              <w:t>Q235</w:t>
            </w:r>
          </w:p>
        </w:tc>
      </w:tr>
    </w:tbl>
    <w:p w14:paraId="7ABF24A6">
      <w:pPr>
        <w:spacing w:before="274" w:line="214" w:lineRule="auto"/>
        <w:ind w:left="318"/>
        <w:rPr>
          <w:spacing w:val="-3"/>
          <w:sz w:val="24"/>
        </w:rPr>
      </w:pPr>
    </w:p>
    <w:p w14:paraId="11EDF0EA">
      <w:pPr>
        <w:spacing w:before="274" w:line="214" w:lineRule="auto"/>
        <w:ind w:left="318"/>
        <w:rPr>
          <w:rFonts w:ascii="宋体" w:hAnsi="宋体" w:eastAsia="宋体" w:cs="宋体"/>
          <w:sz w:val="24"/>
        </w:rPr>
      </w:pPr>
      <w:r>
        <w:rPr>
          <w:rFonts w:hint="eastAsia" w:ascii="宋体" w:hAnsi="宋体" w:eastAsia="宋体" w:cs="宋体"/>
          <w:spacing w:val="-3"/>
          <w:sz w:val="24"/>
        </w:rPr>
        <w:t>K.密封垫片</w:t>
      </w:r>
    </w:p>
    <w:tbl>
      <w:tblPr>
        <w:tblStyle w:val="8"/>
        <w:tblW w:w="8528" w:type="dxa"/>
        <w:tblInd w:w="100" w:type="dxa"/>
        <w:tblLayout w:type="autofit"/>
        <w:tblCellMar>
          <w:top w:w="0" w:type="dxa"/>
          <w:left w:w="108" w:type="dxa"/>
          <w:bottom w:w="0" w:type="dxa"/>
          <w:right w:w="108" w:type="dxa"/>
        </w:tblCellMar>
      </w:tblPr>
      <w:tblGrid>
        <w:gridCol w:w="2853"/>
        <w:gridCol w:w="5675"/>
      </w:tblGrid>
      <w:tr w14:paraId="05F5F273">
        <w:tblPrEx>
          <w:tblCellMar>
            <w:top w:w="0" w:type="dxa"/>
            <w:left w:w="108" w:type="dxa"/>
            <w:bottom w:w="0" w:type="dxa"/>
            <w:right w:w="108" w:type="dxa"/>
          </w:tblCellMar>
        </w:tblPrEx>
        <w:trPr>
          <w:trHeight w:val="1155" w:hRule="atLeast"/>
        </w:trPr>
        <w:tc>
          <w:tcPr>
            <w:tcW w:w="2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FF7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密封垫片</w:t>
            </w:r>
          </w:p>
        </w:tc>
        <w:tc>
          <w:tcPr>
            <w:tcW w:w="5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86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污水介质及含油介质的管道密封</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垫片材质为丁腈橡胶；酸、碱介质</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的管道密封垫片材质为乙丙橡胶；</w:t>
            </w:r>
            <w:r>
              <w:rPr>
                <w:rFonts w:ascii="Arial" w:hAnsi="Arial" w:eastAsia="宋体" w:cs="Arial"/>
                <w:color w:val="000000"/>
                <w:kern w:val="0"/>
                <w:sz w:val="18"/>
                <w:szCs w:val="18"/>
                <w:lang w:bidi="ar"/>
              </w:rPr>
              <w:t xml:space="preserve"> 100 </w:t>
            </w:r>
            <w:r>
              <w:rPr>
                <w:rFonts w:hint="eastAsia" w:ascii="宋体" w:hAnsi="宋体" w:eastAsia="宋体" w:cs="宋体"/>
                <w:color w:val="000000"/>
                <w:kern w:val="0"/>
                <w:sz w:val="18"/>
                <w:szCs w:val="18"/>
                <w:lang w:bidi="ar"/>
              </w:rPr>
              <w:t>度以下高温空气管可选用乙丙</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橡胶密封垫片，</w:t>
            </w:r>
            <w:r>
              <w:rPr>
                <w:rFonts w:ascii="Arial" w:hAnsi="Arial" w:eastAsia="宋体" w:cs="Arial"/>
                <w:color w:val="000000"/>
                <w:kern w:val="0"/>
                <w:sz w:val="18"/>
                <w:szCs w:val="18"/>
                <w:lang w:bidi="ar"/>
              </w:rPr>
              <w:t xml:space="preserve">100 </w:t>
            </w:r>
            <w:r>
              <w:rPr>
                <w:rFonts w:hint="eastAsia" w:ascii="宋体" w:hAnsi="宋体" w:eastAsia="宋体" w:cs="宋体"/>
                <w:color w:val="000000"/>
                <w:kern w:val="0"/>
                <w:sz w:val="18"/>
                <w:szCs w:val="18"/>
                <w:lang w:bidi="ar"/>
              </w:rPr>
              <w:t>度以上高温气</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管或压缩空气管道应选用石棉橡</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胶板垫片</w:t>
            </w:r>
          </w:p>
        </w:tc>
      </w:tr>
    </w:tbl>
    <w:p w14:paraId="4762E910">
      <w:pPr>
        <w:spacing w:line="360" w:lineRule="auto"/>
        <w:ind w:firstLine="482" w:firstLineChars="200"/>
        <w:jc w:val="left"/>
        <w:rPr>
          <w:rFonts w:ascii="宋体" w:hAnsi="宋体" w:eastAsia="宋体" w:cs="宋体"/>
          <w:b/>
          <w:bCs/>
          <w:sz w:val="24"/>
          <w:szCs w:val="32"/>
        </w:rPr>
      </w:pPr>
      <w:r>
        <w:rPr>
          <w:rFonts w:hint="eastAsia" w:ascii="宋体" w:hAnsi="宋体" w:eastAsia="宋体" w:cs="宋体"/>
          <w:b/>
          <w:bCs/>
          <w:sz w:val="24"/>
          <w:szCs w:val="32"/>
        </w:rPr>
        <w:t>控制要求</w:t>
      </w:r>
    </w:p>
    <w:p w14:paraId="3893E900">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A.电动阀门的控制装置与驱动装置为一体。</w:t>
      </w:r>
    </w:p>
    <w:p w14:paraId="1D5E64D7">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B.电动阀门应该以无源接点的形式输出故障、开闭、就地远方位置，并接受远 方的控制信号。调节阀的位置和调节信号为 4~20mA。</w:t>
      </w:r>
    </w:p>
    <w:p w14:paraId="494F5CA7">
      <w:pPr>
        <w:spacing w:line="360" w:lineRule="auto"/>
        <w:ind w:firstLine="480" w:firstLineChars="200"/>
        <w:jc w:val="left"/>
        <w:rPr>
          <w:rFonts w:ascii="宋体" w:hAnsi="宋体" w:eastAsia="宋体" w:cs="宋体"/>
          <w:sz w:val="24"/>
          <w:szCs w:val="32"/>
        </w:rPr>
      </w:pPr>
      <w:r>
        <w:rPr>
          <w:rFonts w:hint="eastAsia" w:ascii="宋体" w:hAnsi="宋体" w:eastAsia="宋体" w:cs="宋体"/>
          <w:sz w:val="24"/>
          <w:szCs w:val="32"/>
        </w:rPr>
        <w:t>C.电动调节阀的技术要求详见本规范第5节《仪表自控系统》。</w:t>
      </w:r>
    </w:p>
    <w:p w14:paraId="04A256A0">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出厂检验</w:t>
      </w:r>
    </w:p>
    <w:p w14:paraId="62E1F77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A.每台设备在出厂前须进行出厂检验，检验合格并附有产品合格证和使用维护说明书方可出厂。</w:t>
      </w:r>
    </w:p>
    <w:p w14:paraId="11DE703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B.所有阀门及执行机构在制造与装配之后以及在制造厂发运之前均应经过检查与测试，其中包括材料及铸件的检查与试验，制造时的部件与工艺检查，制造后性能测试以及油漆工作的检查与测试。</w:t>
      </w:r>
    </w:p>
    <w:p w14:paraId="1D8295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C.阀门应按 GB/T  26480-2011  标准的要求进行出厂检验和试验，并按 GB/T  13927 标准 20℃下最大允许工作压力的 1.5 倍进行压力试验,并按 GB/T 13927  标准 20℃下最大允许工作压力的 1.1 倍进行阀门的密封检验, 阀体、法兰连接、 阀杆和阀座密封均不允许有泄漏。</w:t>
      </w:r>
    </w:p>
    <w:p w14:paraId="35AEA5A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D.应按 JB/T 8528 检验执行机构的功能。</w:t>
      </w:r>
    </w:p>
    <w:p w14:paraId="081589B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E.刀闸阀和浆液阀的工厂检验应按 JB/T 8691 中的项目进行,并满足其要求。 </w:t>
      </w:r>
    </w:p>
    <w:p w14:paraId="3D5175C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F.蝶阀的工厂检验应按 GB12238-2008 中的项目进行,并满足其要求。</w:t>
      </w:r>
    </w:p>
    <w:p w14:paraId="7920C2B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G.止回阀的工厂检验应按 JB/T 8937 中的项目进行,并满足其要求。</w:t>
      </w:r>
    </w:p>
    <w:p w14:paraId="78D9C0E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H.微阻缓闭止回阀应按 CJ/T 154 标准中相关条款进行如下出厂检验测试，并满 足其要求：</w:t>
      </w:r>
    </w:p>
    <w:p w14:paraId="54C9B47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1.阀瓣（蝶板）启闭灵敏性试验</w:t>
      </w:r>
    </w:p>
    <w:p w14:paraId="591DC1C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2.缓闭开度试验</w:t>
      </w:r>
    </w:p>
    <w:p w14:paraId="65A0BD9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3.缓闭时间试验</w:t>
      </w:r>
    </w:p>
    <w:p w14:paraId="6297690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4.缓闭装置中的阻尼活塞缸试验</w:t>
      </w:r>
    </w:p>
    <w:p w14:paraId="65A543C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5.停泵产生的阀门关闭水锤峰值及水泵倒转速度测试</w:t>
      </w:r>
    </w:p>
    <w:p w14:paraId="1026FEE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6.流阻系数的测试</w:t>
      </w:r>
    </w:p>
    <w:p w14:paraId="430D4E7D">
      <w:pPr>
        <w:spacing w:line="360" w:lineRule="auto"/>
        <w:ind w:firstLine="482" w:firstLineChars="200"/>
        <w:rPr>
          <w:rFonts w:ascii="宋体" w:hAnsi="宋体" w:eastAsia="宋体" w:cs="宋体"/>
          <w:b/>
          <w:bCs/>
          <w:sz w:val="24"/>
        </w:rPr>
      </w:pPr>
      <w:r>
        <w:rPr>
          <w:rFonts w:hint="eastAsia" w:ascii="宋体" w:hAnsi="宋体" w:eastAsia="宋体" w:cs="宋体"/>
          <w:b/>
          <w:bCs/>
          <w:sz w:val="24"/>
        </w:rPr>
        <w:t>调试与试车</w:t>
      </w:r>
    </w:p>
    <w:p w14:paraId="7088ED32">
      <w:pPr>
        <w:spacing w:line="360" w:lineRule="auto"/>
        <w:ind w:firstLine="480" w:firstLineChars="200"/>
        <w:rPr>
          <w:rFonts w:ascii="宋体" w:hAnsi="宋体" w:eastAsia="宋体" w:cs="宋体"/>
          <w:sz w:val="24"/>
        </w:rPr>
      </w:pPr>
      <w:r>
        <w:rPr>
          <w:rFonts w:hint="eastAsia" w:ascii="宋体" w:hAnsi="宋体" w:eastAsia="宋体" w:cs="宋体"/>
          <w:sz w:val="24"/>
        </w:rPr>
        <w:t>A.阀门安装完成后, 设备安装完成后,卖方应负责现场调试,并按上述标准中的项目进行现场检验运行测试,满足要求方可验收。</w:t>
      </w:r>
    </w:p>
    <w:p w14:paraId="5000848F">
      <w:pPr>
        <w:spacing w:line="360" w:lineRule="auto"/>
        <w:ind w:firstLine="480" w:firstLineChars="200"/>
        <w:rPr>
          <w:rFonts w:ascii="宋体" w:hAnsi="宋体" w:eastAsia="宋体" w:cs="宋体"/>
          <w:sz w:val="24"/>
        </w:rPr>
      </w:pPr>
      <w:r>
        <w:rPr>
          <w:rFonts w:hint="eastAsia" w:ascii="宋体" w:hAnsi="宋体" w:eastAsia="宋体" w:cs="宋体"/>
          <w:sz w:val="24"/>
        </w:rPr>
        <w:t>B.阀门在无负载条件下，至少作阀板启闭3次试验，阀门关闭时，应无渗漏现象。操作应灵活，手感轻便，螺杆副旋合平稳，阀门无卡位，限位准确，限位开关的重复性偏差≤1mm。</w:t>
      </w:r>
    </w:p>
    <w:p w14:paraId="3EEA4348">
      <w:pPr>
        <w:spacing w:line="360" w:lineRule="auto"/>
        <w:ind w:firstLine="480" w:firstLineChars="200"/>
        <w:rPr>
          <w:rFonts w:ascii="宋体" w:hAnsi="宋体" w:eastAsia="宋体" w:cs="宋体"/>
          <w:sz w:val="24"/>
        </w:rPr>
      </w:pPr>
      <w:r>
        <w:rPr>
          <w:rFonts w:hint="eastAsia" w:ascii="宋体" w:hAnsi="宋体" w:eastAsia="宋体" w:cs="宋体"/>
          <w:sz w:val="24"/>
        </w:rPr>
        <w:t>C.电动执行机构的扭矩开关应灵敏可靠。</w:t>
      </w:r>
    </w:p>
    <w:p w14:paraId="3C23F91F">
      <w:pPr>
        <w:spacing w:line="360" w:lineRule="auto"/>
        <w:ind w:firstLine="480" w:firstLineChars="200"/>
        <w:rPr>
          <w:rFonts w:ascii="宋体" w:hAnsi="宋体" w:eastAsia="宋体" w:cs="宋体"/>
          <w:sz w:val="24"/>
        </w:rPr>
      </w:pPr>
      <w:r>
        <w:rPr>
          <w:rFonts w:hint="eastAsia" w:ascii="宋体" w:hAnsi="宋体" w:eastAsia="宋体" w:cs="宋体"/>
          <w:sz w:val="24"/>
        </w:rPr>
        <w:t>D.不允许有任何泄漏。</w:t>
      </w:r>
    </w:p>
    <w:p w14:paraId="4B18FD8B">
      <w:pPr>
        <w:spacing w:line="360" w:lineRule="auto"/>
        <w:ind w:firstLine="480" w:firstLineChars="200"/>
        <w:rPr>
          <w:rFonts w:ascii="宋体" w:hAnsi="宋体" w:eastAsia="宋体" w:cs="宋体"/>
          <w:sz w:val="24"/>
        </w:rPr>
      </w:pPr>
      <w:r>
        <w:rPr>
          <w:rFonts w:hint="eastAsia" w:ascii="宋体" w:hAnsi="宋体" w:eastAsia="宋体" w:cs="宋体"/>
          <w:sz w:val="24"/>
        </w:rPr>
        <w:t>E.蝶阀和浆液阀的手动操作力矩应小于 150Nm。</w:t>
      </w:r>
    </w:p>
    <w:p w14:paraId="18C38AD3">
      <w:pPr>
        <w:spacing w:line="360" w:lineRule="auto"/>
        <w:rPr>
          <w:rFonts w:ascii="宋体" w:hAnsi="宋体" w:eastAsia="宋体" w:cs="宋体"/>
          <w:b/>
          <w:bCs/>
          <w:sz w:val="24"/>
        </w:rPr>
      </w:pPr>
      <w:bookmarkStart w:id="0" w:name="bookmark76"/>
      <w:bookmarkEnd w:id="0"/>
      <w:r>
        <w:rPr>
          <w:rFonts w:hint="eastAsia" w:ascii="宋体" w:hAnsi="宋体" w:eastAsia="宋体" w:cs="宋体"/>
          <w:b/>
          <w:bCs/>
          <w:sz w:val="24"/>
        </w:rPr>
        <w:t xml:space="preserve"> 伸缩接头、橡胶柔性接头及波纹补偿器</w:t>
      </w:r>
    </w:p>
    <w:p w14:paraId="20B18584">
      <w:pPr>
        <w:spacing w:line="360" w:lineRule="auto"/>
        <w:ind w:firstLine="480" w:firstLineChars="200"/>
        <w:rPr>
          <w:rFonts w:ascii="宋体" w:hAnsi="宋体" w:eastAsia="宋体" w:cs="宋体"/>
          <w:sz w:val="24"/>
        </w:rPr>
      </w:pPr>
      <w:r>
        <w:rPr>
          <w:rFonts w:hint="eastAsia" w:ascii="宋体" w:hAnsi="宋体" w:eastAsia="宋体" w:cs="宋体"/>
          <w:sz w:val="24"/>
        </w:rPr>
        <w:t>A.卖方应提供保证设备安全、稳定、可靠运行的全套设备、辅助及安装连接附 件，并负责指导安装、调试及试运行等工作。系统供货的伸缩器、橡胶柔性接头及金属波纹膨胀节将由卖方根据系统设计实际需要配置并供货，并根据介质情况合理选 择结构型式及材质。设备主要组成部分及供货范围（不限于此）：</w:t>
      </w:r>
    </w:p>
    <w:p w14:paraId="555BC9A8">
      <w:pPr>
        <w:spacing w:line="360" w:lineRule="auto"/>
        <w:ind w:firstLine="480" w:firstLineChars="200"/>
        <w:rPr>
          <w:rFonts w:ascii="宋体" w:hAnsi="宋体" w:eastAsia="宋体" w:cs="宋体"/>
          <w:sz w:val="24"/>
        </w:rPr>
      </w:pPr>
      <w:r>
        <w:rPr>
          <w:rFonts w:hint="eastAsia" w:ascii="宋体" w:hAnsi="宋体" w:eastAsia="宋体" w:cs="宋体"/>
          <w:sz w:val="24"/>
        </w:rPr>
        <w:t>-装配完整的伸缩接头及密封垫片、安装连接附件</w:t>
      </w:r>
    </w:p>
    <w:p w14:paraId="3D540E6B">
      <w:pPr>
        <w:spacing w:line="360" w:lineRule="auto"/>
        <w:ind w:firstLine="480" w:firstLineChars="200"/>
        <w:rPr>
          <w:rFonts w:ascii="宋体" w:hAnsi="宋体" w:eastAsia="宋体" w:cs="宋体"/>
          <w:sz w:val="24"/>
        </w:rPr>
      </w:pPr>
      <w:r>
        <w:rPr>
          <w:rFonts w:hint="eastAsia" w:ascii="宋体" w:hAnsi="宋体" w:eastAsia="宋体" w:cs="宋体"/>
          <w:sz w:val="24"/>
        </w:rPr>
        <w:t>-装配完整的橡胶接头及密封垫片、安装连接附件、钢制保护罩（埋 地橡胶接头）</w:t>
      </w:r>
    </w:p>
    <w:p w14:paraId="5CB9F749">
      <w:pPr>
        <w:spacing w:line="360" w:lineRule="auto"/>
        <w:ind w:firstLine="480" w:firstLineChars="200"/>
        <w:rPr>
          <w:rFonts w:ascii="宋体" w:hAnsi="宋体" w:eastAsia="宋体" w:cs="宋体"/>
          <w:sz w:val="24"/>
        </w:rPr>
      </w:pPr>
      <w:r>
        <w:rPr>
          <w:rFonts w:hint="eastAsia" w:ascii="宋体" w:hAnsi="宋体" w:eastAsia="宋体" w:cs="宋体"/>
          <w:sz w:val="24"/>
        </w:rPr>
        <w:t>-装配完整的金属波纹膨胀节及密封垫片、安装连接附件</w:t>
      </w:r>
    </w:p>
    <w:p w14:paraId="6550923F">
      <w:pPr>
        <w:spacing w:line="360" w:lineRule="auto"/>
        <w:ind w:firstLine="482" w:firstLineChars="200"/>
        <w:rPr>
          <w:rFonts w:ascii="宋体" w:hAnsi="宋体" w:eastAsia="宋体" w:cs="宋体"/>
          <w:b/>
          <w:bCs/>
          <w:sz w:val="24"/>
        </w:rPr>
      </w:pPr>
      <w:r>
        <w:rPr>
          <w:rFonts w:hint="eastAsia" w:ascii="宋体" w:hAnsi="宋体" w:eastAsia="宋体" w:cs="宋体"/>
          <w:b/>
          <w:bCs/>
          <w:sz w:val="24"/>
        </w:rPr>
        <w:t>数量及规格</w:t>
      </w:r>
    </w:p>
    <w:p w14:paraId="5F0755D9">
      <w:pPr>
        <w:spacing w:line="360" w:lineRule="auto"/>
        <w:ind w:firstLine="480" w:firstLineChars="200"/>
        <w:rPr>
          <w:rFonts w:ascii="宋体" w:hAnsi="宋体" w:eastAsia="宋体" w:cs="宋体"/>
          <w:sz w:val="24"/>
        </w:rPr>
      </w:pPr>
      <w:r>
        <w:rPr>
          <w:rFonts w:hint="eastAsia" w:ascii="宋体" w:hAnsi="宋体" w:eastAsia="宋体" w:cs="宋体"/>
          <w:sz w:val="24"/>
        </w:rPr>
        <w:t>伸缩接头</w:t>
      </w:r>
    </w:p>
    <w:p w14:paraId="3775534E">
      <w:pPr>
        <w:spacing w:line="360" w:lineRule="auto"/>
        <w:ind w:firstLine="480" w:firstLineChars="200"/>
        <w:rPr>
          <w:rFonts w:ascii="宋体" w:hAnsi="宋体" w:eastAsia="宋体" w:cs="宋体"/>
          <w:sz w:val="24"/>
        </w:rPr>
      </w:pPr>
      <w:r>
        <w:rPr>
          <w:rFonts w:hint="eastAsia" w:ascii="宋体" w:hAnsi="宋体" w:eastAsia="宋体" w:cs="宋体"/>
          <w:sz w:val="24"/>
        </w:rPr>
        <w:t>A.数量、规格及参数</w:t>
      </w:r>
    </w:p>
    <w:p w14:paraId="2B099946">
      <w:pPr>
        <w:spacing w:line="360" w:lineRule="auto"/>
        <w:ind w:firstLine="480" w:firstLineChars="200"/>
        <w:rPr>
          <w:rFonts w:ascii="宋体" w:hAnsi="宋体" w:eastAsia="宋体" w:cs="宋体"/>
          <w:sz w:val="24"/>
        </w:rPr>
      </w:pPr>
      <w:r>
        <w:rPr>
          <w:rFonts w:hint="eastAsia" w:ascii="宋体" w:hAnsi="宋体" w:eastAsia="宋体" w:cs="宋体"/>
          <w:sz w:val="24"/>
        </w:rPr>
        <w:t>详见招标设备清单。</w:t>
      </w:r>
    </w:p>
    <w:p w14:paraId="2A49E647">
      <w:pPr>
        <w:spacing w:line="360" w:lineRule="auto"/>
        <w:ind w:firstLine="480" w:firstLineChars="200"/>
        <w:rPr>
          <w:rFonts w:ascii="宋体" w:hAnsi="宋体" w:eastAsia="宋体" w:cs="宋体"/>
          <w:sz w:val="24"/>
        </w:rPr>
      </w:pPr>
      <w:r>
        <w:rPr>
          <w:rFonts w:hint="eastAsia" w:ascii="宋体" w:hAnsi="宋体" w:eastAsia="宋体" w:cs="宋体"/>
          <w:sz w:val="24"/>
        </w:rPr>
        <w:t>B.所有传力伸缩接头皆为双法兰结构。</w:t>
      </w:r>
    </w:p>
    <w:p w14:paraId="7013EF15">
      <w:pPr>
        <w:spacing w:line="360" w:lineRule="auto"/>
        <w:ind w:firstLine="480" w:firstLineChars="200"/>
        <w:rPr>
          <w:rFonts w:ascii="宋体" w:hAnsi="宋体" w:eastAsia="宋体" w:cs="宋体"/>
          <w:sz w:val="24"/>
        </w:rPr>
      </w:pPr>
      <w:r>
        <w:rPr>
          <w:rFonts w:hint="eastAsia" w:ascii="宋体" w:hAnsi="宋体" w:eastAsia="宋体" w:cs="宋体"/>
          <w:sz w:val="24"/>
        </w:rPr>
        <w:t>C.伸缩接头的设计、制造和检验应满足 GB/T 12465-2017 标准的要求。</w:t>
      </w:r>
    </w:p>
    <w:p w14:paraId="47C7E8CC">
      <w:pPr>
        <w:spacing w:line="360" w:lineRule="auto"/>
        <w:ind w:firstLine="480" w:firstLineChars="200"/>
        <w:rPr>
          <w:rFonts w:ascii="宋体" w:hAnsi="宋体" w:eastAsia="宋体" w:cs="宋体"/>
          <w:sz w:val="24"/>
        </w:rPr>
      </w:pPr>
      <w:r>
        <w:rPr>
          <w:rFonts w:hint="eastAsia" w:ascii="宋体" w:hAnsi="宋体" w:eastAsia="宋体" w:cs="宋体"/>
          <w:sz w:val="24"/>
        </w:rPr>
        <w:t>D.伸缩接头本体不应有擦伤、沟槽或碰撞形成的明显凹陷，并不得有裂纹、结 疤、折叠、分层等缺陷。</w:t>
      </w:r>
    </w:p>
    <w:p w14:paraId="5B3AB0CD">
      <w:pPr>
        <w:spacing w:line="360" w:lineRule="auto"/>
        <w:ind w:firstLine="480" w:firstLineChars="200"/>
        <w:rPr>
          <w:rFonts w:ascii="宋体" w:hAnsi="宋体" w:eastAsia="宋体" w:cs="宋体"/>
          <w:sz w:val="24"/>
        </w:rPr>
      </w:pPr>
      <w:r>
        <w:rPr>
          <w:rFonts w:hint="eastAsia" w:ascii="宋体" w:hAnsi="宋体" w:eastAsia="宋体" w:cs="宋体"/>
          <w:sz w:val="24"/>
        </w:rPr>
        <w:t>E.伸缩接头本体的强度应能承受 1.5 倍的公称压力，持压 5min，不应有渗漏和 内塑性变形。</w:t>
      </w:r>
    </w:p>
    <w:p w14:paraId="759D8861">
      <w:pPr>
        <w:spacing w:line="360" w:lineRule="auto"/>
        <w:ind w:firstLine="480" w:firstLineChars="200"/>
        <w:rPr>
          <w:rFonts w:ascii="宋体" w:hAnsi="宋体" w:eastAsia="宋体" w:cs="宋体"/>
          <w:sz w:val="24"/>
        </w:rPr>
      </w:pPr>
      <w:r>
        <w:rPr>
          <w:rFonts w:hint="eastAsia" w:ascii="宋体" w:hAnsi="宋体" w:eastAsia="宋体" w:cs="宋体"/>
          <w:sz w:val="24"/>
        </w:rPr>
        <w:t>F.伸缩接头密封副应能承受 1.25 倍的公称压力，持压 5min,  不应有渗漏。</w:t>
      </w:r>
    </w:p>
    <w:p w14:paraId="3785DE43">
      <w:pPr>
        <w:spacing w:line="360" w:lineRule="auto"/>
        <w:ind w:firstLine="480" w:firstLineChars="200"/>
        <w:rPr>
          <w:rFonts w:ascii="宋体" w:hAnsi="宋体" w:eastAsia="宋体" w:cs="宋体"/>
          <w:sz w:val="24"/>
        </w:rPr>
      </w:pPr>
      <w:r>
        <w:rPr>
          <w:rFonts w:hint="eastAsia" w:ascii="宋体" w:hAnsi="宋体" w:eastAsia="宋体" w:cs="宋体"/>
          <w:sz w:val="24"/>
        </w:rPr>
        <w:t>G.安装在鼓风机房的伸缩接头介质为热空气，伸缩接头的密封或橡胶应适用于 200。C 温度。其它的介质皆为污水，应满足在污水介质条件下使用。</w:t>
      </w:r>
    </w:p>
    <w:p w14:paraId="25AC6EE8">
      <w:pPr>
        <w:spacing w:line="360" w:lineRule="auto"/>
        <w:ind w:firstLine="480" w:firstLineChars="200"/>
        <w:rPr>
          <w:rFonts w:ascii="宋体" w:hAnsi="宋体" w:eastAsia="宋体" w:cs="宋体"/>
          <w:sz w:val="24"/>
        </w:rPr>
      </w:pPr>
      <w:r>
        <w:rPr>
          <w:rFonts w:hint="eastAsia" w:ascii="宋体" w:hAnsi="宋体" w:eastAsia="宋体" w:cs="宋体"/>
          <w:sz w:val="24"/>
        </w:rPr>
        <w:t>H.污水介质非不锈钢材质的阀体内外表面及非不锈钢材质的阀板应采用静电环 氧树脂喷涂防腐。</w:t>
      </w:r>
    </w:p>
    <w:p w14:paraId="63278775">
      <w:pPr>
        <w:spacing w:line="360" w:lineRule="auto"/>
        <w:ind w:firstLine="482" w:firstLineChars="200"/>
        <w:rPr>
          <w:rFonts w:ascii="宋体" w:hAnsi="宋体" w:eastAsia="宋体" w:cs="宋体"/>
          <w:b/>
          <w:bCs/>
          <w:sz w:val="24"/>
        </w:rPr>
      </w:pPr>
      <w:r>
        <w:rPr>
          <w:rFonts w:hint="eastAsia" w:ascii="宋体" w:hAnsi="宋体" w:eastAsia="宋体" w:cs="宋体"/>
          <w:b/>
          <w:bCs/>
          <w:sz w:val="24"/>
        </w:rPr>
        <w:t>橡胶接头</w:t>
      </w:r>
    </w:p>
    <w:p w14:paraId="7E8470C9">
      <w:pPr>
        <w:spacing w:line="360" w:lineRule="auto"/>
        <w:ind w:firstLine="480" w:firstLineChars="200"/>
        <w:rPr>
          <w:rFonts w:ascii="宋体" w:hAnsi="宋体" w:eastAsia="宋体" w:cs="宋体"/>
          <w:sz w:val="24"/>
        </w:rPr>
      </w:pPr>
      <w:r>
        <w:rPr>
          <w:rFonts w:hint="eastAsia" w:ascii="宋体" w:hAnsi="宋体" w:eastAsia="宋体" w:cs="宋体"/>
          <w:sz w:val="24"/>
        </w:rPr>
        <w:t>A.数量、规格及参数详见招标设备清单。</w:t>
      </w:r>
    </w:p>
    <w:p w14:paraId="39E7D4B1">
      <w:pPr>
        <w:spacing w:line="360" w:lineRule="auto"/>
        <w:ind w:firstLine="480" w:firstLineChars="200"/>
        <w:rPr>
          <w:rFonts w:ascii="宋体" w:hAnsi="宋体" w:eastAsia="宋体" w:cs="宋体"/>
          <w:sz w:val="24"/>
        </w:rPr>
      </w:pPr>
      <w:r>
        <w:rPr>
          <w:rFonts w:hint="eastAsia" w:ascii="宋体" w:hAnsi="宋体" w:eastAsia="宋体" w:cs="宋体"/>
          <w:sz w:val="24"/>
        </w:rPr>
        <w:t>B.橡胶接头的设计、制造及检验，以及轴向伸长、轴向压缩、径向位移和角向位移等参数应满足GB/T 26121标准的要求。</w:t>
      </w:r>
    </w:p>
    <w:p w14:paraId="0DD765F1">
      <w:pPr>
        <w:spacing w:line="360" w:lineRule="auto"/>
        <w:ind w:firstLine="480" w:firstLineChars="200"/>
        <w:rPr>
          <w:rFonts w:ascii="宋体" w:hAnsi="宋体" w:eastAsia="宋体" w:cs="宋体"/>
          <w:sz w:val="24"/>
        </w:rPr>
      </w:pPr>
      <w:r>
        <w:rPr>
          <w:rFonts w:hint="eastAsia" w:ascii="宋体" w:hAnsi="宋体" w:eastAsia="宋体" w:cs="宋体"/>
          <w:sz w:val="24"/>
        </w:rPr>
        <w:t>C.法兰式橡胶柔性接头的橡胶球体为拱形结构，由内胶层、外胶层、增强层、 加强环组成。</w:t>
      </w:r>
    </w:p>
    <w:p w14:paraId="1B6E87A6">
      <w:pPr>
        <w:spacing w:line="360" w:lineRule="auto"/>
        <w:ind w:firstLine="480" w:firstLineChars="200"/>
        <w:rPr>
          <w:rFonts w:ascii="宋体" w:hAnsi="宋体" w:eastAsia="宋体" w:cs="宋体"/>
          <w:sz w:val="24"/>
        </w:rPr>
      </w:pPr>
      <w:r>
        <w:rPr>
          <w:rFonts w:hint="eastAsia" w:ascii="宋体" w:hAnsi="宋体" w:eastAsia="宋体" w:cs="宋体"/>
          <w:sz w:val="24"/>
        </w:rPr>
        <w:t>D.橡胶柔性接头承压时：橡胶球体密封端面不能出现变形、泄漏、拉脱现象； 球体直管段不能发生变形现象；不管橡胶补偿器发生径向位移、轴向位移或 角向位移时，连接螺栓、螺母都不得接触到橡胶球体。</w:t>
      </w:r>
    </w:p>
    <w:p w14:paraId="7A56AE83">
      <w:pPr>
        <w:spacing w:line="360" w:lineRule="auto"/>
        <w:ind w:firstLine="480" w:firstLineChars="200"/>
        <w:rPr>
          <w:rFonts w:ascii="宋体" w:hAnsi="宋体" w:eastAsia="宋体" w:cs="宋体"/>
          <w:sz w:val="24"/>
        </w:rPr>
      </w:pPr>
      <w:r>
        <w:rPr>
          <w:rFonts w:hint="eastAsia" w:ascii="宋体" w:hAnsi="宋体" w:eastAsia="宋体" w:cs="宋体"/>
          <w:sz w:val="24"/>
        </w:rPr>
        <w:t>E.橡胶柔性接头的橡胶材质应在所给定的工况下，保证 20 年的工作寿命，不允 许有任何外观缺陷及损伤。</w:t>
      </w:r>
    </w:p>
    <w:p w14:paraId="6A71D52B">
      <w:pPr>
        <w:spacing w:line="360" w:lineRule="auto"/>
        <w:ind w:firstLine="480" w:firstLineChars="200"/>
        <w:rPr>
          <w:rFonts w:ascii="宋体" w:hAnsi="宋体" w:eastAsia="宋体" w:cs="宋体"/>
          <w:sz w:val="24"/>
        </w:rPr>
      </w:pPr>
      <w:r>
        <w:rPr>
          <w:rFonts w:hint="eastAsia" w:ascii="宋体" w:hAnsi="宋体" w:eastAsia="宋体" w:cs="宋体"/>
          <w:sz w:val="24"/>
        </w:rPr>
        <w:t>F.橡胶柔性接头的安装应不受管道不同心、不平行的限制。</w:t>
      </w:r>
    </w:p>
    <w:p w14:paraId="2C0BBCF2">
      <w:pPr>
        <w:spacing w:line="360" w:lineRule="auto"/>
        <w:ind w:firstLine="480" w:firstLineChars="200"/>
        <w:rPr>
          <w:rFonts w:ascii="宋体" w:hAnsi="宋体" w:eastAsia="宋体" w:cs="宋体"/>
          <w:sz w:val="24"/>
        </w:rPr>
      </w:pPr>
      <w:r>
        <w:rPr>
          <w:rFonts w:hint="eastAsia" w:ascii="宋体" w:hAnsi="宋体" w:eastAsia="宋体" w:cs="宋体"/>
          <w:sz w:val="24"/>
        </w:rPr>
        <w:t>G.安装在水泵出口的橡胶柔性接头必须增加传力螺杆螺母，即选用传力型橡胶 柔性接头。</w:t>
      </w:r>
    </w:p>
    <w:p w14:paraId="595C6016">
      <w:pPr>
        <w:spacing w:line="360" w:lineRule="auto"/>
        <w:ind w:firstLine="480" w:firstLineChars="200"/>
        <w:rPr>
          <w:rFonts w:ascii="宋体" w:hAnsi="宋体" w:eastAsia="宋体" w:cs="宋体"/>
          <w:sz w:val="24"/>
        </w:rPr>
      </w:pPr>
      <w:r>
        <w:rPr>
          <w:rFonts w:hint="eastAsia" w:ascii="宋体" w:hAnsi="宋体" w:eastAsia="宋体" w:cs="宋体"/>
          <w:sz w:val="24"/>
        </w:rPr>
        <w:t>H.连接法兰应符合有关标准的要求。</w:t>
      </w:r>
    </w:p>
    <w:p w14:paraId="47DF1378">
      <w:pPr>
        <w:spacing w:line="360" w:lineRule="auto"/>
        <w:ind w:firstLine="480" w:firstLineChars="200"/>
        <w:rPr>
          <w:rFonts w:ascii="宋体" w:hAnsi="宋体" w:eastAsia="宋体" w:cs="宋体"/>
          <w:sz w:val="24"/>
        </w:rPr>
      </w:pPr>
      <w:r>
        <w:rPr>
          <w:rFonts w:hint="eastAsia" w:ascii="宋体" w:hAnsi="宋体" w:eastAsia="宋体" w:cs="宋体"/>
          <w:sz w:val="24"/>
        </w:rPr>
        <w:t>I.橡胶柔性接头应进行压力试验,并进行密封检验,球体、法兰连接和密封均不允 许有泄漏。试验压力应为工作压力的 1.5 倍，曝破压力应为工作压力的3倍。</w:t>
      </w:r>
    </w:p>
    <w:p w14:paraId="53FAB683">
      <w:pPr>
        <w:spacing w:line="360" w:lineRule="auto"/>
        <w:ind w:firstLine="480" w:firstLineChars="200"/>
        <w:rPr>
          <w:rFonts w:ascii="宋体" w:hAnsi="宋体" w:eastAsia="宋体" w:cs="宋体"/>
          <w:sz w:val="24"/>
        </w:rPr>
      </w:pPr>
      <w:r>
        <w:rPr>
          <w:rFonts w:hint="eastAsia" w:ascii="宋体" w:hAnsi="宋体" w:eastAsia="宋体" w:cs="宋体"/>
          <w:sz w:val="24"/>
        </w:rPr>
        <w:t>J.埋地橡胶接头应配置埋地保护罩。</w:t>
      </w:r>
    </w:p>
    <w:p w14:paraId="5438AA36">
      <w:pPr>
        <w:spacing w:line="360" w:lineRule="auto"/>
        <w:ind w:firstLine="482" w:firstLineChars="200"/>
        <w:rPr>
          <w:rFonts w:ascii="宋体" w:hAnsi="宋体" w:eastAsia="宋体" w:cs="宋体"/>
          <w:b/>
          <w:bCs/>
          <w:sz w:val="24"/>
        </w:rPr>
      </w:pPr>
      <w:r>
        <w:rPr>
          <w:rFonts w:hint="eastAsia" w:ascii="宋体" w:hAnsi="宋体" w:eastAsia="宋体" w:cs="宋体"/>
          <w:b/>
          <w:bCs/>
          <w:sz w:val="24"/>
        </w:rPr>
        <w:t>波纹补偿器</w:t>
      </w:r>
    </w:p>
    <w:p w14:paraId="1CE6C5AB">
      <w:pPr>
        <w:spacing w:line="360" w:lineRule="auto"/>
        <w:ind w:firstLine="480" w:firstLineChars="200"/>
        <w:rPr>
          <w:rFonts w:ascii="宋体" w:hAnsi="宋体" w:eastAsia="宋体" w:cs="宋体"/>
          <w:sz w:val="24"/>
        </w:rPr>
      </w:pPr>
      <w:r>
        <w:rPr>
          <w:rFonts w:hint="eastAsia" w:ascii="宋体" w:hAnsi="宋体" w:eastAsia="宋体" w:cs="宋体"/>
          <w:sz w:val="24"/>
        </w:rPr>
        <w:t>A.规格及参数详见招标设备清单。</w:t>
      </w:r>
    </w:p>
    <w:p w14:paraId="5C39E1C0">
      <w:pPr>
        <w:spacing w:line="360" w:lineRule="auto"/>
        <w:ind w:firstLine="480" w:firstLineChars="200"/>
        <w:rPr>
          <w:rFonts w:ascii="宋体" w:hAnsi="宋体" w:eastAsia="宋体" w:cs="宋体"/>
          <w:sz w:val="24"/>
        </w:rPr>
      </w:pPr>
      <w:r>
        <w:rPr>
          <w:rFonts w:hint="eastAsia" w:ascii="宋体" w:hAnsi="宋体" w:eastAsia="宋体" w:cs="宋体"/>
          <w:sz w:val="24"/>
        </w:rPr>
        <w:t>B.波纹管采用法兰连接。波纹管的设计、制造应满足 GB/T12777 标准的要求。</w:t>
      </w:r>
    </w:p>
    <w:p w14:paraId="3396582B">
      <w:pPr>
        <w:spacing w:line="360" w:lineRule="auto"/>
        <w:ind w:firstLine="480" w:firstLineChars="200"/>
        <w:rPr>
          <w:rFonts w:ascii="宋体" w:hAnsi="宋体" w:eastAsia="宋体" w:cs="宋体"/>
          <w:sz w:val="24"/>
        </w:rPr>
      </w:pPr>
      <w:r>
        <w:rPr>
          <w:rFonts w:hint="eastAsia" w:ascii="宋体" w:hAnsi="宋体" w:eastAsia="宋体" w:cs="宋体"/>
          <w:sz w:val="24"/>
        </w:rPr>
        <w:t>C.应带有内导流管。</w:t>
      </w:r>
    </w:p>
    <w:p w14:paraId="29C14629">
      <w:pPr>
        <w:spacing w:line="360" w:lineRule="auto"/>
        <w:ind w:firstLine="482" w:firstLineChars="200"/>
        <w:rPr>
          <w:b/>
          <w:bCs/>
          <w:sz w:val="24"/>
          <w:szCs w:val="32"/>
        </w:rPr>
      </w:pPr>
      <w:r>
        <w:rPr>
          <w:b/>
          <w:bCs/>
          <w:sz w:val="24"/>
          <w:szCs w:val="32"/>
        </w:rPr>
        <w:t>主要零部件材料</w:t>
      </w:r>
    </w:p>
    <w:p w14:paraId="76AD52E1">
      <w:pPr>
        <w:spacing w:line="360" w:lineRule="auto"/>
        <w:ind w:firstLine="472" w:firstLineChars="200"/>
        <w:rPr>
          <w:rFonts w:ascii="宋体" w:hAnsi="宋体" w:eastAsia="宋体" w:cs="宋体"/>
          <w:sz w:val="24"/>
        </w:rPr>
      </w:pPr>
      <w:r>
        <w:rPr>
          <w:rFonts w:hint="eastAsia" w:ascii="宋体" w:hAnsi="宋体" w:eastAsia="宋体" w:cs="宋体"/>
          <w:spacing w:val="-2"/>
          <w:sz w:val="24"/>
        </w:rPr>
        <w:t>A.伸缩接头</w:t>
      </w:r>
    </w:p>
    <w:tbl>
      <w:tblPr>
        <w:tblStyle w:val="8"/>
        <w:tblW w:w="8130" w:type="dxa"/>
        <w:tblInd w:w="597" w:type="dxa"/>
        <w:tblLayout w:type="autofit"/>
        <w:tblCellMar>
          <w:top w:w="0" w:type="dxa"/>
          <w:left w:w="108" w:type="dxa"/>
          <w:bottom w:w="0" w:type="dxa"/>
          <w:right w:w="108" w:type="dxa"/>
        </w:tblCellMar>
      </w:tblPr>
      <w:tblGrid>
        <w:gridCol w:w="1552"/>
        <w:gridCol w:w="2078"/>
        <w:gridCol w:w="2235"/>
        <w:gridCol w:w="2265"/>
      </w:tblGrid>
      <w:tr w14:paraId="1B4E3E6D">
        <w:tblPrEx>
          <w:tblCellMar>
            <w:top w:w="0" w:type="dxa"/>
            <w:left w:w="108" w:type="dxa"/>
            <w:bottom w:w="0" w:type="dxa"/>
            <w:right w:w="108"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86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设备名称</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04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法兰式松套伸缩接头</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205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法兰限位式伸缩接头</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C3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法兰传力伸缩接头</w:t>
            </w:r>
          </w:p>
        </w:tc>
      </w:tr>
      <w:tr w14:paraId="2AD4F78D">
        <w:tblPrEx>
          <w:tblCellMar>
            <w:top w:w="0" w:type="dxa"/>
            <w:left w:w="108" w:type="dxa"/>
            <w:bottom w:w="0" w:type="dxa"/>
            <w:right w:w="108"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D98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本体</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F2C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QT400-15/Q235A</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19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QT400-15/Q235A</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E9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QT400-15/Q235A</w:t>
            </w:r>
          </w:p>
        </w:tc>
      </w:tr>
      <w:tr w14:paraId="372B1B3C">
        <w:tblPrEx>
          <w:tblCellMar>
            <w:top w:w="0" w:type="dxa"/>
            <w:left w:w="108" w:type="dxa"/>
            <w:bottom w:w="0" w:type="dxa"/>
            <w:right w:w="108"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A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密封圈</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C5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NBR或EPDM（根据介质确定）</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43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NBR或EPDM（根据介质确定）</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5E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NBR或EPDM（根据介质确定）</w:t>
            </w:r>
          </w:p>
        </w:tc>
      </w:tr>
      <w:tr w14:paraId="4C9DF254">
        <w:tblPrEx>
          <w:tblCellMar>
            <w:top w:w="0" w:type="dxa"/>
            <w:left w:w="108" w:type="dxa"/>
            <w:bottom w:w="0" w:type="dxa"/>
            <w:right w:w="108"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8E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限位短管</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16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31F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碳钢防腐</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A3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r>
      <w:tr w14:paraId="7437FD04">
        <w:tblPrEx>
          <w:tblCellMar>
            <w:top w:w="0" w:type="dxa"/>
            <w:left w:w="108" w:type="dxa"/>
            <w:bottom w:w="0" w:type="dxa"/>
            <w:right w:w="108"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56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压盖</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EC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QT400-15/Q235A</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A6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QT400-15/Q235A</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AE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QT400-15/Q235A</w:t>
            </w:r>
          </w:p>
        </w:tc>
      </w:tr>
      <w:tr w14:paraId="7768BD3D">
        <w:tblPrEx>
          <w:tblCellMar>
            <w:top w:w="0" w:type="dxa"/>
            <w:left w:w="108" w:type="dxa"/>
            <w:bottom w:w="0" w:type="dxa"/>
            <w:right w:w="108" w:type="dxa"/>
          </w:tblCellMar>
        </w:tblPrEx>
        <w:trPr>
          <w:trHeight w:val="500"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698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螺栓、螺柱及螺母</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44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AISI 304/鼓风机房为镀锌钢</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99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AISI 304/鼓风机房为镀锌钢</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14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AISI 304/鼓风机房为镀锌钢</w:t>
            </w:r>
          </w:p>
        </w:tc>
      </w:tr>
    </w:tbl>
    <w:p w14:paraId="0830BCE2">
      <w:pPr>
        <w:ind w:firstLine="480" w:firstLineChars="200"/>
        <w:rPr>
          <w:rFonts w:ascii="宋体" w:hAnsi="宋体" w:eastAsia="宋体" w:cs="宋体"/>
          <w:sz w:val="24"/>
        </w:rPr>
      </w:pPr>
      <w:r>
        <w:rPr>
          <w:rFonts w:hint="eastAsia" w:ascii="宋体" w:hAnsi="宋体" w:eastAsia="宋体" w:cs="宋体"/>
          <w:sz w:val="24"/>
        </w:rPr>
        <w:t>B.柔性橡胶球接头</w:t>
      </w:r>
    </w:p>
    <w:tbl>
      <w:tblPr>
        <w:tblStyle w:val="8"/>
        <w:tblW w:w="8145" w:type="dxa"/>
        <w:tblInd w:w="582" w:type="dxa"/>
        <w:tblLayout w:type="autofit"/>
        <w:tblCellMar>
          <w:top w:w="0" w:type="dxa"/>
          <w:left w:w="108" w:type="dxa"/>
          <w:bottom w:w="0" w:type="dxa"/>
          <w:right w:w="108" w:type="dxa"/>
        </w:tblCellMar>
      </w:tblPr>
      <w:tblGrid>
        <w:gridCol w:w="3975"/>
        <w:gridCol w:w="4170"/>
      </w:tblGrid>
      <w:tr w14:paraId="57EA63B3">
        <w:tblPrEx>
          <w:tblCellMar>
            <w:top w:w="0" w:type="dxa"/>
            <w:left w:w="108" w:type="dxa"/>
            <w:bottom w:w="0" w:type="dxa"/>
            <w:right w:w="108"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D6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法兰连接盘</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53D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AISI 304</w:t>
            </w:r>
          </w:p>
        </w:tc>
      </w:tr>
      <w:tr w14:paraId="6F54C740">
        <w:tblPrEx>
          <w:tblCellMar>
            <w:top w:w="0" w:type="dxa"/>
            <w:left w:w="108" w:type="dxa"/>
            <w:bottom w:w="0" w:type="dxa"/>
            <w:right w:w="108"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F9D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加强环</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B80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AISI 304</w:t>
            </w:r>
          </w:p>
        </w:tc>
      </w:tr>
      <w:tr w14:paraId="7D1CE029">
        <w:tblPrEx>
          <w:tblCellMar>
            <w:top w:w="0" w:type="dxa"/>
            <w:left w:w="108" w:type="dxa"/>
            <w:bottom w:w="0" w:type="dxa"/>
            <w:right w:w="108"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CDE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橡胶球体</w:t>
            </w:r>
            <w:r>
              <w:rPr>
                <w:rFonts w:ascii="Arial" w:hAnsi="Arial" w:eastAsia="宋体" w:cs="Arial"/>
                <w:color w:val="000000"/>
                <w:kern w:val="0"/>
                <w:sz w:val="18"/>
                <w:szCs w:val="18"/>
                <w:lang w:bidi="ar"/>
              </w:rPr>
              <w:t>(</w:t>
            </w:r>
            <w:r>
              <w:rPr>
                <w:rFonts w:hint="eastAsia" w:ascii="宋体" w:hAnsi="宋体" w:eastAsia="宋体" w:cs="宋体"/>
                <w:color w:val="000000"/>
                <w:kern w:val="0"/>
                <w:sz w:val="18"/>
                <w:szCs w:val="18"/>
                <w:lang w:bidi="ar"/>
              </w:rPr>
              <w:t>内外胶层</w:t>
            </w:r>
            <w:r>
              <w:rPr>
                <w:rFonts w:ascii="Arial" w:hAnsi="Arial" w:eastAsia="宋体" w:cs="Arial"/>
                <w:color w:val="000000"/>
                <w:kern w:val="0"/>
                <w:sz w:val="18"/>
                <w:szCs w:val="18"/>
                <w:lang w:bidi="ar"/>
              </w:rPr>
              <w:t>)</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95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三元乙丙橡胶或</w:t>
            </w:r>
            <w:r>
              <w:rPr>
                <w:rFonts w:ascii="Arial" w:hAnsi="Arial" w:eastAsia="宋体" w:cs="Arial"/>
                <w:color w:val="000000"/>
                <w:kern w:val="0"/>
                <w:sz w:val="18"/>
                <w:szCs w:val="18"/>
                <w:lang w:bidi="ar"/>
              </w:rPr>
              <w:t>NBR</w:t>
            </w:r>
          </w:p>
        </w:tc>
      </w:tr>
      <w:tr w14:paraId="30C75910">
        <w:tblPrEx>
          <w:tblCellMar>
            <w:top w:w="0" w:type="dxa"/>
            <w:left w:w="108" w:type="dxa"/>
            <w:bottom w:w="0" w:type="dxa"/>
            <w:right w:w="108"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85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橡胶球体增强层</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160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聚酯帘布</w:t>
            </w:r>
          </w:p>
        </w:tc>
      </w:tr>
      <w:tr w14:paraId="631C572D">
        <w:tblPrEx>
          <w:tblCellMar>
            <w:top w:w="0" w:type="dxa"/>
            <w:left w:w="108" w:type="dxa"/>
            <w:bottom w:w="0" w:type="dxa"/>
            <w:right w:w="108"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089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2F7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NBR</w:t>
            </w:r>
          </w:p>
        </w:tc>
      </w:tr>
      <w:tr w14:paraId="65638974">
        <w:tblPrEx>
          <w:tblCellMar>
            <w:top w:w="0" w:type="dxa"/>
            <w:left w:w="108" w:type="dxa"/>
            <w:bottom w:w="0" w:type="dxa"/>
            <w:right w:w="108"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3C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所有连接附件</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96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06Cr19Ni10</w:t>
            </w:r>
          </w:p>
        </w:tc>
      </w:tr>
    </w:tbl>
    <w:p w14:paraId="369D25B3">
      <w:pPr>
        <w:ind w:firstLine="480" w:firstLineChars="200"/>
        <w:rPr>
          <w:rFonts w:ascii="宋体" w:hAnsi="宋体" w:eastAsia="宋体" w:cs="宋体"/>
          <w:sz w:val="24"/>
        </w:rPr>
      </w:pPr>
      <w:r>
        <w:rPr>
          <w:rFonts w:hint="eastAsia" w:ascii="宋体" w:hAnsi="宋体" w:eastAsia="宋体" w:cs="宋体"/>
          <w:sz w:val="24"/>
        </w:rPr>
        <w:t>C.波纹补偿器</w:t>
      </w:r>
    </w:p>
    <w:tbl>
      <w:tblPr>
        <w:tblStyle w:val="8"/>
        <w:tblW w:w="8145" w:type="dxa"/>
        <w:tblInd w:w="574" w:type="dxa"/>
        <w:tblLayout w:type="autofit"/>
        <w:tblCellMar>
          <w:top w:w="0" w:type="dxa"/>
          <w:left w:w="108" w:type="dxa"/>
          <w:bottom w:w="0" w:type="dxa"/>
          <w:right w:w="108" w:type="dxa"/>
        </w:tblCellMar>
      </w:tblPr>
      <w:tblGrid>
        <w:gridCol w:w="3990"/>
        <w:gridCol w:w="4155"/>
      </w:tblGrid>
      <w:tr w14:paraId="3165D84B">
        <w:tblPrEx>
          <w:tblCellMar>
            <w:top w:w="0" w:type="dxa"/>
            <w:left w:w="108" w:type="dxa"/>
            <w:bottom w:w="0" w:type="dxa"/>
            <w:right w:w="108" w:type="dxa"/>
          </w:tblCellMar>
        </w:tblPrEx>
        <w:trPr>
          <w:trHeight w:val="400" w:hRule="atLeast"/>
        </w:trPr>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06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波纹管</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C7A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AISI 304</w:t>
            </w:r>
          </w:p>
        </w:tc>
      </w:tr>
      <w:tr w14:paraId="00B518B9">
        <w:tblPrEx>
          <w:tblCellMar>
            <w:top w:w="0" w:type="dxa"/>
            <w:left w:w="108" w:type="dxa"/>
            <w:bottom w:w="0" w:type="dxa"/>
            <w:right w:w="108" w:type="dxa"/>
          </w:tblCellMar>
        </w:tblPrEx>
        <w:trPr>
          <w:trHeight w:val="400" w:hRule="atLeast"/>
        </w:trPr>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81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法兰</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687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碳钢防腐</w:t>
            </w:r>
            <w:r>
              <w:rPr>
                <w:rFonts w:ascii="Arial" w:hAnsi="Arial" w:eastAsia="宋体" w:cs="Arial"/>
                <w:color w:val="000000"/>
                <w:kern w:val="0"/>
                <w:sz w:val="18"/>
                <w:szCs w:val="18"/>
                <w:lang w:bidi="ar"/>
              </w:rPr>
              <w:t>/ AISI 304</w:t>
            </w:r>
          </w:p>
        </w:tc>
      </w:tr>
      <w:tr w14:paraId="1582D796">
        <w:tblPrEx>
          <w:tblCellMar>
            <w:top w:w="0" w:type="dxa"/>
            <w:left w:w="108" w:type="dxa"/>
            <w:bottom w:w="0" w:type="dxa"/>
            <w:right w:w="108" w:type="dxa"/>
          </w:tblCellMar>
        </w:tblPrEx>
        <w:trPr>
          <w:trHeight w:val="400" w:hRule="atLeast"/>
        </w:trPr>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22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导管</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B629D">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AISI 304</w:t>
            </w:r>
          </w:p>
        </w:tc>
      </w:tr>
      <w:tr w14:paraId="4AF39279">
        <w:tblPrEx>
          <w:tblCellMar>
            <w:top w:w="0" w:type="dxa"/>
            <w:left w:w="108" w:type="dxa"/>
            <w:bottom w:w="0" w:type="dxa"/>
            <w:right w:w="108" w:type="dxa"/>
          </w:tblCellMar>
        </w:tblPrEx>
        <w:trPr>
          <w:trHeight w:val="400" w:hRule="atLeast"/>
        </w:trPr>
        <w:tc>
          <w:tcPr>
            <w:tcW w:w="3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51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所有连接附件</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440">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AISI 304</w:t>
            </w:r>
          </w:p>
        </w:tc>
      </w:tr>
    </w:tbl>
    <w:p w14:paraId="7D4700C6">
      <w:pPr>
        <w:ind w:firstLine="480" w:firstLineChars="200"/>
        <w:rPr>
          <w:rFonts w:ascii="宋体" w:hAnsi="宋体" w:eastAsia="宋体" w:cs="宋体"/>
          <w:sz w:val="24"/>
          <w:szCs w:val="32"/>
        </w:rPr>
      </w:pPr>
      <w:r>
        <w:rPr>
          <w:rFonts w:hint="eastAsia" w:ascii="宋体" w:hAnsi="宋体" w:eastAsia="宋体" w:cs="宋体"/>
          <w:sz w:val="24"/>
          <w:szCs w:val="32"/>
        </w:rPr>
        <w:t>D.密封垫片</w:t>
      </w:r>
    </w:p>
    <w:tbl>
      <w:tblPr>
        <w:tblStyle w:val="8"/>
        <w:tblW w:w="8153" w:type="dxa"/>
        <w:tblInd w:w="574" w:type="dxa"/>
        <w:tblLayout w:type="autofit"/>
        <w:tblCellMar>
          <w:top w:w="0" w:type="dxa"/>
          <w:left w:w="108" w:type="dxa"/>
          <w:bottom w:w="0" w:type="dxa"/>
          <w:right w:w="108" w:type="dxa"/>
        </w:tblCellMar>
      </w:tblPr>
      <w:tblGrid>
        <w:gridCol w:w="3998"/>
        <w:gridCol w:w="4155"/>
      </w:tblGrid>
      <w:tr w14:paraId="3F459ADF">
        <w:tblPrEx>
          <w:tblCellMar>
            <w:top w:w="0" w:type="dxa"/>
            <w:left w:w="108" w:type="dxa"/>
            <w:bottom w:w="0" w:type="dxa"/>
            <w:right w:w="108" w:type="dxa"/>
          </w:tblCellMar>
        </w:tblPrEx>
        <w:trPr>
          <w:trHeight w:val="1430" w:hRule="atLeast"/>
        </w:trPr>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59D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密封垫片</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FF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污水介质及含油介质的管道密封垫片材质为丁腈橡胶；</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酸、碱介质的管道密封垫片材质为乙丙橡胶；</w:t>
            </w:r>
            <w:r>
              <w:rPr>
                <w:rFonts w:ascii="Arial" w:hAnsi="Arial" w:eastAsia="宋体" w:cs="Arial"/>
                <w:color w:val="000000"/>
                <w:kern w:val="0"/>
                <w:sz w:val="18"/>
                <w:szCs w:val="18"/>
                <w:lang w:bidi="ar"/>
              </w:rPr>
              <w:t xml:space="preserve">100 </w:t>
            </w:r>
            <w:r>
              <w:rPr>
                <w:rFonts w:hint="eastAsia" w:ascii="宋体" w:hAnsi="宋体" w:eastAsia="宋体" w:cs="宋体"/>
                <w:color w:val="000000"/>
                <w:kern w:val="0"/>
                <w:sz w:val="18"/>
                <w:szCs w:val="18"/>
                <w:lang w:bidi="ar"/>
              </w:rPr>
              <w:t>度以</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下高温空气管可选用乙丙橡胶密封垫片，</w:t>
            </w:r>
            <w:r>
              <w:rPr>
                <w:rFonts w:ascii="Arial" w:hAnsi="Arial" w:eastAsia="宋体" w:cs="Arial"/>
                <w:color w:val="000000"/>
                <w:kern w:val="0"/>
                <w:sz w:val="18"/>
                <w:szCs w:val="18"/>
                <w:lang w:bidi="ar"/>
              </w:rPr>
              <w:t xml:space="preserve">100 </w:t>
            </w:r>
            <w:r>
              <w:rPr>
                <w:rFonts w:hint="eastAsia" w:ascii="宋体" w:hAnsi="宋体" w:eastAsia="宋体" w:cs="宋体"/>
                <w:color w:val="000000"/>
                <w:kern w:val="0"/>
                <w:sz w:val="18"/>
                <w:szCs w:val="18"/>
                <w:lang w:bidi="ar"/>
              </w:rPr>
              <w:t>度以上高</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温气管或压缩空气管道应选用非石棉纤维橡胶板垫片</w:t>
            </w:r>
          </w:p>
        </w:tc>
      </w:tr>
    </w:tbl>
    <w:p w14:paraId="6C532A69">
      <w:pPr>
        <w:spacing w:line="360" w:lineRule="auto"/>
        <w:ind w:firstLine="482" w:firstLineChars="200"/>
        <w:rPr>
          <w:rFonts w:ascii="宋体" w:hAnsi="宋体" w:eastAsia="宋体" w:cs="宋体"/>
          <w:b/>
          <w:bCs/>
          <w:sz w:val="24"/>
        </w:rPr>
      </w:pPr>
      <w:r>
        <w:rPr>
          <w:rFonts w:hint="eastAsia" w:ascii="宋体" w:hAnsi="宋体" w:eastAsia="宋体" w:cs="宋体"/>
          <w:b/>
          <w:bCs/>
          <w:sz w:val="24"/>
        </w:rPr>
        <w:t>出厂检验</w:t>
      </w:r>
    </w:p>
    <w:p w14:paraId="4D8EF056">
      <w:pPr>
        <w:spacing w:line="360" w:lineRule="auto"/>
        <w:ind w:firstLine="480" w:firstLineChars="200"/>
        <w:rPr>
          <w:rFonts w:ascii="宋体" w:hAnsi="宋体" w:eastAsia="宋体" w:cs="宋体"/>
          <w:sz w:val="24"/>
        </w:rPr>
      </w:pPr>
      <w:r>
        <w:rPr>
          <w:rFonts w:hint="eastAsia" w:ascii="宋体" w:hAnsi="宋体" w:eastAsia="宋体" w:cs="宋体"/>
          <w:sz w:val="24"/>
        </w:rPr>
        <w:t>A.伸缩接头应进行压力试验,并进行密封检验,强度试验压力应为工作压力的1.5 倍，密封性试验压力应为工作压力的1.25 倍，保持 5min，阀体、法兰连接和密封等均不允许有泄漏。</w:t>
      </w:r>
    </w:p>
    <w:p w14:paraId="7FA6E62F">
      <w:pPr>
        <w:spacing w:line="360" w:lineRule="auto"/>
        <w:ind w:firstLine="482" w:firstLineChars="200"/>
        <w:rPr>
          <w:rFonts w:ascii="宋体" w:hAnsi="宋体" w:eastAsia="宋体" w:cs="宋体"/>
          <w:b/>
          <w:bCs/>
          <w:sz w:val="24"/>
        </w:rPr>
      </w:pPr>
      <w:r>
        <w:rPr>
          <w:rFonts w:hint="eastAsia" w:ascii="宋体" w:hAnsi="宋体" w:eastAsia="宋体" w:cs="宋体"/>
          <w:b/>
          <w:bCs/>
          <w:sz w:val="24"/>
        </w:rPr>
        <w:t>调试与试车</w:t>
      </w:r>
    </w:p>
    <w:p w14:paraId="40D99C33">
      <w:pPr>
        <w:spacing w:line="360" w:lineRule="auto"/>
        <w:ind w:firstLine="480" w:firstLineChars="200"/>
      </w:pPr>
      <w:r>
        <w:rPr>
          <w:rFonts w:hint="eastAsia" w:ascii="宋体" w:hAnsi="宋体" w:eastAsia="宋体" w:cs="宋体"/>
          <w:sz w:val="24"/>
        </w:rPr>
        <w:t>A.不允许有任何泄漏。</w:t>
      </w:r>
    </w:p>
    <w:p w14:paraId="774A2591">
      <w:pPr>
        <w:pStyle w:val="3"/>
        <w:rPr>
          <w:rFonts w:ascii="宋体" w:hAnsi="宋体" w:eastAsia="宋体" w:cs="宋体"/>
          <w:szCs w:val="32"/>
        </w:rPr>
      </w:pPr>
      <w:r>
        <w:fldChar w:fldCharType="begin"/>
      </w:r>
      <w:r>
        <w:instrText xml:space="preserve"> HYPERLINK "file:///C:\\Users\\TD5466\\Desktop\\昆15_0804\\3.10.4.12" </w:instrText>
      </w:r>
      <w:r>
        <w:fldChar w:fldCharType="separate"/>
      </w:r>
      <w:r>
        <w:rPr>
          <w:rFonts w:hint="eastAsia" w:ascii="宋体" w:hAnsi="宋体" w:eastAsia="宋体" w:cs="宋体"/>
          <w:sz w:val="24"/>
          <w:szCs w:val="22"/>
        </w:rPr>
        <w:t>3.1.4.12</w:t>
      </w:r>
      <w:r>
        <w:rPr>
          <w:rFonts w:hint="eastAsia" w:ascii="宋体" w:hAnsi="宋体" w:eastAsia="宋体" w:cs="宋体"/>
          <w:sz w:val="24"/>
          <w:szCs w:val="22"/>
        </w:rPr>
        <w:fldChar w:fldCharType="end"/>
      </w:r>
      <w:r>
        <w:rPr>
          <w:rFonts w:hint="eastAsia" w:ascii="宋体" w:hAnsi="宋体" w:eastAsia="宋体" w:cs="宋体"/>
          <w:sz w:val="24"/>
          <w:szCs w:val="22"/>
        </w:rPr>
        <w:t xml:space="preserve"> 控制系统</w:t>
      </w:r>
    </w:p>
    <w:p w14:paraId="7290321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 每组改进型SBR池配套1面 PLC 控制柜，采用品牌与全厂一致的PLC及触摸屏（最终根据招标方需求），用于运行控制，采集各设备的运行、故障信号，收集工艺仪表的检测结果，根据工艺流程自动控制生物反应池设备的运行，进行运行参数的设定 和修正，执行数据传输；除有SBR系统内容控制，还应接入除系统外的变电室低压柜的开关信号及相应的电能电量表的信号、池上电动闸门阀门及相关 用电设备的信号。其中4 台作为现场控制站功能的控制柜应柜内预留光纤盒及交换机安装位置，可编程逻辑控制器采用冗余配置。</w:t>
      </w:r>
    </w:p>
    <w:p w14:paraId="20DEBDD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B.采用前检修前开门的结构形式。前门采用不小1.5mm304不锈钢，柜体采用不小于1.5mm 304不锈钢，柜门采用加强结构，安装板采用镀锌钢板。适合在恶劣的环境中运行。</w:t>
      </w:r>
    </w:p>
    <w:p w14:paraId="1C25324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C.每个屏上设不小于 15”触摸屏图文操作终端（MMI），操作终端中文显示，带帮助功能，对生物反应池内设备可以进行就地手动和自动控制、设备的运行故障指示和报警输出，运行参数可随时设定调整。</w:t>
      </w:r>
    </w:p>
    <w:p w14:paraId="5A06937A">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D.电动调节刀闸阀</w:t>
      </w:r>
    </w:p>
    <w:p w14:paraId="4954865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1.电动空气调节阀的型式为刀闸阀或蝶阀，应能对生物池空气进行线形调节，保证曝气系统稳定供气。</w:t>
      </w:r>
    </w:p>
    <w:p w14:paraId="4AB1807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2.空气调节阀应能连续24小时运行，同时也应能间断运行或长时间停机后正常起动运行。</w:t>
      </w:r>
    </w:p>
    <w:p w14:paraId="169ACB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3.空气调节阀能根据空气流量反馈信号，调节阀门开启度，从而调节生物 池内的鼓风量。</w:t>
      </w:r>
    </w:p>
    <w:p w14:paraId="4B7309B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4.应有足够的强度，在外力作用下不产生变形。</w:t>
      </w:r>
    </w:p>
    <w:p w14:paraId="1747D02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5.阀门的连接机构符合 ISO5210 标准</w:t>
      </w:r>
    </w:p>
    <w:p w14:paraId="39091D8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6.可进行远程/现场/手动三种控制方式的选择，而且可以锁定在其中一种 方式下，以免出现误操作，现场操作有开/停/关三个控制按钮及相应的 指示灯。</w:t>
      </w:r>
    </w:p>
    <w:p w14:paraId="2DBE37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7.每套一体化电动执行机构应向 PLC 系统提供（包括但不仅限于）如下信 号：</w:t>
      </w:r>
    </w:p>
    <w:p w14:paraId="755F69B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a.阀位状态信号（4～20mA）</w:t>
      </w:r>
    </w:p>
    <w:p w14:paraId="686682E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b.故障信号（无源触点信号）；</w:t>
      </w:r>
    </w:p>
    <w:p w14:paraId="3FB84BB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c.手动/远动状态信号（无源触点信号）；</w:t>
      </w:r>
    </w:p>
    <w:p w14:paraId="1C3D214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8.调节阀门口径必须根据实际工况由制造厂进行计算，并经买方确认后才可以确定</w:t>
      </w:r>
    </w:p>
    <w:p w14:paraId="7032F91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E.SBR 控制系统应提供所需的仪表、仪表保护箱及曝气控制系统。</w:t>
      </w:r>
    </w:p>
    <w:p w14:paraId="6E8B9038">
      <w:pPr>
        <w:spacing w:line="360" w:lineRule="auto"/>
        <w:ind w:firstLine="480" w:firstLineChars="200"/>
      </w:pPr>
      <w:r>
        <w:rPr>
          <w:rFonts w:hint="eastAsia" w:ascii="宋体" w:hAnsi="宋体" w:eastAsia="宋体" w:cs="宋体"/>
          <w:sz w:val="24"/>
          <w:szCs w:val="32"/>
        </w:rPr>
        <w:t>F.SBR厂家应提供的仪表包括以下内容：</w:t>
      </w:r>
    </w:p>
    <w:tbl>
      <w:tblPr>
        <w:tblStyle w:val="8"/>
        <w:tblW w:w="8610" w:type="dxa"/>
        <w:tblInd w:w="364" w:type="dxa"/>
        <w:tblLayout w:type="autofit"/>
        <w:tblCellMar>
          <w:top w:w="0" w:type="dxa"/>
          <w:left w:w="108" w:type="dxa"/>
          <w:bottom w:w="0" w:type="dxa"/>
          <w:right w:w="108" w:type="dxa"/>
        </w:tblCellMar>
      </w:tblPr>
      <w:tblGrid>
        <w:gridCol w:w="810"/>
        <w:gridCol w:w="1550"/>
        <w:gridCol w:w="2588"/>
        <w:gridCol w:w="827"/>
        <w:gridCol w:w="938"/>
        <w:gridCol w:w="1897"/>
      </w:tblGrid>
      <w:tr w14:paraId="1BDD3D6A">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A7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序号</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4C6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名称</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65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规格</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89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0F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数量</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DE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14:paraId="655A2401">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BC97">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9F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溶解氧分析仪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50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荧光法，测量范围在</w:t>
            </w:r>
            <w:r>
              <w:rPr>
                <w:rFonts w:ascii="Arial" w:hAnsi="Arial" w:eastAsia="宋体" w:cs="Arial"/>
                <w:color w:val="000000"/>
                <w:kern w:val="0"/>
                <w:sz w:val="18"/>
                <w:szCs w:val="18"/>
                <w:lang w:bidi="ar"/>
              </w:rPr>
              <w:t xml:space="preserve"> 0~20mg/L</w:t>
            </w:r>
            <w:r>
              <w:rPr>
                <w:rFonts w:hint="eastAsia" w:ascii="宋体" w:hAnsi="宋体" w:eastAsia="宋体" w:cs="宋体"/>
                <w:color w:val="000000"/>
                <w:kern w:val="0"/>
                <w:sz w:val="18"/>
                <w:szCs w:val="18"/>
                <w:lang w:bidi="ar"/>
              </w:rPr>
              <w:t>，</w:t>
            </w:r>
            <w:r>
              <w:rPr>
                <w:rFonts w:ascii="Arial" w:hAnsi="Arial" w:eastAsia="宋体" w:cs="Arial"/>
                <w:color w:val="000000"/>
                <w:kern w:val="0"/>
                <w:sz w:val="18"/>
                <w:szCs w:val="18"/>
                <w:lang w:bidi="ar"/>
              </w:rPr>
              <w:t xml:space="preserve">4~20mA </w:t>
            </w:r>
            <w:r>
              <w:rPr>
                <w:rFonts w:hint="eastAsia" w:ascii="宋体" w:hAnsi="宋体" w:eastAsia="宋体" w:cs="宋体"/>
                <w:color w:val="000000"/>
                <w:kern w:val="0"/>
                <w:sz w:val="18"/>
                <w:szCs w:val="18"/>
                <w:lang w:bidi="ar"/>
              </w:rPr>
              <w:t>分体</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式</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D0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9293">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40</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1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703B6664">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262F">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C186">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MLSS </w:t>
            </w:r>
            <w:r>
              <w:rPr>
                <w:rFonts w:hint="eastAsia" w:ascii="宋体" w:hAnsi="宋体" w:eastAsia="宋体" w:cs="宋体"/>
                <w:color w:val="000000"/>
                <w:kern w:val="0"/>
                <w:sz w:val="18"/>
                <w:szCs w:val="18"/>
                <w:lang w:bidi="ar"/>
              </w:rPr>
              <w:t>分析仪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1376">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0~50g/L</w:t>
            </w:r>
            <w:r>
              <w:rPr>
                <w:rFonts w:hint="eastAsia" w:ascii="宋体" w:hAnsi="宋体" w:eastAsia="宋体" w:cs="宋体"/>
                <w:color w:val="000000"/>
                <w:kern w:val="0"/>
                <w:sz w:val="18"/>
                <w:szCs w:val="18"/>
                <w:lang w:bidi="ar"/>
              </w:rPr>
              <w:t>，浸入式，变送器，</w:t>
            </w:r>
            <w:r>
              <w:rPr>
                <w:rFonts w:ascii="Arial" w:hAnsi="Arial" w:eastAsia="宋体" w:cs="Arial"/>
                <w:color w:val="000000"/>
                <w:kern w:val="0"/>
                <w:sz w:val="18"/>
                <w:szCs w:val="18"/>
                <w:lang w:bidi="ar"/>
              </w:rPr>
              <w:t xml:space="preserve">4~20mA </w:t>
            </w:r>
            <w:r>
              <w:rPr>
                <w:rFonts w:hint="eastAsia" w:ascii="宋体" w:hAnsi="宋体" w:eastAsia="宋体" w:cs="宋体"/>
                <w:color w:val="000000"/>
                <w:kern w:val="0"/>
                <w:sz w:val="18"/>
                <w:szCs w:val="18"/>
                <w:lang w:bidi="ar"/>
              </w:rPr>
              <w:t>，安装支</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714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3A1B6">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32</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92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1AD02148">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FF38">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DFB0">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ORP </w:t>
            </w:r>
            <w:r>
              <w:rPr>
                <w:rFonts w:hint="eastAsia" w:ascii="宋体" w:hAnsi="宋体" w:eastAsia="宋体" w:cs="宋体"/>
                <w:color w:val="000000"/>
                <w:kern w:val="0"/>
                <w:sz w:val="18"/>
                <w:szCs w:val="18"/>
                <w:lang w:bidi="ar"/>
              </w:rPr>
              <w:t>分析仪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C1C54">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-1500~+1500mV</w:t>
            </w:r>
            <w:r>
              <w:rPr>
                <w:rFonts w:hint="eastAsia" w:ascii="宋体" w:hAnsi="宋体" w:eastAsia="宋体" w:cs="宋体"/>
                <w:color w:val="000000"/>
                <w:kern w:val="0"/>
                <w:sz w:val="18"/>
                <w:szCs w:val="18"/>
                <w:lang w:bidi="ar"/>
              </w:rPr>
              <w:t>，变送器，</w:t>
            </w:r>
            <w:r>
              <w:rPr>
                <w:rFonts w:ascii="Arial" w:hAnsi="Arial" w:eastAsia="宋体" w:cs="Arial"/>
                <w:color w:val="000000"/>
                <w:kern w:val="0"/>
                <w:sz w:val="18"/>
                <w:szCs w:val="18"/>
                <w:lang w:bidi="ar"/>
              </w:rPr>
              <w:t xml:space="preserve">4~20mA </w:t>
            </w:r>
            <w:r>
              <w:rPr>
                <w:rFonts w:hint="eastAsia" w:ascii="宋体" w:hAnsi="宋体" w:eastAsia="宋体" w:cs="宋体"/>
                <w:color w:val="000000"/>
                <w:kern w:val="0"/>
                <w:sz w:val="18"/>
                <w:szCs w:val="18"/>
                <w:lang w:bidi="ar"/>
              </w:rPr>
              <w:t>，安装支架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C7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F158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1B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297F7104">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99F4">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F4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污泥界面仪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656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接触式超声波测量方式，</w:t>
            </w:r>
            <w:r>
              <w:rPr>
                <w:rFonts w:ascii="Arial" w:hAnsi="Arial" w:eastAsia="宋体" w:cs="Arial"/>
                <w:color w:val="000000"/>
                <w:kern w:val="0"/>
                <w:sz w:val="18"/>
                <w:szCs w:val="18"/>
                <w:lang w:bidi="ar"/>
              </w:rPr>
              <w:t>0~10m</w:t>
            </w:r>
            <w:r>
              <w:rPr>
                <w:rFonts w:hint="eastAsia" w:ascii="宋体" w:hAnsi="宋体" w:eastAsia="宋体" w:cs="宋体"/>
                <w:color w:val="000000"/>
                <w:kern w:val="0"/>
                <w:sz w:val="18"/>
                <w:szCs w:val="18"/>
                <w:lang w:bidi="ar"/>
              </w:rPr>
              <w:t>，变送器</w:t>
            </w:r>
            <w:r>
              <w:rPr>
                <w:rFonts w:ascii="Arial" w:hAnsi="Arial" w:eastAsia="宋体" w:cs="Arial"/>
                <w:color w:val="000000"/>
                <w:kern w:val="0"/>
                <w:sz w:val="18"/>
                <w:szCs w:val="18"/>
                <w:lang w:bidi="ar"/>
              </w:rPr>
              <w:t xml:space="preserve"> 4~20mA</w:t>
            </w:r>
            <w:r>
              <w:rPr>
                <w:rFonts w:hint="eastAsia" w:ascii="宋体" w:hAnsi="宋体" w:eastAsia="宋体" w:cs="宋体"/>
                <w:color w:val="000000"/>
                <w:kern w:val="0"/>
                <w:sz w:val="18"/>
                <w:szCs w:val="18"/>
                <w:lang w:bidi="ar"/>
              </w:rPr>
              <w:t>，以及全部安装附件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5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8433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16</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6B3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4F28B639">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7BB9">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36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超声波液位计</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6B6E">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0~10 </w:t>
            </w:r>
            <w:r>
              <w:rPr>
                <w:rFonts w:hint="eastAsia" w:ascii="宋体" w:hAnsi="宋体" w:eastAsia="宋体" w:cs="宋体"/>
                <w:color w:val="000000"/>
                <w:kern w:val="0"/>
                <w:sz w:val="18"/>
                <w:szCs w:val="18"/>
                <w:lang w:bidi="ar"/>
              </w:rPr>
              <w:t>米、</w:t>
            </w:r>
            <w:r>
              <w:rPr>
                <w:rFonts w:ascii="Arial" w:hAnsi="Arial" w:eastAsia="宋体" w:cs="Arial"/>
                <w:color w:val="000000"/>
                <w:kern w:val="0"/>
                <w:sz w:val="18"/>
                <w:szCs w:val="18"/>
                <w:lang w:bidi="ar"/>
              </w:rPr>
              <w:t xml:space="preserve">4~20mA </w:t>
            </w:r>
            <w:r>
              <w:rPr>
                <w:rFonts w:hint="eastAsia" w:ascii="宋体" w:hAnsi="宋体" w:eastAsia="宋体" w:cs="宋体"/>
                <w:color w:val="000000"/>
                <w:kern w:val="0"/>
                <w:sz w:val="18"/>
                <w:szCs w:val="18"/>
                <w:lang w:bidi="ar"/>
              </w:rPr>
              <w:t>、</w:t>
            </w:r>
            <w:r>
              <w:rPr>
                <w:rFonts w:ascii="Arial" w:hAnsi="Arial" w:eastAsia="宋体" w:cs="Arial"/>
                <w:color w:val="000000"/>
                <w:kern w:val="0"/>
                <w:sz w:val="18"/>
                <w:szCs w:val="18"/>
                <w:lang w:bidi="ar"/>
              </w:rPr>
              <w:t>AC220V</w:t>
            </w:r>
            <w:r>
              <w:rPr>
                <w:rFonts w:hint="eastAsia" w:ascii="宋体" w:hAnsi="宋体" w:eastAsia="宋体" w:cs="宋体"/>
                <w:color w:val="000000"/>
                <w:kern w:val="0"/>
                <w:sz w:val="18"/>
                <w:szCs w:val="18"/>
                <w:lang w:bidi="ar"/>
              </w:rPr>
              <w:t>、传感器至变送</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器电缆：</w:t>
            </w:r>
            <w:r>
              <w:rPr>
                <w:rFonts w:ascii="Arial" w:hAnsi="Arial" w:eastAsia="宋体" w:cs="Arial"/>
                <w:color w:val="000000"/>
                <w:kern w:val="0"/>
                <w:sz w:val="18"/>
                <w:szCs w:val="18"/>
                <w:lang w:bidi="ar"/>
              </w:rPr>
              <w:t>15m</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38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E76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8DD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268C4B2A">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841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6</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063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氨氮分析仪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218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氨气敏电极法</w:t>
            </w:r>
            <w:r>
              <w:rPr>
                <w:rFonts w:ascii="Arial" w:hAnsi="Arial" w:eastAsia="宋体" w:cs="Arial"/>
                <w:color w:val="000000"/>
                <w:kern w:val="0"/>
                <w:sz w:val="18"/>
                <w:szCs w:val="18"/>
                <w:lang w:bidi="ar"/>
              </w:rPr>
              <w:t>,0~50mg/L, 4~20mA</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2BC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E1B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16</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1D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2B376137">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4646">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D8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在线硝氮分析仪</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F9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量程：</w:t>
            </w:r>
            <w:r>
              <w:rPr>
                <w:rFonts w:ascii="Arial" w:hAnsi="Arial" w:eastAsia="宋体" w:cs="Arial"/>
                <w:color w:val="000000"/>
                <w:kern w:val="0"/>
                <w:sz w:val="18"/>
                <w:szCs w:val="18"/>
                <w:lang w:bidi="ar"/>
              </w:rPr>
              <w:t>0</w:t>
            </w:r>
            <w:r>
              <w:rPr>
                <w:rFonts w:hint="eastAsia" w:ascii="宋体" w:hAnsi="宋体" w:eastAsia="宋体" w:cs="宋体"/>
                <w:color w:val="000000"/>
                <w:kern w:val="0"/>
                <w:sz w:val="18"/>
                <w:szCs w:val="18"/>
                <w:lang w:bidi="ar"/>
              </w:rPr>
              <w:t>－</w:t>
            </w:r>
            <w:r>
              <w:rPr>
                <w:rFonts w:ascii="Arial" w:hAnsi="Arial" w:eastAsia="宋体" w:cs="Arial"/>
                <w:color w:val="000000"/>
                <w:kern w:val="0"/>
                <w:sz w:val="18"/>
                <w:szCs w:val="18"/>
                <w:lang w:bidi="ar"/>
              </w:rPr>
              <w:t>100mg/L</w:t>
            </w:r>
            <w:r>
              <w:rPr>
                <w:rFonts w:hint="eastAsia" w:ascii="宋体" w:hAnsi="宋体" w:eastAsia="宋体" w:cs="宋体"/>
                <w:color w:val="000000"/>
                <w:kern w:val="0"/>
                <w:sz w:val="18"/>
                <w:szCs w:val="18"/>
                <w:lang w:bidi="ar"/>
              </w:rPr>
              <w:t>；准确度：测量值的</w:t>
            </w:r>
            <w:r>
              <w:rPr>
                <w:rFonts w:ascii="Arial" w:hAnsi="Arial" w:eastAsia="宋体" w:cs="Arial"/>
                <w:color w:val="000000"/>
                <w:kern w:val="0"/>
                <w:sz w:val="18"/>
                <w:szCs w:val="18"/>
                <w:lang w:bidi="ar"/>
              </w:rPr>
              <w:t xml:space="preserve">± 1% </w:t>
            </w:r>
            <w:r>
              <w:rPr>
                <w:rFonts w:hint="eastAsia" w:ascii="宋体" w:hAnsi="宋体" w:eastAsia="宋体" w:cs="宋体"/>
                <w:color w:val="000000"/>
                <w:kern w:val="0"/>
                <w:sz w:val="18"/>
                <w:szCs w:val="18"/>
                <w:lang w:bidi="ar"/>
              </w:rPr>
              <w:t>或</w:t>
            </w:r>
            <w:r>
              <w:rPr>
                <w:rFonts w:ascii="Arial" w:hAnsi="Arial" w:eastAsia="宋体" w:cs="Arial"/>
                <w:color w:val="000000"/>
                <w:kern w:val="0"/>
                <w:sz w:val="18"/>
                <w:szCs w:val="18"/>
                <w:lang w:bidi="ar"/>
              </w:rPr>
              <w:t xml:space="preserve"> 1.0mg/L</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07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413F">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F76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60106450">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431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8C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空气电动调节刀闸阀</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27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含执行机构，适配</w:t>
            </w:r>
            <w:r>
              <w:rPr>
                <w:rFonts w:ascii="Arial" w:hAnsi="Arial" w:eastAsia="宋体" w:cs="Arial"/>
                <w:color w:val="000000"/>
                <w:kern w:val="0"/>
                <w:sz w:val="18"/>
                <w:szCs w:val="18"/>
                <w:lang w:bidi="ar"/>
              </w:rPr>
              <w:t xml:space="preserve"> DN200 </w:t>
            </w:r>
            <w:r>
              <w:rPr>
                <w:rFonts w:hint="eastAsia" w:ascii="宋体" w:hAnsi="宋体" w:eastAsia="宋体" w:cs="宋体"/>
                <w:color w:val="000000"/>
                <w:kern w:val="0"/>
                <w:sz w:val="18"/>
                <w:szCs w:val="18"/>
                <w:lang w:bidi="ar"/>
              </w:rPr>
              <w:t>管径</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FB3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A9B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D9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4259C368">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402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9</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C0CD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仪表保护箱</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40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遮阳罩，保护箱，</w:t>
            </w:r>
            <w:r>
              <w:rPr>
                <w:rFonts w:ascii="Arial" w:hAnsi="Arial" w:eastAsia="宋体" w:cs="Arial"/>
                <w:color w:val="000000"/>
                <w:kern w:val="0"/>
                <w:sz w:val="18"/>
                <w:szCs w:val="18"/>
                <w:lang w:bidi="ar"/>
              </w:rPr>
              <w:t xml:space="preserve">SS304 </w:t>
            </w:r>
            <w:r>
              <w:rPr>
                <w:rFonts w:hint="eastAsia" w:ascii="宋体" w:hAnsi="宋体" w:eastAsia="宋体" w:cs="宋体"/>
                <w:color w:val="000000"/>
                <w:kern w:val="0"/>
                <w:sz w:val="18"/>
                <w:szCs w:val="18"/>
                <w:lang w:bidi="ar"/>
              </w:rPr>
              <w:t>不锈钢，</w:t>
            </w:r>
            <w:r>
              <w:rPr>
                <w:rFonts w:ascii="Arial" w:hAnsi="Arial" w:eastAsia="宋体" w:cs="Arial"/>
                <w:color w:val="000000"/>
                <w:kern w:val="0"/>
                <w:sz w:val="18"/>
                <w:szCs w:val="18"/>
                <w:lang w:bidi="ar"/>
              </w:rPr>
              <w:t>IP65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43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06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32AB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r w14:paraId="79838037">
        <w:tblPrEx>
          <w:tblCellMar>
            <w:top w:w="0" w:type="dxa"/>
            <w:left w:w="108" w:type="dxa"/>
            <w:bottom w:w="0" w:type="dxa"/>
            <w:right w:w="108" w:type="dxa"/>
          </w:tblCellMar>
        </w:tblPrEx>
        <w:trPr>
          <w:trHeight w:val="5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5755">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10</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6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精确曝气系统仪表及</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控制柜</w:t>
            </w:r>
          </w:p>
        </w:tc>
        <w:tc>
          <w:tcPr>
            <w:tcW w:w="2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A055">
            <w:pPr>
              <w:jc w:val="center"/>
              <w:rPr>
                <w:rFonts w:ascii="Calibri" w:hAnsi="Calibri" w:eastAsia="宋体" w:cs="Calibri"/>
                <w:color w:val="000000"/>
                <w:sz w:val="18"/>
                <w:szCs w:val="18"/>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B1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8AC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w:t>
            </w:r>
          </w:p>
        </w:tc>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262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具体规格见自控</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章节</w:t>
            </w:r>
          </w:p>
        </w:tc>
      </w:tr>
    </w:tbl>
    <w:p w14:paraId="44DAAB4D">
      <w:pPr>
        <w:pStyle w:val="3"/>
        <w:rPr>
          <w:rFonts w:ascii="宋体" w:hAnsi="宋体" w:eastAsia="宋体" w:cs="宋体"/>
        </w:rPr>
      </w:pPr>
      <w:r>
        <w:fldChar w:fldCharType="begin"/>
      </w:r>
      <w:r>
        <w:instrText xml:space="preserve"> HYPERLINK "file:///C:\\Users\\TD5466\\Desktop\\昆15_0804\\3.10.4.13" </w:instrText>
      </w:r>
      <w:r>
        <w:fldChar w:fldCharType="separate"/>
      </w:r>
      <w:r>
        <w:rPr>
          <w:rFonts w:hint="eastAsia" w:ascii="宋体" w:hAnsi="宋体" w:eastAsia="宋体" w:cs="宋体"/>
          <w:sz w:val="24"/>
          <w:szCs w:val="22"/>
        </w:rPr>
        <w:t>3.1.4.13</w:t>
      </w:r>
      <w:r>
        <w:rPr>
          <w:rFonts w:hint="eastAsia" w:ascii="宋体" w:hAnsi="宋体" w:eastAsia="宋体" w:cs="宋体"/>
          <w:sz w:val="24"/>
          <w:szCs w:val="22"/>
        </w:rPr>
        <w:fldChar w:fldCharType="end"/>
      </w:r>
      <w:r>
        <w:rPr>
          <w:rFonts w:hint="eastAsia" w:ascii="宋体" w:hAnsi="宋体" w:eastAsia="宋体" w:cs="宋体"/>
          <w:sz w:val="24"/>
          <w:szCs w:val="22"/>
        </w:rPr>
        <w:t xml:space="preserve"> MCC 系统</w:t>
      </w:r>
    </w:p>
    <w:p w14:paraId="13EA836A">
      <w:pPr>
        <w:spacing w:line="360" w:lineRule="auto"/>
        <w:ind w:firstLine="480" w:firstLineChars="200"/>
        <w:rPr>
          <w:rFonts w:ascii="宋体" w:hAnsi="宋体" w:eastAsia="宋体" w:cs="宋体"/>
          <w:sz w:val="24"/>
        </w:rPr>
      </w:pPr>
      <w:r>
        <w:rPr>
          <w:rFonts w:hint="eastAsia" w:ascii="宋体" w:hAnsi="宋体" w:eastAsia="宋体" w:cs="宋体"/>
          <w:sz w:val="24"/>
        </w:rPr>
        <w:t>A.每组改进型 SBR 池配套 1 组 MCC 柜体，采用国际知名品牌电气元件，负责改进型SBR生物反应池上搅拌器、回流泵、潜污泵、电动阀门等负荷的动力控制，以及控制室照明、仪表与PLC等的供电。</w:t>
      </w:r>
    </w:p>
    <w:p w14:paraId="26C03634">
      <w:pPr>
        <w:spacing w:line="360" w:lineRule="auto"/>
        <w:ind w:firstLine="480" w:firstLineChars="200"/>
        <w:rPr>
          <w:rFonts w:ascii="宋体" w:hAnsi="宋体" w:eastAsia="宋体" w:cs="宋体"/>
          <w:sz w:val="24"/>
        </w:rPr>
      </w:pPr>
      <w:r>
        <w:rPr>
          <w:rFonts w:hint="eastAsia" w:ascii="宋体" w:hAnsi="宋体" w:eastAsia="宋体" w:cs="宋体"/>
          <w:sz w:val="24"/>
        </w:rPr>
        <w:t>B.采用前后开门的结构形式。适 合在恶劣的环境中运行。柜内电气元件采用不低于施耐德、西门子或同等系列的国际知名品牌产品，变频器采用不低于ABB580系列或同档次国际品牌产品。</w:t>
      </w:r>
    </w:p>
    <w:p w14:paraId="36EC2150">
      <w:pPr>
        <w:spacing w:line="360" w:lineRule="auto"/>
        <w:ind w:firstLine="480" w:firstLineChars="200"/>
        <w:rPr>
          <w:rFonts w:ascii="宋体" w:hAnsi="宋体" w:eastAsia="宋体" w:cs="宋体"/>
          <w:sz w:val="24"/>
        </w:rPr>
      </w:pPr>
      <w:r>
        <w:rPr>
          <w:rFonts w:hint="eastAsia" w:ascii="宋体" w:hAnsi="宋体" w:eastAsia="宋体" w:cs="宋体"/>
          <w:sz w:val="24"/>
        </w:rPr>
        <w:t>C.MCC柜无论在手动/自动状态下均提供电机安全运行所必须的保护，包括但不限于：短路保护、过载保护、泄漏保护（水下电机保护）等。柜面板上设开/停按钮、手动/自动转换开关、开/停/故障指示灯。自动时可通过改进型 SBR 池上 PLC 控制系统的现场检测信号自动控制。</w:t>
      </w:r>
    </w:p>
    <w:p w14:paraId="1BC6CB4A">
      <w:pPr>
        <w:spacing w:line="360" w:lineRule="auto"/>
        <w:ind w:firstLine="480" w:firstLineChars="200"/>
        <w:rPr>
          <w:rFonts w:ascii="宋体" w:hAnsi="宋体" w:eastAsia="宋体" w:cs="宋体"/>
          <w:sz w:val="24"/>
        </w:rPr>
      </w:pPr>
      <w:r>
        <w:rPr>
          <w:rFonts w:hint="eastAsia" w:ascii="宋体" w:hAnsi="宋体" w:eastAsia="宋体" w:cs="宋体"/>
          <w:sz w:val="24"/>
        </w:rPr>
        <w:t>D.MCC柜向PLC 控制系统提供如下信号：每台电机的运行信号（无源触点）、每台电机的各种故障信号（无源触点）、每台电机的手动/自动状态信号（无源触点）、变频器模拟量信号等。同时接受由PLC 控制系统来的开/停命令（无源触点）、变频器模拟量控制信号。 所有状态信号及控制命令接至端子排，触点信号和模拟信号分开排列。柜内根据功能要求留有足够的端子，</w:t>
      </w:r>
      <w:r>
        <w:rPr>
          <w:rFonts w:hint="eastAsia" w:ascii="宋体" w:hAnsi="宋体" w:eastAsia="宋体" w:cs="宋体"/>
          <w:b/>
          <w:bCs/>
          <w:sz w:val="24"/>
        </w:rPr>
        <w:t>并预留20%的空端子</w:t>
      </w:r>
      <w:r>
        <w:rPr>
          <w:rFonts w:hint="eastAsia" w:ascii="宋体" w:hAnsi="宋体" w:eastAsia="宋体" w:cs="宋体"/>
          <w:sz w:val="24"/>
        </w:rPr>
        <w:t>。</w:t>
      </w:r>
    </w:p>
    <w:p w14:paraId="34718577">
      <w:pPr>
        <w:pStyle w:val="3"/>
        <w:rPr>
          <w:rFonts w:ascii="宋体" w:hAnsi="宋体" w:eastAsia="宋体" w:cs="宋体"/>
          <w:sz w:val="24"/>
          <w:szCs w:val="22"/>
        </w:rPr>
      </w:pPr>
      <w:r>
        <w:rPr>
          <w:rFonts w:hint="eastAsia" w:ascii="宋体" w:hAnsi="宋体" w:eastAsia="宋体" w:cs="宋体"/>
          <w:sz w:val="24"/>
          <w:szCs w:val="22"/>
        </w:rPr>
        <w:t>3.1.5 出厂检验</w:t>
      </w:r>
    </w:p>
    <w:p w14:paraId="0219E6D3">
      <w:pPr>
        <w:spacing w:line="360" w:lineRule="auto"/>
        <w:ind w:firstLine="480" w:firstLineChars="200"/>
        <w:rPr>
          <w:rFonts w:eastAsia="宋体"/>
        </w:rPr>
      </w:pPr>
      <w:r>
        <w:rPr>
          <w:rFonts w:hint="eastAsia" w:ascii="宋体" w:hAnsi="宋体" w:eastAsia="宋体" w:cs="宋体"/>
          <w:sz w:val="24"/>
        </w:rPr>
        <w:t>A. 每台设备在出厂前须进行出厂检验，检验合格并附有产品合格证和使用维护说明书方可出厂</w:t>
      </w:r>
      <w:r>
        <w:rPr>
          <w:spacing w:val="-6"/>
        </w:rPr>
        <w:t>。</w:t>
      </w:r>
    </w:p>
    <w:p w14:paraId="36B8CFCB">
      <w:pPr>
        <w:pStyle w:val="3"/>
        <w:rPr>
          <w:rFonts w:ascii="宋体" w:hAnsi="宋体" w:eastAsia="宋体" w:cs="宋体"/>
          <w:sz w:val="24"/>
          <w:szCs w:val="22"/>
        </w:rPr>
      </w:pPr>
      <w:r>
        <w:rPr>
          <w:rFonts w:hint="eastAsia" w:ascii="宋体" w:hAnsi="宋体" w:eastAsia="宋体" w:cs="宋体"/>
          <w:sz w:val="24"/>
          <w:szCs w:val="22"/>
        </w:rPr>
        <w:t>3.1.6 调试与试车</w:t>
      </w:r>
    </w:p>
    <w:p w14:paraId="6B087FDA">
      <w:pPr>
        <w:spacing w:line="360" w:lineRule="auto"/>
        <w:ind w:firstLine="480" w:firstLineChars="200"/>
        <w:rPr>
          <w:rFonts w:ascii="宋体" w:hAnsi="宋体" w:eastAsia="宋体" w:cs="宋体"/>
          <w:sz w:val="24"/>
        </w:rPr>
      </w:pPr>
      <w:r>
        <w:rPr>
          <w:rFonts w:hint="eastAsia" w:ascii="宋体" w:hAnsi="宋体" w:eastAsia="宋体" w:cs="宋体"/>
          <w:sz w:val="24"/>
        </w:rPr>
        <w:t>A.改进型 SBR 系统及配套系统设备制造商应派具有丰富安装调试经验的代表去监督指导并检验安装情况。</w:t>
      </w:r>
    </w:p>
    <w:p w14:paraId="401DCE9F">
      <w:pPr>
        <w:spacing w:line="360" w:lineRule="auto"/>
        <w:ind w:firstLine="480" w:firstLineChars="200"/>
        <w:rPr>
          <w:rFonts w:ascii="宋体" w:hAnsi="宋体" w:eastAsia="宋体" w:cs="宋体"/>
          <w:sz w:val="24"/>
        </w:rPr>
      </w:pPr>
      <w:r>
        <w:rPr>
          <w:rFonts w:hint="eastAsia" w:ascii="宋体" w:hAnsi="宋体" w:eastAsia="宋体" w:cs="宋体"/>
          <w:sz w:val="24"/>
        </w:rPr>
        <w:t>B.当改进型SBR系统工艺系统设备、电气设备、仪表及控制系统及所有附件安装完毕后，均应在实际运行条件下进行现场验收试验。该试验由该工艺系统设备制造商代表在有买方在场的情况下进行。</w:t>
      </w:r>
    </w:p>
    <w:p w14:paraId="528C907D">
      <w:pPr>
        <w:spacing w:line="360" w:lineRule="auto"/>
        <w:ind w:firstLine="480" w:firstLineChars="200"/>
        <w:rPr>
          <w:rFonts w:ascii="宋体" w:hAnsi="宋体" w:eastAsia="宋体" w:cs="宋体"/>
          <w:sz w:val="24"/>
        </w:rPr>
      </w:pPr>
      <w:r>
        <w:rPr>
          <w:rFonts w:hint="eastAsia" w:ascii="宋体" w:hAnsi="宋体" w:eastAsia="宋体" w:cs="宋体"/>
          <w:sz w:val="24"/>
        </w:rPr>
        <w:t>C.现场验收试验应证明全套设备在任何情况下都保证：</w:t>
      </w:r>
    </w:p>
    <w:p w14:paraId="758FE65F">
      <w:pPr>
        <w:spacing w:line="360" w:lineRule="auto"/>
        <w:ind w:firstLine="480" w:firstLineChars="200"/>
        <w:rPr>
          <w:rFonts w:ascii="宋体" w:hAnsi="宋体" w:eastAsia="宋体" w:cs="宋体"/>
          <w:sz w:val="24"/>
        </w:rPr>
      </w:pPr>
      <w:r>
        <w:rPr>
          <w:rFonts w:hint="eastAsia" w:ascii="宋体" w:hAnsi="宋体" w:eastAsia="宋体" w:cs="宋体"/>
          <w:sz w:val="24"/>
        </w:rPr>
        <w:t>1.所有设备在安装和运输过程中无任何损坏</w:t>
      </w:r>
    </w:p>
    <w:p w14:paraId="2C85B7FC">
      <w:pPr>
        <w:spacing w:line="360" w:lineRule="auto"/>
        <w:ind w:firstLine="480" w:firstLineChars="200"/>
        <w:rPr>
          <w:rFonts w:ascii="宋体" w:hAnsi="宋体" w:eastAsia="宋体" w:cs="宋体"/>
          <w:sz w:val="24"/>
        </w:rPr>
      </w:pPr>
      <w:r>
        <w:rPr>
          <w:rFonts w:hint="eastAsia" w:ascii="宋体" w:hAnsi="宋体" w:eastAsia="宋体" w:cs="宋体"/>
          <w:sz w:val="24"/>
        </w:rPr>
        <w:t>2.安装正确</w:t>
      </w:r>
    </w:p>
    <w:p w14:paraId="20F00090">
      <w:pPr>
        <w:spacing w:line="360" w:lineRule="auto"/>
        <w:ind w:firstLine="480" w:firstLineChars="200"/>
        <w:rPr>
          <w:rFonts w:ascii="宋体" w:hAnsi="宋体" w:eastAsia="宋体" w:cs="宋体"/>
          <w:sz w:val="24"/>
        </w:rPr>
      </w:pPr>
      <w:r>
        <w:rPr>
          <w:rFonts w:hint="eastAsia" w:ascii="宋体" w:hAnsi="宋体" w:eastAsia="宋体" w:cs="宋体"/>
          <w:sz w:val="24"/>
        </w:rPr>
        <w:t>3.无机械缺陷</w:t>
      </w:r>
    </w:p>
    <w:p w14:paraId="325248C3">
      <w:pPr>
        <w:spacing w:line="360" w:lineRule="auto"/>
        <w:ind w:firstLine="480" w:firstLineChars="200"/>
        <w:rPr>
          <w:rFonts w:ascii="宋体" w:hAnsi="宋体" w:eastAsia="宋体" w:cs="宋体"/>
          <w:sz w:val="24"/>
        </w:rPr>
      </w:pPr>
      <w:r>
        <w:rPr>
          <w:rFonts w:hint="eastAsia" w:ascii="宋体" w:hAnsi="宋体" w:eastAsia="宋体" w:cs="宋体"/>
          <w:sz w:val="24"/>
        </w:rPr>
        <w:t>4.对中良好</w:t>
      </w:r>
    </w:p>
    <w:p w14:paraId="19BE4060">
      <w:pPr>
        <w:spacing w:line="360" w:lineRule="auto"/>
        <w:ind w:firstLine="480" w:firstLineChars="200"/>
        <w:rPr>
          <w:rFonts w:ascii="宋体" w:hAnsi="宋体" w:eastAsia="宋体" w:cs="宋体"/>
          <w:sz w:val="24"/>
        </w:rPr>
      </w:pPr>
      <w:r>
        <w:rPr>
          <w:rFonts w:hint="eastAsia" w:ascii="宋体" w:hAnsi="宋体" w:eastAsia="宋体" w:cs="宋体"/>
          <w:sz w:val="24"/>
        </w:rPr>
        <w:t>5.连接正确</w:t>
      </w:r>
    </w:p>
    <w:p w14:paraId="32B86D0E">
      <w:pPr>
        <w:spacing w:line="360" w:lineRule="auto"/>
        <w:ind w:firstLine="480" w:firstLineChars="200"/>
        <w:rPr>
          <w:rFonts w:ascii="宋体" w:hAnsi="宋体" w:eastAsia="宋体" w:cs="宋体"/>
          <w:sz w:val="24"/>
        </w:rPr>
      </w:pPr>
      <w:r>
        <w:rPr>
          <w:rFonts w:hint="eastAsia" w:ascii="宋体" w:hAnsi="宋体" w:eastAsia="宋体" w:cs="宋体"/>
          <w:sz w:val="24"/>
        </w:rPr>
        <w:t>6.无过热部件</w:t>
      </w:r>
    </w:p>
    <w:p w14:paraId="683C852E">
      <w:pPr>
        <w:spacing w:line="360" w:lineRule="auto"/>
        <w:ind w:firstLine="480" w:firstLineChars="200"/>
        <w:rPr>
          <w:rFonts w:ascii="宋体" w:hAnsi="宋体" w:eastAsia="宋体" w:cs="宋体"/>
          <w:sz w:val="24"/>
        </w:rPr>
      </w:pPr>
      <w:r>
        <w:rPr>
          <w:rFonts w:hint="eastAsia" w:ascii="宋体" w:hAnsi="宋体" w:eastAsia="宋体" w:cs="宋体"/>
          <w:sz w:val="24"/>
        </w:rPr>
        <w:t>7.无异常振动和噪音</w:t>
      </w:r>
    </w:p>
    <w:p w14:paraId="74CE2068">
      <w:pPr>
        <w:spacing w:line="360" w:lineRule="auto"/>
        <w:ind w:firstLine="480" w:firstLineChars="200"/>
        <w:rPr>
          <w:rFonts w:ascii="宋体" w:hAnsi="宋体" w:eastAsia="宋体" w:cs="宋体"/>
          <w:sz w:val="24"/>
        </w:rPr>
      </w:pPr>
      <w:r>
        <w:rPr>
          <w:rFonts w:hint="eastAsia" w:ascii="宋体" w:hAnsi="宋体" w:eastAsia="宋体" w:cs="宋体"/>
          <w:sz w:val="24"/>
        </w:rPr>
        <w:t>8.无过载部件</w:t>
      </w:r>
    </w:p>
    <w:p w14:paraId="22BE28CC">
      <w:pPr>
        <w:spacing w:line="360" w:lineRule="auto"/>
        <w:ind w:firstLine="480" w:firstLineChars="200"/>
        <w:rPr>
          <w:rFonts w:ascii="宋体" w:hAnsi="宋体" w:eastAsia="宋体" w:cs="宋体"/>
          <w:sz w:val="24"/>
        </w:rPr>
      </w:pPr>
      <w:r>
        <w:rPr>
          <w:rFonts w:hint="eastAsia" w:ascii="宋体" w:hAnsi="宋体" w:eastAsia="宋体" w:cs="宋体"/>
          <w:sz w:val="24"/>
        </w:rPr>
        <w:t>9.无漏油</w:t>
      </w:r>
    </w:p>
    <w:p w14:paraId="742FED0D">
      <w:pPr>
        <w:spacing w:line="360" w:lineRule="auto"/>
        <w:ind w:firstLine="480" w:firstLineChars="200"/>
        <w:rPr>
          <w:rFonts w:ascii="宋体" w:hAnsi="宋体" w:eastAsia="宋体" w:cs="宋体"/>
          <w:sz w:val="24"/>
        </w:rPr>
      </w:pPr>
      <w:r>
        <w:rPr>
          <w:rFonts w:hint="eastAsia" w:ascii="宋体" w:hAnsi="宋体" w:eastAsia="宋体" w:cs="宋体"/>
          <w:sz w:val="24"/>
        </w:rPr>
        <w:t>10.保护装置灵敏、可靠</w:t>
      </w:r>
    </w:p>
    <w:p w14:paraId="6DA60ED8">
      <w:pPr>
        <w:spacing w:line="360" w:lineRule="auto"/>
        <w:ind w:firstLine="480" w:firstLineChars="200"/>
        <w:rPr>
          <w:rFonts w:eastAsia="宋体"/>
        </w:rPr>
      </w:pPr>
      <w:r>
        <w:rPr>
          <w:rFonts w:hint="eastAsia" w:ascii="宋体" w:hAnsi="宋体" w:eastAsia="宋体" w:cs="宋体"/>
          <w:sz w:val="24"/>
        </w:rPr>
        <w:t>D.承包商应根据实际进水水质条件，调整设备运行参数。保证处理能力及出水水质满足上述指标要求。改进型 SBR 系统供货商对生化系统出水水质负责，※</w:t>
      </w:r>
      <w:r>
        <w:rPr>
          <w:rFonts w:hint="eastAsia" w:ascii="宋体" w:hAnsi="宋体" w:eastAsia="宋体" w:cs="宋体"/>
          <w:b/>
          <w:bCs/>
          <w:sz w:val="24"/>
        </w:rPr>
        <w:t>在投标文件中需要提交签字盖章的《昆明第十五水质净化厂改进型SBR系统出水担保书》</w:t>
      </w:r>
      <w:r>
        <w:rPr>
          <w:rFonts w:hint="eastAsia" w:ascii="宋体" w:hAnsi="宋体" w:eastAsia="宋体" w:cs="宋体"/>
          <w:sz w:val="24"/>
        </w:rPr>
        <w:t>。</w:t>
      </w:r>
    </w:p>
    <w:p w14:paraId="16946FE1">
      <w:pPr>
        <w:pStyle w:val="3"/>
        <w:rPr>
          <w:rFonts w:ascii="宋体" w:hAnsi="宋体" w:eastAsia="宋体" w:cs="宋体"/>
          <w:sz w:val="24"/>
          <w:szCs w:val="22"/>
        </w:rPr>
      </w:pPr>
      <w:bookmarkStart w:id="1" w:name="bookmark72"/>
      <w:bookmarkEnd w:id="1"/>
      <w:r>
        <w:rPr>
          <w:rFonts w:hint="eastAsia" w:ascii="宋体" w:hAnsi="宋体" w:eastAsia="宋体" w:cs="宋体"/>
          <w:sz w:val="24"/>
          <w:szCs w:val="22"/>
        </w:rPr>
        <w:t>3.2 加药系统</w:t>
      </w:r>
    </w:p>
    <w:p w14:paraId="5794C482">
      <w:pPr>
        <w:pStyle w:val="3"/>
        <w:rPr>
          <w:rFonts w:ascii="宋体" w:hAnsi="宋体" w:eastAsia="宋体" w:cs="宋体"/>
          <w:sz w:val="24"/>
          <w:szCs w:val="22"/>
        </w:rPr>
      </w:pPr>
      <w:r>
        <w:rPr>
          <w:rFonts w:hint="eastAsia" w:ascii="宋体" w:hAnsi="宋体" w:eastAsia="宋体" w:cs="宋体"/>
          <w:sz w:val="24"/>
          <w:szCs w:val="22"/>
        </w:rPr>
        <w:t>3.2.1工作范围</w:t>
      </w:r>
    </w:p>
    <w:p w14:paraId="01438ACB">
      <w:pPr>
        <w:spacing w:line="360" w:lineRule="auto"/>
        <w:ind w:firstLine="480" w:firstLineChars="200"/>
        <w:rPr>
          <w:rFonts w:ascii="宋体" w:hAnsi="宋体" w:eastAsia="宋体" w:cs="宋体"/>
          <w:sz w:val="24"/>
        </w:rPr>
      </w:pPr>
      <w:r>
        <w:rPr>
          <w:rFonts w:hint="eastAsia" w:ascii="宋体" w:hAnsi="宋体" w:eastAsia="宋体" w:cs="宋体"/>
          <w:sz w:val="24"/>
        </w:rPr>
        <w:t>A.卖方应提供保证设备安全、稳定、可靠运行的全套设备、辅助及安装连接附件，并负责指导安装、调试及试运行并提供系统设计方案等工作。设备主要组成部分及供货范围（不限于此）：</w:t>
      </w:r>
    </w:p>
    <w:p w14:paraId="17303FE0">
      <w:pPr>
        <w:spacing w:line="115" w:lineRule="exact"/>
        <w:rPr>
          <w:sz w:val="10"/>
          <w:szCs w:val="10"/>
        </w:rPr>
      </w:pPr>
    </w:p>
    <w:tbl>
      <w:tblPr>
        <w:tblStyle w:val="8"/>
        <w:tblW w:w="9015" w:type="dxa"/>
        <w:tblInd w:w="100" w:type="dxa"/>
        <w:tblLayout w:type="autofit"/>
        <w:tblCellMar>
          <w:top w:w="0" w:type="dxa"/>
          <w:left w:w="108" w:type="dxa"/>
          <w:bottom w:w="0" w:type="dxa"/>
          <w:right w:w="108" w:type="dxa"/>
        </w:tblCellMar>
      </w:tblPr>
      <w:tblGrid>
        <w:gridCol w:w="1622"/>
        <w:gridCol w:w="1860"/>
        <w:gridCol w:w="2797"/>
        <w:gridCol w:w="698"/>
        <w:gridCol w:w="697"/>
        <w:gridCol w:w="1341"/>
      </w:tblGrid>
      <w:tr w14:paraId="04BBA3AC">
        <w:tblPrEx>
          <w:tblCellMar>
            <w:top w:w="0" w:type="dxa"/>
            <w:left w:w="108" w:type="dxa"/>
            <w:bottom w:w="0" w:type="dxa"/>
            <w:right w:w="108" w:type="dxa"/>
          </w:tblCellMar>
        </w:tblPrEx>
        <w:trPr>
          <w:trHeight w:val="500"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3BB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设备编号</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7119">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A237">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主要参数及说明</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D6C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595">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 量</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5723">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地点</w:t>
            </w:r>
          </w:p>
        </w:tc>
      </w:tr>
      <w:tr w14:paraId="7409F03F">
        <w:tblPrEx>
          <w:tblCellMar>
            <w:top w:w="0" w:type="dxa"/>
            <w:left w:w="108" w:type="dxa"/>
            <w:bottom w:w="0" w:type="dxa"/>
            <w:right w:w="108" w:type="dxa"/>
          </w:tblCellMar>
        </w:tblPrEx>
        <w:trPr>
          <w:trHeight w:val="500"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BBAD">
            <w:pPr>
              <w:jc w:val="center"/>
              <w:rPr>
                <w:rFonts w:ascii="宋体" w:hAnsi="宋体" w:eastAsia="宋体" w:cs="宋体"/>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AC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醋酸钠加药系统</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4262">
            <w:pPr>
              <w:jc w:val="center"/>
              <w:rPr>
                <w:rFonts w:ascii="宋体" w:hAnsi="宋体" w:eastAsia="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AD67">
            <w:pPr>
              <w:jc w:val="center"/>
              <w:rPr>
                <w:rFonts w:ascii="宋体" w:hAnsi="宋体" w:eastAsia="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0F60">
            <w:pPr>
              <w:jc w:val="center"/>
              <w:rPr>
                <w:rFonts w:ascii="宋体" w:hAnsi="宋体" w:eastAsia="宋体" w:cs="宋体"/>
                <w:color w:val="000000"/>
                <w:sz w:val="18"/>
                <w:szCs w:val="18"/>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B03E">
            <w:pPr>
              <w:jc w:val="center"/>
              <w:rPr>
                <w:rFonts w:ascii="宋体" w:hAnsi="宋体" w:eastAsia="宋体" w:cs="宋体"/>
                <w:color w:val="000000"/>
                <w:sz w:val="18"/>
                <w:szCs w:val="18"/>
              </w:rPr>
            </w:pPr>
          </w:p>
        </w:tc>
      </w:tr>
      <w:tr w14:paraId="3B08F719">
        <w:tblPrEx>
          <w:tblCellMar>
            <w:top w:w="0" w:type="dxa"/>
            <w:left w:w="108" w:type="dxa"/>
            <w:bottom w:w="0" w:type="dxa"/>
            <w:right w:w="108" w:type="dxa"/>
          </w:tblCellMar>
        </w:tblPrEx>
        <w:trPr>
          <w:trHeight w:val="1125"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83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CDS-PPU101~124</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CDS-PPU128~135</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D3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醋酸钠加药泵</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47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Q=260L/h,30m，P=0.18kw  隔膜计量泵，每组含支架、 阻尼器，背压阀，安全阀， 手动阀，Y 型过滤器、流 量计、流量校正柱等；</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D9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22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CA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接至生物池</w:t>
            </w:r>
          </w:p>
        </w:tc>
      </w:tr>
      <w:tr w14:paraId="3AB793EF">
        <w:tblPrEx>
          <w:tblCellMar>
            <w:top w:w="0" w:type="dxa"/>
            <w:left w:w="108" w:type="dxa"/>
            <w:bottom w:w="0" w:type="dxa"/>
            <w:right w:w="108" w:type="dxa"/>
          </w:tblCellMar>
        </w:tblPrEx>
        <w:trPr>
          <w:trHeight w:val="1125"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C60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CDS-PPU125~127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80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醋酸钠加药泵</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57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Q=1300L/h,30m,P=1.5kw   隔膜泵，每组含支架、阻 尼器，背压阀，安全阀， 手动阀，Y 型过滤器、流 量计、流量校正柱等；</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40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6D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58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接至深床滤池</w:t>
            </w:r>
          </w:p>
        </w:tc>
      </w:tr>
      <w:tr w14:paraId="75BA042D">
        <w:tblPrEx>
          <w:tblCellMar>
            <w:top w:w="0" w:type="dxa"/>
            <w:left w:w="108" w:type="dxa"/>
            <w:bottom w:w="0" w:type="dxa"/>
            <w:right w:w="108" w:type="dxa"/>
          </w:tblCellMar>
        </w:tblPrEx>
        <w:trPr>
          <w:trHeight w:val="500"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0500">
            <w:pPr>
              <w:jc w:val="center"/>
              <w:rPr>
                <w:rFonts w:ascii="宋体" w:hAnsi="宋体" w:eastAsia="宋体" w:cs="宋体"/>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AE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醋酸钠储罐</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5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容积 50m³ , 立式，钢衬塑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71A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0A2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747E">
            <w:pPr>
              <w:jc w:val="center"/>
              <w:rPr>
                <w:rFonts w:ascii="宋体" w:hAnsi="宋体" w:eastAsia="宋体" w:cs="宋体"/>
                <w:color w:val="000000"/>
                <w:sz w:val="18"/>
                <w:szCs w:val="18"/>
              </w:rPr>
            </w:pPr>
          </w:p>
        </w:tc>
      </w:tr>
      <w:tr w14:paraId="7F02D7CF">
        <w:tblPrEx>
          <w:tblCellMar>
            <w:top w:w="0" w:type="dxa"/>
            <w:left w:w="108" w:type="dxa"/>
            <w:bottom w:w="0" w:type="dxa"/>
            <w:right w:w="108" w:type="dxa"/>
          </w:tblCellMar>
        </w:tblPrEx>
        <w:trPr>
          <w:trHeight w:val="1125"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1C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CDS-PPU201~218</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CDS-PPU222~227</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2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加药泵</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E4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Q=200L/h,30m，P=0.18kw  隔膜计量泵，每组含支架、 阻尼器，背压阀，安全阀， 手动阀，Y 型过滤器、流 量计、流量校正柱等</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48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D9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6B8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接至生物池</w:t>
            </w:r>
          </w:p>
        </w:tc>
      </w:tr>
      <w:tr w14:paraId="0D931527">
        <w:tblPrEx>
          <w:tblCellMar>
            <w:top w:w="0" w:type="dxa"/>
            <w:left w:w="108" w:type="dxa"/>
            <w:bottom w:w="0" w:type="dxa"/>
            <w:right w:w="108" w:type="dxa"/>
          </w:tblCellMar>
        </w:tblPrEx>
        <w:trPr>
          <w:trHeight w:val="1125"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E18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CDS-PPU219~221</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EE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加药泵</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3F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Q=200L/h,30m，P=0.18kw  隔膜计量泵，每组含支架、 阻尼器，背压阀，安全阀， 手动阀，Y 型过滤器、流 量计、流量校正柱等</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2A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05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341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接至深床滤池</w:t>
            </w:r>
          </w:p>
        </w:tc>
      </w:tr>
      <w:tr w14:paraId="6A9CD83F">
        <w:tblPrEx>
          <w:tblCellMar>
            <w:top w:w="0" w:type="dxa"/>
            <w:left w:w="108" w:type="dxa"/>
            <w:bottom w:w="0" w:type="dxa"/>
            <w:right w:w="108" w:type="dxa"/>
          </w:tblCellMar>
        </w:tblPrEx>
        <w:trPr>
          <w:trHeight w:val="500"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1F01">
            <w:pPr>
              <w:jc w:val="center"/>
              <w:rPr>
                <w:rFonts w:ascii="宋体" w:hAnsi="宋体" w:eastAsia="宋体" w:cs="宋体"/>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5F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储罐</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23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容积 50m³ , 立式，钢衬塑</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FD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个</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07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E4CA">
            <w:pPr>
              <w:jc w:val="center"/>
              <w:rPr>
                <w:rFonts w:ascii="宋体" w:hAnsi="宋体" w:eastAsia="宋体" w:cs="宋体"/>
                <w:color w:val="000000"/>
                <w:sz w:val="18"/>
                <w:szCs w:val="18"/>
              </w:rPr>
            </w:pPr>
          </w:p>
        </w:tc>
      </w:tr>
      <w:tr w14:paraId="37538BC4">
        <w:tblPrEx>
          <w:tblCellMar>
            <w:top w:w="0" w:type="dxa"/>
            <w:left w:w="108" w:type="dxa"/>
            <w:bottom w:w="0" w:type="dxa"/>
            <w:right w:w="108" w:type="dxa"/>
          </w:tblCellMar>
        </w:tblPrEx>
        <w:trPr>
          <w:trHeight w:val="500"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D1F0">
            <w:pPr>
              <w:jc w:val="center"/>
              <w:rPr>
                <w:rFonts w:ascii="宋体" w:hAnsi="宋体" w:eastAsia="宋体" w:cs="宋体"/>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B0F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CBAB9">
            <w:pPr>
              <w:jc w:val="center"/>
              <w:rPr>
                <w:rFonts w:ascii="宋体" w:hAnsi="宋体" w:eastAsia="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F265">
            <w:pPr>
              <w:jc w:val="center"/>
              <w:rPr>
                <w:rFonts w:ascii="宋体" w:hAnsi="宋体" w:eastAsia="宋体" w:cs="宋体"/>
                <w:color w:val="000000"/>
                <w:sz w:val="18"/>
                <w:szCs w:val="18"/>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6E674">
            <w:pPr>
              <w:jc w:val="center"/>
              <w:rPr>
                <w:rFonts w:ascii="宋体" w:hAnsi="宋体" w:eastAsia="宋体" w:cs="宋体"/>
                <w:color w:val="000000"/>
                <w:sz w:val="18"/>
                <w:szCs w:val="18"/>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E135">
            <w:pPr>
              <w:jc w:val="center"/>
              <w:rPr>
                <w:rFonts w:ascii="宋体" w:hAnsi="宋体" w:eastAsia="宋体" w:cs="宋体"/>
                <w:color w:val="000000"/>
                <w:sz w:val="18"/>
                <w:szCs w:val="18"/>
              </w:rPr>
            </w:pPr>
          </w:p>
        </w:tc>
      </w:tr>
      <w:tr w14:paraId="6CCCB87A">
        <w:tblPrEx>
          <w:tblCellMar>
            <w:top w:w="0" w:type="dxa"/>
            <w:left w:w="108" w:type="dxa"/>
            <w:bottom w:w="0" w:type="dxa"/>
            <w:right w:w="108" w:type="dxa"/>
          </w:tblCellMar>
        </w:tblPrEx>
        <w:trPr>
          <w:trHeight w:val="1125"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AC0E">
            <w:pPr>
              <w:jc w:val="center"/>
              <w:rPr>
                <w:rFonts w:ascii="宋体" w:hAnsi="宋体" w:eastAsia="宋体" w:cs="宋体"/>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664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阻尼器、 背压阀、 安全阀、手动阀、Y 型过滤器、所有阀 门、管道，管件、 仪表、支架等</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FE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全套管路、管件、阀门、 过滤器及各种附件、管路 支架、安装附件等</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14B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61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9A3B">
            <w:pPr>
              <w:jc w:val="center"/>
              <w:rPr>
                <w:rFonts w:ascii="宋体" w:hAnsi="宋体" w:eastAsia="宋体" w:cs="宋体"/>
                <w:color w:val="000000"/>
                <w:sz w:val="18"/>
                <w:szCs w:val="18"/>
              </w:rPr>
            </w:pPr>
          </w:p>
        </w:tc>
      </w:tr>
      <w:tr w14:paraId="08D6984C">
        <w:tblPrEx>
          <w:tblCellMar>
            <w:top w:w="0" w:type="dxa"/>
            <w:left w:w="108" w:type="dxa"/>
            <w:bottom w:w="0" w:type="dxa"/>
            <w:right w:w="108" w:type="dxa"/>
          </w:tblCellMar>
        </w:tblPrEx>
        <w:trPr>
          <w:trHeight w:val="500" w:hRule="atLeast"/>
        </w:trPr>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0182">
            <w:pPr>
              <w:jc w:val="center"/>
              <w:rPr>
                <w:rFonts w:ascii="宋体" w:hAnsi="宋体" w:eastAsia="宋体" w:cs="宋体"/>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7B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仪表及自控</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A538">
            <w:pPr>
              <w:jc w:val="center"/>
              <w:rPr>
                <w:rFonts w:ascii="宋体" w:hAnsi="宋体" w:eastAsia="宋体" w:cs="宋体"/>
                <w:color w:val="000000"/>
                <w:sz w:val="18"/>
                <w:szCs w:val="18"/>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442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B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w:t>
            </w:r>
          </w:p>
        </w:tc>
        <w:tc>
          <w:tcPr>
            <w:tcW w:w="13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1D29">
            <w:pPr>
              <w:jc w:val="center"/>
              <w:rPr>
                <w:rFonts w:ascii="宋体" w:hAnsi="宋体" w:eastAsia="宋体" w:cs="宋体"/>
                <w:color w:val="000000"/>
                <w:sz w:val="18"/>
                <w:szCs w:val="18"/>
              </w:rPr>
            </w:pPr>
          </w:p>
        </w:tc>
      </w:tr>
    </w:tbl>
    <w:p w14:paraId="2B9D4C64">
      <w:pPr>
        <w:pStyle w:val="3"/>
        <w:rPr>
          <w:rFonts w:ascii="宋体" w:hAnsi="宋体" w:eastAsia="宋体" w:cs="宋体"/>
          <w:sz w:val="24"/>
          <w:szCs w:val="22"/>
        </w:rPr>
      </w:pPr>
      <w:r>
        <w:rPr>
          <w:rFonts w:hint="eastAsia" w:ascii="宋体" w:hAnsi="宋体" w:eastAsia="宋体" w:cs="宋体"/>
          <w:sz w:val="24"/>
          <w:szCs w:val="22"/>
        </w:rPr>
        <w:t>3.2.2  综述</w:t>
      </w:r>
    </w:p>
    <w:p w14:paraId="4C885552">
      <w:pPr>
        <w:spacing w:line="115" w:lineRule="exact"/>
        <w:rPr>
          <w:sz w:val="10"/>
          <w:szCs w:val="10"/>
        </w:rPr>
      </w:pPr>
    </w:p>
    <w:p w14:paraId="253DFF16">
      <w:pPr>
        <w:spacing w:line="360" w:lineRule="auto"/>
        <w:ind w:firstLine="480" w:firstLineChars="200"/>
        <w:rPr>
          <w:rFonts w:ascii="宋体" w:hAnsi="宋体" w:eastAsia="宋体" w:cs="宋体"/>
          <w:sz w:val="24"/>
        </w:rPr>
      </w:pPr>
      <w:r>
        <w:rPr>
          <w:rFonts w:hint="eastAsia" w:ascii="宋体" w:hAnsi="宋体" w:eastAsia="宋体" w:cs="宋体"/>
          <w:sz w:val="24"/>
        </w:rPr>
        <w:t>A.卖方应根据提供的工艺条件对加药系统进行合理的布置设计，重新校核设计选型和设备配置的合理性，包括安装的位置、台数、单台设备参数等，并提供相关图纸资料由买方确认，阀门及管件等数量随设计调整。卖方应配备齐全保证系统安全、稳定、可靠运行的全套加药设备、辅助设施及安装附件：包括隔膜泵、仪表及电气控制设备、连接管道、阀门、止回阀、安全阀（压 力释放阀）、背压阀、防脉冲阻尼器、 Y型过滤器、在线稀释系统、配套转子 流量计、校正柱、设施等附件。上述设备及附件、管路等应根据介质及系统 安全性要求，选择最为合理可靠的材质。卖方还应负责设备制造厂试验、现场安装指导、调试、试运行、验收和人员培训等技术服务以及售后服务。</w:t>
      </w:r>
    </w:p>
    <w:p w14:paraId="566FAFBB">
      <w:pPr>
        <w:spacing w:line="360" w:lineRule="auto"/>
        <w:ind w:firstLine="480" w:firstLineChars="200"/>
        <w:rPr>
          <w:rFonts w:ascii="宋体" w:hAnsi="宋体" w:eastAsia="宋体" w:cs="宋体"/>
          <w:sz w:val="24"/>
        </w:rPr>
      </w:pPr>
      <w:r>
        <w:rPr>
          <w:rFonts w:hint="eastAsia" w:ascii="宋体" w:hAnsi="宋体" w:eastAsia="宋体" w:cs="宋体"/>
          <w:sz w:val="24"/>
        </w:rPr>
        <w:t>B.加药系统的设计、制造和安装应保证满足买方的使用要求，有高度的工作可 靠性，尽可能少的维修工作量。除上述供货内容外，设备的供货还应包括满 足系统安全运行的所有附件。所有设备及附助设施应耐腐蚀。</w:t>
      </w:r>
    </w:p>
    <w:p w14:paraId="15B57061">
      <w:pPr>
        <w:spacing w:line="360" w:lineRule="auto"/>
        <w:ind w:firstLine="480" w:firstLineChars="200"/>
        <w:rPr>
          <w:rFonts w:ascii="宋体" w:hAnsi="宋体" w:eastAsia="宋体" w:cs="宋体"/>
          <w:sz w:val="24"/>
        </w:rPr>
      </w:pPr>
      <w:r>
        <w:rPr>
          <w:rFonts w:hint="eastAsia" w:ascii="宋体" w:hAnsi="宋体" w:eastAsia="宋体" w:cs="宋体"/>
          <w:sz w:val="24"/>
        </w:rPr>
        <w:t>C.管路系统采用粘接或法兰连接，应充分考虑将来维修拆卸及再安装的方便性。</w:t>
      </w:r>
    </w:p>
    <w:p w14:paraId="6CA4EBBD">
      <w:pPr>
        <w:spacing w:line="360" w:lineRule="auto"/>
        <w:ind w:firstLine="480" w:firstLineChars="200"/>
        <w:rPr>
          <w:rFonts w:ascii="宋体" w:hAnsi="宋体" w:eastAsia="宋体" w:cs="宋体"/>
          <w:sz w:val="24"/>
        </w:rPr>
      </w:pPr>
      <w:r>
        <w:rPr>
          <w:rFonts w:hint="eastAsia" w:ascii="宋体" w:hAnsi="宋体" w:eastAsia="宋体" w:cs="宋体"/>
          <w:sz w:val="24"/>
        </w:rPr>
        <w:t>D.管路及阀门等均应采用防腐蚀材料制造，并满足系统压力要求。管材和管件</w:t>
      </w:r>
    </w:p>
    <w:p w14:paraId="0DF49BD6">
      <w:pPr>
        <w:spacing w:line="360" w:lineRule="auto"/>
        <w:rPr>
          <w:rFonts w:ascii="宋体" w:hAnsi="宋体" w:eastAsia="宋体" w:cs="宋体"/>
          <w:sz w:val="24"/>
        </w:rPr>
      </w:pPr>
      <w:r>
        <w:rPr>
          <w:rFonts w:hint="eastAsia" w:ascii="宋体" w:hAnsi="宋体" w:eastAsia="宋体" w:cs="宋体"/>
          <w:sz w:val="24"/>
        </w:rPr>
        <w:t>应符合国家及行业的相关标准要求，以严格者为准。</w:t>
      </w:r>
    </w:p>
    <w:p w14:paraId="7C0B230D">
      <w:pPr>
        <w:spacing w:line="360" w:lineRule="auto"/>
        <w:ind w:firstLine="480" w:firstLineChars="200"/>
        <w:rPr>
          <w:rFonts w:ascii="宋体" w:hAnsi="宋体" w:eastAsia="宋体" w:cs="宋体"/>
          <w:sz w:val="24"/>
        </w:rPr>
      </w:pPr>
      <w:r>
        <w:rPr>
          <w:rFonts w:hint="eastAsia" w:ascii="宋体" w:hAnsi="宋体" w:eastAsia="宋体" w:cs="宋体"/>
          <w:sz w:val="24"/>
        </w:rPr>
        <w:t>E.加药系统及检测仪表采用可编程控制器监控。</w:t>
      </w:r>
    </w:p>
    <w:p w14:paraId="524CA069">
      <w:pPr>
        <w:spacing w:line="360" w:lineRule="auto"/>
        <w:ind w:firstLine="480" w:firstLineChars="200"/>
        <w:rPr>
          <w:rFonts w:ascii="宋体" w:hAnsi="宋体" w:eastAsia="宋体" w:cs="宋体"/>
          <w:sz w:val="24"/>
        </w:rPr>
      </w:pPr>
      <w:r>
        <w:rPr>
          <w:rFonts w:hint="eastAsia" w:ascii="宋体" w:hAnsi="宋体" w:eastAsia="宋体" w:cs="宋体"/>
          <w:sz w:val="24"/>
        </w:rPr>
        <w:t>F. 应设有可靠的安全系统，一旦系统发生堵塞，外部动力水电条件缺失，安全系统应立即动作，停止供料。安全系统还应具有断料、断流自动报警并停机 的功能。</w:t>
      </w:r>
    </w:p>
    <w:p w14:paraId="60B2AB31">
      <w:pPr>
        <w:spacing w:line="360" w:lineRule="auto"/>
        <w:ind w:firstLine="480" w:firstLineChars="200"/>
        <w:rPr>
          <w:rFonts w:ascii="宋体" w:hAnsi="宋体" w:eastAsia="宋体" w:cs="宋体"/>
          <w:sz w:val="24"/>
        </w:rPr>
      </w:pPr>
      <w:r>
        <w:rPr>
          <w:rFonts w:hint="eastAsia" w:ascii="宋体" w:hAnsi="宋体" w:eastAsia="宋体" w:cs="宋体"/>
          <w:sz w:val="24"/>
        </w:rPr>
        <w:t>G.自控系统应根据进水流量测量值设定投加量，并根据水中测量值校验和调整 投加泵的运行速度。</w:t>
      </w:r>
    </w:p>
    <w:p w14:paraId="415E68D8">
      <w:pPr>
        <w:spacing w:line="360" w:lineRule="auto"/>
        <w:ind w:firstLine="480" w:firstLineChars="200"/>
        <w:rPr>
          <w:rFonts w:ascii="宋体" w:hAnsi="宋体" w:eastAsia="宋体" w:cs="宋体"/>
          <w:sz w:val="24"/>
        </w:rPr>
      </w:pPr>
      <w:r>
        <w:rPr>
          <w:rFonts w:hint="eastAsia" w:ascii="宋体" w:hAnsi="宋体" w:eastAsia="宋体" w:cs="宋体"/>
          <w:sz w:val="24"/>
        </w:rPr>
        <w:t>H.加药计量泵总出水管应一对一配备流量计。</w:t>
      </w:r>
    </w:p>
    <w:p w14:paraId="5DE8EB7A">
      <w:pPr>
        <w:pStyle w:val="3"/>
        <w:rPr>
          <w:rFonts w:ascii="宋体" w:hAnsi="宋体" w:eastAsia="宋体" w:cs="宋体"/>
          <w:sz w:val="24"/>
          <w:szCs w:val="22"/>
        </w:rPr>
      </w:pPr>
      <w:r>
        <w:rPr>
          <w:rFonts w:hint="eastAsia" w:ascii="宋体" w:hAnsi="宋体" w:eastAsia="宋体" w:cs="宋体"/>
          <w:sz w:val="24"/>
          <w:szCs w:val="22"/>
        </w:rPr>
        <w:t>3.2.3  设备性能参数和技术要求</w:t>
      </w:r>
    </w:p>
    <w:p w14:paraId="4B9E8C53">
      <w:pPr>
        <w:pStyle w:val="3"/>
        <w:rPr>
          <w:rFonts w:ascii="宋体" w:hAnsi="宋体" w:eastAsia="宋体" w:cs="宋体"/>
          <w:bCs/>
        </w:rPr>
      </w:pPr>
      <w:r>
        <w:fldChar w:fldCharType="begin"/>
      </w:r>
      <w:r>
        <w:instrText xml:space="preserve"> HYPERLINK "file:///C:\\Users\\TD5466\\Desktop\\昆15_0804\\3.22.3.1" </w:instrText>
      </w:r>
      <w:r>
        <w:fldChar w:fldCharType="separate"/>
      </w:r>
      <w:r>
        <w:rPr>
          <w:rFonts w:hint="eastAsia" w:ascii="宋体" w:hAnsi="宋体" w:eastAsia="宋体" w:cs="宋体"/>
          <w:sz w:val="24"/>
          <w:szCs w:val="22"/>
        </w:rPr>
        <w:t>3.2.3.1</w:t>
      </w:r>
      <w:r>
        <w:rPr>
          <w:rFonts w:hint="eastAsia" w:ascii="宋体" w:hAnsi="宋体" w:eastAsia="宋体" w:cs="宋体"/>
          <w:sz w:val="24"/>
          <w:szCs w:val="22"/>
        </w:rPr>
        <w:fldChar w:fldCharType="end"/>
      </w:r>
      <w:r>
        <w:rPr>
          <w:rFonts w:hint="eastAsia" w:ascii="宋体" w:hAnsi="宋体" w:eastAsia="宋体" w:cs="宋体"/>
          <w:sz w:val="24"/>
          <w:szCs w:val="22"/>
        </w:rPr>
        <w:t xml:space="preserve"> 隔膜计量加药泵</w:t>
      </w:r>
    </w:p>
    <w:tbl>
      <w:tblPr>
        <w:tblStyle w:val="8"/>
        <w:tblW w:w="8288" w:type="dxa"/>
        <w:tblInd w:w="343" w:type="dxa"/>
        <w:tblLayout w:type="autofit"/>
        <w:tblCellMar>
          <w:top w:w="0" w:type="dxa"/>
          <w:left w:w="108" w:type="dxa"/>
          <w:bottom w:w="0" w:type="dxa"/>
          <w:right w:w="108" w:type="dxa"/>
        </w:tblCellMar>
      </w:tblPr>
      <w:tblGrid>
        <w:gridCol w:w="1838"/>
        <w:gridCol w:w="1717"/>
        <w:gridCol w:w="2366"/>
        <w:gridCol w:w="2367"/>
      </w:tblGrid>
      <w:tr w14:paraId="1C569506">
        <w:tblPrEx>
          <w:tblCellMar>
            <w:top w:w="0" w:type="dxa"/>
            <w:left w:w="108" w:type="dxa"/>
            <w:bottom w:w="0" w:type="dxa"/>
            <w:right w:w="108" w:type="dxa"/>
          </w:tblCellMar>
        </w:tblPrEx>
        <w:trPr>
          <w:trHeight w:val="4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04D">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DCC7">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醋酸钠药泵</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779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醋酸钠加药泵</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9A27">
            <w:pPr>
              <w:widowControl/>
              <w:jc w:val="center"/>
              <w:textAlignment w:val="center"/>
              <w:rPr>
                <w:rFonts w:ascii="Times New Roman" w:hAnsi="Times New Roman" w:eastAsia="宋体" w:cs="Times New Roman"/>
                <w:b/>
                <w:bCs/>
                <w:color w:val="000000"/>
                <w:sz w:val="18"/>
                <w:szCs w:val="18"/>
              </w:rPr>
            </w:pPr>
            <w:r>
              <w:rPr>
                <w:rFonts w:ascii="Times New Roman" w:hAnsi="Times New Roman" w:eastAsia="宋体" w:cs="Times New Roman"/>
                <w:b/>
                <w:bCs/>
                <w:color w:val="000000"/>
                <w:kern w:val="0"/>
                <w:sz w:val="18"/>
                <w:szCs w:val="18"/>
                <w:lang w:bidi="ar"/>
              </w:rPr>
              <w:t>PAC</w:t>
            </w:r>
            <w:r>
              <w:rPr>
                <w:rFonts w:hint="eastAsia" w:ascii="宋体" w:hAnsi="宋体" w:eastAsia="宋体" w:cs="宋体"/>
                <w:b/>
                <w:bCs/>
                <w:color w:val="000000"/>
                <w:kern w:val="0"/>
                <w:sz w:val="18"/>
                <w:szCs w:val="18"/>
                <w:lang w:bidi="ar"/>
              </w:rPr>
              <w:t>加药泵</w:t>
            </w:r>
          </w:p>
        </w:tc>
      </w:tr>
      <w:tr w14:paraId="257AFD92">
        <w:tblPrEx>
          <w:tblCellMar>
            <w:top w:w="0" w:type="dxa"/>
            <w:left w:w="108" w:type="dxa"/>
            <w:bottom w:w="0" w:type="dxa"/>
            <w:right w:w="108" w:type="dxa"/>
          </w:tblCellMar>
        </w:tblPrEx>
        <w:trPr>
          <w:trHeight w:val="4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CC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流量</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1250">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260L/h/</w:t>
            </w:r>
            <w:r>
              <w:rPr>
                <w:rFonts w:hint="eastAsia" w:ascii="宋体" w:hAnsi="宋体" w:eastAsia="宋体" w:cs="宋体"/>
                <w:color w:val="000000"/>
                <w:kern w:val="0"/>
                <w:sz w:val="18"/>
                <w:szCs w:val="18"/>
                <w:lang w:bidi="ar"/>
              </w:rPr>
              <w:t>台</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5716">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1300L/h/</w:t>
            </w:r>
            <w:r>
              <w:rPr>
                <w:rFonts w:hint="eastAsia" w:ascii="宋体" w:hAnsi="宋体" w:eastAsia="宋体" w:cs="宋体"/>
                <w:color w:val="000000"/>
                <w:kern w:val="0"/>
                <w:sz w:val="18"/>
                <w:szCs w:val="18"/>
                <w:lang w:bidi="ar"/>
              </w:rPr>
              <w:t>台</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C089">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200L/h/</w:t>
            </w:r>
            <w:r>
              <w:rPr>
                <w:rFonts w:hint="eastAsia" w:ascii="宋体" w:hAnsi="宋体" w:eastAsia="宋体" w:cs="宋体"/>
                <w:color w:val="000000"/>
                <w:kern w:val="0"/>
                <w:sz w:val="18"/>
                <w:szCs w:val="18"/>
                <w:lang w:bidi="ar"/>
              </w:rPr>
              <w:t>台</w:t>
            </w:r>
          </w:p>
        </w:tc>
      </w:tr>
      <w:tr w14:paraId="68ECEC6D">
        <w:tblPrEx>
          <w:tblCellMar>
            <w:top w:w="0" w:type="dxa"/>
            <w:left w:w="108" w:type="dxa"/>
            <w:bottom w:w="0" w:type="dxa"/>
            <w:right w:w="108" w:type="dxa"/>
          </w:tblCellMar>
        </w:tblPrEx>
        <w:trPr>
          <w:trHeight w:val="4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E8D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扬程</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26F4">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30m</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121F">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30m</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DA91">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30m</w:t>
            </w:r>
          </w:p>
        </w:tc>
      </w:tr>
      <w:tr w14:paraId="74D1C33C">
        <w:tblPrEx>
          <w:tblCellMar>
            <w:top w:w="0" w:type="dxa"/>
            <w:left w:w="108" w:type="dxa"/>
            <w:bottom w:w="0" w:type="dxa"/>
            <w:right w:w="108" w:type="dxa"/>
          </w:tblCellMar>
        </w:tblPrEx>
        <w:trPr>
          <w:trHeight w:val="4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06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流量调节范围</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0B10">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r>
              <w:rPr>
                <w:rFonts w:hint="eastAsia" w:ascii="宋体" w:hAnsi="宋体" w:eastAsia="宋体" w:cs="宋体"/>
                <w:color w:val="000000"/>
                <w:kern w:val="0"/>
                <w:sz w:val="18"/>
                <w:szCs w:val="18"/>
                <w:lang w:bidi="ar"/>
              </w:rPr>
              <w:t>～</w:t>
            </w:r>
            <w:r>
              <w:rPr>
                <w:rStyle w:val="15"/>
                <w:rFonts w:eastAsia="宋体"/>
                <w:lang w:bidi="ar"/>
              </w:rPr>
              <w:t>100%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2CA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r>
              <w:rPr>
                <w:rFonts w:hint="eastAsia" w:ascii="宋体" w:hAnsi="宋体" w:eastAsia="宋体" w:cs="宋体"/>
                <w:color w:val="000000"/>
                <w:kern w:val="0"/>
                <w:sz w:val="18"/>
                <w:szCs w:val="18"/>
                <w:lang w:bidi="ar"/>
              </w:rPr>
              <w:t>～</w:t>
            </w:r>
            <w:r>
              <w:rPr>
                <w:rStyle w:val="15"/>
                <w:rFonts w:eastAsia="宋体"/>
                <w:lang w:bidi="ar"/>
              </w:rPr>
              <w:t>100%</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7D6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0</w:t>
            </w:r>
            <w:r>
              <w:rPr>
                <w:rFonts w:hint="eastAsia" w:ascii="宋体" w:hAnsi="宋体" w:eastAsia="宋体" w:cs="宋体"/>
                <w:color w:val="000000"/>
                <w:kern w:val="0"/>
                <w:sz w:val="18"/>
                <w:szCs w:val="18"/>
                <w:lang w:bidi="ar"/>
              </w:rPr>
              <w:t>～</w:t>
            </w:r>
            <w:r>
              <w:rPr>
                <w:rStyle w:val="15"/>
                <w:rFonts w:eastAsia="宋体"/>
                <w:lang w:bidi="ar"/>
              </w:rPr>
              <w:t>100%</w:t>
            </w:r>
          </w:p>
        </w:tc>
      </w:tr>
      <w:tr w14:paraId="7FE9BC8F">
        <w:tblPrEx>
          <w:tblCellMar>
            <w:top w:w="0" w:type="dxa"/>
            <w:left w:w="108" w:type="dxa"/>
            <w:bottom w:w="0" w:type="dxa"/>
            <w:right w:w="108" w:type="dxa"/>
          </w:tblCellMar>
        </w:tblPrEx>
        <w:trPr>
          <w:trHeight w:val="4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BC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噪声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FBD7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≤75dB(A)</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E01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≤75dB(A)</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B17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w:t>
            </w:r>
            <w:r>
              <w:rPr>
                <w:rFonts w:ascii="Times New Roman" w:hAnsi="Times New Roman" w:eastAsia="宋体" w:cs="Times New Roman"/>
                <w:color w:val="000000"/>
                <w:kern w:val="0"/>
                <w:sz w:val="18"/>
                <w:szCs w:val="18"/>
                <w:lang w:bidi="ar"/>
              </w:rPr>
              <w:t>75dB(A)</w:t>
            </w:r>
          </w:p>
        </w:tc>
      </w:tr>
      <w:tr w14:paraId="54E84484">
        <w:tblPrEx>
          <w:tblCellMar>
            <w:top w:w="0" w:type="dxa"/>
            <w:left w:w="108" w:type="dxa"/>
            <w:bottom w:w="0" w:type="dxa"/>
            <w:right w:w="108" w:type="dxa"/>
          </w:tblCellMar>
        </w:tblPrEx>
        <w:trPr>
          <w:trHeight w:val="4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A3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电源</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623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380V/3ph/5 0Hz</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0B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380V/3ph/50 Hz</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043B">
            <w:pPr>
              <w:widowControl/>
              <w:jc w:val="center"/>
              <w:textAlignment w:val="center"/>
              <w:rPr>
                <w:rFonts w:ascii="Times New Roman" w:hAnsi="Times New Roman" w:eastAsia="宋体" w:cs="Times New Roman"/>
                <w:color w:val="000000"/>
                <w:sz w:val="18"/>
                <w:szCs w:val="18"/>
              </w:rPr>
            </w:pPr>
            <w:r>
              <w:rPr>
                <w:rFonts w:ascii="Times New Roman" w:hAnsi="Times New Roman" w:eastAsia="宋体" w:cs="Times New Roman"/>
                <w:color w:val="000000"/>
                <w:kern w:val="0"/>
                <w:sz w:val="18"/>
                <w:szCs w:val="18"/>
                <w:lang w:bidi="ar"/>
              </w:rPr>
              <w:t>380V/3ph/50 Hz</w:t>
            </w:r>
          </w:p>
        </w:tc>
      </w:tr>
      <w:tr w14:paraId="5A59AE93">
        <w:tblPrEx>
          <w:tblCellMar>
            <w:top w:w="0" w:type="dxa"/>
            <w:left w:w="108" w:type="dxa"/>
            <w:bottom w:w="0" w:type="dxa"/>
            <w:right w:w="108" w:type="dxa"/>
          </w:tblCellMar>
        </w:tblPrEx>
        <w:trPr>
          <w:trHeight w:val="400" w:hRule="atLeast"/>
        </w:trPr>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6A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防护等级</w:t>
            </w:r>
            <w:r>
              <w:rPr>
                <w:rFonts w:ascii="Arial" w:hAnsi="Arial" w:eastAsia="宋体" w:cs="Arial"/>
                <w:color w:val="000000"/>
                <w:kern w:val="0"/>
                <w:sz w:val="18"/>
                <w:szCs w:val="18"/>
                <w:lang w:bidi="ar"/>
              </w:rPr>
              <w:t>/</w:t>
            </w:r>
            <w:r>
              <w:rPr>
                <w:rFonts w:hint="eastAsia" w:ascii="宋体" w:hAnsi="宋体" w:eastAsia="宋体" w:cs="宋体"/>
                <w:color w:val="000000"/>
                <w:kern w:val="0"/>
                <w:sz w:val="18"/>
                <w:szCs w:val="18"/>
                <w:lang w:bidi="ar"/>
              </w:rPr>
              <w:t>绝缘等级</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FB3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IP55/F</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4AA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IP55/F</w:t>
            </w:r>
          </w:p>
        </w:tc>
        <w:tc>
          <w:tcPr>
            <w:tcW w:w="23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7777">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IP55/F</w:t>
            </w:r>
          </w:p>
        </w:tc>
      </w:tr>
    </w:tbl>
    <w:p w14:paraId="3D8B2CE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A.采用电驱动机械隔膜计量泵，并应配置过滤器，背压阀，安全阀，止回阀， 脉冲缓冲器，转子流量计、压力表、校正柱等附件，以满足投加系统需要，确保投加系统的安全可靠。</w:t>
      </w:r>
    </w:p>
    <w:p w14:paraId="1F463D4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B.加药泵采用隔膜计量泵,设内置控制器，全部采用变频控制。</w:t>
      </w:r>
    </w:p>
    <w:p w14:paraId="64A9E92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C.泵应保证在 0%~100 相对行程长度下，允许的流量调节范围内可靠运转。</w:t>
      </w:r>
    </w:p>
    <w:p w14:paraId="6562F3A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D.泵在额定条件下和最大相对行程长度处的流量计量精度应不低于±2%。</w:t>
      </w:r>
    </w:p>
    <w:p w14:paraId="202B4AF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E.泵在额定条件下的实际流量值应不低于泵的额定流量值。</w:t>
      </w:r>
    </w:p>
    <w:p w14:paraId="37E840D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F.泵接头应耐磨耐腐。</w:t>
      </w:r>
    </w:p>
    <w:p w14:paraId="640B969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G.泵进、出口法兰的连接尺寸应符合 GB 或 ISO 的规定。</w:t>
      </w:r>
    </w:p>
    <w:p w14:paraId="2B9E45E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H.承受液体压力的零部件，应按 1.5 倍的工作压力进行水压试验，压力持续时间不少于10min。在试压过程中不应有渗漏现象。</w:t>
      </w:r>
    </w:p>
    <w:p w14:paraId="71EC77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I.在正常使用条件下，隔膜的使用寿命应不少于三年。如果不够三年卖方应免 费提供。</w:t>
      </w:r>
    </w:p>
    <w:p w14:paraId="17A6AA6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J.应配有安全阀，防止压力过载时损坏计量泵。</w:t>
      </w:r>
    </w:p>
    <w:p w14:paraId="6FE45CC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K.泵出口下游安装脉冲阻尼器，用以平衡脉冲出料状态，残余脉冲±5以下，最高工作压力1.0MPa。</w:t>
      </w:r>
    </w:p>
    <w:p w14:paraId="26C827F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L.安全阀</w:t>
      </w:r>
    </w:p>
    <w:p w14:paraId="67B126E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1.采用隔膜式安全阀，装于投加泵上方管路上，阀压力调节范围 0～3ar，当投</w:t>
      </w:r>
    </w:p>
    <w:p w14:paraId="122DA03E">
      <w:pPr>
        <w:spacing w:line="360" w:lineRule="auto"/>
        <w:rPr>
          <w:rFonts w:ascii="宋体" w:hAnsi="宋体" w:eastAsia="宋体" w:cs="宋体"/>
          <w:sz w:val="24"/>
          <w:szCs w:val="32"/>
        </w:rPr>
      </w:pPr>
      <w:r>
        <w:rPr>
          <w:rFonts w:hint="eastAsia" w:ascii="宋体" w:hAnsi="宋体" w:eastAsia="宋体" w:cs="宋体"/>
          <w:sz w:val="24"/>
          <w:szCs w:val="32"/>
        </w:rPr>
        <w:t>加压力管路超压时可通过设定的压力安全阀自动泄放，放至排液回流 管，保证系统压力稳定，以保护泵隔膜和管道不受损坏。接口尺寸按管路 口径所配。阀体材质应与输送介质及操作条件相匹配，隔膜材质为 PTFE 橡胶。</w:t>
      </w:r>
    </w:p>
    <w:p w14:paraId="7B6932D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M.背压阀</w:t>
      </w:r>
    </w:p>
    <w:p w14:paraId="0DCFD3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1.采用可调膜片式背压阀，能在系统管路中产生恒定的背压，消除投加点压力波动所引起的投加量变化，以确保计量精确，并可防止虹吸的发生，背 压可调范围 0~4bar，进出口尺寸按管路尺寸所配，阀体材质应与输送介质 及操作条件相匹配。</w:t>
      </w:r>
    </w:p>
    <w:p w14:paraId="78FA187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N.脉动阻尼器</w:t>
      </w:r>
    </w:p>
    <w:p w14:paraId="2D89E9F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采用的隔膜式脉冲阻尼器，安装在泵出口管路上以减少运行管道的脉动，用于平衡脉冲出液状态，可消除水锤对系统的危害，保护管路系统附件。最大调节流量和压力应与系统相匹配，阀体材质应与输送介质及操作条件 相匹配，隔膜材质采用 PTFE 橡胶。脉动峰值不大于5%。</w:t>
      </w:r>
    </w:p>
    <w:p w14:paraId="1EE1AD6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O.Y 型过滤器</w:t>
      </w:r>
    </w:p>
    <w:p w14:paraId="52C722B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1.过滤器按装在隔膜泵进液口前面，经过滤可去除药液中的杂质。能保护泵 阀等附件不受杂质影响。壳体及滤网材质应与输送介质及操作条件相匹 配。</w:t>
      </w:r>
    </w:p>
    <w:p w14:paraId="3C8C74F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P.流量计</w:t>
      </w:r>
    </w:p>
    <w:p w14:paraId="73700C6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1.在投加装置上为确定投加量需配装流量计，应选配电磁流量计及转子流量计，流量计应具有工作可靠，精度较高的特点。并具有就地显示，信号传送，数据积累功能。且适用于强腐蚀性介质。信号输出 4～20mA。</w:t>
      </w:r>
    </w:p>
    <w:p w14:paraId="2C99DCF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Q. 管道及阀门</w:t>
      </w:r>
    </w:p>
    <w:p w14:paraId="25BE8CB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 次氯酸钠加药系统管道应选用优质PVC-U 管，管配件也采用等同材料，适用于所输介质。所有管道与附件安装连接后，做水压或气密性试验，确保无任何泄漏。所有系统管路及管件的熔接应由具有工程经验的工人操作，并符合相关验收标准的要求。</w:t>
      </w:r>
    </w:p>
    <w:p w14:paraId="1A29A0B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2.所有密封件材质应为PTFE橡胶。</w:t>
      </w:r>
    </w:p>
    <w:p w14:paraId="4A07BB4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R.每套加药系统的所有设备及附件应分别安装在一个整体机架上，并设有推拉 式透明有机玻璃防护板，防止药液泄漏外溅。所有管路、止回阀、安全阀、 背压阀、阻尼器、过滤器、校正柱等附属设备亦应排列整齐安装在其上，并加以固定。</w:t>
      </w:r>
    </w:p>
    <w:p w14:paraId="25A8D6CF">
      <w:pPr>
        <w:pStyle w:val="3"/>
        <w:rPr>
          <w:rFonts w:ascii="宋体" w:hAnsi="宋体" w:eastAsia="宋体" w:cs="宋体"/>
          <w:bCs/>
          <w:szCs w:val="32"/>
        </w:rPr>
      </w:pPr>
      <w:r>
        <w:fldChar w:fldCharType="begin"/>
      </w:r>
      <w:r>
        <w:instrText xml:space="preserve"> HYPERLINK "file:///C:\\Users\\TD5466\\Desktop\\昆15_0804\\3.22.3.2" </w:instrText>
      </w:r>
      <w:r>
        <w:fldChar w:fldCharType="separate"/>
      </w:r>
      <w:r>
        <w:rPr>
          <w:rFonts w:hint="eastAsia" w:ascii="宋体" w:hAnsi="宋体" w:eastAsia="宋体" w:cs="宋体"/>
          <w:sz w:val="24"/>
          <w:szCs w:val="22"/>
        </w:rPr>
        <w:t>3.2.3.2</w:t>
      </w:r>
      <w:r>
        <w:rPr>
          <w:rFonts w:hint="eastAsia" w:ascii="宋体" w:hAnsi="宋体" w:eastAsia="宋体" w:cs="宋体"/>
          <w:sz w:val="24"/>
          <w:szCs w:val="22"/>
        </w:rPr>
        <w:fldChar w:fldCharType="end"/>
      </w:r>
      <w:r>
        <w:rPr>
          <w:rFonts w:hint="eastAsia" w:ascii="宋体" w:hAnsi="宋体" w:eastAsia="宋体" w:cs="宋体"/>
          <w:sz w:val="24"/>
          <w:szCs w:val="22"/>
        </w:rPr>
        <w:t xml:space="preserve"> 储罐</w:t>
      </w:r>
    </w:p>
    <w:tbl>
      <w:tblPr>
        <w:tblStyle w:val="8"/>
        <w:tblW w:w="7942" w:type="dxa"/>
        <w:tblInd w:w="426" w:type="dxa"/>
        <w:tblLayout w:type="autofit"/>
        <w:tblCellMar>
          <w:top w:w="0" w:type="dxa"/>
          <w:left w:w="108" w:type="dxa"/>
          <w:bottom w:w="0" w:type="dxa"/>
          <w:right w:w="108" w:type="dxa"/>
        </w:tblCellMar>
      </w:tblPr>
      <w:tblGrid>
        <w:gridCol w:w="3945"/>
        <w:gridCol w:w="3997"/>
      </w:tblGrid>
      <w:tr w14:paraId="0A43DA16">
        <w:tblPrEx>
          <w:tblCellMar>
            <w:top w:w="0" w:type="dxa"/>
            <w:left w:w="108" w:type="dxa"/>
            <w:bottom w:w="0" w:type="dxa"/>
            <w:right w:w="108" w:type="dxa"/>
          </w:tblCellMar>
        </w:tblPrEx>
        <w:trPr>
          <w:trHeight w:val="4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57D44">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设备名称</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9123">
            <w:pPr>
              <w:widowControl/>
              <w:jc w:val="center"/>
              <w:textAlignment w:val="center"/>
              <w:rPr>
                <w:rFonts w:ascii="Arial" w:hAnsi="Arial" w:eastAsia="宋体" w:cs="Arial"/>
                <w:b/>
                <w:bCs/>
                <w:color w:val="000000"/>
                <w:sz w:val="18"/>
                <w:szCs w:val="18"/>
              </w:rPr>
            </w:pPr>
            <w:r>
              <w:rPr>
                <w:rFonts w:ascii="Arial" w:hAnsi="Arial" w:eastAsia="宋体" w:cs="Arial"/>
                <w:b/>
                <w:bCs/>
                <w:color w:val="000000"/>
                <w:kern w:val="0"/>
                <w:sz w:val="18"/>
                <w:szCs w:val="18"/>
                <w:lang w:bidi="ar"/>
              </w:rPr>
              <w:t xml:space="preserve">PAC </w:t>
            </w:r>
            <w:r>
              <w:rPr>
                <w:rFonts w:hint="eastAsia" w:ascii="宋体" w:hAnsi="宋体" w:eastAsia="宋体" w:cs="宋体"/>
                <w:b/>
                <w:bCs/>
                <w:color w:val="000000"/>
                <w:kern w:val="0"/>
                <w:sz w:val="18"/>
                <w:szCs w:val="18"/>
                <w:lang w:bidi="ar"/>
              </w:rPr>
              <w:t>及 醋酸钠储罐</w:t>
            </w:r>
          </w:p>
        </w:tc>
      </w:tr>
      <w:tr w14:paraId="7F8EDEEE">
        <w:tblPrEx>
          <w:tblCellMar>
            <w:top w:w="0" w:type="dxa"/>
            <w:left w:w="108" w:type="dxa"/>
            <w:bottom w:w="0" w:type="dxa"/>
            <w:right w:w="108" w:type="dxa"/>
          </w:tblCellMar>
        </w:tblPrEx>
        <w:trPr>
          <w:trHeight w:val="4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246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容积（</w:t>
            </w:r>
            <w:r>
              <w:rPr>
                <w:rFonts w:ascii="Arial" w:hAnsi="Arial" w:eastAsia="宋体" w:cs="Arial"/>
                <w:color w:val="000000"/>
                <w:kern w:val="0"/>
                <w:sz w:val="18"/>
                <w:szCs w:val="18"/>
                <w:lang w:bidi="ar"/>
              </w:rPr>
              <w:t>m³)</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D569">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50</w:t>
            </w:r>
          </w:p>
        </w:tc>
      </w:tr>
      <w:tr w14:paraId="43F33D4E">
        <w:tblPrEx>
          <w:tblCellMar>
            <w:top w:w="0" w:type="dxa"/>
            <w:left w:w="108" w:type="dxa"/>
            <w:bottom w:w="0" w:type="dxa"/>
            <w:right w:w="108" w:type="dxa"/>
          </w:tblCellMar>
        </w:tblPrEx>
        <w:trPr>
          <w:trHeight w:val="4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3CBC">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D</w:t>
            </w:r>
            <w:r>
              <w:rPr>
                <w:rFonts w:hint="eastAsia" w:ascii="宋体" w:hAnsi="宋体" w:eastAsia="宋体" w:cs="宋体"/>
                <w:color w:val="000000"/>
                <w:kern w:val="0"/>
                <w:sz w:val="18"/>
                <w:szCs w:val="18"/>
                <w:lang w:bidi="ar"/>
              </w:rPr>
              <w:t>（</w:t>
            </w:r>
            <w:r>
              <w:rPr>
                <w:rFonts w:ascii="Arial" w:hAnsi="Arial" w:eastAsia="宋体" w:cs="Arial"/>
                <w:color w:val="000000"/>
                <w:kern w:val="0"/>
                <w:sz w:val="18"/>
                <w:szCs w:val="18"/>
                <w:lang w:bidi="ar"/>
              </w:rPr>
              <w:t>m</w:t>
            </w:r>
            <w:r>
              <w:rPr>
                <w:rFonts w:hint="eastAsia" w:ascii="宋体" w:hAnsi="宋体" w:eastAsia="宋体" w:cs="宋体"/>
                <w:color w:val="000000"/>
                <w:kern w:val="0"/>
                <w:sz w:val="18"/>
                <w:szCs w:val="18"/>
                <w:lang w:bidi="ar"/>
              </w:rPr>
              <w:t>）</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5BDE7">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3.8</w:t>
            </w:r>
          </w:p>
        </w:tc>
      </w:tr>
      <w:tr w14:paraId="1BFDCCA5">
        <w:tblPrEx>
          <w:tblCellMar>
            <w:top w:w="0" w:type="dxa"/>
            <w:left w:w="108" w:type="dxa"/>
            <w:bottom w:w="0" w:type="dxa"/>
            <w:right w:w="108" w:type="dxa"/>
          </w:tblCellMar>
        </w:tblPrEx>
        <w:trPr>
          <w:trHeight w:val="4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2E0">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H</w:t>
            </w:r>
            <w:r>
              <w:rPr>
                <w:rFonts w:hint="eastAsia" w:ascii="宋体" w:hAnsi="宋体" w:eastAsia="宋体" w:cs="宋体"/>
                <w:color w:val="000000"/>
                <w:kern w:val="0"/>
                <w:sz w:val="18"/>
                <w:szCs w:val="18"/>
                <w:lang w:bidi="ar"/>
              </w:rPr>
              <w:t>（</w:t>
            </w:r>
            <w:r>
              <w:rPr>
                <w:rFonts w:ascii="Arial" w:hAnsi="Arial" w:eastAsia="宋体" w:cs="Arial"/>
                <w:color w:val="000000"/>
                <w:kern w:val="0"/>
                <w:sz w:val="18"/>
                <w:szCs w:val="18"/>
                <w:lang w:bidi="ar"/>
              </w:rPr>
              <w:t>m</w:t>
            </w:r>
            <w:r>
              <w:rPr>
                <w:rFonts w:hint="eastAsia" w:ascii="宋体" w:hAnsi="宋体" w:eastAsia="宋体" w:cs="宋体"/>
                <w:color w:val="000000"/>
                <w:kern w:val="0"/>
                <w:sz w:val="18"/>
                <w:szCs w:val="18"/>
                <w:lang w:bidi="ar"/>
              </w:rPr>
              <w:t>）</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2178A">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4.4</w:t>
            </w:r>
          </w:p>
        </w:tc>
      </w:tr>
      <w:tr w14:paraId="23DAD61E">
        <w:tblPrEx>
          <w:tblCellMar>
            <w:top w:w="0" w:type="dxa"/>
            <w:left w:w="108" w:type="dxa"/>
            <w:bottom w:w="0" w:type="dxa"/>
            <w:right w:w="108" w:type="dxa"/>
          </w:tblCellMar>
        </w:tblPrEx>
        <w:trPr>
          <w:trHeight w:val="400"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A2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结构型式</w:t>
            </w:r>
          </w:p>
        </w:tc>
        <w:tc>
          <w:tcPr>
            <w:tcW w:w="3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53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圆形立式</w:t>
            </w:r>
          </w:p>
        </w:tc>
      </w:tr>
    </w:tbl>
    <w:p w14:paraId="1D54F6E5">
      <w:pPr>
        <w:spacing w:line="360" w:lineRule="auto"/>
        <w:ind w:firstLine="480" w:firstLineChars="200"/>
        <w:rPr>
          <w:rFonts w:ascii="宋体" w:hAnsi="宋体" w:eastAsia="宋体" w:cs="宋体"/>
          <w:sz w:val="24"/>
        </w:rPr>
      </w:pPr>
      <w:r>
        <w:rPr>
          <w:rFonts w:hint="eastAsia" w:ascii="宋体" w:hAnsi="宋体" w:eastAsia="宋体" w:cs="宋体"/>
          <w:sz w:val="24"/>
        </w:rPr>
        <w:t>A.储罐的壁厚应有足够的强度和刚度，罐体及所有管路连接处不允许有任何泄 漏。</w:t>
      </w:r>
    </w:p>
    <w:p w14:paraId="5F90794B">
      <w:pPr>
        <w:spacing w:line="360" w:lineRule="auto"/>
        <w:ind w:firstLine="480" w:firstLineChars="200"/>
        <w:rPr>
          <w:rFonts w:ascii="宋体" w:hAnsi="宋体" w:eastAsia="宋体" w:cs="宋体"/>
          <w:sz w:val="24"/>
        </w:rPr>
      </w:pPr>
      <w:r>
        <w:rPr>
          <w:rFonts w:hint="eastAsia" w:ascii="宋体" w:hAnsi="宋体" w:eastAsia="宋体" w:cs="宋体"/>
          <w:sz w:val="24"/>
        </w:rPr>
        <w:t>B.罐体材料应耐腐蚀并能承受由化学反应产生的发热影响。应有足够的强度、 刚度和稳定性。储罐的设计加工制造应满足相关国家和行业标准 （HG/T20678）要求。</w:t>
      </w:r>
    </w:p>
    <w:p w14:paraId="448A24BD">
      <w:pPr>
        <w:spacing w:line="360" w:lineRule="auto"/>
        <w:ind w:firstLine="480" w:firstLineChars="200"/>
        <w:rPr>
          <w:rFonts w:ascii="宋体" w:hAnsi="宋体" w:eastAsia="宋体" w:cs="宋体"/>
          <w:sz w:val="24"/>
        </w:rPr>
      </w:pPr>
      <w:r>
        <w:rPr>
          <w:rFonts w:hint="eastAsia" w:ascii="宋体" w:hAnsi="宋体" w:eastAsia="宋体" w:cs="宋体"/>
          <w:sz w:val="24"/>
        </w:rPr>
        <w:t>C.PE 衬板厚度应不小于 10mm;  固定网格材质为不锈钢，其厚度应不小于5mm。 内衬不允许有任何空鼓现象。</w:t>
      </w:r>
    </w:p>
    <w:p w14:paraId="02B02F1F">
      <w:pPr>
        <w:spacing w:line="360" w:lineRule="auto"/>
        <w:ind w:firstLine="480" w:firstLineChars="200"/>
        <w:rPr>
          <w:rFonts w:ascii="宋体" w:hAnsi="宋体" w:eastAsia="宋体" w:cs="宋体"/>
          <w:sz w:val="24"/>
        </w:rPr>
      </w:pPr>
      <w:r>
        <w:rPr>
          <w:rFonts w:hint="eastAsia" w:ascii="宋体" w:hAnsi="宋体" w:eastAsia="宋体" w:cs="宋体"/>
          <w:sz w:val="24"/>
        </w:rPr>
        <w:t>D.所有固定和安装连接附件的材质应为不锈钢。储罐应配套爬梯、检修平台及 安全护栏，方便检查和维修。如果罐高超过 3 米，爬梯应设安全护筐。</w:t>
      </w:r>
    </w:p>
    <w:p w14:paraId="3C0C5E2D">
      <w:pPr>
        <w:spacing w:line="360" w:lineRule="auto"/>
        <w:ind w:firstLine="480" w:firstLineChars="200"/>
        <w:rPr>
          <w:rFonts w:ascii="宋体" w:hAnsi="宋体" w:eastAsia="宋体" w:cs="宋体"/>
          <w:sz w:val="24"/>
        </w:rPr>
      </w:pPr>
      <w:r>
        <w:rPr>
          <w:rFonts w:hint="eastAsia" w:ascii="宋体" w:hAnsi="宋体" w:eastAsia="宋体" w:cs="宋体"/>
          <w:sz w:val="24"/>
        </w:rPr>
        <w:t>E.储罐应带有液位计、高低液位开关和可视的液位显示计，以及高、低液位报 警。系统设计应采取有效措施防止罐体抽空形成负压。罐液位及报警等信号 应远传至中控室。</w:t>
      </w:r>
    </w:p>
    <w:p w14:paraId="4185BABE">
      <w:pPr>
        <w:pStyle w:val="3"/>
        <w:rPr>
          <w:rFonts w:ascii="宋体" w:hAnsi="宋体" w:eastAsia="宋体" w:cs="宋体"/>
          <w:sz w:val="24"/>
          <w:szCs w:val="22"/>
        </w:rPr>
      </w:pPr>
      <w:r>
        <w:rPr>
          <w:rFonts w:hint="eastAsia" w:ascii="宋体" w:hAnsi="宋体" w:eastAsia="宋体" w:cs="宋体"/>
          <w:sz w:val="24"/>
          <w:szCs w:val="22"/>
        </w:rPr>
        <w:t>3.2.3.3 主要零部件材料</w:t>
      </w:r>
    </w:p>
    <w:p w14:paraId="4259E610">
      <w:pPr>
        <w:spacing w:before="268" w:line="212" w:lineRule="auto"/>
        <w:ind w:left="342"/>
        <w:rPr>
          <w:rFonts w:ascii="宋体" w:hAnsi="宋体" w:eastAsia="宋体" w:cs="宋体"/>
          <w:sz w:val="24"/>
        </w:rPr>
      </w:pPr>
      <w:r>
        <w:rPr>
          <w:rFonts w:hint="eastAsia" w:ascii="宋体" w:hAnsi="宋体" w:eastAsia="宋体" w:cs="宋体"/>
          <w:spacing w:val="-3"/>
          <w:sz w:val="24"/>
        </w:rPr>
        <w:t>A.</w:t>
      </w:r>
      <w:r>
        <w:rPr>
          <w:rFonts w:hint="eastAsia" w:ascii="宋体" w:hAnsi="宋体" w:eastAsia="宋体" w:cs="宋体"/>
          <w:spacing w:val="18"/>
          <w:w w:val="101"/>
          <w:sz w:val="24"/>
        </w:rPr>
        <w:t xml:space="preserve"> </w:t>
      </w:r>
      <w:r>
        <w:rPr>
          <w:rFonts w:hint="eastAsia" w:ascii="宋体" w:hAnsi="宋体" w:eastAsia="宋体" w:cs="宋体"/>
          <w:spacing w:val="-3"/>
          <w:sz w:val="24"/>
        </w:rPr>
        <w:t>螺杆加药泵（若有）</w:t>
      </w:r>
    </w:p>
    <w:tbl>
      <w:tblPr>
        <w:tblStyle w:val="8"/>
        <w:tblW w:w="7867" w:type="dxa"/>
        <w:tblInd w:w="501" w:type="dxa"/>
        <w:tblLayout w:type="autofit"/>
        <w:tblCellMar>
          <w:top w:w="0" w:type="dxa"/>
          <w:left w:w="108" w:type="dxa"/>
          <w:bottom w:w="0" w:type="dxa"/>
          <w:right w:w="108" w:type="dxa"/>
        </w:tblCellMar>
      </w:tblPr>
      <w:tblGrid>
        <w:gridCol w:w="4095"/>
        <w:gridCol w:w="3772"/>
      </w:tblGrid>
      <w:tr w14:paraId="0FA75F2A">
        <w:tblPrEx>
          <w:tblCellMar>
            <w:top w:w="0" w:type="dxa"/>
            <w:left w:w="108" w:type="dxa"/>
            <w:bottom w:w="0" w:type="dxa"/>
            <w:right w:w="108" w:type="dxa"/>
          </w:tblCellMar>
        </w:tblPrEx>
        <w:trPr>
          <w:trHeight w:val="400"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C1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定子</w:t>
            </w:r>
          </w:p>
        </w:tc>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A05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丁晴橡胶</w:t>
            </w:r>
          </w:p>
        </w:tc>
      </w:tr>
      <w:tr w14:paraId="64AAF44C">
        <w:tblPrEx>
          <w:tblCellMar>
            <w:top w:w="0" w:type="dxa"/>
            <w:left w:w="108" w:type="dxa"/>
            <w:bottom w:w="0" w:type="dxa"/>
            <w:right w:w="108" w:type="dxa"/>
          </w:tblCellMar>
        </w:tblPrEx>
        <w:trPr>
          <w:trHeight w:val="400"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880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转子</w:t>
            </w:r>
          </w:p>
        </w:tc>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50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根据系统配置</w:t>
            </w:r>
          </w:p>
        </w:tc>
      </w:tr>
      <w:tr w14:paraId="6409FB5C">
        <w:tblPrEx>
          <w:tblCellMar>
            <w:top w:w="0" w:type="dxa"/>
            <w:left w:w="108" w:type="dxa"/>
            <w:bottom w:w="0" w:type="dxa"/>
            <w:right w:w="108" w:type="dxa"/>
          </w:tblCellMar>
        </w:tblPrEx>
        <w:trPr>
          <w:trHeight w:val="400"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F5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传动轴和联杆</w:t>
            </w:r>
          </w:p>
        </w:tc>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196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根据系统配置</w:t>
            </w:r>
          </w:p>
        </w:tc>
      </w:tr>
      <w:tr w14:paraId="2085E987">
        <w:tblPrEx>
          <w:tblCellMar>
            <w:top w:w="0" w:type="dxa"/>
            <w:left w:w="108" w:type="dxa"/>
            <w:bottom w:w="0" w:type="dxa"/>
            <w:right w:w="108" w:type="dxa"/>
          </w:tblCellMar>
        </w:tblPrEx>
        <w:trPr>
          <w:trHeight w:val="400" w:hRule="atLeast"/>
        </w:trPr>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EB9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w:t>
            </w:r>
            <w:r>
              <w:rPr>
                <w:rFonts w:ascii="Arial" w:hAnsi="Arial" w:eastAsia="宋体" w:cs="Arial"/>
                <w:color w:val="000000"/>
                <w:kern w:val="0"/>
                <w:sz w:val="18"/>
                <w:szCs w:val="18"/>
                <w:lang w:bidi="ar"/>
              </w:rPr>
              <w:t>/</w:t>
            </w:r>
            <w:r>
              <w:rPr>
                <w:rFonts w:hint="eastAsia" w:ascii="宋体" w:hAnsi="宋体" w:eastAsia="宋体" w:cs="宋体"/>
                <w:color w:val="000000"/>
                <w:kern w:val="0"/>
                <w:sz w:val="18"/>
                <w:szCs w:val="18"/>
                <w:lang w:bidi="ar"/>
              </w:rPr>
              <w:t>化学地脚螺栓</w:t>
            </w:r>
          </w:p>
        </w:tc>
        <w:tc>
          <w:tcPr>
            <w:tcW w:w="3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BA4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根据系统配置</w:t>
            </w:r>
          </w:p>
        </w:tc>
      </w:tr>
    </w:tbl>
    <w:p w14:paraId="4C5C9371">
      <w:pPr>
        <w:ind w:firstLine="480" w:firstLineChars="200"/>
        <w:rPr>
          <w:rFonts w:ascii="宋体" w:hAnsi="宋体" w:eastAsia="宋体" w:cs="宋体"/>
          <w:sz w:val="24"/>
        </w:rPr>
      </w:pPr>
      <w:r>
        <w:rPr>
          <w:rFonts w:hint="eastAsia" w:ascii="宋体" w:hAnsi="宋体" w:eastAsia="宋体" w:cs="宋体"/>
          <w:sz w:val="24"/>
        </w:rPr>
        <w:t>B.隔膜计量加药泵</w:t>
      </w:r>
    </w:p>
    <w:tbl>
      <w:tblPr>
        <w:tblStyle w:val="8"/>
        <w:tblW w:w="7868" w:type="dxa"/>
        <w:tblInd w:w="508" w:type="dxa"/>
        <w:tblLayout w:type="autofit"/>
        <w:tblCellMar>
          <w:top w:w="0" w:type="dxa"/>
          <w:left w:w="108" w:type="dxa"/>
          <w:bottom w:w="0" w:type="dxa"/>
          <w:right w:w="108" w:type="dxa"/>
        </w:tblCellMar>
      </w:tblPr>
      <w:tblGrid>
        <w:gridCol w:w="4080"/>
        <w:gridCol w:w="3788"/>
      </w:tblGrid>
      <w:tr w14:paraId="768EB4FE">
        <w:tblPrEx>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471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隔膜材质</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2768">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PTFE</w:t>
            </w:r>
          </w:p>
        </w:tc>
      </w:tr>
      <w:tr w14:paraId="7DC37FD1">
        <w:tblPrEx>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69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逆止球（阀）</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F0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根据系统配置</w:t>
            </w:r>
          </w:p>
        </w:tc>
      </w:tr>
      <w:tr w14:paraId="6FC916BF">
        <w:tblPrEx>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79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过流部件材料</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7DC0">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PVC-U</w:t>
            </w:r>
          </w:p>
        </w:tc>
      </w:tr>
      <w:tr w14:paraId="2B9F74BF">
        <w:tblPrEx>
          <w:tblCellMar>
            <w:top w:w="0" w:type="dxa"/>
            <w:left w:w="108" w:type="dxa"/>
            <w:bottom w:w="0" w:type="dxa"/>
            <w:right w:w="108" w:type="dxa"/>
          </w:tblCellMar>
        </w:tblPrEx>
        <w:trPr>
          <w:trHeight w:val="400" w:hRule="atLeast"/>
        </w:trPr>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AA2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所有安装连接附件、地脚螺栓</w:t>
            </w:r>
          </w:p>
        </w:tc>
        <w:tc>
          <w:tcPr>
            <w:tcW w:w="3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F3D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根据系统配置</w:t>
            </w:r>
          </w:p>
        </w:tc>
      </w:tr>
    </w:tbl>
    <w:p w14:paraId="1F4E7D9C">
      <w:pPr>
        <w:ind w:firstLine="480" w:firstLineChars="200"/>
        <w:rPr>
          <w:rFonts w:ascii="宋体" w:hAnsi="宋体" w:eastAsia="宋体" w:cs="宋体"/>
          <w:sz w:val="24"/>
          <w:szCs w:val="32"/>
        </w:rPr>
      </w:pPr>
      <w:r>
        <w:rPr>
          <w:rFonts w:hint="eastAsia" w:ascii="宋体" w:hAnsi="宋体" w:eastAsia="宋体" w:cs="宋体"/>
          <w:sz w:val="24"/>
          <w:szCs w:val="32"/>
        </w:rPr>
        <w:t>C.储罐</w:t>
      </w:r>
    </w:p>
    <w:tbl>
      <w:tblPr>
        <w:tblStyle w:val="8"/>
        <w:tblW w:w="7875" w:type="dxa"/>
        <w:tblInd w:w="5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858"/>
        <w:gridCol w:w="4017"/>
      </w:tblGrid>
      <w:tr w14:paraId="3C8D6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9" w:hRule="atLeast"/>
        </w:trPr>
        <w:tc>
          <w:tcPr>
            <w:tcW w:w="3858" w:type="dxa"/>
            <w:vAlign w:val="center"/>
          </w:tcPr>
          <w:p w14:paraId="21358252">
            <w:pPr>
              <w:widowControl/>
              <w:jc w:val="center"/>
              <w:textAlignment w:val="center"/>
              <w:rPr>
                <w:rFonts w:ascii="Arial" w:hAnsi="Arial" w:cs="Arial"/>
                <w:sz w:val="24"/>
              </w:rPr>
            </w:pPr>
            <w:r>
              <w:rPr>
                <w:rFonts w:hint="eastAsia" w:ascii="宋体" w:hAnsi="宋体" w:eastAsia="宋体" w:cs="宋体"/>
                <w:color w:val="000000"/>
                <w:kern w:val="0"/>
                <w:sz w:val="18"/>
                <w:szCs w:val="18"/>
                <w:lang w:bidi="ar"/>
              </w:rPr>
              <w:t>储罐</w:t>
            </w:r>
          </w:p>
        </w:tc>
        <w:tc>
          <w:tcPr>
            <w:tcW w:w="4017" w:type="dxa"/>
            <w:vAlign w:val="center"/>
          </w:tcPr>
          <w:p w14:paraId="1CD5438E">
            <w:pPr>
              <w:widowControl/>
              <w:jc w:val="center"/>
              <w:textAlignment w:val="center"/>
              <w:rPr>
                <w:rFonts w:ascii="Arial" w:hAnsi="Arial" w:cs="Arial"/>
                <w:sz w:val="24"/>
              </w:rPr>
            </w:pPr>
            <w:r>
              <w:rPr>
                <w:rFonts w:hint="eastAsia" w:ascii="宋体" w:hAnsi="宋体" w:eastAsia="宋体" w:cs="宋体"/>
                <w:color w:val="000000"/>
                <w:kern w:val="0"/>
                <w:sz w:val="18"/>
                <w:szCs w:val="18"/>
                <w:lang w:bidi="ar"/>
              </w:rPr>
              <w:t>钢衬塑或由系统配置</w:t>
            </w:r>
          </w:p>
        </w:tc>
      </w:tr>
      <w:tr w14:paraId="1D2CC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5" w:hRule="atLeast"/>
        </w:trPr>
        <w:tc>
          <w:tcPr>
            <w:tcW w:w="3858" w:type="dxa"/>
            <w:vAlign w:val="center"/>
          </w:tcPr>
          <w:p w14:paraId="17E1FB56">
            <w:pPr>
              <w:widowControl/>
              <w:jc w:val="center"/>
              <w:textAlignment w:val="center"/>
              <w:rPr>
                <w:rFonts w:ascii="Arial" w:hAnsi="Arial" w:cs="Arial"/>
                <w:sz w:val="24"/>
              </w:rPr>
            </w:pPr>
            <w:r>
              <w:rPr>
                <w:rFonts w:hint="eastAsia" w:ascii="宋体" w:hAnsi="宋体" w:eastAsia="宋体" w:cs="宋体"/>
                <w:color w:val="000000"/>
                <w:kern w:val="0"/>
                <w:sz w:val="18"/>
                <w:szCs w:val="18"/>
                <w:lang w:bidi="ar"/>
              </w:rPr>
              <w:t>爬梯及平台</w:t>
            </w:r>
          </w:p>
        </w:tc>
        <w:tc>
          <w:tcPr>
            <w:tcW w:w="4017" w:type="dxa"/>
            <w:vAlign w:val="center"/>
          </w:tcPr>
          <w:p w14:paraId="5373D12E">
            <w:pPr>
              <w:widowControl/>
              <w:jc w:val="center"/>
              <w:textAlignment w:val="center"/>
              <w:rPr>
                <w:rFonts w:ascii="Arial" w:hAnsi="Arial" w:cs="Arial"/>
                <w:sz w:val="24"/>
              </w:rPr>
            </w:pPr>
            <w:r>
              <w:rPr>
                <w:rFonts w:hint="eastAsia" w:ascii="宋体" w:hAnsi="宋体" w:eastAsia="宋体" w:cs="宋体"/>
                <w:color w:val="000000"/>
                <w:kern w:val="0"/>
                <w:sz w:val="18"/>
                <w:szCs w:val="18"/>
                <w:lang w:bidi="ar"/>
              </w:rPr>
              <w:t>碳钢防腐</w:t>
            </w:r>
          </w:p>
        </w:tc>
      </w:tr>
      <w:tr w14:paraId="1F867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0" w:hRule="atLeast"/>
        </w:trPr>
        <w:tc>
          <w:tcPr>
            <w:tcW w:w="3858" w:type="dxa"/>
            <w:vAlign w:val="center"/>
          </w:tcPr>
          <w:p w14:paraId="5910EB9D">
            <w:pPr>
              <w:widowControl/>
              <w:jc w:val="center"/>
              <w:textAlignment w:val="center"/>
              <w:rPr>
                <w:rFonts w:ascii="Arial" w:hAnsi="Arial" w:cs="Arial"/>
                <w:sz w:val="24"/>
              </w:rPr>
            </w:pPr>
            <w:r>
              <w:rPr>
                <w:rFonts w:hint="eastAsia" w:ascii="宋体" w:hAnsi="宋体" w:eastAsia="宋体" w:cs="宋体"/>
                <w:color w:val="000000"/>
                <w:kern w:val="0"/>
                <w:sz w:val="18"/>
                <w:szCs w:val="18"/>
                <w:lang w:bidi="ar"/>
              </w:rPr>
              <w:t>所有安装连接附件、地脚螺栓</w:t>
            </w:r>
          </w:p>
        </w:tc>
        <w:tc>
          <w:tcPr>
            <w:tcW w:w="4017" w:type="dxa"/>
            <w:vAlign w:val="center"/>
          </w:tcPr>
          <w:p w14:paraId="792BC737">
            <w:pPr>
              <w:widowControl/>
              <w:jc w:val="center"/>
              <w:textAlignment w:val="center"/>
              <w:rPr>
                <w:rFonts w:ascii="Arial" w:hAnsi="Arial" w:cs="Arial"/>
                <w:sz w:val="24"/>
              </w:rPr>
            </w:pPr>
            <w:r>
              <w:rPr>
                <w:rFonts w:hint="eastAsia" w:ascii="宋体" w:hAnsi="宋体" w:eastAsia="宋体" w:cs="宋体"/>
                <w:color w:val="000000"/>
                <w:kern w:val="0"/>
                <w:sz w:val="18"/>
                <w:szCs w:val="18"/>
                <w:lang w:bidi="ar"/>
              </w:rPr>
              <w:t>根据系统配置</w:t>
            </w:r>
          </w:p>
        </w:tc>
      </w:tr>
    </w:tbl>
    <w:p w14:paraId="04EB1D0A">
      <w:pPr>
        <w:rPr>
          <w:rFonts w:ascii="宋体" w:hAnsi="宋体" w:eastAsia="宋体" w:cs="宋体"/>
          <w:sz w:val="24"/>
          <w:szCs w:val="32"/>
        </w:rPr>
      </w:pPr>
      <w:r>
        <w:rPr>
          <w:rFonts w:hint="eastAsia" w:ascii="宋体" w:hAnsi="宋体" w:eastAsia="宋体" w:cs="宋体"/>
          <w:sz w:val="24"/>
          <w:szCs w:val="32"/>
        </w:rPr>
        <w:t>D. 其它</w:t>
      </w:r>
    </w:p>
    <w:tbl>
      <w:tblPr>
        <w:tblStyle w:val="8"/>
        <w:tblW w:w="7875" w:type="dxa"/>
        <w:tblInd w:w="508" w:type="dxa"/>
        <w:tblLayout w:type="autofit"/>
        <w:tblCellMar>
          <w:top w:w="0" w:type="dxa"/>
          <w:left w:w="108" w:type="dxa"/>
          <w:bottom w:w="0" w:type="dxa"/>
          <w:right w:w="108" w:type="dxa"/>
        </w:tblCellMar>
      </w:tblPr>
      <w:tblGrid>
        <w:gridCol w:w="3863"/>
        <w:gridCol w:w="4012"/>
      </w:tblGrid>
      <w:tr w14:paraId="2D2AB436">
        <w:tblPrEx>
          <w:tblCellMar>
            <w:top w:w="0" w:type="dxa"/>
            <w:left w:w="108" w:type="dxa"/>
            <w:bottom w:w="0" w:type="dxa"/>
            <w:right w:w="108" w:type="dxa"/>
          </w:tblCellMar>
        </w:tblPrEx>
        <w:trPr>
          <w:trHeight w:val="40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5AE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过滤器、均流器、背压阀等</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86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应与输送介质相匹配</w:t>
            </w:r>
          </w:p>
        </w:tc>
      </w:tr>
      <w:tr w14:paraId="34E3687D">
        <w:tblPrEx>
          <w:tblCellMar>
            <w:top w:w="0" w:type="dxa"/>
            <w:left w:w="108" w:type="dxa"/>
            <w:bottom w:w="0" w:type="dxa"/>
            <w:right w:w="108" w:type="dxa"/>
          </w:tblCellMar>
        </w:tblPrEx>
        <w:trPr>
          <w:trHeight w:val="40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54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手动球阀等</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3D3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ABS</w:t>
            </w:r>
          </w:p>
        </w:tc>
      </w:tr>
      <w:tr w14:paraId="3C9ECFD2">
        <w:tblPrEx>
          <w:tblCellMar>
            <w:top w:w="0" w:type="dxa"/>
            <w:left w:w="108" w:type="dxa"/>
            <w:bottom w:w="0" w:type="dxa"/>
            <w:right w:w="108" w:type="dxa"/>
          </w:tblCellMar>
        </w:tblPrEx>
        <w:trPr>
          <w:trHeight w:val="40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C4B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管路及管件</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B05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PVC-U</w:t>
            </w:r>
          </w:p>
        </w:tc>
      </w:tr>
      <w:tr w14:paraId="5D89DE3D">
        <w:tblPrEx>
          <w:tblCellMar>
            <w:top w:w="0" w:type="dxa"/>
            <w:left w:w="108" w:type="dxa"/>
            <w:bottom w:w="0" w:type="dxa"/>
            <w:right w:w="108" w:type="dxa"/>
          </w:tblCellMar>
        </w:tblPrEx>
        <w:trPr>
          <w:trHeight w:val="40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76E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支架</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7C3C">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Q235-B </w:t>
            </w:r>
            <w:r>
              <w:rPr>
                <w:rFonts w:hint="eastAsia" w:ascii="宋体" w:hAnsi="宋体" w:eastAsia="宋体" w:cs="宋体"/>
                <w:color w:val="000000"/>
                <w:kern w:val="0"/>
                <w:sz w:val="18"/>
                <w:szCs w:val="18"/>
                <w:lang w:bidi="ar"/>
              </w:rPr>
              <w:t>，加药间内可采用</w:t>
            </w:r>
            <w:r>
              <w:rPr>
                <w:rFonts w:ascii="Arial" w:hAnsi="Arial" w:eastAsia="宋体" w:cs="Arial"/>
                <w:color w:val="000000"/>
                <w:kern w:val="0"/>
                <w:sz w:val="18"/>
                <w:szCs w:val="18"/>
                <w:lang w:bidi="ar"/>
              </w:rPr>
              <w:t xml:space="preserve"> SS304</w:t>
            </w:r>
          </w:p>
        </w:tc>
      </w:tr>
      <w:tr w14:paraId="3998772F">
        <w:tblPrEx>
          <w:tblCellMar>
            <w:top w:w="0" w:type="dxa"/>
            <w:left w:w="108" w:type="dxa"/>
            <w:bottom w:w="0" w:type="dxa"/>
            <w:right w:w="108" w:type="dxa"/>
          </w:tblCellMar>
        </w:tblPrEx>
        <w:trPr>
          <w:trHeight w:val="40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BF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所有连接附件、地脚螺栓</w:t>
            </w:r>
          </w:p>
        </w:tc>
        <w:tc>
          <w:tcPr>
            <w:tcW w:w="4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D6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根据系统配置</w:t>
            </w:r>
          </w:p>
        </w:tc>
      </w:tr>
    </w:tbl>
    <w:p w14:paraId="29212935">
      <w:pPr>
        <w:spacing w:line="360" w:lineRule="auto"/>
        <w:ind w:firstLine="482" w:firstLineChars="200"/>
        <w:rPr>
          <w:rFonts w:ascii="宋体" w:hAnsi="宋体" w:eastAsia="宋体" w:cs="宋体"/>
          <w:b/>
          <w:bCs/>
          <w:sz w:val="24"/>
        </w:rPr>
      </w:pPr>
    </w:p>
    <w:p w14:paraId="783695A4">
      <w:pPr>
        <w:pStyle w:val="3"/>
        <w:rPr>
          <w:rFonts w:ascii="宋体" w:hAnsi="宋体" w:eastAsia="宋体" w:cs="宋体"/>
          <w:sz w:val="24"/>
          <w:szCs w:val="22"/>
        </w:rPr>
      </w:pPr>
      <w:r>
        <w:rPr>
          <w:rFonts w:hint="eastAsia" w:ascii="宋体" w:hAnsi="宋体" w:eastAsia="宋体" w:cs="宋体"/>
          <w:sz w:val="24"/>
          <w:szCs w:val="22"/>
        </w:rPr>
        <w:t>3.2.3.5控制要求</w:t>
      </w:r>
    </w:p>
    <w:p w14:paraId="6117A80A">
      <w:pPr>
        <w:spacing w:line="360" w:lineRule="auto"/>
        <w:ind w:firstLine="480" w:firstLineChars="200"/>
        <w:rPr>
          <w:rFonts w:ascii="宋体" w:hAnsi="宋体" w:eastAsia="宋体" w:cs="宋体"/>
          <w:sz w:val="24"/>
        </w:rPr>
      </w:pPr>
      <w:r>
        <w:rPr>
          <w:rFonts w:hint="eastAsia" w:ascii="宋体" w:hAnsi="宋体" w:eastAsia="宋体" w:cs="宋体"/>
          <w:sz w:val="24"/>
        </w:rPr>
        <w:t>A.控制柜为室内安装，带可编程控制器，系统要求有两种控制功能：就地手动 控制、自动控制。</w:t>
      </w:r>
    </w:p>
    <w:p w14:paraId="63968463">
      <w:pPr>
        <w:spacing w:line="360" w:lineRule="auto"/>
        <w:ind w:firstLine="480" w:firstLineChars="200"/>
        <w:rPr>
          <w:rFonts w:ascii="宋体" w:hAnsi="宋体" w:eastAsia="宋体" w:cs="宋体"/>
          <w:sz w:val="24"/>
        </w:rPr>
      </w:pPr>
      <w:r>
        <w:rPr>
          <w:rFonts w:hint="eastAsia" w:ascii="宋体" w:hAnsi="宋体" w:eastAsia="宋体" w:cs="宋体"/>
          <w:sz w:val="24"/>
        </w:rPr>
        <w:t>B.外壳：IP54。</w:t>
      </w:r>
    </w:p>
    <w:p w14:paraId="2061B45E">
      <w:pPr>
        <w:spacing w:line="360" w:lineRule="auto"/>
        <w:ind w:firstLine="480" w:firstLineChars="200"/>
        <w:rPr>
          <w:rFonts w:ascii="宋体" w:hAnsi="宋体" w:eastAsia="宋体" w:cs="宋体"/>
          <w:sz w:val="24"/>
        </w:rPr>
      </w:pPr>
      <w:r>
        <w:rPr>
          <w:rFonts w:hint="eastAsia" w:ascii="宋体" w:hAnsi="宋体" w:eastAsia="宋体" w:cs="宋体"/>
          <w:sz w:val="24"/>
        </w:rPr>
        <w:t>C.控制柜的材料为不锈钢，钢板厚度不小于 2.0mm。门采用三位置锁。测量表 计、控制开关、信号灯要安装在前面板上。微型断路器、接触器、继电器、 PLC 等安装在控制箱内。接线端子安装在两侧。电气设备分包商要与机械设 备分包商商定电气连锁的要求。</w:t>
      </w:r>
    </w:p>
    <w:p w14:paraId="5F512AED">
      <w:pPr>
        <w:spacing w:line="360" w:lineRule="auto"/>
        <w:ind w:firstLine="480" w:firstLineChars="200"/>
        <w:rPr>
          <w:rFonts w:ascii="宋体" w:hAnsi="宋体" w:eastAsia="宋体" w:cs="宋体"/>
          <w:sz w:val="24"/>
        </w:rPr>
      </w:pPr>
      <w:r>
        <w:rPr>
          <w:rFonts w:hint="eastAsia" w:ascii="宋体" w:hAnsi="宋体" w:eastAsia="宋体" w:cs="宋体"/>
          <w:sz w:val="24"/>
        </w:rPr>
        <w:t>D.箱内预留三相及单相备用出线微断10A。</w:t>
      </w:r>
    </w:p>
    <w:p w14:paraId="47E8A974">
      <w:pPr>
        <w:spacing w:line="360" w:lineRule="auto"/>
        <w:ind w:firstLine="480" w:firstLineChars="200"/>
        <w:rPr>
          <w:rFonts w:ascii="宋体" w:hAnsi="宋体" w:eastAsia="宋体" w:cs="宋体"/>
          <w:sz w:val="24"/>
        </w:rPr>
      </w:pPr>
      <w:r>
        <w:rPr>
          <w:rFonts w:hint="eastAsia" w:ascii="宋体" w:hAnsi="宋体" w:eastAsia="宋体" w:cs="宋体"/>
          <w:sz w:val="24"/>
        </w:rPr>
        <w:t>E.测量参数、设备的运行及故障等信号进入可编程控制器并以现场总线的方式 与相应的现场控制站通讯。</w:t>
      </w:r>
    </w:p>
    <w:p w14:paraId="43B99B6F">
      <w:pPr>
        <w:spacing w:line="360" w:lineRule="auto"/>
        <w:ind w:firstLine="480" w:firstLineChars="200"/>
        <w:rPr>
          <w:rFonts w:ascii="宋体" w:hAnsi="宋体" w:eastAsia="宋体" w:cs="宋体"/>
          <w:sz w:val="24"/>
        </w:rPr>
      </w:pPr>
      <w:r>
        <w:rPr>
          <w:rFonts w:hint="eastAsia" w:ascii="宋体" w:hAnsi="宋体" w:eastAsia="宋体" w:cs="宋体"/>
          <w:sz w:val="24"/>
        </w:rPr>
        <w:t>F.控制器具备接受储药池等的液位测量和加药流量测量等信号（4~20mA）的功 能。</w:t>
      </w:r>
    </w:p>
    <w:p w14:paraId="428CD86D">
      <w:pPr>
        <w:spacing w:line="360" w:lineRule="auto"/>
        <w:ind w:firstLine="480" w:firstLineChars="200"/>
        <w:rPr>
          <w:rFonts w:ascii="宋体" w:hAnsi="宋体" w:eastAsia="宋体" w:cs="宋体"/>
          <w:sz w:val="24"/>
        </w:rPr>
      </w:pPr>
      <w:r>
        <w:rPr>
          <w:rFonts w:hint="eastAsia" w:ascii="宋体" w:hAnsi="宋体" w:eastAsia="宋体" w:cs="宋体"/>
          <w:sz w:val="24"/>
        </w:rPr>
        <w:t>G.控制柜其它技术要求见2.7节。</w:t>
      </w:r>
    </w:p>
    <w:p w14:paraId="3057A50A">
      <w:pPr>
        <w:spacing w:line="360" w:lineRule="auto"/>
        <w:ind w:firstLine="480" w:firstLineChars="200"/>
        <w:rPr>
          <w:rFonts w:ascii="宋体" w:hAnsi="宋体" w:eastAsia="宋体" w:cs="宋体"/>
          <w:sz w:val="24"/>
        </w:rPr>
      </w:pPr>
      <w:r>
        <w:rPr>
          <w:rFonts w:hint="eastAsia" w:ascii="宋体" w:hAnsi="宋体" w:eastAsia="宋体" w:cs="宋体"/>
          <w:sz w:val="24"/>
        </w:rPr>
        <w:t>H.设备现场还应设置按钮箱。</w:t>
      </w:r>
    </w:p>
    <w:p w14:paraId="2D634980">
      <w:pPr>
        <w:pStyle w:val="3"/>
        <w:rPr>
          <w:rFonts w:ascii="宋体" w:hAnsi="宋体" w:eastAsia="宋体" w:cs="宋体"/>
          <w:sz w:val="24"/>
          <w:szCs w:val="22"/>
        </w:rPr>
      </w:pPr>
      <w:r>
        <w:rPr>
          <w:rFonts w:hint="eastAsia" w:ascii="宋体" w:hAnsi="宋体" w:eastAsia="宋体" w:cs="宋体"/>
          <w:sz w:val="24"/>
          <w:szCs w:val="22"/>
        </w:rPr>
        <w:t>3.2.3.6  出厂检验</w:t>
      </w:r>
    </w:p>
    <w:p w14:paraId="5507774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A.每台加药泵和搅拌设备在出厂前须在额定转速下进行空载试验，运转时间不 少于 4h 并附有产品合格证和使用维护说明书方可出厂。设备出厂检验应包括 以下内容：</w:t>
      </w:r>
    </w:p>
    <w:p w14:paraId="1A78FA4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性能检测</w:t>
      </w:r>
    </w:p>
    <w:p w14:paraId="2E27255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振动测试</w:t>
      </w:r>
    </w:p>
    <w:p w14:paraId="2ECFDAB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噪声测试</w:t>
      </w:r>
    </w:p>
    <w:p w14:paraId="77055D3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轴承温度检测</w:t>
      </w:r>
    </w:p>
    <w:p w14:paraId="23D6DC0E">
      <w:pPr>
        <w:pStyle w:val="3"/>
        <w:rPr>
          <w:rFonts w:ascii="宋体" w:hAnsi="宋体" w:eastAsia="宋体" w:cs="宋体"/>
          <w:sz w:val="24"/>
          <w:szCs w:val="22"/>
        </w:rPr>
      </w:pPr>
      <w:r>
        <w:rPr>
          <w:rFonts w:hint="eastAsia" w:ascii="宋体" w:hAnsi="宋体" w:eastAsia="宋体" w:cs="宋体"/>
          <w:sz w:val="24"/>
          <w:szCs w:val="22"/>
        </w:rPr>
        <w:t>3.2.3.7 检验、调试和试车</w:t>
      </w:r>
    </w:p>
    <w:p w14:paraId="04C4D85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A.按照第 2 节要求和标准 GB50231《机械设备安装工程施工及验收通用规范》、 GB50275《压缩机、风机、泵安装工程施工及验收规范》进行空载、负载、清水和污水运行试验。</w:t>
      </w:r>
    </w:p>
    <w:p w14:paraId="0EAC072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B.所有管路、阀门均不允许有泄漏。</w:t>
      </w:r>
    </w:p>
    <w:p w14:paraId="789B279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C.所有仪表和阀门应灵敏可靠。</w:t>
      </w:r>
    </w:p>
    <w:p w14:paraId="734A2C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D.泵装置运转平稳，无振动和异常声响。 </w:t>
      </w:r>
    </w:p>
    <w:p w14:paraId="7F95A0B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E.加药泵计量准确。</w:t>
      </w:r>
    </w:p>
    <w:p w14:paraId="2A4362B9">
      <w:pPr>
        <w:pStyle w:val="2"/>
        <w:rPr>
          <w:rFonts w:ascii="宋体" w:hAnsi="宋体" w:eastAsia="宋体" w:cs="宋体"/>
          <w:sz w:val="28"/>
          <w:szCs w:val="22"/>
        </w:rPr>
      </w:pPr>
      <w:bookmarkStart w:id="2" w:name="bookmark82"/>
      <w:bookmarkEnd w:id="2"/>
      <w:r>
        <w:rPr>
          <w:rFonts w:hint="eastAsia" w:ascii="宋体" w:hAnsi="宋体" w:eastAsia="宋体" w:cs="宋体"/>
          <w:sz w:val="28"/>
          <w:szCs w:val="22"/>
        </w:rPr>
        <w:t>四.电气设备</w:t>
      </w:r>
    </w:p>
    <w:p w14:paraId="762F2FBE">
      <w:pPr>
        <w:pStyle w:val="3"/>
        <w:rPr>
          <w:rFonts w:ascii="宋体" w:hAnsi="宋体" w:eastAsia="宋体" w:cs="宋体"/>
          <w:sz w:val="24"/>
          <w:szCs w:val="22"/>
        </w:rPr>
      </w:pPr>
      <w:bookmarkStart w:id="3" w:name="bookmark84"/>
      <w:bookmarkEnd w:id="3"/>
      <w:bookmarkStart w:id="4" w:name="bookmark100"/>
      <w:bookmarkEnd w:id="4"/>
      <w:r>
        <w:rPr>
          <w:rFonts w:hint="eastAsia" w:ascii="宋体" w:hAnsi="宋体" w:eastAsia="宋体" w:cs="宋体"/>
          <w:sz w:val="24"/>
          <w:szCs w:val="22"/>
        </w:rPr>
        <w:t>4.1 低压电气设备</w:t>
      </w:r>
    </w:p>
    <w:p w14:paraId="0B477261">
      <w:pPr>
        <w:pStyle w:val="3"/>
        <w:rPr>
          <w:rFonts w:ascii="宋体" w:hAnsi="宋体" w:eastAsia="宋体" w:cs="宋体"/>
          <w:sz w:val="24"/>
          <w:szCs w:val="22"/>
        </w:rPr>
      </w:pPr>
      <w:r>
        <w:rPr>
          <w:rFonts w:hint="eastAsia" w:ascii="宋体" w:hAnsi="宋体" w:eastAsia="宋体" w:cs="宋体"/>
          <w:sz w:val="24"/>
          <w:szCs w:val="22"/>
        </w:rPr>
        <w:t>4.1.1 概述</w:t>
      </w:r>
    </w:p>
    <w:p w14:paraId="4EFBAB8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A.本部分包括马达控制中心(MCC)、配电控制柜等低压电气设备。</w:t>
      </w:r>
    </w:p>
    <w:p w14:paraId="27EF83E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B.互感器、指示灯、按钮、控制开关、表计、端子、熔断器等元件选型应统一。</w:t>
      </w:r>
    </w:p>
    <w:p w14:paraId="2AA3069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C.变送表、变频器、软起动器等带通讯功能，要求支持 串行 I/O 、modbus 、profibus 、Controlnet 等接口协议，并与 PLC 系统一致。</w:t>
      </w:r>
    </w:p>
    <w:p w14:paraId="4B3F822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D.低压控制柜安装在车间现场的其材质为不锈钢 304，防护等级不低于 IP55 ， 在水源附近（如水泵及管道旁），其防护等级不低于 IP55。安装在独立配电 室内的柜体防护等级为 IP4X。</w:t>
      </w:r>
    </w:p>
    <w:p w14:paraId="5E70E2B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E.投标人应根据投标用电设备的具体情况（容量、数量等）来相应调整低压配 电系统图等内容。</w:t>
      </w:r>
    </w:p>
    <w:p w14:paraId="2BB66A7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F.除注明外，低压开关柜进线均为母线上进线，出线均为电缆下出线。 </w:t>
      </w:r>
    </w:p>
    <w:p w14:paraId="101E0A0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H.低压电器设备技术要求见第 2.7.节相关要求。</w:t>
      </w:r>
    </w:p>
    <w:p w14:paraId="6B728E7E">
      <w:pPr>
        <w:pStyle w:val="3"/>
        <w:rPr>
          <w:rFonts w:ascii="宋体" w:hAnsi="宋体" w:eastAsia="宋体" w:cs="宋体"/>
          <w:sz w:val="24"/>
          <w:szCs w:val="22"/>
        </w:rPr>
      </w:pPr>
      <w:r>
        <w:rPr>
          <w:rFonts w:hint="eastAsia" w:ascii="宋体" w:hAnsi="宋体" w:eastAsia="宋体" w:cs="宋体"/>
          <w:sz w:val="24"/>
          <w:szCs w:val="22"/>
        </w:rPr>
        <w:t>4.1.2供货内容</w:t>
      </w:r>
    </w:p>
    <w:p w14:paraId="24D17894">
      <w:pPr>
        <w:pStyle w:val="3"/>
        <w:rPr>
          <w:rFonts w:ascii="宋体" w:hAnsi="宋体" w:eastAsia="宋体" w:cs="宋体"/>
          <w:szCs w:val="32"/>
        </w:rPr>
      </w:pPr>
      <w:r>
        <w:fldChar w:fldCharType="begin"/>
      </w:r>
      <w:r>
        <w:instrText xml:space="preserve"> HYPERLINK "file:///C:\\Users\\TD5466\\Desktop\\昆15_0804\\4.9.2.1" </w:instrText>
      </w:r>
      <w:r>
        <w:fldChar w:fldCharType="separate"/>
      </w:r>
      <w:r>
        <w:rPr>
          <w:rFonts w:hint="eastAsia" w:ascii="宋体" w:hAnsi="宋体" w:eastAsia="宋体" w:cs="宋体"/>
          <w:sz w:val="24"/>
          <w:szCs w:val="22"/>
        </w:rPr>
        <w:t>4.1.2.1</w:t>
      </w:r>
      <w:r>
        <w:rPr>
          <w:rFonts w:hint="eastAsia" w:ascii="宋体" w:hAnsi="宋体" w:eastAsia="宋体" w:cs="宋体"/>
          <w:sz w:val="24"/>
          <w:szCs w:val="22"/>
        </w:rPr>
        <w:fldChar w:fldCharType="end"/>
      </w:r>
      <w:r>
        <w:rPr>
          <w:rFonts w:hint="eastAsia" w:ascii="宋体" w:hAnsi="宋体" w:eastAsia="宋体" w:cs="宋体"/>
          <w:sz w:val="24"/>
          <w:szCs w:val="22"/>
        </w:rPr>
        <w:t xml:space="preserve"> 低压柜、变频器控制柜及软启动器控制柜</w:t>
      </w:r>
    </w:p>
    <w:p w14:paraId="130B828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1.数量详见货物需求一览表</w:t>
      </w:r>
    </w:p>
    <w:p w14:paraId="3B9B812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2.设备技术要求见第 2.7.节相关要求。</w:t>
      </w:r>
    </w:p>
    <w:p w14:paraId="57B6CEFF">
      <w:pPr>
        <w:pStyle w:val="3"/>
        <w:rPr>
          <w:rFonts w:ascii="宋体" w:hAnsi="宋体" w:eastAsia="宋体" w:cs="宋体"/>
          <w:szCs w:val="32"/>
        </w:rPr>
      </w:pPr>
      <w:r>
        <w:fldChar w:fldCharType="begin"/>
      </w:r>
      <w:r>
        <w:instrText xml:space="preserve"> HYPERLINK "file:///C:\\Users\\TD5466\\Desktop\\昆15_0804\\4.9.2.2" </w:instrText>
      </w:r>
      <w:r>
        <w:fldChar w:fldCharType="separate"/>
      </w:r>
      <w:r>
        <w:rPr>
          <w:rFonts w:hint="eastAsia" w:ascii="宋体" w:hAnsi="宋体" w:eastAsia="宋体" w:cs="宋体"/>
          <w:sz w:val="24"/>
          <w:szCs w:val="22"/>
        </w:rPr>
        <w:t>4.1.2.2</w:t>
      </w:r>
      <w:r>
        <w:rPr>
          <w:rFonts w:hint="eastAsia" w:ascii="宋体" w:hAnsi="宋体" w:eastAsia="宋体" w:cs="宋体"/>
          <w:sz w:val="24"/>
          <w:szCs w:val="22"/>
        </w:rPr>
        <w:fldChar w:fldCharType="end"/>
      </w:r>
      <w:r>
        <w:rPr>
          <w:rFonts w:hint="eastAsia" w:ascii="宋体" w:hAnsi="宋体" w:eastAsia="宋体" w:cs="宋体"/>
          <w:sz w:val="24"/>
          <w:szCs w:val="22"/>
        </w:rPr>
        <w:t>配电柜及配电箱</w:t>
      </w:r>
    </w:p>
    <w:p w14:paraId="1B2FE2F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B.配电柜及配电箱</w:t>
      </w:r>
    </w:p>
    <w:p w14:paraId="17228E1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1.数量详见货物需求一览表</w:t>
      </w:r>
    </w:p>
    <w:p w14:paraId="23B123C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2.设备技术要求见第 2.7.9 节相关要求。</w:t>
      </w:r>
    </w:p>
    <w:p w14:paraId="5DB75274">
      <w:pPr>
        <w:pStyle w:val="3"/>
        <w:rPr>
          <w:rFonts w:ascii="宋体" w:hAnsi="宋体" w:eastAsia="宋体" w:cs="宋体"/>
          <w:szCs w:val="32"/>
        </w:rPr>
      </w:pPr>
      <w:r>
        <w:fldChar w:fldCharType="begin"/>
      </w:r>
      <w:r>
        <w:instrText xml:space="preserve"> HYPERLINK "file:///C:\\Users\\TD5466\\Desktop\\昆15_0804\\4.9.2.3" </w:instrText>
      </w:r>
      <w:r>
        <w:fldChar w:fldCharType="separate"/>
      </w:r>
      <w:r>
        <w:rPr>
          <w:rFonts w:hint="eastAsia" w:ascii="宋体" w:hAnsi="宋体" w:eastAsia="宋体" w:cs="宋体"/>
          <w:sz w:val="24"/>
          <w:szCs w:val="22"/>
        </w:rPr>
        <w:t>4.1.2.3</w:t>
      </w:r>
      <w:r>
        <w:rPr>
          <w:rFonts w:hint="eastAsia" w:ascii="宋体" w:hAnsi="宋体" w:eastAsia="宋体" w:cs="宋体"/>
          <w:sz w:val="24"/>
          <w:szCs w:val="22"/>
        </w:rPr>
        <w:fldChar w:fldCharType="end"/>
      </w:r>
      <w:r>
        <w:rPr>
          <w:rFonts w:hint="eastAsia" w:ascii="宋体" w:hAnsi="宋体" w:eastAsia="宋体" w:cs="宋体"/>
          <w:sz w:val="24"/>
          <w:szCs w:val="22"/>
        </w:rPr>
        <w:t xml:space="preserve"> 设备配套控制箱柜</w:t>
      </w:r>
    </w:p>
    <w:p w14:paraId="5CE303F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1.均由工艺设备配套提供。</w:t>
      </w:r>
    </w:p>
    <w:p w14:paraId="0C1BA35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2.功能及数量详见货物需求一览表</w:t>
      </w:r>
    </w:p>
    <w:p w14:paraId="1B5662E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3.设备技术要求见第 2.7 节及第 3 节工艺设备相关要求。</w:t>
      </w:r>
    </w:p>
    <w:p w14:paraId="5C1CFC07">
      <w:pPr>
        <w:spacing w:line="360" w:lineRule="auto"/>
        <w:ind w:firstLine="480" w:firstLineChars="200"/>
      </w:pPr>
      <w:r>
        <w:rPr>
          <w:rFonts w:hint="eastAsia" w:ascii="宋体" w:hAnsi="宋体" w:eastAsia="宋体" w:cs="宋体"/>
          <w:sz w:val="24"/>
          <w:szCs w:val="32"/>
        </w:rPr>
        <w:t>4.部分系统需配套提供系统内电缆，见货物需求一览表。</w:t>
      </w:r>
    </w:p>
    <w:p w14:paraId="5EFD76A7">
      <w:pPr>
        <w:pStyle w:val="3"/>
        <w:rPr>
          <w:rFonts w:ascii="宋体" w:hAnsi="宋体" w:eastAsia="宋体" w:cs="宋体"/>
        </w:rPr>
      </w:pPr>
      <w:r>
        <w:fldChar w:fldCharType="begin"/>
      </w:r>
      <w:r>
        <w:instrText xml:space="preserve"> HYPERLINK "file:///C:\\Users\\TD5466\\Desktop\\昆15_0804\\4.9.2.5" </w:instrText>
      </w:r>
      <w:r>
        <w:fldChar w:fldCharType="separate"/>
      </w:r>
      <w:r>
        <w:rPr>
          <w:rFonts w:hint="eastAsia" w:ascii="宋体" w:hAnsi="宋体" w:eastAsia="宋体" w:cs="宋体"/>
          <w:sz w:val="24"/>
          <w:szCs w:val="22"/>
        </w:rPr>
        <w:t>4.1.2.4</w:t>
      </w:r>
      <w:r>
        <w:rPr>
          <w:rFonts w:hint="eastAsia" w:ascii="宋体" w:hAnsi="宋体" w:eastAsia="宋体" w:cs="宋体"/>
          <w:sz w:val="24"/>
          <w:szCs w:val="22"/>
        </w:rPr>
        <w:fldChar w:fldCharType="end"/>
      </w:r>
      <w:r>
        <w:rPr>
          <w:rFonts w:hint="eastAsia" w:ascii="宋体" w:hAnsi="宋体" w:eastAsia="宋体" w:cs="宋体"/>
          <w:sz w:val="24"/>
          <w:szCs w:val="22"/>
        </w:rPr>
        <w:t xml:space="preserve"> 电缆夹层液位监测报警及水泵控制箱</w:t>
      </w:r>
    </w:p>
    <w:p w14:paraId="3CBDC3E7">
      <w:pPr>
        <w:spacing w:line="360" w:lineRule="auto"/>
        <w:ind w:firstLine="480" w:firstLineChars="200"/>
        <w:rPr>
          <w:rFonts w:ascii="宋体" w:hAnsi="宋体" w:eastAsia="宋体" w:cs="宋体"/>
          <w:sz w:val="24"/>
        </w:rPr>
      </w:pPr>
      <w:r>
        <w:rPr>
          <w:rFonts w:hint="eastAsia" w:ascii="宋体" w:hAnsi="宋体" w:eastAsia="宋体" w:cs="宋体"/>
          <w:sz w:val="24"/>
        </w:rPr>
        <w:t>B.各总变和分变电缆夹层设置防淹泡液位监测报警系统</w:t>
      </w:r>
    </w:p>
    <w:p w14:paraId="57114996">
      <w:pPr>
        <w:spacing w:line="360" w:lineRule="auto"/>
        <w:ind w:firstLine="480" w:firstLineChars="200"/>
        <w:rPr>
          <w:rFonts w:ascii="宋体" w:hAnsi="宋体" w:eastAsia="宋体" w:cs="宋体"/>
          <w:sz w:val="24"/>
        </w:rPr>
      </w:pPr>
      <w:r>
        <w:rPr>
          <w:rFonts w:hint="eastAsia" w:ascii="宋体" w:hAnsi="宋体" w:eastAsia="宋体" w:cs="宋体"/>
          <w:sz w:val="24"/>
        </w:rPr>
        <w:t>C.系统包括液位开关、潜水泵、防水电缆及控制箱：</w:t>
      </w:r>
    </w:p>
    <w:p w14:paraId="4D40E312">
      <w:pPr>
        <w:spacing w:line="360" w:lineRule="auto"/>
        <w:ind w:firstLine="480" w:firstLineChars="200"/>
        <w:rPr>
          <w:rFonts w:ascii="宋体" w:hAnsi="宋体" w:eastAsia="宋体" w:cs="宋体"/>
          <w:sz w:val="24"/>
        </w:rPr>
      </w:pPr>
      <w:r>
        <w:rPr>
          <w:rFonts w:hint="eastAsia" w:ascii="宋体" w:hAnsi="宋体" w:eastAsia="宋体" w:cs="宋体"/>
          <w:sz w:val="24"/>
        </w:rPr>
        <w:t>1.装配完整的潜污泵（包括泵壳、叶轮、机械密封、泵轴等）</w:t>
      </w:r>
    </w:p>
    <w:p w14:paraId="4D5412BD">
      <w:pPr>
        <w:spacing w:line="360" w:lineRule="auto"/>
        <w:ind w:firstLine="480" w:firstLineChars="200"/>
        <w:rPr>
          <w:rFonts w:ascii="宋体" w:hAnsi="宋体" w:eastAsia="宋体" w:cs="宋体"/>
          <w:sz w:val="24"/>
        </w:rPr>
      </w:pPr>
      <w:r>
        <w:rPr>
          <w:rFonts w:hint="eastAsia" w:ascii="宋体" w:hAnsi="宋体" w:eastAsia="宋体" w:cs="宋体"/>
          <w:sz w:val="24"/>
        </w:rPr>
        <w:t>2.潜水电机</w:t>
      </w:r>
    </w:p>
    <w:p w14:paraId="2D5FB766">
      <w:pPr>
        <w:spacing w:line="360" w:lineRule="auto"/>
        <w:ind w:firstLine="480" w:firstLineChars="200"/>
        <w:rPr>
          <w:rFonts w:ascii="宋体" w:hAnsi="宋体" w:eastAsia="宋体" w:cs="宋体"/>
          <w:sz w:val="24"/>
        </w:rPr>
      </w:pPr>
      <w:r>
        <w:rPr>
          <w:rFonts w:hint="eastAsia" w:ascii="宋体" w:hAnsi="宋体" w:eastAsia="宋体" w:cs="宋体"/>
          <w:sz w:val="24"/>
        </w:rPr>
        <w:t>3.包括支架、提升链全套提升装置等</w:t>
      </w:r>
    </w:p>
    <w:p w14:paraId="4C0B9C9F">
      <w:pPr>
        <w:spacing w:line="360" w:lineRule="auto"/>
        <w:ind w:firstLine="480" w:firstLineChars="200"/>
        <w:rPr>
          <w:rFonts w:ascii="宋体" w:hAnsi="宋体" w:eastAsia="宋体" w:cs="宋体"/>
          <w:sz w:val="24"/>
        </w:rPr>
      </w:pPr>
      <w:r>
        <w:rPr>
          <w:rFonts w:hint="eastAsia" w:ascii="宋体" w:hAnsi="宋体" w:eastAsia="宋体" w:cs="宋体"/>
          <w:sz w:val="24"/>
        </w:rPr>
        <w:t>4.潜水电缆（长度根据现场条件配）、接头、紧固件、电缆接线箱</w:t>
      </w:r>
    </w:p>
    <w:p w14:paraId="74844E0F">
      <w:pPr>
        <w:spacing w:line="360" w:lineRule="auto"/>
        <w:ind w:firstLine="480" w:firstLineChars="200"/>
        <w:rPr>
          <w:rFonts w:ascii="宋体" w:hAnsi="宋体" w:eastAsia="宋体" w:cs="宋体"/>
          <w:sz w:val="24"/>
        </w:rPr>
      </w:pPr>
      <w:r>
        <w:rPr>
          <w:rFonts w:hint="eastAsia" w:ascii="宋体" w:hAnsi="宋体" w:eastAsia="宋体" w:cs="宋体"/>
          <w:sz w:val="24"/>
        </w:rPr>
        <w:t>5.带 20 米排水软管及连接件（移动式排污泵）</w:t>
      </w:r>
    </w:p>
    <w:p w14:paraId="12B38E89">
      <w:pPr>
        <w:spacing w:line="360" w:lineRule="auto"/>
        <w:ind w:firstLine="480" w:firstLineChars="200"/>
        <w:rPr>
          <w:rFonts w:ascii="宋体" w:hAnsi="宋体" w:eastAsia="宋体" w:cs="宋体"/>
          <w:sz w:val="24"/>
        </w:rPr>
      </w:pPr>
      <w:r>
        <w:rPr>
          <w:rFonts w:hint="eastAsia" w:ascii="宋体" w:hAnsi="宋体" w:eastAsia="宋体" w:cs="宋体"/>
          <w:sz w:val="24"/>
        </w:rPr>
        <w:t>6.液位计或液位开关控制装置，具有液位启泵、液位报警功能（信号上传中控室）</w:t>
      </w:r>
    </w:p>
    <w:p w14:paraId="0D6FE5A1">
      <w:pPr>
        <w:spacing w:line="360" w:lineRule="auto"/>
        <w:ind w:firstLine="480" w:firstLineChars="200"/>
        <w:rPr>
          <w:rFonts w:ascii="宋体" w:hAnsi="宋体" w:eastAsia="宋体" w:cs="宋体"/>
          <w:sz w:val="24"/>
        </w:rPr>
      </w:pPr>
      <w:r>
        <w:rPr>
          <w:rFonts w:hint="eastAsia" w:ascii="宋体" w:hAnsi="宋体" w:eastAsia="宋体" w:cs="宋体"/>
          <w:sz w:val="24"/>
        </w:rPr>
        <w:t>7.现场控制箱，箱内预留远方控制接点及运行故障无源接点信号端子至 PLC</w:t>
      </w:r>
    </w:p>
    <w:p w14:paraId="18C90C62">
      <w:pPr>
        <w:spacing w:line="360" w:lineRule="auto"/>
        <w:ind w:firstLine="480" w:firstLineChars="200"/>
        <w:rPr>
          <w:rFonts w:ascii="宋体" w:hAnsi="宋体" w:eastAsia="宋体" w:cs="宋体"/>
          <w:sz w:val="24"/>
        </w:rPr>
      </w:pPr>
      <w:r>
        <w:rPr>
          <w:rFonts w:hint="eastAsia" w:ascii="宋体" w:hAnsi="宋体" w:eastAsia="宋体" w:cs="宋体"/>
          <w:sz w:val="24"/>
        </w:rPr>
        <w:t>8.所有连接附件、化学地脚螺栓</w:t>
      </w:r>
    </w:p>
    <w:p w14:paraId="73ECDC99">
      <w:pPr>
        <w:spacing w:line="360" w:lineRule="auto"/>
        <w:ind w:firstLine="480" w:firstLineChars="200"/>
      </w:pPr>
      <w:r>
        <w:rPr>
          <w:rFonts w:hint="eastAsia" w:ascii="宋体" w:hAnsi="宋体" w:eastAsia="宋体" w:cs="宋体"/>
          <w:sz w:val="24"/>
        </w:rPr>
        <w:t>9. 水泵技术要求见第 3 节工艺设备相关要求。</w:t>
      </w:r>
    </w:p>
    <w:p w14:paraId="60D7C0FB">
      <w:pPr>
        <w:pStyle w:val="2"/>
        <w:rPr>
          <w:rFonts w:ascii="宋体" w:hAnsi="宋体" w:eastAsia="宋体" w:cs="宋体"/>
          <w:sz w:val="28"/>
          <w:szCs w:val="22"/>
        </w:rPr>
      </w:pPr>
      <w:bookmarkStart w:id="5" w:name="bookmark102"/>
      <w:bookmarkEnd w:id="5"/>
      <w:r>
        <w:rPr>
          <w:rFonts w:hint="eastAsia" w:ascii="宋体" w:hAnsi="宋体" w:eastAsia="宋体" w:cs="宋体"/>
          <w:sz w:val="28"/>
          <w:szCs w:val="22"/>
        </w:rPr>
        <w:t>五.仪表自控系统</w:t>
      </w:r>
    </w:p>
    <w:p w14:paraId="5013507F">
      <w:pPr>
        <w:pStyle w:val="3"/>
        <w:rPr>
          <w:rFonts w:ascii="宋体" w:hAnsi="宋体" w:eastAsia="宋体" w:cs="宋体"/>
          <w:sz w:val="24"/>
          <w:szCs w:val="22"/>
        </w:rPr>
      </w:pPr>
      <w:bookmarkStart w:id="6" w:name="bookmark104"/>
      <w:bookmarkEnd w:id="6"/>
      <w:r>
        <w:rPr>
          <w:rFonts w:hint="eastAsia" w:ascii="宋体" w:hAnsi="宋体" w:eastAsia="宋体" w:cs="宋体"/>
          <w:sz w:val="24"/>
          <w:szCs w:val="22"/>
        </w:rPr>
        <w:t>5.1  控制系统、仪表系统、监视系统通用技术要求</w:t>
      </w:r>
    </w:p>
    <w:p w14:paraId="100406E2">
      <w:pPr>
        <w:pStyle w:val="3"/>
        <w:rPr>
          <w:rFonts w:ascii="宋体" w:hAnsi="宋体" w:eastAsia="宋体" w:cs="宋体"/>
          <w:sz w:val="24"/>
          <w:szCs w:val="22"/>
        </w:rPr>
      </w:pPr>
      <w:r>
        <w:rPr>
          <w:rFonts w:hint="eastAsia" w:ascii="宋体" w:hAnsi="宋体" w:eastAsia="宋体" w:cs="宋体"/>
          <w:sz w:val="24"/>
          <w:szCs w:val="22"/>
        </w:rPr>
        <w:t>5.1.1  总则</w:t>
      </w:r>
    </w:p>
    <w:p w14:paraId="0588D16A">
      <w:pPr>
        <w:spacing w:line="360" w:lineRule="auto"/>
        <w:ind w:firstLine="480" w:firstLineChars="200"/>
        <w:rPr>
          <w:rFonts w:ascii="宋体" w:hAnsi="宋体" w:eastAsia="宋体" w:cs="宋体"/>
          <w:sz w:val="24"/>
        </w:rPr>
      </w:pPr>
      <w:r>
        <w:rPr>
          <w:rFonts w:hint="eastAsia" w:ascii="宋体" w:hAnsi="宋体" w:eastAsia="宋体" w:cs="宋体"/>
          <w:sz w:val="24"/>
        </w:rPr>
        <w:t>A.提供的设备应该使全新的没有使用过的。</w:t>
      </w:r>
    </w:p>
    <w:p w14:paraId="6CD683A8">
      <w:pPr>
        <w:spacing w:line="360" w:lineRule="auto"/>
        <w:ind w:firstLine="480" w:firstLineChars="200"/>
        <w:rPr>
          <w:rFonts w:ascii="宋体" w:hAnsi="宋体" w:eastAsia="宋体" w:cs="宋体"/>
          <w:sz w:val="24"/>
        </w:rPr>
      </w:pPr>
      <w:r>
        <w:rPr>
          <w:rFonts w:hint="eastAsia" w:ascii="宋体" w:hAnsi="宋体" w:eastAsia="宋体" w:cs="宋体"/>
          <w:sz w:val="24"/>
        </w:rPr>
        <w:t>B.提供的设备应在保证连续运行的前提下，易于接近、设备、替换、维护、处 理、检查和修理并确保正常运行。</w:t>
      </w:r>
    </w:p>
    <w:p w14:paraId="7C85AE0D">
      <w:pPr>
        <w:spacing w:line="360" w:lineRule="auto"/>
        <w:ind w:firstLine="480" w:firstLineChars="200"/>
        <w:rPr>
          <w:rFonts w:ascii="宋体" w:hAnsi="宋体" w:eastAsia="宋体" w:cs="宋体"/>
          <w:sz w:val="24"/>
        </w:rPr>
      </w:pPr>
      <w:r>
        <w:rPr>
          <w:rFonts w:hint="eastAsia" w:ascii="宋体" w:hAnsi="宋体" w:eastAsia="宋体" w:cs="宋体"/>
          <w:sz w:val="24"/>
        </w:rPr>
        <w:t>C.全部的装备、设备和仪表应在现场的天气和其它条件下正常运行。 D.   所有的设备应设计成避免由动物、鸟、蚂蚁和害虫造成的短路。</w:t>
      </w:r>
    </w:p>
    <w:p w14:paraId="2F7329D3">
      <w:pPr>
        <w:spacing w:line="360" w:lineRule="auto"/>
        <w:ind w:firstLine="480" w:firstLineChars="200"/>
        <w:rPr>
          <w:rFonts w:ascii="宋体" w:hAnsi="宋体" w:eastAsia="宋体" w:cs="宋体"/>
          <w:sz w:val="24"/>
        </w:rPr>
      </w:pPr>
      <w:r>
        <w:rPr>
          <w:rFonts w:hint="eastAsia" w:ascii="宋体" w:hAnsi="宋体" w:eastAsia="宋体" w:cs="宋体"/>
          <w:sz w:val="24"/>
        </w:rPr>
        <w:t>E.所有的移动、摩擦和磨损表面应进行机加工的或具有基础。</w:t>
      </w:r>
    </w:p>
    <w:p w14:paraId="70185C4A">
      <w:pPr>
        <w:spacing w:line="360" w:lineRule="auto"/>
        <w:ind w:firstLine="480" w:firstLineChars="200"/>
        <w:rPr>
          <w:rFonts w:ascii="宋体" w:hAnsi="宋体" w:eastAsia="宋体" w:cs="宋体"/>
          <w:sz w:val="24"/>
        </w:rPr>
      </w:pPr>
      <w:r>
        <w:rPr>
          <w:rFonts w:hint="eastAsia" w:ascii="宋体" w:hAnsi="宋体" w:eastAsia="宋体" w:cs="宋体"/>
          <w:sz w:val="24"/>
        </w:rPr>
        <w:t>F.设计和建造的装备和设备应降低维护费用，减少人工，使维护量为最小。</w:t>
      </w:r>
    </w:p>
    <w:p w14:paraId="71997E83">
      <w:pPr>
        <w:spacing w:line="360" w:lineRule="auto"/>
        <w:ind w:firstLine="480" w:firstLineChars="200"/>
        <w:rPr>
          <w:rFonts w:ascii="宋体" w:hAnsi="宋体" w:eastAsia="宋体" w:cs="宋体"/>
          <w:sz w:val="24"/>
        </w:rPr>
      </w:pPr>
      <w:r>
        <w:rPr>
          <w:rFonts w:hint="eastAsia" w:ascii="宋体" w:hAnsi="宋体" w:eastAsia="宋体" w:cs="宋体"/>
          <w:sz w:val="24"/>
        </w:rPr>
        <w:t>G.在没有其它特殊指定下，所有的设备应通过买方的批准，并适合于在正常的电源下工作，电源波动为±10％，在电源和负载变化时应满足工作条件。</w:t>
      </w:r>
    </w:p>
    <w:p w14:paraId="28975CB4">
      <w:pPr>
        <w:spacing w:line="360" w:lineRule="auto"/>
        <w:ind w:firstLine="480" w:firstLineChars="200"/>
        <w:rPr>
          <w:rFonts w:ascii="宋体" w:hAnsi="宋体" w:eastAsia="宋体" w:cs="宋体"/>
          <w:sz w:val="24"/>
        </w:rPr>
      </w:pPr>
      <w:r>
        <w:rPr>
          <w:rFonts w:hint="eastAsia" w:ascii="宋体" w:hAnsi="宋体" w:eastAsia="宋体" w:cs="宋体"/>
          <w:sz w:val="24"/>
        </w:rPr>
        <w:t>H.设备的设计应主要关注操作和维护人员的安全。</w:t>
      </w:r>
    </w:p>
    <w:p w14:paraId="51CC3BA2">
      <w:pPr>
        <w:spacing w:line="360" w:lineRule="auto"/>
        <w:ind w:firstLine="480" w:firstLineChars="200"/>
        <w:rPr>
          <w:rFonts w:ascii="宋体" w:hAnsi="宋体" w:eastAsia="宋体" w:cs="宋体"/>
          <w:sz w:val="24"/>
        </w:rPr>
      </w:pPr>
      <w:r>
        <w:rPr>
          <w:rFonts w:hint="eastAsia" w:ascii="宋体" w:hAnsi="宋体" w:eastAsia="宋体" w:cs="宋体"/>
          <w:sz w:val="24"/>
        </w:rPr>
        <w:t>I.所有的尺寸、单位和设计参数应为国际单位制（SI）。</w:t>
      </w:r>
    </w:p>
    <w:p w14:paraId="23189251">
      <w:pPr>
        <w:pStyle w:val="3"/>
        <w:rPr>
          <w:rFonts w:ascii="宋体" w:hAnsi="宋体" w:eastAsia="宋体" w:cs="宋体"/>
          <w:sz w:val="24"/>
          <w:szCs w:val="22"/>
        </w:rPr>
      </w:pPr>
      <w:r>
        <w:rPr>
          <w:rFonts w:hint="eastAsia" w:ascii="宋体" w:hAnsi="宋体" w:eastAsia="宋体" w:cs="宋体"/>
          <w:sz w:val="24"/>
          <w:szCs w:val="22"/>
        </w:rPr>
        <w:t>5.1.2 标准</w:t>
      </w:r>
    </w:p>
    <w:p w14:paraId="00B1E673">
      <w:pPr>
        <w:spacing w:line="360" w:lineRule="auto"/>
        <w:ind w:firstLine="480" w:firstLineChars="200"/>
        <w:rPr>
          <w:rFonts w:ascii="宋体" w:hAnsi="宋体" w:eastAsia="宋体" w:cs="宋体"/>
          <w:sz w:val="24"/>
        </w:rPr>
      </w:pPr>
      <w:r>
        <w:rPr>
          <w:rFonts w:hint="eastAsia" w:ascii="宋体" w:hAnsi="宋体" w:eastAsia="宋体" w:cs="宋体"/>
          <w:sz w:val="24"/>
        </w:rPr>
        <w:t>A.参考标准参见后附表。</w:t>
      </w:r>
    </w:p>
    <w:p w14:paraId="43E28605">
      <w:pPr>
        <w:spacing w:line="360" w:lineRule="auto"/>
        <w:ind w:firstLine="480" w:firstLineChars="200"/>
        <w:rPr>
          <w:rFonts w:ascii="宋体" w:hAnsi="宋体" w:eastAsia="宋体" w:cs="宋体"/>
          <w:sz w:val="24"/>
        </w:rPr>
      </w:pPr>
      <w:r>
        <w:rPr>
          <w:rFonts w:hint="eastAsia" w:ascii="宋体" w:hAnsi="宋体" w:eastAsia="宋体" w:cs="宋体"/>
          <w:sz w:val="24"/>
        </w:rPr>
        <w:t>B.所有仪表控制设备应具有生产许可，并且其建造、设计和测试应满足最近的 中国标准、国际标准，包括所有的变更。安装和设备应符合机械和职业安装 法规，及接线编码的有关规范。</w:t>
      </w:r>
    </w:p>
    <w:p w14:paraId="643C4927">
      <w:pPr>
        <w:spacing w:line="360" w:lineRule="auto"/>
        <w:ind w:firstLine="480" w:firstLineChars="200"/>
        <w:rPr>
          <w:rStyle w:val="16"/>
          <w:rFonts w:ascii="宋体" w:hAnsi="宋体" w:eastAsia="宋体" w:cs="宋体"/>
          <w:sz w:val="24"/>
          <w:szCs w:val="22"/>
        </w:rPr>
      </w:pPr>
      <w:r>
        <w:rPr>
          <w:rFonts w:hint="eastAsia" w:ascii="宋体" w:hAnsi="宋体" w:eastAsia="宋体" w:cs="宋体"/>
          <w:sz w:val="24"/>
        </w:rPr>
        <w:t>C.虽然本技术要求参考了中国标准和有关的国际标准注，卖方可提供符合其它 技术等同的国家标准经过批准。该标准必须给买方提供一套英文或工程本地 语言的翻译文本。</w:t>
      </w:r>
    </w:p>
    <w:p w14:paraId="77CF5294">
      <w:pPr>
        <w:pStyle w:val="3"/>
        <w:rPr>
          <w:rFonts w:ascii="宋体" w:hAnsi="宋体" w:eastAsia="宋体" w:cs="宋体"/>
          <w:sz w:val="24"/>
          <w:szCs w:val="22"/>
        </w:rPr>
      </w:pPr>
      <w:r>
        <w:rPr>
          <w:rFonts w:hint="eastAsia" w:ascii="宋体" w:hAnsi="宋体" w:eastAsia="宋体" w:cs="宋体"/>
          <w:sz w:val="24"/>
          <w:szCs w:val="22"/>
        </w:rPr>
        <w:t>5.1.3质量要求</w:t>
      </w:r>
    </w:p>
    <w:p w14:paraId="679FE9CE">
      <w:pPr>
        <w:spacing w:line="360" w:lineRule="auto"/>
        <w:ind w:firstLine="480" w:firstLineChars="200"/>
        <w:rPr>
          <w:rFonts w:ascii="宋体" w:hAnsi="宋体" w:eastAsia="宋体" w:cs="宋体"/>
          <w:sz w:val="24"/>
        </w:rPr>
      </w:pPr>
      <w:r>
        <w:rPr>
          <w:rFonts w:hint="eastAsia" w:ascii="宋体" w:hAnsi="宋体" w:eastAsia="宋体" w:cs="宋体"/>
          <w:sz w:val="24"/>
        </w:rPr>
        <w:t>A.所有设备和材料应是新的、具有最好的质量、适合特定条件下的工作，并能 承受工作条件下温度和气候的变化，不产生变形、退化或产生任何部分的不 适当的受力，例如：即使不影响强度和不同部分的适应性而影响设备的效率 和稳定性。</w:t>
      </w:r>
    </w:p>
    <w:p w14:paraId="7CD96F5B">
      <w:pPr>
        <w:pStyle w:val="3"/>
        <w:rPr>
          <w:rFonts w:ascii="宋体" w:hAnsi="宋体" w:eastAsia="宋体" w:cs="宋体"/>
          <w:sz w:val="24"/>
          <w:szCs w:val="22"/>
        </w:rPr>
      </w:pPr>
      <w:r>
        <w:rPr>
          <w:rFonts w:hint="eastAsia" w:ascii="宋体" w:hAnsi="宋体" w:eastAsia="宋体" w:cs="宋体"/>
          <w:sz w:val="24"/>
          <w:szCs w:val="22"/>
        </w:rPr>
        <w:t>5.1.4可替换性</w:t>
      </w:r>
    </w:p>
    <w:p w14:paraId="3C91E900">
      <w:pPr>
        <w:spacing w:line="360" w:lineRule="auto"/>
        <w:ind w:firstLine="480" w:firstLineChars="200"/>
        <w:rPr>
          <w:rFonts w:ascii="宋体" w:hAnsi="宋体" w:eastAsia="宋体" w:cs="宋体"/>
          <w:sz w:val="24"/>
        </w:rPr>
      </w:pPr>
      <w:r>
        <w:rPr>
          <w:rFonts w:hint="eastAsia" w:ascii="宋体" w:hAnsi="宋体" w:eastAsia="宋体" w:cs="宋体"/>
          <w:sz w:val="24"/>
        </w:rPr>
        <w:t>A.本工程中全部的相关部件应满足如下的公差要求：相似的元件和备件应是可 完全替换的，不需要进一步的修改和调整。</w:t>
      </w:r>
    </w:p>
    <w:p w14:paraId="44A4710D">
      <w:pPr>
        <w:pStyle w:val="3"/>
        <w:rPr>
          <w:rFonts w:ascii="宋体" w:hAnsi="宋体" w:eastAsia="宋体" w:cs="宋体"/>
          <w:sz w:val="24"/>
          <w:szCs w:val="22"/>
        </w:rPr>
      </w:pPr>
      <w:r>
        <w:rPr>
          <w:rFonts w:hint="eastAsia" w:ascii="宋体" w:hAnsi="宋体" w:eastAsia="宋体" w:cs="宋体"/>
          <w:sz w:val="24"/>
          <w:szCs w:val="22"/>
        </w:rPr>
        <w:t>5.1.5火灾保护</w:t>
      </w:r>
    </w:p>
    <w:p w14:paraId="7391E792">
      <w:pPr>
        <w:spacing w:line="360" w:lineRule="auto"/>
        <w:ind w:firstLine="480" w:firstLineChars="200"/>
        <w:rPr>
          <w:rFonts w:ascii="宋体" w:hAnsi="宋体" w:eastAsia="宋体" w:cs="宋体"/>
          <w:sz w:val="24"/>
        </w:rPr>
      </w:pPr>
      <w:r>
        <w:rPr>
          <w:rFonts w:hint="eastAsia" w:ascii="宋体" w:hAnsi="宋体" w:eastAsia="宋体" w:cs="宋体"/>
          <w:sz w:val="24"/>
        </w:rPr>
        <w:t>A.全部仪器，连接和接线应采用降低火灾危险性和避免产生火灾事故危险的设 计和布置。</w:t>
      </w:r>
    </w:p>
    <w:p w14:paraId="3F6DC2CD">
      <w:pPr>
        <w:pStyle w:val="3"/>
        <w:rPr>
          <w:rFonts w:ascii="宋体" w:hAnsi="宋体" w:eastAsia="宋体" w:cs="宋体"/>
          <w:sz w:val="24"/>
          <w:szCs w:val="22"/>
        </w:rPr>
      </w:pPr>
      <w:r>
        <w:rPr>
          <w:rFonts w:hint="eastAsia" w:ascii="宋体" w:hAnsi="宋体" w:eastAsia="宋体" w:cs="宋体"/>
          <w:sz w:val="24"/>
          <w:szCs w:val="22"/>
        </w:rPr>
        <w:t>5.1.6 焊接</w:t>
      </w:r>
    </w:p>
    <w:p w14:paraId="70D70890">
      <w:pPr>
        <w:spacing w:line="360" w:lineRule="auto"/>
        <w:ind w:firstLine="480" w:firstLineChars="200"/>
        <w:rPr>
          <w:rFonts w:ascii="宋体" w:hAnsi="宋体" w:eastAsia="宋体" w:cs="宋体"/>
          <w:sz w:val="24"/>
        </w:rPr>
      </w:pPr>
      <w:r>
        <w:rPr>
          <w:rFonts w:hint="eastAsia" w:ascii="宋体" w:hAnsi="宋体" w:eastAsia="宋体" w:cs="宋体"/>
          <w:sz w:val="24"/>
        </w:rPr>
        <w:t>A.全部的焊接应符合相应的国家或国际标准。</w:t>
      </w:r>
    </w:p>
    <w:p w14:paraId="04707134">
      <w:pPr>
        <w:pStyle w:val="3"/>
        <w:rPr>
          <w:rFonts w:ascii="宋体" w:hAnsi="宋体" w:eastAsia="宋体" w:cs="宋体"/>
          <w:sz w:val="24"/>
          <w:szCs w:val="22"/>
        </w:rPr>
      </w:pPr>
      <w:r>
        <w:rPr>
          <w:rFonts w:hint="eastAsia" w:ascii="宋体" w:hAnsi="宋体" w:eastAsia="宋体" w:cs="宋体"/>
          <w:sz w:val="24"/>
          <w:szCs w:val="22"/>
        </w:rPr>
        <w:t>5.1.7 电磁和辐射干扰</w:t>
      </w:r>
    </w:p>
    <w:p w14:paraId="68B39927">
      <w:pPr>
        <w:spacing w:line="360" w:lineRule="auto"/>
        <w:ind w:firstLine="480" w:firstLineChars="200"/>
        <w:rPr>
          <w:rFonts w:ascii="宋体" w:hAnsi="宋体" w:eastAsia="宋体" w:cs="宋体"/>
          <w:sz w:val="24"/>
        </w:rPr>
      </w:pPr>
      <w:r>
        <w:rPr>
          <w:rFonts w:hint="eastAsia" w:ascii="宋体" w:hAnsi="宋体" w:eastAsia="宋体" w:cs="宋体"/>
          <w:sz w:val="24"/>
        </w:rPr>
        <w:t>A.本招标内容的所有设备应符合国家标准或CISPR 中的有关规定并且要注意其它电磁干扰的准则和规章。</w:t>
      </w:r>
    </w:p>
    <w:p w14:paraId="4D074F06">
      <w:pPr>
        <w:spacing w:line="360" w:lineRule="auto"/>
        <w:ind w:firstLine="480" w:firstLineChars="200"/>
        <w:rPr>
          <w:rFonts w:ascii="宋体" w:hAnsi="宋体" w:eastAsia="宋体" w:cs="宋体"/>
          <w:sz w:val="24"/>
        </w:rPr>
      </w:pPr>
      <w:r>
        <w:rPr>
          <w:rFonts w:hint="eastAsia" w:ascii="宋体" w:hAnsi="宋体" w:eastAsia="宋体" w:cs="宋体"/>
          <w:sz w:val="24"/>
        </w:rPr>
        <w:t>B.在将进行试运行前，发现任何产生电磁干扰的设备将被拒绝，并无任何其它 费用的进行替换，达到买方的满意。</w:t>
      </w:r>
    </w:p>
    <w:p w14:paraId="2C6F7B90">
      <w:pPr>
        <w:pStyle w:val="3"/>
        <w:rPr>
          <w:rFonts w:ascii="宋体" w:hAnsi="宋体" w:eastAsia="宋体" w:cs="宋体"/>
          <w:sz w:val="24"/>
          <w:szCs w:val="22"/>
        </w:rPr>
      </w:pPr>
      <w:r>
        <w:rPr>
          <w:rFonts w:hint="eastAsia" w:ascii="宋体" w:hAnsi="宋体" w:eastAsia="宋体" w:cs="宋体"/>
          <w:sz w:val="24"/>
          <w:szCs w:val="22"/>
        </w:rPr>
        <w:t>5.1.8 标签和标注</w:t>
      </w:r>
    </w:p>
    <w:p w14:paraId="4BE409BF">
      <w:pPr>
        <w:spacing w:line="360" w:lineRule="auto"/>
        <w:ind w:firstLine="480" w:firstLineChars="200"/>
        <w:rPr>
          <w:rFonts w:ascii="宋体" w:hAnsi="宋体" w:eastAsia="宋体" w:cs="宋体"/>
          <w:sz w:val="24"/>
        </w:rPr>
      </w:pPr>
      <w:r>
        <w:rPr>
          <w:rFonts w:hint="eastAsia" w:ascii="宋体" w:hAnsi="宋体" w:eastAsia="宋体" w:cs="宋体"/>
          <w:sz w:val="24"/>
        </w:rPr>
        <w:t>A.识别标签应附在所有的仪器、仪表保护箱、控制盘箱柜以及其中的仪器和控 制设备上。</w:t>
      </w:r>
    </w:p>
    <w:p w14:paraId="0656B457">
      <w:pPr>
        <w:spacing w:line="360" w:lineRule="auto"/>
        <w:ind w:firstLine="480" w:firstLineChars="200"/>
        <w:rPr>
          <w:rFonts w:ascii="宋体" w:hAnsi="宋体" w:eastAsia="宋体" w:cs="宋体"/>
          <w:sz w:val="24"/>
        </w:rPr>
      </w:pPr>
      <w:r>
        <w:rPr>
          <w:rFonts w:hint="eastAsia" w:ascii="宋体" w:hAnsi="宋体" w:eastAsia="宋体" w:cs="宋体"/>
          <w:sz w:val="24"/>
        </w:rPr>
        <w:t>B.所有的标签和标牌应由认可的防腐材料制成，并由不锈钢或满足 ISO 公制螺 纹的镀镍螺钉固定。</w:t>
      </w:r>
    </w:p>
    <w:p w14:paraId="475119D0">
      <w:pPr>
        <w:spacing w:line="360" w:lineRule="auto"/>
        <w:ind w:firstLine="480" w:firstLineChars="200"/>
        <w:rPr>
          <w:rFonts w:ascii="宋体" w:hAnsi="宋体" w:eastAsia="宋体" w:cs="宋体"/>
          <w:sz w:val="24"/>
        </w:rPr>
      </w:pPr>
      <w:r>
        <w:rPr>
          <w:rFonts w:hint="eastAsia" w:ascii="宋体" w:hAnsi="宋体" w:eastAsia="宋体" w:cs="宋体"/>
          <w:sz w:val="24"/>
        </w:rPr>
        <w:t>C.标签应具有不光滑表面或进行锻面处理以减少反射。</w:t>
      </w:r>
    </w:p>
    <w:p w14:paraId="0D5820D9">
      <w:pPr>
        <w:pStyle w:val="3"/>
        <w:rPr>
          <w:rFonts w:ascii="宋体" w:hAnsi="宋体" w:eastAsia="宋体" w:cs="宋体"/>
          <w:sz w:val="24"/>
          <w:szCs w:val="22"/>
        </w:rPr>
      </w:pPr>
      <w:bookmarkStart w:id="7" w:name="bookmark110"/>
      <w:bookmarkEnd w:id="7"/>
      <w:r>
        <w:rPr>
          <w:rFonts w:hint="eastAsia" w:ascii="宋体" w:hAnsi="宋体" w:eastAsia="宋体" w:cs="宋体"/>
          <w:sz w:val="24"/>
          <w:szCs w:val="22"/>
        </w:rPr>
        <w:t>5.2 设备的安装检查与试运行</w:t>
      </w:r>
    </w:p>
    <w:p w14:paraId="08F0E7F9">
      <w:pPr>
        <w:pStyle w:val="3"/>
        <w:rPr>
          <w:rFonts w:ascii="宋体" w:hAnsi="宋体" w:eastAsia="宋体" w:cs="宋体"/>
          <w:sz w:val="24"/>
          <w:szCs w:val="22"/>
        </w:rPr>
      </w:pPr>
      <w:r>
        <w:rPr>
          <w:rFonts w:hint="eastAsia" w:ascii="宋体" w:hAnsi="宋体" w:eastAsia="宋体" w:cs="宋体"/>
          <w:sz w:val="24"/>
          <w:szCs w:val="22"/>
        </w:rPr>
        <w:t>5.2.1 检查</w:t>
      </w:r>
    </w:p>
    <w:p w14:paraId="1CFFE55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A.在制造和现场安装过程中，所有的设备应经过检查。</w:t>
      </w:r>
    </w:p>
    <w:p w14:paraId="200E290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B.检查应满足通用技术要求和特殊技术要求中的有关内容。检查应由买方和卖 方参加。检查和测试应事先通知买方，卖方应组织有效的测试和检查。提前通知的时间要求参见本招标文件中的有关内容。</w:t>
      </w:r>
    </w:p>
    <w:p w14:paraId="5A49A78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C.卖方应提供用于测试和检查的所有必须的工具、仪器。</w:t>
      </w:r>
    </w:p>
    <w:p w14:paraId="56AC845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D.所有仪表和控制设备应具有权威机构颁布的测试证书，在测试过程中买方有 权要求进行仪表校验。</w:t>
      </w:r>
    </w:p>
    <w:p w14:paraId="335CD99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E.卖方应提供两份测试报告给买方。</w:t>
      </w:r>
    </w:p>
    <w:p w14:paraId="0C14383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F.在买方目睹和检查之前，卖方应保证已经准备好。否则买方有权对卖方进行 惩罚。</w:t>
      </w:r>
    </w:p>
    <w:p w14:paraId="7EBE79D0">
      <w:pPr>
        <w:pStyle w:val="3"/>
        <w:rPr>
          <w:rFonts w:ascii="宋体" w:hAnsi="宋体" w:eastAsia="宋体" w:cs="宋体"/>
          <w:sz w:val="24"/>
          <w:szCs w:val="22"/>
        </w:rPr>
      </w:pPr>
      <w:r>
        <w:rPr>
          <w:rFonts w:hint="eastAsia" w:ascii="宋体" w:hAnsi="宋体" w:eastAsia="宋体" w:cs="宋体"/>
          <w:sz w:val="24"/>
          <w:szCs w:val="22"/>
        </w:rPr>
        <w:t>5.2.2 试运行</w:t>
      </w:r>
    </w:p>
    <w:p w14:paraId="6C5411D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A.卖方应负责本工程中所含部分的试运行，并且应完成下列任务：</w:t>
      </w:r>
    </w:p>
    <w:p w14:paraId="703DCA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B.应与买方完成试运行的事先通知和正确安排。召集可能影响试运行操作的权 威人士、卖方和机械设备卖方。</w:t>
      </w:r>
    </w:p>
    <w:p w14:paraId="0D92AA9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C.如果要对其它卖方提供的设备和机械进行试运行，应在试运行前得到另外卖 方的特殊许可，以及任何与试运行有关的特殊要求。</w:t>
      </w:r>
    </w:p>
    <w:p w14:paraId="4EA7870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D.卖方的负责代表应对工程的全部进行细心检查，确保全部的构筑和安装已经 正确完成。</w:t>
      </w:r>
    </w:p>
    <w:p w14:paraId="0BF3CA0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E.如下预试运行校验内容应完成：</w:t>
      </w:r>
    </w:p>
    <w:p w14:paraId="229AF22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drawing>
          <wp:inline distT="0" distB="0" distL="0" distR="0">
            <wp:extent cx="56515" cy="85725"/>
            <wp:effectExtent l="0" t="0" r="635" b="0"/>
            <wp:docPr id="156" name="IM 156"/>
            <wp:cNvGraphicFramePr/>
            <a:graphic xmlns:a="http://schemas.openxmlformats.org/drawingml/2006/main">
              <a:graphicData uri="http://schemas.openxmlformats.org/drawingml/2006/picture">
                <pic:pic xmlns:pic="http://schemas.openxmlformats.org/drawingml/2006/picture">
                  <pic:nvPicPr>
                    <pic:cNvPr id="156" name="IM 156"/>
                    <pic:cNvPicPr/>
                  </pic:nvPicPr>
                  <pic:blipFill>
                    <a:blip r:embed="rId26"/>
                    <a:stretch>
                      <a:fillRect/>
                    </a:stretch>
                  </pic:blipFill>
                  <pic:spPr>
                    <a:xfrm>
                      <a:off x="0" y="0"/>
                      <a:ext cx="56997" cy="86258"/>
                    </a:xfrm>
                    <a:prstGeom prst="rect">
                      <a:avLst/>
                    </a:prstGeom>
                  </pic:spPr>
                </pic:pic>
              </a:graphicData>
            </a:graphic>
          </wp:inline>
        </w:drawing>
      </w:r>
      <w:r>
        <w:rPr>
          <w:rFonts w:hint="eastAsia" w:ascii="宋体" w:hAnsi="宋体" w:eastAsia="宋体" w:cs="宋体"/>
          <w:sz w:val="24"/>
          <w:szCs w:val="32"/>
        </w:rPr>
        <w:t xml:space="preserve">  接线连接</w:t>
      </w:r>
    </w:p>
    <w:p w14:paraId="2D4944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drawing>
          <wp:inline distT="0" distB="0" distL="0" distR="0">
            <wp:extent cx="56515" cy="85725"/>
            <wp:effectExtent l="0" t="0" r="635"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26"/>
                    <a:stretch>
                      <a:fillRect/>
                    </a:stretch>
                  </pic:blipFill>
                  <pic:spPr>
                    <a:xfrm>
                      <a:off x="0" y="0"/>
                      <a:ext cx="56997" cy="86258"/>
                    </a:xfrm>
                    <a:prstGeom prst="rect">
                      <a:avLst/>
                    </a:prstGeom>
                  </pic:spPr>
                </pic:pic>
              </a:graphicData>
            </a:graphic>
          </wp:inline>
        </w:drawing>
      </w:r>
      <w:r>
        <w:rPr>
          <w:rFonts w:hint="eastAsia" w:ascii="宋体" w:hAnsi="宋体" w:eastAsia="宋体" w:cs="宋体"/>
          <w:sz w:val="24"/>
          <w:szCs w:val="32"/>
        </w:rPr>
        <w:t xml:space="preserve">  接地导体、连接和终端</w:t>
      </w:r>
    </w:p>
    <w:p w14:paraId="6ECB080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drawing>
          <wp:inline distT="0" distB="0" distL="0" distR="0">
            <wp:extent cx="56515" cy="85725"/>
            <wp:effectExtent l="0" t="0" r="635"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26"/>
                    <a:stretch>
                      <a:fillRect/>
                    </a:stretch>
                  </pic:blipFill>
                  <pic:spPr>
                    <a:xfrm>
                      <a:off x="0" y="0"/>
                      <a:ext cx="56997" cy="86258"/>
                    </a:xfrm>
                    <a:prstGeom prst="rect">
                      <a:avLst/>
                    </a:prstGeom>
                  </pic:spPr>
                </pic:pic>
              </a:graphicData>
            </a:graphic>
          </wp:inline>
        </w:drawing>
      </w:r>
      <w:r>
        <w:rPr>
          <w:rFonts w:hint="eastAsia" w:ascii="宋体" w:hAnsi="宋体" w:eastAsia="宋体" w:cs="宋体"/>
          <w:sz w:val="24"/>
          <w:szCs w:val="32"/>
        </w:rPr>
        <w:t xml:space="preserve">  拆除运输夹子和支撑</w:t>
      </w:r>
    </w:p>
    <w:p w14:paraId="7E0120F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drawing>
          <wp:inline distT="0" distB="0" distL="0" distR="0">
            <wp:extent cx="56515" cy="85725"/>
            <wp:effectExtent l="0" t="0" r="635"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27"/>
                    <a:stretch>
                      <a:fillRect/>
                    </a:stretch>
                  </pic:blipFill>
                  <pic:spPr>
                    <a:xfrm>
                      <a:off x="0" y="0"/>
                      <a:ext cx="56997" cy="86258"/>
                    </a:xfrm>
                    <a:prstGeom prst="rect">
                      <a:avLst/>
                    </a:prstGeom>
                  </pic:spPr>
                </pic:pic>
              </a:graphicData>
            </a:graphic>
          </wp:inline>
        </w:drawing>
      </w:r>
      <w:r>
        <w:rPr>
          <w:rFonts w:hint="eastAsia" w:ascii="宋体" w:hAnsi="宋体" w:eastAsia="宋体" w:cs="宋体"/>
          <w:sz w:val="24"/>
          <w:szCs w:val="32"/>
        </w:rPr>
        <w:t xml:space="preserve">  所有有关设备的检查</w:t>
      </w:r>
    </w:p>
    <w:p w14:paraId="0C5B2F0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F.在试运行期间如下工作应校验并应将结果写入报告，在工程任一部分试运行 完成之后应提供给买方。提交时间参见标书总体要求。</w:t>
      </w:r>
    </w:p>
    <w:p w14:paraId="2126E98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G.设备上应按照不同使用情况带有如下细节，包括有系列号、位号、参数设定 步骤、操作指令等。</w:t>
      </w:r>
    </w:p>
    <w:p w14:paraId="6CDA4B77">
      <w:pPr>
        <w:pStyle w:val="3"/>
        <w:rPr>
          <w:rFonts w:ascii="宋体" w:hAnsi="宋体" w:eastAsia="宋体" w:cs="宋体"/>
          <w:sz w:val="24"/>
          <w:szCs w:val="22"/>
        </w:rPr>
      </w:pPr>
      <w:r>
        <w:rPr>
          <w:rFonts w:hint="eastAsia" w:ascii="宋体" w:hAnsi="宋体" w:eastAsia="宋体" w:cs="宋体"/>
          <w:sz w:val="24"/>
          <w:szCs w:val="22"/>
        </w:rPr>
        <w:t>5.2.3 维修（质保期）</w:t>
      </w:r>
    </w:p>
    <w:p w14:paraId="0D8E097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 参见招标文件中商务部分的有关条款。</w:t>
      </w:r>
    </w:p>
    <w:p w14:paraId="1D0F0AF4">
      <w:pPr>
        <w:pStyle w:val="3"/>
        <w:rPr>
          <w:rFonts w:ascii="宋体" w:hAnsi="宋体" w:eastAsia="宋体" w:cs="宋体"/>
          <w:sz w:val="24"/>
          <w:szCs w:val="22"/>
        </w:rPr>
      </w:pPr>
      <w:bookmarkStart w:id="8" w:name="bookmark112"/>
      <w:bookmarkEnd w:id="8"/>
      <w:r>
        <w:rPr>
          <w:rFonts w:hint="eastAsia" w:ascii="宋体" w:hAnsi="宋体" w:eastAsia="宋体" w:cs="宋体"/>
          <w:sz w:val="24"/>
          <w:szCs w:val="22"/>
        </w:rPr>
        <w:t>5.3 自控系统</w:t>
      </w:r>
    </w:p>
    <w:p w14:paraId="652406DC">
      <w:pPr>
        <w:pStyle w:val="3"/>
        <w:rPr>
          <w:rFonts w:ascii="宋体" w:hAnsi="宋体" w:eastAsia="宋体" w:cs="宋体"/>
          <w:sz w:val="24"/>
          <w:szCs w:val="22"/>
        </w:rPr>
      </w:pPr>
      <w:r>
        <w:rPr>
          <w:rFonts w:hint="eastAsia" w:ascii="宋体" w:hAnsi="宋体" w:eastAsia="宋体" w:cs="宋体"/>
          <w:sz w:val="24"/>
          <w:szCs w:val="22"/>
        </w:rPr>
        <w:t>5.3.1 系统概述</w:t>
      </w:r>
    </w:p>
    <w:p w14:paraId="3228060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A.该系统是由就地控制站（LCS）、现场控制站（FCS）、中央监控工作站（CCS） 组成的全厂自控系统。</w:t>
      </w:r>
    </w:p>
    <w:p w14:paraId="447D22A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B.现场控制站（FCS）</w:t>
      </w:r>
    </w:p>
    <w:p w14:paraId="0FA712C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1.由可编程自动控制器及相关附属设备组成，安装在控制柜中；</w:t>
      </w:r>
    </w:p>
    <w:p w14:paraId="1788E37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2.为工业环境设计，在国内有良好的使用业绩；</w:t>
      </w:r>
    </w:p>
    <w:p w14:paraId="798A3CE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3.根据需要可配置工业级网络接口模块、现场总线接口模块、串行数据通 信（RS-232/485）接口模块。提供完整配套的连接配件、电缆及安装附件；</w:t>
      </w:r>
    </w:p>
    <w:p w14:paraId="474EE4A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4.过程控制设备作为一套整体设备供货。设备主要包括：控制柜及柜内附 属设备、可编程自动控制器、触摸式操作员面板（详见特殊技术要求） 等；</w:t>
      </w:r>
    </w:p>
    <w:p w14:paraId="38A77F6A">
      <w:pPr>
        <w:spacing w:line="360" w:lineRule="auto"/>
        <w:ind w:firstLine="480" w:firstLineChars="200"/>
        <w:rPr>
          <w:rFonts w:ascii="宋体" w:hAnsi="宋体" w:eastAsia="宋体" w:cs="宋体"/>
          <w:sz w:val="24"/>
          <w:szCs w:val="32"/>
        </w:rPr>
      </w:pPr>
    </w:p>
    <w:p w14:paraId="0CCFD2B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5.每套可编程自动控制器应由机架或背板、CPU、存储器、电源、通信模 块、数字量输入输出模块、模拟量输入输出模块、端子接线板等组成。</w:t>
      </w:r>
    </w:p>
    <w:p w14:paraId="1BD260D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C.就地控制站（LCS）</w:t>
      </w:r>
    </w:p>
    <w:p w14:paraId="70DAB73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1.就地控制站分为工艺设备成套提供的控制站和独立的控制站；</w:t>
      </w:r>
    </w:p>
    <w:p w14:paraId="11B42E1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2.设备提供的控制站的具体要求详见仪表自控特殊技术要求的有关内容；</w:t>
      </w:r>
    </w:p>
    <w:p w14:paraId="4858481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3.就地控制站所使用的可编程控制器应采用于现场控制站可编程控制器同一制造厂的产品；</w:t>
      </w:r>
    </w:p>
    <w:p w14:paraId="7DD1CB1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4.与相应的现场控制站实现通信（以太网）连接；</w:t>
      </w:r>
    </w:p>
    <w:p w14:paraId="7468B7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5.就地控制站的组成基本包括：控制柜/箱、控制器、人机界面、其它附属 设备和元件。</w:t>
      </w:r>
    </w:p>
    <w:p w14:paraId="705D1EF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D.网络系统</w:t>
      </w:r>
    </w:p>
    <w:p w14:paraId="3F7A56E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1.监控网络采用工业以太网：负责计算机监控系统设备之的数据通信。通信速率:1000Mbps.</w:t>
      </w:r>
    </w:p>
    <w:p w14:paraId="5363CB8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2.现场控制网络采用工业光纤以太环网：负责中控室监控工作站与各现场控制站（FCS ）的可编程 自动控制器之间的数据通信，通信速率:1000Mbps。</w:t>
      </w:r>
    </w:p>
    <w:p w14:paraId="3683F96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就地控制网络采用现场总线数据通信网：负责现场控制站（FCS）与就地控制站（LCS）与远程分布式I/O之间的数据通信。通信速率：满足实际使用需要。如采用金属介质的通信电缆并进出房间，要求在两端安装浪涌抑制器。</w:t>
      </w:r>
    </w:p>
    <w:p w14:paraId="000475FC">
      <w:pPr>
        <w:pStyle w:val="3"/>
        <w:rPr>
          <w:rFonts w:ascii="宋体" w:hAnsi="宋体" w:eastAsia="宋体" w:cs="宋体"/>
          <w:sz w:val="24"/>
          <w:szCs w:val="22"/>
        </w:rPr>
      </w:pPr>
      <w:r>
        <w:rPr>
          <w:rFonts w:hint="eastAsia" w:ascii="宋体" w:hAnsi="宋体" w:eastAsia="宋体" w:cs="宋体"/>
          <w:sz w:val="24"/>
          <w:szCs w:val="22"/>
        </w:rPr>
        <w:t>5.3.2系统功能</w:t>
      </w:r>
    </w:p>
    <w:p w14:paraId="462EFE8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A.现场控制站（FCS）</w:t>
      </w:r>
    </w:p>
    <w:p w14:paraId="13E7E49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1.现场控制站作为过程设备（例如：马达、阀门、测量仪表等）和控制系统的界面，采用的主要控制设备是可编程自动控制器，具有下述5项主要功能：</w:t>
      </w:r>
    </w:p>
    <w:p w14:paraId="4239C1E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过程信号采集：应包括运行变量的测量，例如：溶解氧、液位、流量、温度等模拟变量（一般为 4~20mADC 比例信号）。一次信号，例如：接 点、限位开关、扰动、设备状态（一般为无源接点），计数，例如：计数值、脉冲计数、操作过程变量的时间统计（例如：流量累加等）。</w:t>
      </w:r>
    </w:p>
    <w:p w14:paraId="3CD1CD6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过程信号输出：过程信号的输出功能包括模拟控制变量的设定、限位选择、开关信号指令，例如启动和停止设备。</w:t>
      </w:r>
    </w:p>
    <w:p w14:paraId="57C2EC7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过程自动控制：包括需要的闭环控制（例如：变速设备的速度控制、阀 门的流量调节等），顺序控制（例如：启动主泵之前应启动润滑泵，如 润滑泵故障则停止主泵等）。</w:t>
      </w:r>
    </w:p>
    <w:p w14:paraId="6BF6ACE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传送采集数据到上位监控系统</w:t>
      </w:r>
    </w:p>
    <w:p w14:paraId="7155118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现场处理单元可以连接一台便携式编程器，实现工厂的就地操作、设定 值调整、过程变量的查询</w:t>
      </w:r>
    </w:p>
    <w:p w14:paraId="678E7DF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    系统的控制功能</w:t>
      </w:r>
    </w:p>
    <w:p w14:paraId="6083A52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详见特殊技术要求。</w:t>
      </w:r>
    </w:p>
    <w:p w14:paraId="3562BD81">
      <w:pPr>
        <w:spacing w:line="360" w:lineRule="auto"/>
        <w:rPr>
          <w:rFonts w:ascii="宋体" w:hAnsi="宋体" w:eastAsia="宋体" w:cs="宋体"/>
          <w:b/>
          <w:bCs/>
          <w:sz w:val="24"/>
          <w:szCs w:val="32"/>
        </w:rPr>
      </w:pPr>
      <w:r>
        <w:rPr>
          <w:rFonts w:hint="eastAsia" w:ascii="宋体" w:hAnsi="宋体" w:eastAsia="宋体" w:cs="宋体"/>
          <w:b/>
          <w:bCs/>
          <w:sz w:val="24"/>
          <w:szCs w:val="32"/>
        </w:rPr>
        <w:t>B.UPS 不间断电源</w:t>
      </w:r>
    </w:p>
    <w:p w14:paraId="280CC18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1.双变换在线式结构，零转换时间;</w:t>
      </w:r>
    </w:p>
    <w:p w14:paraId="0C690C5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2.输入电压范围：300~470 VAC;</w:t>
      </w:r>
    </w:p>
    <w:p w14:paraId="350B5D9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3.输入频率：45～65Hz,  自动选择;</w:t>
      </w:r>
    </w:p>
    <w:p w14:paraId="1011561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4.满载输入电压功率因数&gt;0.95;</w:t>
      </w:r>
    </w:p>
    <w:p w14:paraId="0420CF6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5.输出电压范围：220VAC;</w:t>
      </w:r>
    </w:p>
    <w:p w14:paraId="79C27A5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6.输出频率：50±3Hz;</w:t>
      </w:r>
    </w:p>
    <w:p w14:paraId="34DC2B1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7.输出电压精度：1%静态，5%动态;</w:t>
      </w:r>
    </w:p>
    <w:p w14:paraId="7D6E7A0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8.满载效率&gt;90%;</w:t>
      </w:r>
    </w:p>
    <w:p w14:paraId="124B785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 输出电压失真度：线性负载&lt;3%;  非线性负载&lt;5%;</w:t>
      </w:r>
    </w:p>
    <w:p w14:paraId="745484B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  过载能力：105%时无限；125%时 1 分钟；150%时 30 秒;</w:t>
      </w:r>
    </w:p>
    <w:p w14:paraId="6975060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   内置自动或手动旁路维修方式;</w:t>
      </w:r>
    </w:p>
    <w:p w14:paraId="4975EDF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  噪声：&lt;55DB;</w:t>
      </w:r>
    </w:p>
    <w:p w14:paraId="4C374DB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  运行环境：0～40 摄氏度，湿度 0～95%，无冷凝水;</w:t>
      </w:r>
    </w:p>
    <w:p w14:paraId="00AD1A4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  塔式安装方式，支持热更换电池;</w:t>
      </w:r>
    </w:p>
    <w:p w14:paraId="0BD6FE5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  平均故障间隔时间 (MTBF) ≥100000 小时;</w:t>
      </w:r>
    </w:p>
    <w:p w14:paraId="51E8784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15.   电池容量：按实际容量，30/60 分钟;</w:t>
      </w:r>
    </w:p>
    <w:p w14:paraId="5E5ACF8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16.  配套提供机柜，UPS 采用导轨式或机架式，安装于机柜内。</w:t>
      </w:r>
    </w:p>
    <w:p w14:paraId="5CD8A278">
      <w:pPr>
        <w:spacing w:line="360" w:lineRule="auto"/>
        <w:ind w:firstLine="482" w:firstLineChars="200"/>
        <w:rPr>
          <w:rFonts w:ascii="宋体" w:hAnsi="宋体" w:eastAsia="宋体" w:cs="宋体"/>
          <w:b/>
          <w:bCs/>
          <w:sz w:val="24"/>
          <w:szCs w:val="32"/>
        </w:rPr>
      </w:pPr>
      <w:r>
        <w:rPr>
          <w:rFonts w:hint="eastAsia" w:ascii="宋体" w:hAnsi="宋体" w:eastAsia="宋体" w:cs="宋体"/>
          <w:b/>
          <w:bCs/>
          <w:sz w:val="24"/>
          <w:szCs w:val="32"/>
        </w:rPr>
        <w:t>C. 工业以太网交换机（现场控制网络）</w:t>
      </w:r>
    </w:p>
    <w:p w14:paraId="7DDDBE6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1.网管式工业以太网交换机</w:t>
      </w:r>
    </w:p>
    <w:p w14:paraId="3EDEED2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2.开放式导轨安装，模块式</w:t>
      </w:r>
    </w:p>
    <w:p w14:paraId="093BF85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3.电源：18~32VDC</w:t>
      </w:r>
    </w:p>
    <w:p w14:paraId="5CB1C91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4.MTBF ：≥30 年</w:t>
      </w:r>
    </w:p>
    <w:p w14:paraId="2B7B46E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5.安装方式：开放式导轨</w:t>
      </w:r>
    </w:p>
    <w:p w14:paraId="335BC87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6.防护等级：IP20</w:t>
      </w:r>
    </w:p>
    <w:p w14:paraId="632627B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7.操作环境温度：0~60。C</w:t>
      </w:r>
    </w:p>
    <w:p w14:paraId="49CE70F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8.标准认证：IEC60068-2，EN6100，FCC Part15，EN55011，cUL508，cUL1604 class1 div2</w:t>
      </w:r>
    </w:p>
    <w:p w14:paraId="0FCFC91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9.机架安装网管交换机，16 个千兆电口，4 个千兆单模 SC 光口，AC/DC 110/220V 单电源</w:t>
      </w:r>
    </w:p>
    <w:p w14:paraId="3162FEC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w:t>
      </w:r>
      <w:r>
        <w:rPr>
          <w:rFonts w:hint="eastAsia" w:ascii="宋体" w:hAnsi="宋体" w:eastAsia="宋体" w:cs="宋体"/>
          <w:b/>
          <w:bCs/>
          <w:sz w:val="24"/>
          <w:szCs w:val="32"/>
        </w:rPr>
        <w:t>灵活的冗余供电方式</w:t>
      </w:r>
      <w:r>
        <w:rPr>
          <w:rFonts w:hint="eastAsia" w:ascii="宋体" w:hAnsi="宋体" w:eastAsia="宋体" w:cs="宋体"/>
          <w:sz w:val="24"/>
          <w:szCs w:val="32"/>
        </w:rPr>
        <w:t>；</w:t>
      </w:r>
    </w:p>
    <w:p w14:paraId="3DD5F13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11.支持 RSTP、快速环网等冗余协议；</w:t>
      </w:r>
    </w:p>
    <w:p w14:paraId="53929BC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12.支持链路聚合，IEEE802.1Q VLAN，优先级 QOS，端口镜像，IPv6；</w:t>
      </w:r>
    </w:p>
    <w:p w14:paraId="3A6FC76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13.支持多种网管方式，Web 、SNMP 管理；</w:t>
      </w:r>
    </w:p>
    <w:p w14:paraId="6D40F87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14.更强的抗电磁干扰能力；</w:t>
      </w:r>
    </w:p>
    <w:p w14:paraId="708966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15.工作温度：宽温-40～+75℃,无风扇散热，能满足恶劣环境的应用；</w:t>
      </w:r>
    </w:p>
    <w:p w14:paraId="622EBC14">
      <w:pPr>
        <w:spacing w:line="360" w:lineRule="auto"/>
        <w:ind w:firstLine="482" w:firstLineChars="200"/>
        <w:rPr>
          <w:rFonts w:ascii="宋体" w:hAnsi="宋体" w:eastAsia="宋体" w:cs="宋体"/>
          <w:sz w:val="24"/>
          <w:szCs w:val="32"/>
        </w:rPr>
      </w:pPr>
      <w:r>
        <w:rPr>
          <w:rFonts w:hint="eastAsia" w:ascii="宋体" w:hAnsi="宋体" w:eastAsia="宋体" w:cs="宋体"/>
          <w:b/>
          <w:bCs/>
          <w:sz w:val="24"/>
          <w:szCs w:val="32"/>
        </w:rPr>
        <w:t>D.冗余可编程自动控制器（现场控制站）</w:t>
      </w:r>
    </w:p>
    <w:p w14:paraId="35F23B4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1.控制系统内部采用 32 位的高性能处理器，处理速度要求每千字节指令字处理速度不超过0.1毫秒。</w:t>
      </w:r>
    </w:p>
    <w:p w14:paraId="28D9283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2.控制系统必须能够提供包括梯形图、功能图块、结构化文本、顺序功能流程图在内的符合 IEC1131-3 标准的灵活的编程语言支持，数据格式应符合 IEC1131 标准；</w:t>
      </w:r>
    </w:p>
    <w:p w14:paraId="2DE80DB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3.系统具有定时器和计数器功能</w:t>
      </w:r>
    </w:p>
    <w:p w14:paraId="3A62C92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4.控制系统的内存容量不应小于8M字节；</w:t>
      </w:r>
    </w:p>
    <w:p w14:paraId="7ACB7BF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5.能在机架内根据需要随意布置输入输出模块和通讯模块，而没有任何布置 顺序限制；</w:t>
      </w:r>
    </w:p>
    <w:p w14:paraId="6B5F7F4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6.控制系统内部采用快速内存，用户只需通过软件即可将处理器和 I/O 模块、 网络模块升级至最新版本；</w:t>
      </w:r>
    </w:p>
    <w:p w14:paraId="49A3C5C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7.控制系统支持灵活的网络结构，可实现不同网络之间的通讯桥接和数据交换；</w:t>
      </w:r>
    </w:p>
    <w:p w14:paraId="2AE63EA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8.控制系统处理器和输入输出模块应是完全的软件可配置，包括模块信息刷新时间、模拟量工程标定、上下限报警、斜率限制等；</w:t>
      </w:r>
    </w:p>
    <w:p w14:paraId="5DFF4A3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9.控制系统系统要求机架式设计，控制器结构形式和功能模块的任意组合， 底板可以扩展，保证良好的机械物理性能，I/O 模块、通讯模块、特殊模 块等均应与 CPU 模块严格保持同等的规格等及尺寸，并且是同一系列的 产品。所有模块在安装背板上必须支持螺钉紧固的方式。同系列I/O产品，如果有扩展温度范围的产品，必须使用扩展温度范围的产品。同系列I/O 产品，如果有扩展温度范围的产品，必须使用扩展温度范围的产品。</w:t>
      </w:r>
    </w:p>
    <w:p w14:paraId="25CEF1E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10.在背板电源和用户端电源不断开的情况下，CPU 、I/O 模块、通讯模块及 可拆卸端子排等必须能够支持带电插拔。</w:t>
      </w:r>
    </w:p>
    <w:p w14:paraId="0F220CA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11.具有国际权威质量认证机构的认证。</w:t>
      </w:r>
    </w:p>
    <w:p w14:paraId="284CE45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 控制系统操作要求</w:t>
      </w:r>
    </w:p>
    <w:p w14:paraId="28E0F73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频率范围：50HZ；</w:t>
      </w:r>
    </w:p>
    <w:p w14:paraId="5978940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工作温度：0～60℃;</w:t>
      </w:r>
    </w:p>
    <w:p w14:paraId="01D3C05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保存温度：－40～85℃;</w:t>
      </w:r>
    </w:p>
    <w:p w14:paraId="33867D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相对湿度：5～95%;</w:t>
      </w:r>
    </w:p>
    <w:p w14:paraId="4984DFC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隔离：≥DC1500V；</w:t>
      </w:r>
    </w:p>
    <w:p w14:paraId="098A01E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13.开关量输入模块：</w:t>
      </w:r>
    </w:p>
    <w:p w14:paraId="0E78CE1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支持带电插拔；</w:t>
      </w:r>
    </w:p>
    <w:p w14:paraId="4B8839C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带有 LED 显示单元；</w:t>
      </w:r>
    </w:p>
    <w:p w14:paraId="441C675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完全软件可配置；</w:t>
      </w:r>
    </w:p>
    <w:p w14:paraId="10B4963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模块密度不超过 32 点；</w:t>
      </w:r>
    </w:p>
    <w:p w14:paraId="7AF2DB1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故障锁定功能；</w:t>
      </w:r>
    </w:p>
    <w:p w14:paraId="51CC2D3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故障时标功能；</w:t>
      </w:r>
    </w:p>
    <w:p w14:paraId="20F0716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隔离功能：用户端与系统端之间；</w:t>
      </w:r>
    </w:p>
    <w:p w14:paraId="433A3F2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环境条件</w:t>
      </w:r>
    </w:p>
    <w:p w14:paraId="2C95756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工作温度       0 to 60°C (-4 to 131°F)</w:t>
      </w:r>
    </w:p>
    <w:p w14:paraId="7CC535F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相对湿度      5 to 95% 无冷凝</w:t>
      </w:r>
    </w:p>
    <w:p w14:paraId="34B4779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14.开关量输出模块</w:t>
      </w:r>
    </w:p>
    <w:p w14:paraId="0A5C7F2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支持带电插拔；</w:t>
      </w:r>
    </w:p>
    <w:p w14:paraId="19869D7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带有 LED 显示单元</w:t>
      </w:r>
    </w:p>
    <w:p w14:paraId="5C547F3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完全软件可配置；</w:t>
      </w:r>
    </w:p>
    <w:p w14:paraId="30A1C47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模块密度不超过 32 点；</w:t>
      </w:r>
    </w:p>
    <w:p w14:paraId="48FACE6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故障锁定功能；</w:t>
      </w:r>
    </w:p>
    <w:p w14:paraId="58CC9EE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故障时标功能；</w:t>
      </w:r>
    </w:p>
    <w:p w14:paraId="3CF8F62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在编程和模块故障时软件可设定模块输出状态；</w:t>
      </w:r>
    </w:p>
    <w:p w14:paraId="360942F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隔离功能：用户端与系统端之间；</w:t>
      </w:r>
    </w:p>
    <w:p w14:paraId="1C5BBC8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环境条件</w:t>
      </w:r>
    </w:p>
    <w:p w14:paraId="065D427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工作温度 0 to 60°C (-4 to 131°F) 相对湿度 5 to 95%  无冷凝</w:t>
      </w:r>
    </w:p>
    <w:p w14:paraId="42CCAA6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15.  模拟量输入模块</w:t>
      </w:r>
    </w:p>
    <w:p w14:paraId="40B0ED1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支持带电插拔；</w:t>
      </w:r>
    </w:p>
    <w:p w14:paraId="5E85028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模块密度不超过 16 点；</w:t>
      </w:r>
    </w:p>
    <w:p w14:paraId="2FBF714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故障锁定功能；</w:t>
      </w:r>
    </w:p>
    <w:p w14:paraId="5E688D8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开路检测功能；</w:t>
      </w:r>
    </w:p>
    <w:p w14:paraId="6C0A2F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输入过载保护功能；</w:t>
      </w:r>
    </w:p>
    <w:p w14:paraId="5DC8BD6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隔离功能：用户端与系统端之间；</w:t>
      </w:r>
    </w:p>
    <w:p w14:paraId="791733E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环境条件</w:t>
      </w:r>
    </w:p>
    <w:p w14:paraId="0A2EAE5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工作温度 0 to 60°C (-4 to 131°F) 相对湿度 5 to 95%  无冷凝</w:t>
      </w:r>
    </w:p>
    <w:p w14:paraId="3BE3D51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16.  模拟量输出模块</w:t>
      </w:r>
    </w:p>
    <w:p w14:paraId="2E71B84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支持带电插拔；</w:t>
      </w:r>
    </w:p>
    <w:p w14:paraId="5BB66F9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模块密度不超过 16 点；</w:t>
      </w:r>
    </w:p>
    <w:p w14:paraId="00E4468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故障锁定功能；</w:t>
      </w:r>
    </w:p>
    <w:p w14:paraId="507386B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输出过载保护功能；</w:t>
      </w:r>
    </w:p>
    <w:p w14:paraId="7B04A94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输出短路保护功能；</w:t>
      </w:r>
    </w:p>
    <w:p w14:paraId="7CDEB29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隔离功能：用户端与系统端之间；</w:t>
      </w:r>
    </w:p>
    <w:p w14:paraId="0676A59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环境条件</w:t>
      </w:r>
    </w:p>
    <w:p w14:paraId="10BAB3F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工作温度 0 to 60°C (-4 to 131°F) 相对湿度 5 to 95%  无冷凝</w:t>
      </w:r>
    </w:p>
    <w:p w14:paraId="65971A7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17. 以太网模块</w:t>
      </w:r>
    </w:p>
    <w:p w14:paraId="70DE49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10/100M、半双工/全双工</w:t>
      </w:r>
    </w:p>
    <w:p w14:paraId="1ABF34E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支持 TCP/IP</w:t>
      </w:r>
    </w:p>
    <w:p w14:paraId="345D043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故障诊断</w:t>
      </w:r>
    </w:p>
    <w:p w14:paraId="6F788A3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安全保护：密码</w:t>
      </w:r>
    </w:p>
    <w:p w14:paraId="7E5AB1E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18. 可编程控制器系统安全要求</w:t>
      </w:r>
    </w:p>
    <w:p w14:paraId="7867A9A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为保证整个控制系统系统的安全，控制系统满足以下安全方面的考虑：</w:t>
      </w:r>
    </w:p>
    <w:p w14:paraId="3BE3870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密码保护</w:t>
      </w:r>
    </w:p>
    <w:p w14:paraId="22C066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程序所有人认定</w:t>
      </w:r>
    </w:p>
    <w:p w14:paraId="4A3183C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l 程序文件/数据表保护</w:t>
      </w:r>
    </w:p>
    <w:p w14:paraId="68982D9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l 存储器数据文件覆盖/比较/改写保护</w:t>
      </w:r>
    </w:p>
    <w:p w14:paraId="311A200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强制保护</w:t>
      </w:r>
    </w:p>
    <w:p w14:paraId="524C418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钥匙开关</w:t>
      </w:r>
    </w:p>
    <w:p w14:paraId="527BAC3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通信通道保护锁定</w:t>
      </w:r>
    </w:p>
    <w:p w14:paraId="6D8AACB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19. 随设备配套控制箱提供的 PLC 应遵守这份技术要求中的所有有关要求， 如：环境、I/O、电源等要求。现场控制主站采用冗余的控制器，电源冗余，和通信网络冗余。不低于国际知名品牌施耐德 M580 ePAC 系列、AB  不低于 ControlLogix 系列、西门子不低于S7-400系列，和利时LK冗余系列。控制站的I/O须采用与CPU 相匹配的同系列、同档次的典型配置，</w:t>
      </w:r>
    </w:p>
    <w:p w14:paraId="7C10060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支持热插拔，禁止使用更低端的 I/O 扩展机架及模块。 E.   可编程控制器（就地控制站）</w:t>
      </w:r>
    </w:p>
    <w:p w14:paraId="0DC3FA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1.与现场控制站选用的可编程控制器为同一制造厂的产品</w:t>
      </w:r>
    </w:p>
    <w:p w14:paraId="3271F1D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2.对于由防爆区进入本控制站的信号应加装防爆元件（安全栅）或采用具 有防爆功能的模板。</w:t>
      </w:r>
    </w:p>
    <w:p w14:paraId="58577D4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3.模块化微型可编程控制器系统，满足中、小规模的性能要求</w:t>
      </w:r>
    </w:p>
    <w:p w14:paraId="2F6ED5A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4.方便用户和简易的无风扇设计</w:t>
      </w:r>
    </w:p>
    <w:p w14:paraId="4A0749F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5.当任务增加时，可自由扩展</w:t>
      </w:r>
    </w:p>
    <w:p w14:paraId="14ADBB4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6.通讯模块与现场控制站可编程控制器匹配</w:t>
      </w:r>
    </w:p>
    <w:p w14:paraId="67F6B39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7.为了避免现场环境对设备的影响，要求包括安装背板、控制器、通信处理器、IO模块等所有PLC系统模块带专用防腐涂层，满足-10℃~60℃宽温运行环境、Kb 测试等级2级的要求。PLC 通过原生安全设计，支持基于Windows的IPsec 安全配置功能，取得国际权威机构 Achilles 安 全性 2 级认证或通过中国国家信息安全测评。所有模板均有权威机构的安全认证。</w:t>
      </w:r>
    </w:p>
    <w:p w14:paraId="7E547A0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F.操作员接口（触摸屏）</w:t>
      </w:r>
    </w:p>
    <w:p w14:paraId="09DB288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1.人机界面和控制器为同一厂家产品。</w:t>
      </w:r>
    </w:p>
    <w:p w14:paraId="37AE9AC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2.工作温度：0~50。C</w:t>
      </w:r>
    </w:p>
    <w:p w14:paraId="4074DF6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3.机壳防护等级：满足实际使用需要</w:t>
      </w:r>
    </w:p>
    <w:p w14:paraId="5EAAFF6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4.触摸屏：100  万次寿命，尺寸为 15”，彩色（600~1500），分辨率（800 ×600）</w:t>
      </w:r>
    </w:p>
    <w:p w14:paraId="6114165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5.与控制器连接，电源由控制站提供</w:t>
      </w:r>
    </w:p>
    <w:p w14:paraId="5AA9C2D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6.内存满足实际实用需要并具有 20%的余量，带有位号标签</w:t>
      </w:r>
    </w:p>
    <w:p w14:paraId="3DA5D8D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7.运行电缆长度要满足实际使用需要</w:t>
      </w:r>
    </w:p>
    <w:p w14:paraId="1E7CF5F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8.人机界面带有相应的监控和编程软件</w:t>
      </w:r>
    </w:p>
    <w:p w14:paraId="3AF5E01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9.画面文字为中文。</w:t>
      </w:r>
    </w:p>
    <w:p w14:paraId="05A2FC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10.质量认证：CE ，UL，N223 等</w:t>
      </w:r>
    </w:p>
    <w:p w14:paraId="58B2C1B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G.现场控制站控制柜</w:t>
      </w:r>
    </w:p>
    <w:p w14:paraId="5CBE6D5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1.控制柜内装可编程自动控制器、电源系统、浪涌抑制器、通信防雷装置、 端子等及附属设备，采用落地式安装方式。</w:t>
      </w:r>
    </w:p>
    <w:p w14:paraId="1076412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2.设备外壳的保护等级遵照 IEC60529 标准，防护等级为 IP55。</w:t>
      </w:r>
    </w:p>
    <w:p w14:paraId="23AD7F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3.箱体经电镀处理，有较强的防腐能力，表面应采用静电塑料喷粉处理， 颜色根据买方的要求选定</w:t>
      </w:r>
    </w:p>
    <w:p w14:paraId="5205375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4.按电源种类分别设电源总开关，各用电回路分开关根据负荷情况选配。 电源开关采用优质的小型空气断路器</w:t>
      </w:r>
    </w:p>
    <w:p w14:paraId="2D2A1E1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5.柜内继电器采用优质的小型中功率继电器，形式为插件式</w:t>
      </w:r>
    </w:p>
    <w:p w14:paraId="43D125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6.24V直流电源采用高品质产品，波纹电压小于50mV，正常使用容量小于其额定值的70%，输出与输入完全电隔离。</w:t>
      </w:r>
    </w:p>
    <w:p w14:paraId="4993EFF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7.柜内配线采用汇线槽方式，线芯截面积根据通过的电流大小进行选配，配线颜色按信号种类，根据国家标准配置。接线端子采用优质耐用的产品，接线端子有 20%的备用量。</w:t>
      </w:r>
    </w:p>
    <w:p w14:paraId="4B6924D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8.信号、屏蔽接地采用与柜体完全接地的铜排连接方式</w:t>
      </w:r>
    </w:p>
    <w:p w14:paraId="1BB6B3E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9.柜面及盘内部设备均提供唯一标识的标牌</w:t>
      </w:r>
    </w:p>
    <w:p w14:paraId="4B208B6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10.柜内设有电源工作指示灯、控制器运行指示灯、数字式电压表、门控照 明灯、门控排风扇、门锁、维修插座等；</w:t>
      </w:r>
    </w:p>
    <w:p w14:paraId="3A91744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11.在与电气配电控制柜并派布置时高度应与电气配电控制柜一致；</w:t>
      </w:r>
    </w:p>
    <w:p w14:paraId="792734B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12.电源来自相应的低压配电系统，控制柜中设置双电源（AC380V） 自动 互投系统。如控制柜电源在电气一侧已做双电源则不需要。</w:t>
      </w:r>
    </w:p>
    <w:p w14:paraId="701E37A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13.控制柜中设置不间断电源（1 小时）为可编程控制器及通信装置的供电；</w:t>
      </w:r>
    </w:p>
    <w:p w14:paraId="524A06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14.控制柜颜色应由买方确认。</w:t>
      </w:r>
    </w:p>
    <w:p w14:paraId="7CE8D1B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15.卖方必须保证安装在指定地点的控制柜能满足其中的控制设备等的正常 运行。</w:t>
      </w:r>
    </w:p>
    <w:p w14:paraId="0AC32D0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H.就地控制站/远程 I/O 控制箱</w:t>
      </w:r>
    </w:p>
    <w:p w14:paraId="7CA4536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1.控制箱为成套供货，买方只为现场控制箱提供供电电源，卖方须在控制 箱内提供控制器的配电装置以及仪表的配电或电源转换装置。</w:t>
      </w:r>
    </w:p>
    <w:p w14:paraId="472107D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2.控制箱内安装有可编程控制器，包括电源模块、CPU、输入/输出模块、 隔离继电器、接线和接地端子、浪涌抑制器、通信防雷系统及全部附件， 应具有防腐蚀措施。带有一小时后备时间的不间断电源。柜体及柜内配 置要求防腐。</w:t>
      </w:r>
    </w:p>
    <w:p w14:paraId="5936802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3.带有 15”触摸屏人机界面。</w:t>
      </w:r>
    </w:p>
    <w:p w14:paraId="1ADFF34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4.就地控制站控制箱与相应的现场控制站应以通信的方式交换数据。</w:t>
      </w:r>
    </w:p>
    <w:p w14:paraId="1C839AD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5.箱体经电镀处理，有较强的防腐能力，表面应采用静电塑料喷粉处理， 颜色根据买方的要求选定</w:t>
      </w:r>
    </w:p>
    <w:p w14:paraId="7FD90E7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6.防护等级：室外：IP65，室内：IP55</w:t>
      </w:r>
    </w:p>
    <w:p w14:paraId="450CC09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7.工作环境条件：参见项目介绍中的环境温度和湿度</w:t>
      </w:r>
    </w:p>
    <w:p w14:paraId="15449D0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8.箱内有遮阳、散热通风、照明装置</w:t>
      </w:r>
    </w:p>
    <w:p w14:paraId="0449A07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9.电源来自相应的低压配电系统或相应的现场控制站，电源为AC220V/AC380V。</w:t>
      </w:r>
    </w:p>
    <w:p w14:paraId="179CC2A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10.卖方必须保证安装在指定地点的控制柜能满足其中的控制设备等的正常运行。</w:t>
      </w:r>
    </w:p>
    <w:p w14:paraId="73E5467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I.仪表保护箱</w:t>
      </w:r>
    </w:p>
    <w:p w14:paraId="3DCCC7A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1.所有室外仪表变送器及相关的现场元器件应安装在仪表保护箱内。保护箱应是可上锁的，所有保护箱的锁可用同一把钥匙打开。</w:t>
      </w:r>
    </w:p>
    <w:p w14:paraId="741420B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2.仪表保护箱带有观察窗；</w:t>
      </w:r>
    </w:p>
    <w:p w14:paraId="4337FE8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3.防护等级：≥IP55；</w:t>
      </w:r>
    </w:p>
    <w:p w14:paraId="562C1FD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4.仪表保护箱内应安装断路器、浪涌保护器、接线端子等。</w:t>
      </w:r>
    </w:p>
    <w:p w14:paraId="75CE47A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5.保护箱材料为不锈钢。</w:t>
      </w:r>
    </w:p>
    <w:p w14:paraId="05A0D07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6.仪表保护箱带有遮阳罩。</w:t>
      </w:r>
    </w:p>
    <w:p w14:paraId="056AB25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7.仪表保护箱参考规格≥400mm×300mm×500mm；仪表保护箱由厂家成套。</w:t>
      </w:r>
    </w:p>
    <w:p w14:paraId="6947604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8.卖方必须保证安装在指定地点的保护箱能满足其中的控制设备等的正常运行。</w:t>
      </w:r>
      <w:bookmarkStart w:id="9" w:name="bookmark114"/>
      <w:bookmarkEnd w:id="9"/>
    </w:p>
    <w:p w14:paraId="724687D8">
      <w:pPr>
        <w:pStyle w:val="3"/>
        <w:rPr>
          <w:rFonts w:ascii="宋体" w:hAnsi="宋体" w:eastAsia="宋体" w:cs="宋体"/>
          <w:sz w:val="24"/>
          <w:szCs w:val="22"/>
        </w:rPr>
      </w:pPr>
      <w:bookmarkStart w:id="10" w:name="bookmark116"/>
      <w:bookmarkEnd w:id="10"/>
      <w:r>
        <w:rPr>
          <w:rFonts w:hint="eastAsia" w:ascii="宋体" w:hAnsi="宋体" w:eastAsia="宋体" w:cs="宋体"/>
          <w:sz w:val="24"/>
          <w:szCs w:val="22"/>
        </w:rPr>
        <w:t>5.4 在线测量仪表</w:t>
      </w:r>
    </w:p>
    <w:p w14:paraId="16D65ECF">
      <w:pPr>
        <w:pStyle w:val="3"/>
        <w:rPr>
          <w:rFonts w:ascii="宋体" w:hAnsi="宋体" w:eastAsia="宋体" w:cs="宋体"/>
          <w:sz w:val="24"/>
          <w:szCs w:val="22"/>
        </w:rPr>
      </w:pPr>
      <w:r>
        <w:rPr>
          <w:rFonts w:hint="eastAsia" w:ascii="宋体" w:hAnsi="宋体" w:eastAsia="宋体" w:cs="宋体"/>
          <w:sz w:val="24"/>
          <w:szCs w:val="22"/>
        </w:rPr>
        <w:t>5.4.1 范围</w:t>
      </w:r>
    </w:p>
    <w:p w14:paraId="38FFF00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A.本部分包括在线测量仪表的制造、供货、安装、校验、测试和试运行。所有 在线仪表安装后，应进行现场标定，仪表的标定工作由卖方负责。</w:t>
      </w:r>
    </w:p>
    <w:p w14:paraId="4DA94684">
      <w:pPr>
        <w:pStyle w:val="3"/>
        <w:rPr>
          <w:rFonts w:ascii="宋体" w:hAnsi="宋体" w:eastAsia="宋体" w:cs="宋体"/>
          <w:sz w:val="24"/>
          <w:szCs w:val="22"/>
        </w:rPr>
      </w:pPr>
      <w:r>
        <w:rPr>
          <w:rFonts w:hint="eastAsia" w:ascii="宋体" w:hAnsi="宋体" w:eastAsia="宋体" w:cs="宋体"/>
          <w:sz w:val="24"/>
          <w:szCs w:val="22"/>
        </w:rPr>
        <w:t>5.4.2 总则</w:t>
      </w:r>
    </w:p>
    <w:p w14:paraId="7203125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A.所提供仪表应具有 ISO9001 产品质量认证。</w:t>
      </w:r>
    </w:p>
    <w:p w14:paraId="7AE36C0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B.全部仪表供电AC220V，50Hz 或 DC24V 电源，环境条件参见A部分：项目描述和总体要求。</w:t>
      </w:r>
    </w:p>
    <w:p w14:paraId="01B3E28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C.所有室外仪表变送器及相关的现场元器件应安装在带有保护箱内。</w:t>
      </w:r>
    </w:p>
    <w:p w14:paraId="6D06C98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D.所有仪表应配有就地显示装置，显示被测的过程变量，应便于工作人员的观 察。</w:t>
      </w:r>
    </w:p>
    <w:p w14:paraId="386E5AD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E.所有仪表为 DC4~20mA 输出，与过程变量成正比。继电器输出为无源接点信</w:t>
      </w:r>
    </w:p>
    <w:p w14:paraId="7CA00BB9">
      <w:pPr>
        <w:spacing w:line="360" w:lineRule="auto"/>
        <w:rPr>
          <w:rFonts w:ascii="宋体" w:hAnsi="宋体" w:eastAsia="宋体" w:cs="宋体"/>
          <w:sz w:val="24"/>
          <w:szCs w:val="32"/>
        </w:rPr>
      </w:pPr>
      <w:r>
        <w:rPr>
          <w:rFonts w:hint="eastAsia" w:ascii="宋体" w:hAnsi="宋体" w:eastAsia="宋体" w:cs="宋体"/>
          <w:sz w:val="24"/>
          <w:szCs w:val="32"/>
        </w:rPr>
        <w:t>号。特殊输出要求详见下文“特殊技术要求”。</w:t>
      </w:r>
    </w:p>
    <w:p w14:paraId="22EEB0B2">
      <w:pPr>
        <w:spacing w:line="360" w:lineRule="auto"/>
        <w:rPr>
          <w:rFonts w:ascii="宋体" w:hAnsi="宋体" w:eastAsia="宋体" w:cs="宋体"/>
          <w:sz w:val="24"/>
          <w:szCs w:val="32"/>
        </w:rPr>
      </w:pPr>
      <w:r>
        <w:rPr>
          <w:rFonts w:hint="eastAsia" w:ascii="宋体" w:hAnsi="宋体" w:eastAsia="宋体" w:cs="宋体"/>
          <w:sz w:val="24"/>
          <w:szCs w:val="32"/>
        </w:rPr>
        <w:t xml:space="preserve">    F.所有仪表均应配有安装支架及附件。</w:t>
      </w:r>
    </w:p>
    <w:p w14:paraId="39FD532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G.所有输出和输入信号线（不包括传感器信号线）应为通过端子连接的，在仪 表的下部。</w:t>
      </w:r>
    </w:p>
    <w:p w14:paraId="466B419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H.每种规格电磁流量计至少提供一个与电磁流量计安装尺寸相同、与连接电磁 流量计管道材料相同的直管段。</w:t>
      </w:r>
    </w:p>
    <w:p w14:paraId="1BBF98C5">
      <w:pPr>
        <w:pStyle w:val="3"/>
        <w:rPr>
          <w:rFonts w:ascii="宋体" w:hAnsi="宋体" w:eastAsia="宋体" w:cs="宋体"/>
          <w:sz w:val="24"/>
          <w:szCs w:val="22"/>
        </w:rPr>
      </w:pPr>
      <w:r>
        <w:rPr>
          <w:rFonts w:hint="eastAsia" w:ascii="宋体" w:hAnsi="宋体" w:eastAsia="宋体" w:cs="宋体"/>
          <w:sz w:val="24"/>
          <w:szCs w:val="22"/>
        </w:rPr>
        <w:t>5.4.3 超声波液位、液位差及明渠流量仪表</w:t>
      </w:r>
    </w:p>
    <w:p w14:paraId="2054746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A.用途</w:t>
      </w:r>
    </w:p>
    <w:p w14:paraId="6302DED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1.测量、显示和传送液位信号。明渠流量仪表适用于测量明渠的流量。</w:t>
      </w:r>
    </w:p>
    <w:p w14:paraId="002C0A9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349F21F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1.非接触超声波测量方式。</w:t>
      </w:r>
    </w:p>
    <w:p w14:paraId="57E5E14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2900815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1.液位传感器、变送器，以及全部安装附件和电缆。</w:t>
      </w:r>
    </w:p>
    <w:p w14:paraId="136FB071">
      <w:pPr>
        <w:spacing w:line="360" w:lineRule="auto"/>
        <w:ind w:firstLine="480" w:firstLineChars="200"/>
      </w:pPr>
      <w:r>
        <w:rPr>
          <w:rFonts w:hint="eastAsia" w:ascii="宋体" w:hAnsi="宋体" w:eastAsia="宋体" w:cs="宋体"/>
          <w:sz w:val="24"/>
          <w:szCs w:val="32"/>
        </w:rPr>
        <w:t>2.变送器处理传感器的测量信号，按照使用要求传送液位信号。液位信号传送到变送器中。液位差测量采用两台传感器连接一台变送器，通过比较两台传感器的信号，得出液位差信号。明渠流量测量是根据流量与液位的关系，按一定计算公式，得出与流量成比例的输出信号。</w:t>
      </w:r>
    </w:p>
    <w:p w14:paraId="3ED0A8D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65EAB02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1.测量范围、介质、传感器和变送器的连接方式：详见特殊技术要求</w:t>
      </w:r>
    </w:p>
    <w:p w14:paraId="7775874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2.有一定克服泡沫影响的能力</w:t>
      </w:r>
    </w:p>
    <w:p w14:paraId="72D3ECA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E.传感器</w:t>
      </w:r>
    </w:p>
    <w:p w14:paraId="472AF40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1.带一体化温度探头用来矫正超声波的运行误差。测量范围不低于10米时，波束角不大10°盲区不大于0.3米。使用环境条件： -40~+95℃、相对湿度100%。传感器的外壳采用防腐蚀材料。表面可实现自清洁。内置温度补偿、抗化学腐蚀。实际测量范围要求：详见仪表自控系统特 殊技术要求。</w:t>
      </w:r>
    </w:p>
    <w:p w14:paraId="55E061E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2.超声波液位传感器采用法兰夹装安装方式。安装在明渠或水池上部带托 架的支架及可旋转的悬臂中，以达到适合的位置。</w:t>
      </w:r>
    </w:p>
    <w:p w14:paraId="1C19691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F.变送器</w:t>
      </w:r>
    </w:p>
    <w:p w14:paraId="15E230D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1.显示：大屏幕LCD发光显示，并具有现场操作功能，可利用手持编程器进行编程。断电时可自动储存系统数据</w:t>
      </w:r>
    </w:p>
    <w:p w14:paraId="2179520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液位变送器要求输出DC4~20mA信号、液位差变送器输出信号：DC4~20mA×2（格栅前液位及液位差）、在流量测量时可产生累计流量脉冲输出：1m3/脉冲。至少带有2个继电器输出，可设定及开关量输出自身故障报警，额定值为AC220V，5A。环境温度：-20~+50°C。</w:t>
      </w:r>
    </w:p>
    <w:p w14:paraId="464C6B7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3.测量精度：量程的 0.25%。稳定性： 十二个月 0.1%。可去除水面剧烈波 动的干扰。重复性：&lt;满量程 0.1%。零点迁移：盲区以外任意设定。</w:t>
      </w:r>
    </w:p>
    <w:p w14:paraId="7CC2E84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4.温度补偿：-50~+150ºC;</w:t>
      </w:r>
    </w:p>
    <w:p w14:paraId="5C54D86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5.内置 RS485 接口。</w:t>
      </w:r>
    </w:p>
    <w:p w14:paraId="3DFF030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G.连接电缆</w:t>
      </w:r>
    </w:p>
    <w:p w14:paraId="7B24A11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1.分体：详见特殊技术要求</w:t>
      </w:r>
    </w:p>
    <w:p w14:paraId="47452FB2">
      <w:pPr>
        <w:pStyle w:val="3"/>
        <w:rPr>
          <w:rFonts w:ascii="宋体" w:hAnsi="宋体" w:eastAsia="宋体" w:cs="宋体"/>
          <w:sz w:val="24"/>
          <w:szCs w:val="22"/>
        </w:rPr>
      </w:pPr>
      <w:r>
        <w:rPr>
          <w:rFonts w:hint="eastAsia" w:ascii="宋体" w:hAnsi="宋体" w:eastAsia="宋体" w:cs="宋体"/>
          <w:sz w:val="24"/>
          <w:szCs w:val="22"/>
        </w:rPr>
        <w:t>5.4.4 雷达物位仪表</w:t>
      </w:r>
    </w:p>
    <w:p w14:paraId="4443A3F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A.用途</w:t>
      </w:r>
    </w:p>
    <w:p w14:paraId="71F7296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1.测量、显示和传送物位信号。 B. 原理</w:t>
      </w:r>
    </w:p>
    <w:p w14:paraId="31FD38D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1.非接触雷达波测量方式。</w:t>
      </w:r>
    </w:p>
    <w:p w14:paraId="5A7ADF9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 型式</w:t>
      </w:r>
    </w:p>
    <w:p w14:paraId="36E02F8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1.液位传感器、变送器，以及全部安装附件和电缆。</w:t>
      </w:r>
    </w:p>
    <w:p w14:paraId="518CCE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2.变送器处理传感器的测量信号，按照使用要求传送物位信号。</w:t>
      </w:r>
    </w:p>
    <w:p w14:paraId="21D03BA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 性能</w:t>
      </w:r>
    </w:p>
    <w:p w14:paraId="4C8DFC9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1.测量范围、介质、传感器和变送器的连接方式：详见特殊技术要求 </w:t>
      </w:r>
    </w:p>
    <w:p w14:paraId="7E20152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 传感器</w:t>
      </w:r>
    </w:p>
    <w:p w14:paraId="2FD8736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1.防护等级：IP68。波束角不大于7°盲区不大于0.5米。</w:t>
      </w:r>
    </w:p>
    <w:p w14:paraId="1DCF0D9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2.使用环境条件：-40~+200°C、相对湿度 100%。传感器外壳材料：接触 介质类型/密封：PTFE。抗化学腐蚀。实际测量范围要求：详见仪表自控系统特殊技术要求。</w:t>
      </w:r>
    </w:p>
    <w:p w14:paraId="2B49C41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3.传感器采用法兰安装方式，带全套安装附件和导波管。</w:t>
      </w:r>
    </w:p>
    <w:p w14:paraId="47F42C2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 F. 变送器</w:t>
      </w:r>
    </w:p>
    <w:p w14:paraId="7D4DA0F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1.与传感器一体。防护等级： IP68。显示： 4 行 LCD 数字指示并具有现场 操作功能。</w:t>
      </w:r>
    </w:p>
    <w:p w14:paraId="262404C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2.变送器要求输出 4～20mA 信号。至少带有 2 个继电器输出，可设定及开 关量输出自身故障报警，额定值为 24VDC。环境温度：-25~+60。C。</w:t>
      </w:r>
    </w:p>
    <w:p w14:paraId="4ED9492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3.测量精度：±1mm。重复性：0.3mm。零点迁移：盲区以外任意设定。</w:t>
      </w:r>
    </w:p>
    <w:p w14:paraId="00D8096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4.电源：24VDC</w:t>
      </w:r>
    </w:p>
    <w:p w14:paraId="7AEC882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5.防雷击功能：10kA（8/20μs）</w:t>
      </w:r>
    </w:p>
    <w:p w14:paraId="5F30500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6.防爆功能：EExia ，T12 外壳</w:t>
      </w:r>
    </w:p>
    <w:p w14:paraId="5B7B1EB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 连接电缆</w:t>
      </w:r>
    </w:p>
    <w:p w14:paraId="1D5559B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1.详见特殊技术要求</w:t>
      </w:r>
    </w:p>
    <w:p w14:paraId="6E5EE2FE">
      <w:pPr>
        <w:pStyle w:val="3"/>
        <w:rPr>
          <w:rFonts w:ascii="宋体" w:hAnsi="宋体" w:eastAsia="宋体" w:cs="宋体"/>
          <w:sz w:val="24"/>
          <w:szCs w:val="22"/>
        </w:rPr>
      </w:pPr>
      <w:r>
        <w:rPr>
          <w:rFonts w:hint="eastAsia" w:ascii="宋体" w:hAnsi="宋体" w:eastAsia="宋体" w:cs="宋体"/>
          <w:sz w:val="24"/>
          <w:szCs w:val="22"/>
        </w:rPr>
        <w:t>5.4.5泥水界面计</w:t>
      </w:r>
    </w:p>
    <w:p w14:paraId="4937289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A.用途</w:t>
      </w:r>
    </w:p>
    <w:p w14:paraId="641D7F6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1.测量、显示和传送液位信号。</w:t>
      </w:r>
    </w:p>
    <w:p w14:paraId="5AAC612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22175EB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1.接触式超声波测量方式。</w:t>
      </w:r>
    </w:p>
    <w:p w14:paraId="7598AA7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7CD1060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1.泥位传感器、变送器，以及全部安装附件和电缆。</w:t>
      </w:r>
    </w:p>
    <w:p w14:paraId="79E1102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2.变送器处理传感器的测量信号，按照使用要求传送泥位信号。</w:t>
      </w:r>
    </w:p>
    <w:p w14:paraId="4A36CC9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33539DE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1.测量范围、介质、传感器和变送器的连接方式：详见特殊技术要求 </w:t>
      </w:r>
    </w:p>
    <w:p w14:paraId="29DCEFE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E.传感器</w:t>
      </w:r>
    </w:p>
    <w:p w14:paraId="1BECFE2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1.防护等级：IP68。波束角不大于 6。</w:t>
      </w:r>
    </w:p>
    <w:p w14:paraId="6DDE508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2.使用环境条件：+1~+50°C、相对湿度 100%。传感器外壳材料：接触介质类型/密封：PTFE。抗化学腐蚀。表面可实现自清洁。实际测量范围 要求：详见仪表自控系统特殊技术要求。</w:t>
      </w:r>
    </w:p>
    <w:p w14:paraId="04C4B77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3.安装在明渠或水池上部带托架的支架及可旋转的悬臂中，以达到适合的位置。</w:t>
      </w:r>
    </w:p>
    <w:p w14:paraId="09BE46E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F.变送器</w:t>
      </w:r>
    </w:p>
    <w:p w14:paraId="63B24E5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1.与传感器一体。防护等级：IP68。显示：LCD 数字指示并具有现场操作功能。</w:t>
      </w:r>
    </w:p>
    <w:p w14:paraId="4A73BA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2.变送器要求输出 4～20mA 信号。至少带有 2 个继电器输出，可检测极测 量值及故障报警，额定值为 24VDC。环境温度：-25~+60。C。</w:t>
      </w:r>
    </w:p>
    <w:p w14:paraId="54C7372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3.电源：AC220V</w:t>
      </w:r>
    </w:p>
    <w:p w14:paraId="799C1E9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G.连接电缆</w:t>
      </w:r>
    </w:p>
    <w:p w14:paraId="754EB35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1.详见特殊技术要求</w:t>
      </w:r>
    </w:p>
    <w:p w14:paraId="6742EFD6">
      <w:pPr>
        <w:pStyle w:val="3"/>
        <w:rPr>
          <w:rFonts w:ascii="宋体" w:hAnsi="宋体" w:eastAsia="宋体" w:cs="宋体"/>
          <w:sz w:val="24"/>
          <w:szCs w:val="22"/>
        </w:rPr>
      </w:pPr>
      <w:r>
        <w:rPr>
          <w:rFonts w:hint="eastAsia" w:ascii="宋体" w:hAnsi="宋体" w:eastAsia="宋体" w:cs="宋体"/>
          <w:sz w:val="24"/>
          <w:szCs w:val="22"/>
        </w:rPr>
        <w:t>5.4.6 电磁流量计</w:t>
      </w:r>
    </w:p>
    <w:p w14:paraId="0DF7DFD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A.用途</w:t>
      </w:r>
    </w:p>
    <w:p w14:paraId="7953726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1.测量、指示和传送管道内导电液体的流量。</w:t>
      </w:r>
    </w:p>
    <w:p w14:paraId="1157D85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721276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1.利用法拉第电磁感应测量原理。</w:t>
      </w:r>
    </w:p>
    <w:p w14:paraId="495D410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1995454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1.由传感器、变送器，安装柱，全天候防护罩，保护壳，</w:t>
      </w:r>
    </w:p>
    <w:p w14:paraId="0E90499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2.全部安装附件，连接电缆和接地环、法兰等</w:t>
      </w:r>
    </w:p>
    <w:p w14:paraId="50638BD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3.传感器将通过电磁场感应方式测量出的信号输出到变送器，变送器经过计算和放大后输出与流量成比例的 4~20mA 信号和流量累积脉冲信号。 累积信号的脉冲宽度可调，单1m3/脉冲</w:t>
      </w:r>
    </w:p>
    <w:p w14:paraId="15F9294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12B13EA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1.适合测量进入污水处理厂的原污水、回流污泥、剩余污泥的应用。</w:t>
      </w:r>
    </w:p>
    <w:p w14:paraId="34BDF09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2.卖方应按照电磁流量计的实际使用条件提供与介质相匹配材料的电极。</w:t>
      </w:r>
    </w:p>
    <w:p w14:paraId="75C40C8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E.传感器</w:t>
      </w:r>
    </w:p>
    <w:p w14:paraId="7D22576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1.采用脉冲常量电磁场原理。流速范围：0.3~12 米/秒。防护等级：IP68。最小电导率：3ms/cm。传感器外壳材料：钢材（防腐）。衬里材料：硬橡胶（可满足实际使用需要）。电极材料：不锈钢。以法兰方式安装，法兰应符合中国标准。带有接地环。介质温度：-25~+65ºC。</w:t>
      </w:r>
    </w:p>
    <w:p w14:paraId="298131D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2.测量误差：好于 0.5%FS</w:t>
      </w:r>
    </w:p>
    <w:p w14:paraId="5C61C9F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3.具有测量流向的指示。</w:t>
      </w:r>
    </w:p>
    <w:p w14:paraId="2E8DDFC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4.防护等级：IP68</w:t>
      </w:r>
    </w:p>
    <w:p w14:paraId="13CF718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F.变送器</w:t>
      </w:r>
    </w:p>
    <w:p w14:paraId="1841ED8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1.快速16位微处理器，量程连续可调。</w:t>
      </w:r>
    </w:p>
    <w:p w14:paraId="344320F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2.与传感器相匹配；具有多项诊断功能；小流量切除；正/反向测量；自动 量程切换；限位触点；外部范围选择；外部积算器复位；电隔离；过载 保护（电源和所有输出）；电流输出：0/4-20mA；脉冲输出：0~1000Hz 满量程；状态输出：四路二进制，如流体流动方向或出错显示和范围选 择；电源：85-264VAC,48-63Hz 和 24VDC；接口：HART 标准,Profibus PA/DP/FF（可选）；可选件：显示器/积算器和控制单元；所有功能/参数 可设置（可以在不打开外壳的情况下使用磁棒操作）。</w:t>
      </w:r>
    </w:p>
    <w:p w14:paraId="0E53E53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G.安装附件</w:t>
      </w:r>
    </w:p>
    <w:p w14:paraId="438E42A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1.提供用于安装电磁流量计的连接螺栓及密封垫。</w:t>
      </w:r>
    </w:p>
    <w:p w14:paraId="439F02C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H.其它</w:t>
      </w:r>
    </w:p>
    <w:p w14:paraId="463AD33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1.在电磁流量计安装的位置，应由管道卖方提供一段与所安装流量仪表安装尺寸相同的带有法兰的直管段。卖方要减少安装电磁流量计处管道的 内衬以适于流量计的安装。在传感器定货之前，卖方应确定管道所带的法兰的具体尺寸，使得管道法兰与传感器法兰相匹配。</w:t>
      </w:r>
    </w:p>
    <w:p w14:paraId="59C63B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2.应成套提供用于安装电磁流量计的法兰安装的限位伸缩接头。</w:t>
      </w:r>
    </w:p>
    <w:p w14:paraId="24EE186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I.连接电缆：详见仪表自控系统特殊技术要求</w:t>
      </w:r>
    </w:p>
    <w:p w14:paraId="5D29F17E">
      <w:pPr>
        <w:pStyle w:val="3"/>
        <w:rPr>
          <w:rFonts w:ascii="宋体" w:hAnsi="宋体" w:eastAsia="宋体" w:cs="宋体"/>
          <w:sz w:val="24"/>
          <w:szCs w:val="22"/>
        </w:rPr>
      </w:pPr>
      <w:r>
        <w:rPr>
          <w:rFonts w:hint="eastAsia" w:ascii="宋体" w:hAnsi="宋体" w:eastAsia="宋体" w:cs="宋体"/>
          <w:sz w:val="24"/>
          <w:szCs w:val="22"/>
        </w:rPr>
        <w:t>5.4.7 渠道多普勒非接触式流量计</w:t>
      </w:r>
    </w:p>
    <w:p w14:paraId="2D2247B7">
      <w:pPr>
        <w:spacing w:line="360" w:lineRule="auto"/>
        <w:ind w:firstLine="480" w:firstLineChars="200"/>
        <w:rPr>
          <w:rFonts w:ascii="宋体" w:hAnsi="宋体" w:eastAsia="宋体" w:cs="宋体"/>
          <w:sz w:val="24"/>
        </w:rPr>
      </w:pPr>
      <w:r>
        <w:rPr>
          <w:rFonts w:hint="eastAsia" w:ascii="宋体" w:hAnsi="宋体" w:eastAsia="宋体" w:cs="宋体"/>
          <w:sz w:val="24"/>
        </w:rPr>
        <w:t>A.用途</w:t>
      </w:r>
    </w:p>
    <w:p w14:paraId="17260243">
      <w:pPr>
        <w:spacing w:line="360" w:lineRule="auto"/>
        <w:ind w:firstLine="480" w:firstLineChars="200"/>
        <w:rPr>
          <w:rFonts w:ascii="宋体" w:hAnsi="宋体" w:eastAsia="宋体" w:cs="宋体"/>
          <w:sz w:val="24"/>
        </w:rPr>
      </w:pPr>
      <w:r>
        <w:rPr>
          <w:rFonts w:hint="eastAsia" w:ascii="宋体" w:hAnsi="宋体" w:eastAsia="宋体" w:cs="宋体"/>
          <w:sz w:val="24"/>
        </w:rPr>
        <w:t>1.测量、显示和传送流量信号。</w:t>
      </w:r>
    </w:p>
    <w:p w14:paraId="28318275">
      <w:pPr>
        <w:spacing w:line="360" w:lineRule="auto"/>
        <w:ind w:firstLine="480" w:firstLineChars="200"/>
        <w:rPr>
          <w:rFonts w:ascii="宋体" w:hAnsi="宋体" w:eastAsia="宋体" w:cs="宋体"/>
          <w:sz w:val="24"/>
        </w:rPr>
      </w:pPr>
      <w:r>
        <w:rPr>
          <w:rFonts w:hint="eastAsia" w:ascii="宋体" w:hAnsi="宋体" w:eastAsia="宋体" w:cs="宋体"/>
          <w:sz w:val="24"/>
        </w:rPr>
        <w:t>B. 原理</w:t>
      </w:r>
    </w:p>
    <w:p w14:paraId="0E668C3D">
      <w:pPr>
        <w:spacing w:line="360" w:lineRule="auto"/>
        <w:ind w:firstLine="480" w:firstLineChars="200"/>
        <w:rPr>
          <w:rFonts w:ascii="宋体" w:hAnsi="宋体" w:eastAsia="宋体" w:cs="宋体"/>
          <w:sz w:val="24"/>
        </w:rPr>
      </w:pPr>
      <w:r>
        <w:rPr>
          <w:rFonts w:hint="eastAsia" w:ascii="宋体" w:hAnsi="宋体" w:eastAsia="宋体" w:cs="宋体"/>
          <w:sz w:val="24"/>
        </w:rPr>
        <w:t>1.连续多普勒测量：传感器恒连续频发射超声波并通过渠道水流位移反射， 发射和接收的频率间差异与流速成正比。</w:t>
      </w:r>
    </w:p>
    <w:p w14:paraId="0F1EA973">
      <w:pPr>
        <w:spacing w:line="360" w:lineRule="auto"/>
        <w:ind w:firstLine="480" w:firstLineChars="200"/>
        <w:rPr>
          <w:rFonts w:ascii="宋体" w:hAnsi="宋体" w:eastAsia="宋体" w:cs="宋体"/>
          <w:sz w:val="24"/>
        </w:rPr>
      </w:pPr>
      <w:r>
        <w:rPr>
          <w:rFonts w:hint="eastAsia" w:ascii="宋体" w:hAnsi="宋体" w:eastAsia="宋体" w:cs="宋体"/>
          <w:sz w:val="24"/>
        </w:rPr>
        <w:t>C.型式</w:t>
      </w:r>
    </w:p>
    <w:p w14:paraId="2657577A">
      <w:pPr>
        <w:spacing w:line="360" w:lineRule="auto"/>
        <w:ind w:firstLine="480" w:firstLineChars="200"/>
        <w:rPr>
          <w:rFonts w:ascii="宋体" w:hAnsi="宋体" w:eastAsia="宋体" w:cs="宋体"/>
          <w:sz w:val="24"/>
        </w:rPr>
      </w:pPr>
      <w:r>
        <w:rPr>
          <w:rFonts w:hint="eastAsia" w:ascii="宋体" w:hAnsi="宋体" w:eastAsia="宋体" w:cs="宋体"/>
          <w:sz w:val="24"/>
        </w:rPr>
        <w:t>1.流量传感器、变送器，以及全部安装附件和电缆。</w:t>
      </w:r>
    </w:p>
    <w:p w14:paraId="7FC3ADB8">
      <w:pPr>
        <w:spacing w:line="360" w:lineRule="auto"/>
        <w:ind w:firstLine="480" w:firstLineChars="200"/>
        <w:rPr>
          <w:rFonts w:ascii="宋体" w:hAnsi="宋体" w:eastAsia="宋体" w:cs="宋体"/>
          <w:sz w:val="24"/>
        </w:rPr>
      </w:pPr>
      <w:r>
        <w:rPr>
          <w:rFonts w:hint="eastAsia" w:ascii="宋体" w:hAnsi="宋体" w:eastAsia="宋体" w:cs="宋体"/>
          <w:sz w:val="24"/>
        </w:rPr>
        <w:t>2.可以测量满渠道的水流量</w:t>
      </w:r>
    </w:p>
    <w:p w14:paraId="10EC7A36">
      <w:pPr>
        <w:spacing w:line="360" w:lineRule="auto"/>
        <w:ind w:firstLine="480" w:firstLineChars="200"/>
        <w:rPr>
          <w:rFonts w:ascii="宋体" w:hAnsi="宋体" w:eastAsia="宋体" w:cs="宋体"/>
          <w:sz w:val="24"/>
        </w:rPr>
      </w:pPr>
      <w:r>
        <w:rPr>
          <w:rFonts w:hint="eastAsia" w:ascii="宋体" w:hAnsi="宋体" w:eastAsia="宋体" w:cs="宋体"/>
          <w:sz w:val="24"/>
        </w:rPr>
        <w:t>D.性能</w:t>
      </w:r>
    </w:p>
    <w:p w14:paraId="5B192196">
      <w:pPr>
        <w:spacing w:line="360" w:lineRule="auto"/>
        <w:ind w:firstLine="480" w:firstLineChars="200"/>
        <w:rPr>
          <w:rFonts w:ascii="宋体" w:hAnsi="宋体" w:eastAsia="宋体" w:cs="宋体"/>
          <w:sz w:val="24"/>
        </w:rPr>
      </w:pPr>
      <w:r>
        <w:rPr>
          <w:rFonts w:hint="eastAsia" w:ascii="宋体" w:hAnsi="宋体" w:eastAsia="宋体" w:cs="宋体"/>
          <w:sz w:val="24"/>
        </w:rPr>
        <w:t>1.测量范围、介质、传感器和变送器的连接方式</w:t>
      </w:r>
    </w:p>
    <w:p w14:paraId="6E2A6BA1">
      <w:pPr>
        <w:spacing w:line="360" w:lineRule="auto"/>
        <w:ind w:firstLine="480" w:firstLineChars="200"/>
        <w:rPr>
          <w:rFonts w:ascii="宋体" w:hAnsi="宋体" w:eastAsia="宋体" w:cs="宋体"/>
          <w:sz w:val="24"/>
        </w:rPr>
      </w:pPr>
      <w:r>
        <w:rPr>
          <w:rFonts w:hint="eastAsia" w:ascii="宋体" w:hAnsi="宋体" w:eastAsia="宋体" w:cs="宋体"/>
          <w:sz w:val="24"/>
        </w:rPr>
        <w:t>2.可以测量满管或非满管（带液位计）的水流量（详见特殊技术要求部分）</w:t>
      </w:r>
    </w:p>
    <w:p w14:paraId="6C6FEE28">
      <w:pPr>
        <w:spacing w:line="360" w:lineRule="auto"/>
        <w:ind w:firstLine="480" w:firstLineChars="200"/>
        <w:rPr>
          <w:rFonts w:ascii="宋体" w:hAnsi="宋体" w:eastAsia="宋体" w:cs="宋体"/>
          <w:sz w:val="24"/>
        </w:rPr>
      </w:pPr>
      <w:r>
        <w:rPr>
          <w:rFonts w:hint="eastAsia" w:ascii="宋体" w:hAnsi="宋体" w:eastAsia="宋体" w:cs="宋体"/>
          <w:sz w:val="24"/>
        </w:rPr>
        <w:t>E.传感器</w:t>
      </w:r>
    </w:p>
    <w:p w14:paraId="1D105950">
      <w:pPr>
        <w:spacing w:line="360" w:lineRule="auto"/>
        <w:ind w:firstLine="480" w:firstLineChars="200"/>
        <w:rPr>
          <w:rFonts w:ascii="宋体" w:hAnsi="宋体" w:eastAsia="宋体" w:cs="宋体"/>
          <w:sz w:val="24"/>
        </w:rPr>
      </w:pPr>
      <w:r>
        <w:rPr>
          <w:rFonts w:hint="eastAsia" w:ascii="宋体" w:hAnsi="宋体" w:eastAsia="宋体" w:cs="宋体"/>
          <w:sz w:val="24"/>
        </w:rPr>
        <w:t>1.流速范围：0~12m/S</w:t>
      </w:r>
    </w:p>
    <w:p w14:paraId="173F1161">
      <w:pPr>
        <w:spacing w:line="360" w:lineRule="auto"/>
        <w:ind w:firstLine="480" w:firstLineChars="200"/>
        <w:rPr>
          <w:rFonts w:ascii="宋体" w:hAnsi="宋体" w:eastAsia="宋体" w:cs="宋体"/>
          <w:sz w:val="24"/>
        </w:rPr>
      </w:pPr>
      <w:r>
        <w:rPr>
          <w:rFonts w:hint="eastAsia" w:ascii="宋体" w:hAnsi="宋体" w:eastAsia="宋体" w:cs="宋体"/>
          <w:sz w:val="24"/>
        </w:rPr>
        <w:t>2.精度 ： ±2%</w:t>
      </w:r>
    </w:p>
    <w:p w14:paraId="698A7C5E">
      <w:pPr>
        <w:spacing w:line="360" w:lineRule="auto"/>
        <w:ind w:firstLine="480" w:firstLineChars="200"/>
        <w:rPr>
          <w:rFonts w:ascii="宋体" w:hAnsi="宋体" w:eastAsia="宋体" w:cs="宋体"/>
          <w:sz w:val="24"/>
        </w:rPr>
      </w:pPr>
      <w:r>
        <w:rPr>
          <w:rFonts w:hint="eastAsia" w:ascii="宋体" w:hAnsi="宋体" w:eastAsia="宋体" w:cs="宋体"/>
          <w:sz w:val="24"/>
        </w:rPr>
        <w:t>3.温度：-40℃~+150℃</w:t>
      </w:r>
    </w:p>
    <w:p w14:paraId="00D222F4">
      <w:pPr>
        <w:spacing w:line="360" w:lineRule="auto"/>
        <w:ind w:firstLine="480" w:firstLineChars="200"/>
        <w:rPr>
          <w:rFonts w:ascii="宋体" w:hAnsi="宋体" w:eastAsia="宋体" w:cs="宋体"/>
          <w:sz w:val="24"/>
        </w:rPr>
      </w:pPr>
      <w:r>
        <w:rPr>
          <w:rFonts w:hint="eastAsia" w:ascii="宋体" w:hAnsi="宋体" w:eastAsia="宋体" w:cs="宋体"/>
          <w:sz w:val="24"/>
        </w:rPr>
        <w:t>4.超声波流量计采用方渠顶外侧安装，不锈钢材质</w:t>
      </w:r>
    </w:p>
    <w:p w14:paraId="1893A756">
      <w:pPr>
        <w:spacing w:line="360" w:lineRule="auto"/>
        <w:ind w:firstLine="480" w:firstLineChars="200"/>
        <w:rPr>
          <w:rFonts w:ascii="宋体" w:hAnsi="宋体" w:eastAsia="宋体" w:cs="宋体"/>
          <w:sz w:val="24"/>
        </w:rPr>
      </w:pPr>
      <w:r>
        <w:rPr>
          <w:rFonts w:hint="eastAsia" w:ascii="宋体" w:hAnsi="宋体" w:eastAsia="宋体" w:cs="宋体"/>
          <w:sz w:val="24"/>
        </w:rPr>
        <w:t>F.变送器</w:t>
      </w:r>
    </w:p>
    <w:p w14:paraId="738746A9">
      <w:pPr>
        <w:spacing w:line="360" w:lineRule="auto"/>
        <w:ind w:firstLine="480" w:firstLineChars="200"/>
        <w:rPr>
          <w:rFonts w:ascii="宋体" w:hAnsi="宋体" w:eastAsia="宋体" w:cs="宋体"/>
          <w:sz w:val="24"/>
        </w:rPr>
      </w:pPr>
      <w:r>
        <w:rPr>
          <w:rFonts w:hint="eastAsia" w:ascii="宋体" w:hAnsi="宋体" w:eastAsia="宋体" w:cs="宋体"/>
          <w:sz w:val="24"/>
        </w:rPr>
        <w:t>1.防护等级：IP66。仪表显示：瞬时流量、累计流量、历史平均流量及历 史累积流量。</w:t>
      </w:r>
    </w:p>
    <w:p w14:paraId="27AEC47C">
      <w:pPr>
        <w:spacing w:line="360" w:lineRule="auto"/>
        <w:ind w:firstLine="480" w:firstLineChars="200"/>
        <w:rPr>
          <w:rFonts w:ascii="宋体" w:hAnsi="宋体" w:eastAsia="宋体" w:cs="宋体"/>
          <w:sz w:val="24"/>
        </w:rPr>
      </w:pPr>
      <w:r>
        <w:rPr>
          <w:rFonts w:hint="eastAsia" w:ascii="宋体" w:hAnsi="宋体" w:eastAsia="宋体" w:cs="宋体"/>
          <w:sz w:val="24"/>
        </w:rPr>
        <w:t>2存储 26000 组数据，带自诊断功能，可显示和累积正反向流量。</w:t>
      </w:r>
    </w:p>
    <w:p w14:paraId="76B4874F">
      <w:pPr>
        <w:spacing w:line="360" w:lineRule="auto"/>
        <w:ind w:firstLine="480" w:firstLineChars="200"/>
        <w:rPr>
          <w:rFonts w:ascii="宋体" w:hAnsi="宋体" w:eastAsia="宋体" w:cs="宋体"/>
          <w:sz w:val="24"/>
        </w:rPr>
      </w:pPr>
      <w:r>
        <w:rPr>
          <w:rFonts w:hint="eastAsia" w:ascii="宋体" w:hAnsi="宋体" w:eastAsia="宋体" w:cs="宋体"/>
          <w:sz w:val="24"/>
        </w:rPr>
        <w:t>3.信号输出：DC4~20mA、脉冲、报警。</w:t>
      </w:r>
    </w:p>
    <w:p w14:paraId="06B7DFBC">
      <w:pPr>
        <w:spacing w:line="360" w:lineRule="auto"/>
        <w:ind w:firstLine="480" w:firstLineChars="200"/>
        <w:rPr>
          <w:rFonts w:ascii="宋体" w:hAnsi="宋体" w:eastAsia="宋体" w:cs="宋体"/>
          <w:sz w:val="24"/>
        </w:rPr>
      </w:pPr>
      <w:r>
        <w:rPr>
          <w:rFonts w:hint="eastAsia" w:ascii="宋体" w:hAnsi="宋体" w:eastAsia="宋体" w:cs="宋体"/>
          <w:sz w:val="24"/>
        </w:rPr>
        <w:t>4.内置 RS485 接口可输出瞬时流量及累积流量。</w:t>
      </w:r>
    </w:p>
    <w:p w14:paraId="570ED07D">
      <w:pPr>
        <w:spacing w:line="360" w:lineRule="auto"/>
        <w:ind w:firstLine="480" w:firstLineChars="200"/>
        <w:rPr>
          <w:rFonts w:ascii="宋体" w:hAnsi="宋体" w:eastAsia="宋体" w:cs="宋体"/>
          <w:sz w:val="24"/>
        </w:rPr>
      </w:pPr>
      <w:r>
        <w:rPr>
          <w:rFonts w:hint="eastAsia" w:ascii="宋体" w:hAnsi="宋体" w:eastAsia="宋体" w:cs="宋体"/>
          <w:sz w:val="24"/>
        </w:rPr>
        <w:t>G.连接电缆</w:t>
      </w:r>
    </w:p>
    <w:p w14:paraId="6E613728">
      <w:pPr>
        <w:spacing w:line="360" w:lineRule="auto"/>
        <w:ind w:firstLine="480" w:firstLineChars="200"/>
        <w:rPr>
          <w:rFonts w:ascii="宋体" w:hAnsi="宋体" w:eastAsia="宋体" w:cs="宋体"/>
          <w:sz w:val="24"/>
        </w:rPr>
      </w:pPr>
      <w:r>
        <w:rPr>
          <w:rFonts w:hint="eastAsia" w:ascii="宋体" w:hAnsi="宋体" w:eastAsia="宋体" w:cs="宋体"/>
          <w:sz w:val="24"/>
        </w:rPr>
        <w:t>1. 分体：带标配连接电缆</w:t>
      </w:r>
    </w:p>
    <w:p w14:paraId="228DDB04">
      <w:pPr>
        <w:pStyle w:val="3"/>
        <w:rPr>
          <w:rFonts w:ascii="宋体" w:hAnsi="宋体" w:eastAsia="宋体" w:cs="宋体"/>
          <w:sz w:val="24"/>
          <w:szCs w:val="22"/>
        </w:rPr>
      </w:pPr>
      <w:r>
        <w:rPr>
          <w:rFonts w:hint="eastAsia" w:ascii="宋体" w:hAnsi="宋体" w:eastAsia="宋体" w:cs="宋体"/>
          <w:sz w:val="24"/>
          <w:szCs w:val="22"/>
        </w:rPr>
        <w:t>5.4.8压力/差压变送器</w:t>
      </w:r>
    </w:p>
    <w:p w14:paraId="3717E811">
      <w:pPr>
        <w:spacing w:line="360" w:lineRule="auto"/>
        <w:ind w:firstLine="480" w:firstLineChars="200"/>
        <w:rPr>
          <w:rFonts w:ascii="宋体" w:hAnsi="宋体" w:eastAsia="宋体" w:cs="宋体"/>
          <w:sz w:val="24"/>
        </w:rPr>
      </w:pPr>
      <w:r>
        <w:rPr>
          <w:rFonts w:hint="eastAsia" w:ascii="宋体" w:hAnsi="宋体" w:eastAsia="宋体" w:cs="宋体"/>
          <w:sz w:val="24"/>
        </w:rPr>
        <w:t>A.用途</w:t>
      </w:r>
    </w:p>
    <w:p w14:paraId="2B2EB62F">
      <w:pPr>
        <w:spacing w:line="360" w:lineRule="auto"/>
        <w:ind w:firstLine="480" w:firstLineChars="200"/>
        <w:rPr>
          <w:rFonts w:ascii="宋体" w:hAnsi="宋体" w:eastAsia="宋体" w:cs="宋体"/>
          <w:sz w:val="24"/>
        </w:rPr>
      </w:pPr>
      <w:r>
        <w:rPr>
          <w:rFonts w:hint="eastAsia" w:ascii="宋体" w:hAnsi="宋体" w:eastAsia="宋体" w:cs="宋体"/>
          <w:sz w:val="24"/>
        </w:rPr>
        <w:t>1.用来测量、指示和传送压力/差压信号。</w:t>
      </w:r>
    </w:p>
    <w:p w14:paraId="3A0FF307">
      <w:pPr>
        <w:spacing w:line="360" w:lineRule="auto"/>
        <w:ind w:firstLine="480" w:firstLineChars="200"/>
        <w:rPr>
          <w:rFonts w:ascii="宋体" w:hAnsi="宋体" w:eastAsia="宋体" w:cs="宋体"/>
          <w:sz w:val="24"/>
        </w:rPr>
      </w:pPr>
      <w:r>
        <w:rPr>
          <w:rFonts w:hint="eastAsia" w:ascii="宋体" w:hAnsi="宋体" w:eastAsia="宋体" w:cs="宋体"/>
          <w:sz w:val="24"/>
        </w:rPr>
        <w:t>B.原理</w:t>
      </w:r>
    </w:p>
    <w:p w14:paraId="10EB381A">
      <w:pPr>
        <w:spacing w:line="360" w:lineRule="auto"/>
        <w:ind w:firstLine="480" w:firstLineChars="200"/>
        <w:rPr>
          <w:rFonts w:ascii="宋体" w:hAnsi="宋体" w:eastAsia="宋体" w:cs="宋体"/>
          <w:sz w:val="24"/>
        </w:rPr>
      </w:pPr>
      <w:r>
        <w:rPr>
          <w:rFonts w:hint="eastAsia" w:ascii="宋体" w:hAnsi="宋体" w:eastAsia="宋体" w:cs="宋体"/>
          <w:sz w:val="24"/>
        </w:rPr>
        <w:t>1.电容测量原理</w:t>
      </w:r>
    </w:p>
    <w:p w14:paraId="2AD3E7C8">
      <w:pPr>
        <w:spacing w:line="360" w:lineRule="auto"/>
        <w:ind w:firstLine="480" w:firstLineChars="200"/>
        <w:rPr>
          <w:rFonts w:ascii="宋体" w:hAnsi="宋体" w:eastAsia="宋体" w:cs="宋体"/>
          <w:sz w:val="24"/>
        </w:rPr>
      </w:pPr>
      <w:r>
        <w:rPr>
          <w:rFonts w:hint="eastAsia" w:ascii="宋体" w:hAnsi="宋体" w:eastAsia="宋体" w:cs="宋体"/>
          <w:sz w:val="24"/>
        </w:rPr>
        <w:t>C.型式</w:t>
      </w:r>
    </w:p>
    <w:p w14:paraId="1E6FAF30">
      <w:pPr>
        <w:spacing w:line="360" w:lineRule="auto"/>
        <w:ind w:firstLine="480" w:firstLineChars="200"/>
        <w:rPr>
          <w:rFonts w:ascii="宋体" w:hAnsi="宋体" w:eastAsia="宋体" w:cs="宋体"/>
          <w:sz w:val="24"/>
        </w:rPr>
      </w:pPr>
      <w:r>
        <w:rPr>
          <w:rFonts w:hint="eastAsia" w:ascii="宋体" w:hAnsi="宋体" w:eastAsia="宋体" w:cs="宋体"/>
          <w:sz w:val="24"/>
        </w:rPr>
        <w:t>1.压力/差压变送器的传感单元应采用干式陶瓷。压力/差压变送器的连接方式为两线制。</w:t>
      </w:r>
    </w:p>
    <w:p w14:paraId="3DA07B83">
      <w:pPr>
        <w:spacing w:line="360" w:lineRule="auto"/>
        <w:ind w:firstLine="480" w:firstLineChars="200"/>
        <w:rPr>
          <w:rFonts w:ascii="宋体" w:hAnsi="宋体" w:eastAsia="宋体" w:cs="宋体"/>
          <w:sz w:val="24"/>
        </w:rPr>
      </w:pPr>
      <w:r>
        <w:rPr>
          <w:rFonts w:hint="eastAsia" w:ascii="宋体" w:hAnsi="宋体" w:eastAsia="宋体" w:cs="宋体"/>
          <w:sz w:val="24"/>
        </w:rPr>
        <w:t>2.仪表组成包括：传感器和变送器一体型式，采用螺纹安装方式</w:t>
      </w:r>
    </w:p>
    <w:p w14:paraId="50AF1779">
      <w:pPr>
        <w:spacing w:line="360" w:lineRule="auto"/>
        <w:ind w:firstLine="480" w:firstLineChars="200"/>
        <w:rPr>
          <w:rFonts w:ascii="宋体" w:hAnsi="宋体" w:eastAsia="宋体" w:cs="宋体"/>
          <w:sz w:val="24"/>
        </w:rPr>
      </w:pPr>
      <w:r>
        <w:rPr>
          <w:rFonts w:hint="eastAsia" w:ascii="宋体" w:hAnsi="宋体" w:eastAsia="宋体" w:cs="宋体"/>
          <w:sz w:val="24"/>
        </w:rPr>
        <w:t>D.性能</w:t>
      </w:r>
    </w:p>
    <w:p w14:paraId="6824505A">
      <w:pPr>
        <w:spacing w:line="360" w:lineRule="auto"/>
        <w:ind w:firstLine="480" w:firstLineChars="200"/>
        <w:rPr>
          <w:rFonts w:ascii="宋体" w:hAnsi="宋体" w:eastAsia="宋体" w:cs="宋体"/>
          <w:sz w:val="24"/>
        </w:rPr>
      </w:pPr>
      <w:r>
        <w:rPr>
          <w:rFonts w:hint="eastAsia" w:ascii="宋体" w:hAnsi="宋体" w:eastAsia="宋体" w:cs="宋体"/>
          <w:sz w:val="24"/>
        </w:rPr>
        <w:t>1.适用于污水处理厂压缩空气的压力，水面差压的测量。</w:t>
      </w:r>
    </w:p>
    <w:p w14:paraId="542B6CE7">
      <w:pPr>
        <w:spacing w:line="360" w:lineRule="auto"/>
        <w:ind w:firstLine="480" w:firstLineChars="200"/>
        <w:rPr>
          <w:rFonts w:ascii="宋体" w:hAnsi="宋体" w:eastAsia="宋体" w:cs="宋体"/>
          <w:sz w:val="24"/>
        </w:rPr>
      </w:pPr>
      <w:r>
        <w:rPr>
          <w:rFonts w:hint="eastAsia" w:ascii="宋体" w:hAnsi="宋体" w:eastAsia="宋体" w:cs="宋体"/>
          <w:sz w:val="24"/>
        </w:rPr>
        <w:t xml:space="preserve"> E.传感部分</w:t>
      </w:r>
    </w:p>
    <w:p w14:paraId="20FDBC73">
      <w:pPr>
        <w:spacing w:line="360" w:lineRule="auto"/>
        <w:ind w:firstLine="480" w:firstLineChars="200"/>
        <w:rPr>
          <w:rFonts w:ascii="宋体" w:hAnsi="宋体" w:eastAsia="宋体" w:cs="宋体"/>
          <w:sz w:val="24"/>
        </w:rPr>
      </w:pPr>
      <w:r>
        <w:rPr>
          <w:rFonts w:hint="eastAsia" w:ascii="宋体" w:hAnsi="宋体" w:eastAsia="宋体" w:cs="宋体"/>
          <w:sz w:val="24"/>
        </w:rPr>
        <w:t>1.测量精度：≤0.25%FS；</w:t>
      </w:r>
    </w:p>
    <w:p w14:paraId="41335C26">
      <w:pPr>
        <w:spacing w:line="360" w:lineRule="auto"/>
        <w:ind w:firstLine="480" w:firstLineChars="200"/>
        <w:rPr>
          <w:rFonts w:ascii="宋体" w:hAnsi="宋体" w:eastAsia="宋体" w:cs="宋体"/>
          <w:sz w:val="24"/>
        </w:rPr>
      </w:pPr>
      <w:r>
        <w:rPr>
          <w:rFonts w:hint="eastAsia" w:ascii="宋体" w:hAnsi="宋体" w:eastAsia="宋体" w:cs="宋体"/>
          <w:sz w:val="24"/>
        </w:rPr>
        <w:t>2.环境温度：-20℃~+70℃;零点：相对湿度：100%；可调节；结构：测量、变送单元一体化。</w:t>
      </w:r>
    </w:p>
    <w:p w14:paraId="6A62E582">
      <w:pPr>
        <w:spacing w:line="360" w:lineRule="auto"/>
        <w:ind w:firstLine="480" w:firstLineChars="200"/>
        <w:rPr>
          <w:rFonts w:ascii="宋体" w:hAnsi="宋体" w:eastAsia="宋体" w:cs="宋体"/>
          <w:sz w:val="24"/>
        </w:rPr>
      </w:pPr>
      <w:r>
        <w:rPr>
          <w:rFonts w:hint="eastAsia" w:ascii="宋体" w:hAnsi="宋体" w:eastAsia="宋体" w:cs="宋体"/>
          <w:sz w:val="24"/>
        </w:rPr>
        <w:t>3.外壳材料：不锈钢</w:t>
      </w:r>
    </w:p>
    <w:p w14:paraId="6F0BA5E8">
      <w:pPr>
        <w:spacing w:line="360" w:lineRule="auto"/>
        <w:ind w:firstLine="480" w:firstLineChars="200"/>
        <w:rPr>
          <w:rFonts w:ascii="宋体" w:hAnsi="宋体" w:eastAsia="宋体" w:cs="宋体"/>
          <w:sz w:val="24"/>
        </w:rPr>
      </w:pPr>
      <w:r>
        <w:rPr>
          <w:rFonts w:hint="eastAsia" w:ascii="宋体" w:hAnsi="宋体" w:eastAsia="宋体" w:cs="宋体"/>
          <w:sz w:val="24"/>
        </w:rPr>
        <w:t>F.变送部分</w:t>
      </w:r>
    </w:p>
    <w:p w14:paraId="2CE8B4E3">
      <w:pPr>
        <w:spacing w:line="360" w:lineRule="auto"/>
        <w:ind w:firstLine="480" w:firstLineChars="200"/>
        <w:rPr>
          <w:rFonts w:ascii="宋体" w:hAnsi="宋体" w:eastAsia="宋体" w:cs="宋体"/>
          <w:sz w:val="24"/>
        </w:rPr>
      </w:pPr>
      <w:r>
        <w:rPr>
          <w:rFonts w:hint="eastAsia" w:ascii="宋体" w:hAnsi="宋体" w:eastAsia="宋体" w:cs="宋体"/>
          <w:sz w:val="24"/>
        </w:rPr>
        <w:t>1.带有现场 LCD 显示；隔离输出信号：4~20mADC ，Hart 通讯；两线制； 供电：10~42VDC；防护等级：≥IP65；外壳材料：不锈钢</w:t>
      </w:r>
    </w:p>
    <w:p w14:paraId="767028D3">
      <w:pPr>
        <w:spacing w:line="360" w:lineRule="auto"/>
        <w:ind w:firstLine="480" w:firstLineChars="200"/>
        <w:rPr>
          <w:rFonts w:ascii="宋体" w:hAnsi="宋体" w:eastAsia="宋体" w:cs="宋体"/>
          <w:sz w:val="24"/>
        </w:rPr>
      </w:pPr>
      <w:r>
        <w:rPr>
          <w:rFonts w:hint="eastAsia" w:ascii="宋体" w:hAnsi="宋体" w:eastAsia="宋体" w:cs="宋体"/>
          <w:sz w:val="24"/>
        </w:rPr>
        <w:t>G.安装附件</w:t>
      </w:r>
    </w:p>
    <w:p w14:paraId="47DB27FA">
      <w:pPr>
        <w:spacing w:line="360" w:lineRule="auto"/>
        <w:ind w:firstLine="480" w:firstLineChars="200"/>
        <w:rPr>
          <w:rFonts w:ascii="宋体" w:hAnsi="宋体" w:eastAsia="宋体" w:cs="宋体"/>
          <w:sz w:val="24"/>
        </w:rPr>
      </w:pPr>
      <w:r>
        <w:rPr>
          <w:rFonts w:hint="eastAsia" w:ascii="宋体" w:hAnsi="宋体" w:eastAsia="宋体" w:cs="宋体"/>
          <w:sz w:val="24"/>
        </w:rPr>
        <w:t>1.变送器与管道通过一套带有隔离阀的组件连接，保证在将变送器拆下时不影响管道内流体的运动。按照变送器过程连接的要求。</w:t>
      </w:r>
    </w:p>
    <w:p w14:paraId="3D998F71">
      <w:pPr>
        <w:pStyle w:val="3"/>
        <w:rPr>
          <w:rFonts w:ascii="宋体" w:hAnsi="宋体" w:eastAsia="宋体" w:cs="宋体"/>
          <w:sz w:val="24"/>
          <w:szCs w:val="22"/>
        </w:rPr>
      </w:pPr>
      <w:r>
        <w:rPr>
          <w:rFonts w:hint="eastAsia" w:ascii="宋体" w:hAnsi="宋体" w:eastAsia="宋体" w:cs="宋体"/>
          <w:sz w:val="24"/>
          <w:szCs w:val="22"/>
        </w:rPr>
        <w:t>5.4.9  pH及温度计</w:t>
      </w:r>
    </w:p>
    <w:p w14:paraId="4720B1ED">
      <w:pPr>
        <w:spacing w:line="360" w:lineRule="auto"/>
        <w:ind w:firstLine="480" w:firstLineChars="200"/>
        <w:rPr>
          <w:rFonts w:ascii="宋体" w:hAnsi="宋体" w:eastAsia="宋体" w:cs="宋体"/>
          <w:sz w:val="24"/>
        </w:rPr>
      </w:pPr>
      <w:r>
        <w:rPr>
          <w:rFonts w:hint="eastAsia" w:ascii="宋体" w:hAnsi="宋体" w:eastAsia="宋体" w:cs="宋体"/>
          <w:sz w:val="24"/>
        </w:rPr>
        <w:t>A.用途</w:t>
      </w:r>
    </w:p>
    <w:p w14:paraId="4C569CB3">
      <w:pPr>
        <w:spacing w:line="360" w:lineRule="auto"/>
        <w:ind w:firstLine="480" w:firstLineChars="200"/>
        <w:rPr>
          <w:rFonts w:ascii="宋体" w:hAnsi="宋体" w:eastAsia="宋体" w:cs="宋体"/>
          <w:sz w:val="24"/>
        </w:rPr>
      </w:pPr>
      <w:r>
        <w:rPr>
          <w:rFonts w:hint="eastAsia" w:ascii="宋体" w:hAnsi="宋体" w:eastAsia="宋体" w:cs="宋体"/>
          <w:sz w:val="24"/>
        </w:rPr>
        <w:t>1.测量、指示和传送过程检测介质的 pH/温度值。</w:t>
      </w:r>
    </w:p>
    <w:p w14:paraId="31C6636F">
      <w:pPr>
        <w:spacing w:line="360" w:lineRule="auto"/>
        <w:ind w:firstLine="480" w:firstLineChars="200"/>
        <w:rPr>
          <w:rFonts w:ascii="宋体" w:hAnsi="宋体" w:eastAsia="宋体" w:cs="宋体"/>
          <w:sz w:val="24"/>
        </w:rPr>
      </w:pPr>
      <w:r>
        <w:rPr>
          <w:rFonts w:hint="eastAsia" w:ascii="宋体" w:hAnsi="宋体" w:eastAsia="宋体" w:cs="宋体"/>
          <w:sz w:val="24"/>
        </w:rPr>
        <w:t>B原理</w:t>
      </w:r>
    </w:p>
    <w:p w14:paraId="22E15C16">
      <w:pPr>
        <w:spacing w:line="360" w:lineRule="auto"/>
        <w:ind w:firstLine="480" w:firstLineChars="200"/>
        <w:rPr>
          <w:rFonts w:ascii="宋体" w:hAnsi="宋体" w:eastAsia="宋体" w:cs="宋体"/>
          <w:sz w:val="24"/>
        </w:rPr>
      </w:pPr>
      <w:r>
        <w:rPr>
          <w:rFonts w:hint="eastAsia" w:ascii="宋体" w:hAnsi="宋体" w:eastAsia="宋体" w:cs="宋体"/>
          <w:sz w:val="24"/>
        </w:rPr>
        <w:t>1.利用电极外液体和电极内电介质的电势差来确定被测液体中的酸碱度。</w:t>
      </w:r>
    </w:p>
    <w:p w14:paraId="3A968BC3">
      <w:pPr>
        <w:spacing w:line="360" w:lineRule="auto"/>
        <w:ind w:firstLine="480" w:firstLineChars="200"/>
        <w:rPr>
          <w:rFonts w:ascii="宋体" w:hAnsi="宋体" w:eastAsia="宋体" w:cs="宋体"/>
          <w:sz w:val="24"/>
        </w:rPr>
      </w:pPr>
      <w:r>
        <w:rPr>
          <w:rFonts w:hint="eastAsia" w:ascii="宋体" w:hAnsi="宋体" w:eastAsia="宋体" w:cs="宋体"/>
          <w:sz w:val="24"/>
        </w:rPr>
        <w:t>C.型式</w:t>
      </w:r>
    </w:p>
    <w:p w14:paraId="3C7C9487">
      <w:pPr>
        <w:spacing w:line="360" w:lineRule="auto"/>
        <w:ind w:firstLine="480" w:firstLineChars="200"/>
        <w:rPr>
          <w:rFonts w:ascii="宋体" w:hAnsi="宋体" w:eastAsia="宋体" w:cs="宋体"/>
          <w:sz w:val="24"/>
        </w:rPr>
      </w:pPr>
      <w:r>
        <w:rPr>
          <w:rFonts w:hint="eastAsia" w:ascii="宋体" w:hAnsi="宋体" w:eastAsia="宋体" w:cs="宋体"/>
          <w:sz w:val="24"/>
        </w:rPr>
        <w:t>1. 差分电极，带双阶参比电极（接地电极和参比电极）， 自动温度补偿、变 送器、全部安装附件和电缆</w:t>
      </w:r>
    </w:p>
    <w:p w14:paraId="125ACCF9">
      <w:pPr>
        <w:spacing w:line="360" w:lineRule="auto"/>
        <w:ind w:firstLine="480" w:firstLineChars="200"/>
        <w:rPr>
          <w:rFonts w:ascii="宋体" w:hAnsi="宋体" w:eastAsia="宋体" w:cs="宋体"/>
          <w:sz w:val="24"/>
        </w:rPr>
      </w:pPr>
      <w:r>
        <w:rPr>
          <w:rFonts w:hint="eastAsia" w:ascii="宋体" w:hAnsi="宋体" w:eastAsia="宋体" w:cs="宋体"/>
          <w:sz w:val="24"/>
        </w:rPr>
        <w:t>2.传感器安装在测量杆或管道安装附件中，变送器安装在附近的仪表保护 箱中。</w:t>
      </w:r>
    </w:p>
    <w:p w14:paraId="40761C56">
      <w:pPr>
        <w:spacing w:line="360" w:lineRule="auto"/>
        <w:ind w:firstLine="480" w:firstLineChars="200"/>
        <w:rPr>
          <w:rFonts w:ascii="宋体" w:hAnsi="宋体" w:eastAsia="宋体" w:cs="宋体"/>
          <w:sz w:val="24"/>
        </w:rPr>
      </w:pPr>
      <w:r>
        <w:rPr>
          <w:rFonts w:hint="eastAsia" w:ascii="宋体" w:hAnsi="宋体" w:eastAsia="宋体" w:cs="宋体"/>
          <w:sz w:val="24"/>
        </w:rPr>
        <w:t>D.性能</w:t>
      </w:r>
    </w:p>
    <w:p w14:paraId="0E29EBB5">
      <w:pPr>
        <w:spacing w:line="360" w:lineRule="auto"/>
        <w:ind w:firstLine="480" w:firstLineChars="200"/>
        <w:rPr>
          <w:rFonts w:ascii="宋体" w:hAnsi="宋体" w:eastAsia="宋体" w:cs="宋体"/>
          <w:sz w:val="24"/>
        </w:rPr>
      </w:pPr>
      <w:r>
        <w:rPr>
          <w:rFonts w:hint="eastAsia" w:ascii="宋体" w:hAnsi="宋体" w:eastAsia="宋体" w:cs="宋体"/>
          <w:sz w:val="24"/>
        </w:rPr>
        <w:t>1.适于测量城市再生水应用；</w:t>
      </w:r>
    </w:p>
    <w:p w14:paraId="794437C5">
      <w:pPr>
        <w:spacing w:line="360" w:lineRule="auto"/>
        <w:ind w:firstLine="480" w:firstLineChars="200"/>
        <w:rPr>
          <w:rFonts w:ascii="宋体" w:hAnsi="宋体" w:eastAsia="宋体" w:cs="宋体"/>
          <w:sz w:val="24"/>
        </w:rPr>
      </w:pPr>
      <w:r>
        <w:rPr>
          <w:rFonts w:hint="eastAsia" w:ascii="宋体" w:hAnsi="宋体" w:eastAsia="宋体" w:cs="宋体"/>
          <w:sz w:val="24"/>
        </w:rPr>
        <w:t>2.平均无故障运行时间：≥720h/次；</w:t>
      </w:r>
    </w:p>
    <w:p w14:paraId="491C8989">
      <w:pPr>
        <w:spacing w:line="360" w:lineRule="auto"/>
        <w:ind w:firstLine="480" w:firstLineChars="200"/>
        <w:rPr>
          <w:rFonts w:ascii="宋体" w:hAnsi="宋体" w:eastAsia="宋体" w:cs="宋体"/>
          <w:sz w:val="24"/>
        </w:rPr>
      </w:pPr>
      <w:r>
        <w:rPr>
          <w:rFonts w:hint="eastAsia" w:ascii="宋体" w:hAnsi="宋体" w:eastAsia="宋体" w:cs="宋体"/>
          <w:sz w:val="24"/>
        </w:rPr>
        <w:t>3.实际水样对比试验：±0.5pH 以内； E.    探头</w:t>
      </w:r>
    </w:p>
    <w:p w14:paraId="66D5281B">
      <w:pPr>
        <w:spacing w:line="360" w:lineRule="auto"/>
        <w:ind w:firstLine="480" w:firstLineChars="200"/>
        <w:rPr>
          <w:rFonts w:ascii="宋体" w:hAnsi="宋体" w:eastAsia="宋体" w:cs="宋体"/>
          <w:sz w:val="24"/>
        </w:rPr>
      </w:pPr>
      <w:r>
        <w:rPr>
          <w:rFonts w:hint="eastAsia" w:ascii="宋体" w:hAnsi="宋体" w:eastAsia="宋体" w:cs="宋体"/>
          <w:sz w:val="24"/>
        </w:rPr>
        <w:t>1.测量类型：浸没式，测量杆（选用不锈钢材料）长度：≥2 米；管道安装 附件需提供球阀保证在传感器检修时不影响过流。连接电缆长度：详见 特殊技术要求。</w:t>
      </w:r>
    </w:p>
    <w:p w14:paraId="1A707DC3">
      <w:pPr>
        <w:spacing w:line="360" w:lineRule="auto"/>
        <w:ind w:firstLine="480" w:firstLineChars="200"/>
        <w:rPr>
          <w:rFonts w:ascii="宋体" w:hAnsi="宋体" w:eastAsia="宋体" w:cs="宋体"/>
          <w:sz w:val="24"/>
        </w:rPr>
      </w:pPr>
      <w:r>
        <w:rPr>
          <w:rFonts w:hint="eastAsia" w:ascii="宋体" w:hAnsi="宋体" w:eastAsia="宋体" w:cs="宋体"/>
          <w:sz w:val="24"/>
        </w:rPr>
        <w:t>F.传感器</w:t>
      </w:r>
    </w:p>
    <w:p w14:paraId="68954F2B">
      <w:pPr>
        <w:spacing w:line="360" w:lineRule="auto"/>
        <w:ind w:firstLine="480" w:firstLineChars="200"/>
        <w:rPr>
          <w:rFonts w:ascii="宋体" w:hAnsi="宋体" w:eastAsia="宋体" w:cs="宋体"/>
          <w:sz w:val="24"/>
        </w:rPr>
      </w:pPr>
      <w:r>
        <w:rPr>
          <w:rFonts w:hint="eastAsia" w:ascii="宋体" w:hAnsi="宋体" w:eastAsia="宋体" w:cs="宋体"/>
          <w:sz w:val="24"/>
        </w:rPr>
        <w:t>1.测量范围：0~14pH ，0~100℃;</w:t>
      </w:r>
    </w:p>
    <w:p w14:paraId="430B20B4">
      <w:pPr>
        <w:spacing w:line="360" w:lineRule="auto"/>
        <w:ind w:firstLine="480" w:firstLineChars="200"/>
        <w:rPr>
          <w:rFonts w:ascii="宋体" w:hAnsi="宋体" w:eastAsia="宋体" w:cs="宋体"/>
          <w:sz w:val="24"/>
        </w:rPr>
      </w:pPr>
      <w:r>
        <w:rPr>
          <w:rFonts w:hint="eastAsia" w:ascii="宋体" w:hAnsi="宋体" w:eastAsia="宋体" w:cs="宋体"/>
          <w:sz w:val="24"/>
        </w:rPr>
        <w:t>2.灵敏度：±0.01pH；</w:t>
      </w:r>
    </w:p>
    <w:p w14:paraId="1CF26B71">
      <w:pPr>
        <w:spacing w:line="360" w:lineRule="auto"/>
        <w:ind w:firstLine="480" w:firstLineChars="200"/>
        <w:rPr>
          <w:rFonts w:ascii="宋体" w:hAnsi="宋体" w:eastAsia="宋体" w:cs="宋体"/>
          <w:sz w:val="24"/>
        </w:rPr>
      </w:pPr>
      <w:r>
        <w:rPr>
          <w:rFonts w:hint="eastAsia" w:ascii="宋体" w:hAnsi="宋体" w:eastAsia="宋体" w:cs="宋体"/>
          <w:sz w:val="24"/>
        </w:rPr>
        <w:t>3.稳定性：每 24  小时 0.03 pH，不累积；</w:t>
      </w:r>
    </w:p>
    <w:p w14:paraId="1B107D8F">
      <w:pPr>
        <w:spacing w:line="360" w:lineRule="auto"/>
        <w:ind w:firstLine="480" w:firstLineChars="200"/>
        <w:rPr>
          <w:rFonts w:ascii="宋体" w:hAnsi="宋体" w:eastAsia="宋体" w:cs="宋体"/>
          <w:sz w:val="24"/>
        </w:rPr>
      </w:pPr>
      <w:r>
        <w:rPr>
          <w:rFonts w:hint="eastAsia" w:ascii="宋体" w:hAnsi="宋体" w:eastAsia="宋体" w:cs="宋体"/>
          <w:sz w:val="24"/>
        </w:rPr>
        <w:t>4.工作温度范围：-5~95℃;</w:t>
      </w:r>
    </w:p>
    <w:p w14:paraId="62AD9091">
      <w:pPr>
        <w:spacing w:line="360" w:lineRule="auto"/>
        <w:ind w:firstLine="480" w:firstLineChars="200"/>
        <w:rPr>
          <w:rFonts w:ascii="宋体" w:hAnsi="宋体" w:eastAsia="宋体" w:cs="宋体"/>
          <w:sz w:val="24"/>
        </w:rPr>
      </w:pPr>
      <w:r>
        <w:rPr>
          <w:rFonts w:hint="eastAsia" w:ascii="宋体" w:hAnsi="宋体" w:eastAsia="宋体" w:cs="宋体"/>
          <w:sz w:val="24"/>
        </w:rPr>
        <w:t>5.传感器压力上限（不带安装附件）：6.9bar；</w:t>
      </w:r>
    </w:p>
    <w:p w14:paraId="378FFEAA">
      <w:pPr>
        <w:spacing w:line="360" w:lineRule="auto"/>
        <w:ind w:firstLine="480" w:firstLineChars="200"/>
        <w:rPr>
          <w:rFonts w:ascii="宋体" w:hAnsi="宋体" w:eastAsia="宋体" w:cs="宋体"/>
          <w:sz w:val="24"/>
        </w:rPr>
      </w:pPr>
      <w:r>
        <w:rPr>
          <w:rFonts w:hint="eastAsia" w:ascii="宋体" w:hAnsi="宋体" w:eastAsia="宋体" w:cs="宋体"/>
          <w:sz w:val="24"/>
        </w:rPr>
        <w:t>6.内置温度传感器：NTC300Ω 热敏电阻，提供自动温度补偿，分析仪显示温度值；</w:t>
      </w:r>
    </w:p>
    <w:p w14:paraId="2A29A07E">
      <w:pPr>
        <w:spacing w:line="360" w:lineRule="auto"/>
        <w:ind w:firstLine="480" w:firstLineChars="200"/>
        <w:rPr>
          <w:rFonts w:ascii="宋体" w:hAnsi="宋体" w:eastAsia="宋体" w:cs="宋体"/>
          <w:sz w:val="24"/>
        </w:rPr>
      </w:pPr>
      <w:r>
        <w:rPr>
          <w:rFonts w:hint="eastAsia" w:ascii="宋体" w:hAnsi="宋体" w:eastAsia="宋体" w:cs="宋体"/>
          <w:sz w:val="24"/>
        </w:rPr>
        <w:t>7.水样流速：最大 3m/s</w:t>
      </w:r>
    </w:p>
    <w:p w14:paraId="19FEC85C">
      <w:pPr>
        <w:spacing w:line="360" w:lineRule="auto"/>
        <w:ind w:firstLine="480" w:firstLineChars="200"/>
        <w:rPr>
          <w:rFonts w:ascii="宋体" w:hAnsi="宋体" w:eastAsia="宋体" w:cs="宋体"/>
          <w:sz w:val="24"/>
        </w:rPr>
      </w:pPr>
      <w:r>
        <w:rPr>
          <w:rFonts w:hint="eastAsia" w:ascii="宋体" w:hAnsi="宋体" w:eastAsia="宋体" w:cs="宋体"/>
          <w:sz w:val="24"/>
        </w:rPr>
        <w:t>G.变送器</w:t>
      </w:r>
    </w:p>
    <w:p w14:paraId="5E5928F1">
      <w:pPr>
        <w:spacing w:line="360" w:lineRule="auto"/>
        <w:ind w:firstLine="480" w:firstLineChars="200"/>
        <w:rPr>
          <w:rFonts w:ascii="宋体" w:hAnsi="宋体" w:eastAsia="宋体" w:cs="宋体"/>
          <w:sz w:val="24"/>
        </w:rPr>
      </w:pPr>
      <w:r>
        <w:rPr>
          <w:rFonts w:hint="eastAsia" w:ascii="宋体" w:hAnsi="宋体" w:eastAsia="宋体" w:cs="宋体"/>
          <w:sz w:val="24"/>
        </w:rPr>
        <w:t>1.显示：图形数据点阵 LCD，带 LED 背景灯照明，半透明反射式；在任意 光线下可读；</w:t>
      </w:r>
    </w:p>
    <w:p w14:paraId="1D84963F">
      <w:pPr>
        <w:spacing w:line="360" w:lineRule="auto"/>
        <w:ind w:firstLine="480" w:firstLineChars="200"/>
        <w:rPr>
          <w:rFonts w:ascii="宋体" w:hAnsi="宋体" w:eastAsia="宋体" w:cs="宋体"/>
          <w:sz w:val="24"/>
        </w:rPr>
      </w:pPr>
      <w:r>
        <w:rPr>
          <w:rFonts w:hint="eastAsia" w:ascii="宋体" w:hAnsi="宋体" w:eastAsia="宋体" w:cs="宋体"/>
          <w:sz w:val="24"/>
        </w:rPr>
        <w:t>2.显示屏分辨率：160×240 像素；</w:t>
      </w:r>
    </w:p>
    <w:p w14:paraId="0284A98F">
      <w:pPr>
        <w:spacing w:line="360" w:lineRule="auto"/>
        <w:ind w:firstLine="480" w:firstLineChars="200"/>
        <w:rPr>
          <w:rFonts w:ascii="宋体" w:hAnsi="宋体" w:eastAsia="宋体" w:cs="宋体"/>
          <w:sz w:val="24"/>
        </w:rPr>
      </w:pPr>
      <w:r>
        <w:rPr>
          <w:rFonts w:hint="eastAsia" w:ascii="宋体" w:hAnsi="宋体" w:eastAsia="宋体" w:cs="宋体"/>
          <w:sz w:val="24"/>
        </w:rPr>
        <w:t>3.输出：两路模拟的 0/4-20mA 输出信号，带独立的PID 控制功能以及4个额外的 4-20mA 输出可供选择，</w:t>
      </w:r>
    </w:p>
    <w:p w14:paraId="36698F0B">
      <w:pPr>
        <w:spacing w:line="360" w:lineRule="auto"/>
        <w:ind w:firstLine="480" w:firstLineChars="200"/>
        <w:rPr>
          <w:rFonts w:ascii="宋体" w:hAnsi="宋体" w:eastAsia="宋体" w:cs="宋体"/>
          <w:sz w:val="24"/>
        </w:rPr>
      </w:pPr>
      <w:r>
        <w:rPr>
          <w:rFonts w:hint="eastAsia" w:ascii="宋体" w:hAnsi="宋体" w:eastAsia="宋体" w:cs="宋体"/>
          <w:sz w:val="24"/>
        </w:rPr>
        <w:t>4.RS485 接口；</w:t>
      </w:r>
    </w:p>
    <w:p w14:paraId="0AA16667">
      <w:pPr>
        <w:spacing w:line="360" w:lineRule="auto"/>
        <w:ind w:firstLine="480" w:firstLineChars="200"/>
        <w:rPr>
          <w:rFonts w:ascii="宋体" w:hAnsi="宋体" w:eastAsia="宋体" w:cs="宋体"/>
          <w:sz w:val="24"/>
        </w:rPr>
      </w:pPr>
      <w:r>
        <w:rPr>
          <w:rFonts w:hint="eastAsia" w:ascii="宋体" w:hAnsi="宋体" w:eastAsia="宋体" w:cs="宋体"/>
          <w:sz w:val="24"/>
        </w:rPr>
        <w:t>5.工作环境：-20~60℃ , 0～95％相对湿度、无冷凝；</w:t>
      </w:r>
    </w:p>
    <w:p w14:paraId="6CE239E2">
      <w:pPr>
        <w:spacing w:line="360" w:lineRule="auto"/>
        <w:ind w:firstLine="480" w:firstLineChars="200"/>
        <w:rPr>
          <w:rFonts w:ascii="宋体" w:hAnsi="宋体" w:eastAsia="宋体" w:cs="宋体"/>
          <w:sz w:val="24"/>
        </w:rPr>
      </w:pPr>
      <w:r>
        <w:rPr>
          <w:rFonts w:hint="eastAsia" w:ascii="宋体" w:hAnsi="宋体" w:eastAsia="宋体" w:cs="宋体"/>
          <w:sz w:val="24"/>
        </w:rPr>
        <w:t>6.存储环境：-20~70℃ , 0～95％相对湿度、无冷凝；</w:t>
      </w:r>
    </w:p>
    <w:p w14:paraId="3DD38358">
      <w:pPr>
        <w:spacing w:line="360" w:lineRule="auto"/>
        <w:ind w:firstLine="480" w:firstLineChars="200"/>
        <w:rPr>
          <w:rFonts w:ascii="宋体" w:hAnsi="宋体" w:eastAsia="宋体" w:cs="宋体"/>
          <w:sz w:val="24"/>
        </w:rPr>
      </w:pPr>
      <w:r>
        <w:rPr>
          <w:rFonts w:hint="eastAsia" w:ascii="宋体" w:hAnsi="宋体" w:eastAsia="宋体" w:cs="宋体"/>
          <w:sz w:val="24"/>
        </w:rPr>
        <w:t>7.继电器：四个 SPDT （C 型）触头, 1200W ，5 A ， 250 Vac；</w:t>
      </w:r>
    </w:p>
    <w:p w14:paraId="7662A4B3">
      <w:pPr>
        <w:spacing w:line="360" w:lineRule="auto"/>
        <w:ind w:firstLine="480" w:firstLineChars="200"/>
        <w:rPr>
          <w:rFonts w:ascii="宋体" w:hAnsi="宋体" w:eastAsia="宋体" w:cs="宋体"/>
          <w:sz w:val="24"/>
        </w:rPr>
      </w:pPr>
      <w:r>
        <w:rPr>
          <w:rFonts w:hint="eastAsia" w:ascii="宋体" w:hAnsi="宋体" w:eastAsia="宋体" w:cs="宋体"/>
          <w:sz w:val="24"/>
        </w:rPr>
        <w:t>8.数据存储：有 2 个数据记录仪，每个为 128Kb。记录数据以 XML 的格式 被下载到 SD（4G）卡上；</w:t>
      </w:r>
    </w:p>
    <w:p w14:paraId="41557025">
      <w:pPr>
        <w:spacing w:line="360" w:lineRule="auto"/>
        <w:ind w:firstLine="480" w:firstLineChars="200"/>
        <w:rPr>
          <w:rFonts w:ascii="宋体" w:hAnsi="宋体" w:eastAsia="宋体" w:cs="宋体"/>
          <w:sz w:val="24"/>
        </w:rPr>
      </w:pPr>
      <w:r>
        <w:rPr>
          <w:rFonts w:hint="eastAsia" w:ascii="宋体" w:hAnsi="宋体" w:eastAsia="宋体" w:cs="宋体"/>
          <w:sz w:val="24"/>
        </w:rPr>
        <w:t>9.外壳防护等级：NEMA4X/IP66；</w:t>
      </w:r>
    </w:p>
    <w:p w14:paraId="05BC24DF">
      <w:pPr>
        <w:spacing w:line="360" w:lineRule="auto"/>
        <w:ind w:firstLine="480" w:firstLineChars="200"/>
        <w:rPr>
          <w:rFonts w:ascii="宋体" w:hAnsi="宋体" w:eastAsia="宋体" w:cs="宋体"/>
          <w:sz w:val="24"/>
        </w:rPr>
      </w:pPr>
      <w:r>
        <w:rPr>
          <w:rFonts w:hint="eastAsia" w:ascii="宋体" w:hAnsi="宋体" w:eastAsia="宋体" w:cs="宋体"/>
          <w:sz w:val="24"/>
        </w:rPr>
        <w:t>10.电源：AC100 ~ 240V±10% ，50/60Hz；DC24 V -15% + 20%。</w:t>
      </w:r>
    </w:p>
    <w:p w14:paraId="1DDF21EE">
      <w:pPr>
        <w:spacing w:line="360" w:lineRule="auto"/>
        <w:ind w:firstLine="480" w:firstLineChars="200"/>
        <w:rPr>
          <w:rFonts w:ascii="宋体" w:hAnsi="宋体" w:eastAsia="宋体" w:cs="宋体"/>
          <w:sz w:val="24"/>
        </w:rPr>
      </w:pPr>
      <w:r>
        <w:rPr>
          <w:rFonts w:hint="eastAsia" w:ascii="宋体" w:hAnsi="宋体" w:eastAsia="宋体" w:cs="宋体"/>
          <w:sz w:val="24"/>
        </w:rPr>
        <w:t>H.连接电缆</w:t>
      </w:r>
    </w:p>
    <w:p w14:paraId="142573AA">
      <w:pPr>
        <w:pStyle w:val="3"/>
        <w:rPr>
          <w:rFonts w:ascii="宋体" w:hAnsi="宋体" w:eastAsia="宋体" w:cs="宋体"/>
          <w:sz w:val="24"/>
          <w:szCs w:val="22"/>
        </w:rPr>
      </w:pPr>
      <w:r>
        <w:rPr>
          <w:rFonts w:hint="eastAsia" w:ascii="宋体" w:hAnsi="宋体" w:eastAsia="宋体" w:cs="宋体"/>
          <w:sz w:val="24"/>
          <w:szCs w:val="22"/>
        </w:rPr>
        <w:t>5.4.10 氧化还原电位测量仪表</w:t>
      </w:r>
    </w:p>
    <w:p w14:paraId="7BD3102E">
      <w:pPr>
        <w:spacing w:line="360" w:lineRule="auto"/>
        <w:ind w:firstLine="480" w:firstLineChars="200"/>
        <w:rPr>
          <w:rFonts w:ascii="宋体" w:hAnsi="宋体" w:eastAsia="宋体" w:cs="宋体"/>
          <w:sz w:val="24"/>
        </w:rPr>
      </w:pPr>
      <w:r>
        <w:rPr>
          <w:rFonts w:hint="eastAsia" w:ascii="宋体" w:hAnsi="宋体" w:eastAsia="宋体" w:cs="宋体"/>
          <w:sz w:val="24"/>
        </w:rPr>
        <w:t>A.用途</w:t>
      </w:r>
    </w:p>
    <w:p w14:paraId="6B20A33A">
      <w:pPr>
        <w:spacing w:line="360" w:lineRule="auto"/>
        <w:ind w:firstLine="480" w:firstLineChars="200"/>
        <w:rPr>
          <w:rFonts w:ascii="宋体" w:hAnsi="宋体" w:eastAsia="宋体" w:cs="宋体"/>
          <w:sz w:val="24"/>
        </w:rPr>
      </w:pPr>
      <w:r>
        <w:rPr>
          <w:rFonts w:hint="eastAsia" w:ascii="宋体" w:hAnsi="宋体" w:eastAsia="宋体" w:cs="宋体"/>
          <w:sz w:val="24"/>
        </w:rPr>
        <w:t>1.测量、指示和传送过程检测介质中的氧化还原电位信号。</w:t>
      </w:r>
    </w:p>
    <w:p w14:paraId="5E22E546">
      <w:pPr>
        <w:spacing w:line="360" w:lineRule="auto"/>
        <w:ind w:firstLine="480" w:firstLineChars="200"/>
        <w:rPr>
          <w:rFonts w:ascii="宋体" w:hAnsi="宋体" w:eastAsia="宋体" w:cs="宋体"/>
          <w:sz w:val="24"/>
        </w:rPr>
      </w:pPr>
      <w:r>
        <w:rPr>
          <w:rFonts w:hint="eastAsia" w:ascii="宋体" w:hAnsi="宋体" w:eastAsia="宋体" w:cs="宋体"/>
          <w:sz w:val="24"/>
        </w:rPr>
        <w:t>B.原理</w:t>
      </w:r>
    </w:p>
    <w:p w14:paraId="7BC29C59">
      <w:pPr>
        <w:spacing w:line="360" w:lineRule="auto"/>
        <w:ind w:firstLine="480" w:firstLineChars="200"/>
        <w:rPr>
          <w:rFonts w:ascii="宋体" w:hAnsi="宋体" w:eastAsia="宋体" w:cs="宋体"/>
          <w:sz w:val="24"/>
        </w:rPr>
      </w:pPr>
      <w:r>
        <w:rPr>
          <w:rFonts w:hint="eastAsia" w:ascii="宋体" w:hAnsi="宋体" w:eastAsia="宋体" w:cs="宋体"/>
          <w:sz w:val="24"/>
        </w:rPr>
        <w:t>1.利用电极外液体和电极内电介质的电势差来确定被测液体中的氧化还原 电位。</w:t>
      </w:r>
    </w:p>
    <w:p w14:paraId="73F4EE13">
      <w:pPr>
        <w:spacing w:line="360" w:lineRule="auto"/>
        <w:ind w:firstLine="480" w:firstLineChars="200"/>
        <w:rPr>
          <w:rFonts w:ascii="宋体" w:hAnsi="宋体" w:eastAsia="宋体" w:cs="宋体"/>
          <w:sz w:val="24"/>
        </w:rPr>
      </w:pPr>
      <w:r>
        <w:rPr>
          <w:rFonts w:hint="eastAsia" w:ascii="宋体" w:hAnsi="宋体" w:eastAsia="宋体" w:cs="宋体"/>
          <w:sz w:val="24"/>
        </w:rPr>
        <w:t>C.型式</w:t>
      </w:r>
    </w:p>
    <w:p w14:paraId="165E56E6">
      <w:pPr>
        <w:spacing w:line="360" w:lineRule="auto"/>
        <w:ind w:firstLine="480" w:firstLineChars="200"/>
        <w:rPr>
          <w:rFonts w:ascii="宋体" w:hAnsi="宋体" w:eastAsia="宋体" w:cs="宋体"/>
          <w:sz w:val="24"/>
        </w:rPr>
      </w:pPr>
      <w:r>
        <w:rPr>
          <w:rFonts w:hint="eastAsia" w:ascii="宋体" w:hAnsi="宋体" w:eastAsia="宋体" w:cs="宋体"/>
          <w:sz w:val="24"/>
        </w:rPr>
        <w:t>1.采用复合电极（测量电极、参比电极和 Pt100 温度电极复合一体）探头、 变送器、全部安装附件和电缆</w:t>
      </w:r>
    </w:p>
    <w:p w14:paraId="3C38831B">
      <w:pPr>
        <w:spacing w:line="360" w:lineRule="auto"/>
        <w:ind w:firstLine="480" w:firstLineChars="200"/>
        <w:rPr>
          <w:rFonts w:ascii="宋体" w:hAnsi="宋体" w:eastAsia="宋体" w:cs="宋体"/>
          <w:sz w:val="24"/>
        </w:rPr>
      </w:pPr>
      <w:r>
        <w:rPr>
          <w:rFonts w:hint="eastAsia" w:ascii="宋体" w:hAnsi="宋体" w:eastAsia="宋体" w:cs="宋体"/>
          <w:sz w:val="24"/>
        </w:rPr>
        <w:t>2.传感器安装在测量杆中，变送器安装在附近的仪表保护箱中。</w:t>
      </w:r>
    </w:p>
    <w:p w14:paraId="5F0A7C92">
      <w:pPr>
        <w:spacing w:line="360" w:lineRule="auto"/>
        <w:ind w:firstLine="480" w:firstLineChars="200"/>
        <w:rPr>
          <w:rFonts w:ascii="宋体" w:hAnsi="宋体" w:eastAsia="宋体" w:cs="宋体"/>
          <w:sz w:val="24"/>
        </w:rPr>
      </w:pPr>
      <w:r>
        <w:rPr>
          <w:rFonts w:hint="eastAsia" w:ascii="宋体" w:hAnsi="宋体" w:eastAsia="宋体" w:cs="宋体"/>
          <w:sz w:val="24"/>
        </w:rPr>
        <w:t>D.性能</w:t>
      </w:r>
    </w:p>
    <w:p w14:paraId="3059DE1B">
      <w:pPr>
        <w:spacing w:line="360" w:lineRule="auto"/>
        <w:ind w:firstLine="480" w:firstLineChars="200"/>
        <w:rPr>
          <w:rFonts w:ascii="宋体" w:hAnsi="宋体" w:eastAsia="宋体" w:cs="宋体"/>
          <w:sz w:val="24"/>
        </w:rPr>
      </w:pPr>
      <w:r>
        <w:rPr>
          <w:rFonts w:hint="eastAsia" w:ascii="宋体" w:hAnsi="宋体" w:eastAsia="宋体" w:cs="宋体"/>
          <w:sz w:val="24"/>
        </w:rPr>
        <w:t>1.适于测量城市污水</w:t>
      </w:r>
    </w:p>
    <w:p w14:paraId="02AA8F53">
      <w:pPr>
        <w:spacing w:line="360" w:lineRule="auto"/>
        <w:ind w:firstLine="480" w:firstLineChars="200"/>
        <w:rPr>
          <w:rFonts w:ascii="宋体" w:hAnsi="宋体" w:eastAsia="宋体" w:cs="宋体"/>
          <w:sz w:val="24"/>
        </w:rPr>
      </w:pPr>
      <w:r>
        <w:rPr>
          <w:rFonts w:hint="eastAsia" w:ascii="宋体" w:hAnsi="宋体" w:eastAsia="宋体" w:cs="宋体"/>
          <w:sz w:val="24"/>
        </w:rPr>
        <w:t>2.测量范围：-2000~+2000mV</w:t>
      </w:r>
    </w:p>
    <w:p w14:paraId="64490AA3">
      <w:pPr>
        <w:spacing w:line="360" w:lineRule="auto"/>
        <w:ind w:firstLine="480" w:firstLineChars="200"/>
        <w:rPr>
          <w:rFonts w:ascii="宋体" w:hAnsi="宋体" w:eastAsia="宋体" w:cs="宋体"/>
          <w:sz w:val="24"/>
        </w:rPr>
      </w:pPr>
      <w:r>
        <w:rPr>
          <w:rFonts w:hint="eastAsia" w:ascii="宋体" w:hAnsi="宋体" w:eastAsia="宋体" w:cs="宋体"/>
          <w:sz w:val="24"/>
        </w:rPr>
        <w:t>E.探头</w:t>
      </w:r>
    </w:p>
    <w:p w14:paraId="612A04DA">
      <w:pPr>
        <w:spacing w:line="360" w:lineRule="auto"/>
        <w:ind w:firstLine="480" w:firstLineChars="200"/>
        <w:rPr>
          <w:rFonts w:ascii="宋体" w:hAnsi="宋体" w:eastAsia="宋体" w:cs="宋体"/>
          <w:sz w:val="24"/>
        </w:rPr>
      </w:pPr>
      <w:r>
        <w:rPr>
          <w:rFonts w:hint="eastAsia" w:ascii="宋体" w:hAnsi="宋体" w:eastAsia="宋体" w:cs="宋体"/>
          <w:sz w:val="24"/>
        </w:rPr>
        <w:t xml:space="preserve">1.测量类型：浸没式，测量杆长度：≥2 米。连接电缆长度；5 米 </w:t>
      </w:r>
    </w:p>
    <w:p w14:paraId="240916C8">
      <w:pPr>
        <w:spacing w:line="360" w:lineRule="auto"/>
        <w:ind w:firstLine="480" w:firstLineChars="200"/>
        <w:rPr>
          <w:rFonts w:ascii="宋体" w:hAnsi="宋体" w:eastAsia="宋体" w:cs="宋体"/>
          <w:sz w:val="24"/>
        </w:rPr>
      </w:pPr>
      <w:r>
        <w:rPr>
          <w:rFonts w:hint="eastAsia" w:ascii="宋体" w:hAnsi="宋体" w:eastAsia="宋体" w:cs="宋体"/>
          <w:sz w:val="24"/>
        </w:rPr>
        <w:t>F.传感器</w:t>
      </w:r>
    </w:p>
    <w:p w14:paraId="0BBBCC9A">
      <w:pPr>
        <w:spacing w:line="360" w:lineRule="auto"/>
        <w:ind w:firstLine="480" w:firstLineChars="200"/>
        <w:rPr>
          <w:rFonts w:ascii="宋体" w:hAnsi="宋体" w:eastAsia="宋体" w:cs="宋体"/>
          <w:sz w:val="24"/>
        </w:rPr>
      </w:pPr>
      <w:r>
        <w:rPr>
          <w:rFonts w:hint="eastAsia" w:ascii="宋体" w:hAnsi="宋体" w:eastAsia="宋体" w:cs="宋体"/>
          <w:sz w:val="24"/>
        </w:rPr>
        <w:t>1.采用数字差分式传感器；适合测量污水中的 ORP；</w:t>
      </w:r>
    </w:p>
    <w:p w14:paraId="3EA4F089">
      <w:pPr>
        <w:spacing w:line="360" w:lineRule="auto"/>
        <w:ind w:firstLine="480" w:firstLineChars="200"/>
        <w:rPr>
          <w:rFonts w:ascii="宋体" w:hAnsi="宋体" w:eastAsia="宋体" w:cs="宋体"/>
          <w:sz w:val="24"/>
        </w:rPr>
      </w:pPr>
      <w:r>
        <w:rPr>
          <w:rFonts w:hint="eastAsia" w:ascii="宋体" w:hAnsi="宋体" w:eastAsia="宋体" w:cs="宋体"/>
          <w:sz w:val="24"/>
        </w:rPr>
        <w:t>2.金电极；灵敏度好于 20mV；</w:t>
      </w:r>
    </w:p>
    <w:p w14:paraId="58AC8146">
      <w:pPr>
        <w:spacing w:line="360" w:lineRule="auto"/>
        <w:ind w:firstLine="480" w:firstLineChars="200"/>
        <w:rPr>
          <w:rFonts w:ascii="宋体" w:hAnsi="宋体" w:eastAsia="宋体" w:cs="宋体"/>
          <w:sz w:val="24"/>
        </w:rPr>
      </w:pPr>
      <w:r>
        <w:rPr>
          <w:rFonts w:hint="eastAsia" w:ascii="宋体" w:hAnsi="宋体" w:eastAsia="宋体" w:cs="宋体"/>
          <w:sz w:val="24"/>
        </w:rPr>
        <w:t>3.测量范围为-2000~+2000mV。温度范围：0~105。C。</w:t>
      </w:r>
    </w:p>
    <w:p w14:paraId="6CE83B89">
      <w:pPr>
        <w:spacing w:line="360" w:lineRule="auto"/>
        <w:ind w:firstLine="480" w:firstLineChars="200"/>
        <w:rPr>
          <w:rFonts w:ascii="宋体" w:hAnsi="宋体" w:eastAsia="宋体" w:cs="宋体"/>
          <w:sz w:val="24"/>
        </w:rPr>
      </w:pPr>
      <w:r>
        <w:rPr>
          <w:rFonts w:hint="eastAsia" w:ascii="宋体" w:hAnsi="宋体" w:eastAsia="宋体" w:cs="宋体"/>
          <w:sz w:val="24"/>
        </w:rPr>
        <w:t>4.浸没部分材料：PEEK 本体</w:t>
      </w:r>
    </w:p>
    <w:p w14:paraId="2440E032">
      <w:pPr>
        <w:spacing w:line="360" w:lineRule="auto"/>
        <w:ind w:firstLine="480" w:firstLineChars="200"/>
        <w:rPr>
          <w:rFonts w:ascii="宋体" w:hAnsi="宋体" w:eastAsia="宋体" w:cs="宋体"/>
          <w:sz w:val="24"/>
        </w:rPr>
      </w:pPr>
      <w:r>
        <w:rPr>
          <w:rFonts w:hint="eastAsia" w:ascii="宋体" w:hAnsi="宋体" w:eastAsia="宋体" w:cs="宋体"/>
          <w:sz w:val="24"/>
        </w:rPr>
        <w:t>G.变送器</w:t>
      </w:r>
    </w:p>
    <w:p w14:paraId="67E5A784">
      <w:pPr>
        <w:spacing w:line="360" w:lineRule="auto"/>
        <w:ind w:firstLine="480" w:firstLineChars="200"/>
        <w:rPr>
          <w:rFonts w:ascii="宋体" w:hAnsi="宋体" w:eastAsia="宋体" w:cs="宋体"/>
          <w:sz w:val="24"/>
        </w:rPr>
      </w:pPr>
      <w:r>
        <w:rPr>
          <w:rFonts w:hint="eastAsia" w:ascii="宋体" w:hAnsi="宋体" w:eastAsia="宋体" w:cs="宋体"/>
          <w:sz w:val="24"/>
        </w:rPr>
        <w:t>1.变送器具有下列功能：现场 LCD 显示、隔离输出信号：4~20mA×2（pH 及温度）、带有温度补偿，故障报警： SPDT  继电器输出，自身报警 220VAC ，5A，精度：0.05%量程。满足 CE 的电磁兼容性。</w:t>
      </w:r>
    </w:p>
    <w:p w14:paraId="70586C7C">
      <w:pPr>
        <w:spacing w:line="360" w:lineRule="auto"/>
        <w:ind w:firstLine="480" w:firstLineChars="200"/>
        <w:rPr>
          <w:rFonts w:ascii="宋体" w:hAnsi="宋体" w:eastAsia="宋体" w:cs="宋体"/>
          <w:sz w:val="24"/>
        </w:rPr>
      </w:pPr>
      <w:r>
        <w:rPr>
          <w:rFonts w:hint="eastAsia" w:ascii="宋体" w:hAnsi="宋体" w:eastAsia="宋体" w:cs="宋体"/>
          <w:sz w:val="24"/>
        </w:rPr>
        <w:t>2.可同时连接一个或两个不通类型的数字化传感器。具有数月的数据存储 能力。</w:t>
      </w:r>
    </w:p>
    <w:p w14:paraId="0B46C2B7">
      <w:pPr>
        <w:spacing w:line="360" w:lineRule="auto"/>
        <w:ind w:firstLine="480" w:firstLineChars="200"/>
        <w:rPr>
          <w:rFonts w:ascii="宋体" w:hAnsi="宋体" w:eastAsia="宋体" w:cs="宋体"/>
          <w:sz w:val="24"/>
        </w:rPr>
      </w:pPr>
      <w:r>
        <w:rPr>
          <w:rFonts w:hint="eastAsia" w:ascii="宋体" w:hAnsi="宋体" w:eastAsia="宋体" w:cs="宋体"/>
          <w:sz w:val="24"/>
        </w:rPr>
        <w:t>H.连接电缆</w:t>
      </w:r>
    </w:p>
    <w:p w14:paraId="34A8AF16">
      <w:pPr>
        <w:pStyle w:val="3"/>
        <w:rPr>
          <w:rFonts w:ascii="宋体" w:hAnsi="宋体" w:eastAsia="宋体" w:cs="宋体"/>
          <w:sz w:val="24"/>
          <w:szCs w:val="22"/>
        </w:rPr>
      </w:pPr>
      <w:r>
        <w:rPr>
          <w:rFonts w:hint="eastAsia" w:ascii="宋体" w:hAnsi="宋体" w:eastAsia="宋体" w:cs="宋体"/>
          <w:sz w:val="24"/>
          <w:szCs w:val="22"/>
        </w:rPr>
        <w:t>5.4.11 浊度/浓度仪表</w:t>
      </w:r>
    </w:p>
    <w:p w14:paraId="4651B935">
      <w:pPr>
        <w:spacing w:line="360" w:lineRule="auto"/>
        <w:ind w:firstLine="480" w:firstLineChars="200"/>
        <w:rPr>
          <w:rFonts w:ascii="宋体" w:hAnsi="宋体" w:eastAsia="宋体" w:cs="宋体"/>
          <w:sz w:val="24"/>
        </w:rPr>
      </w:pPr>
      <w:r>
        <w:rPr>
          <w:rFonts w:hint="eastAsia" w:ascii="宋体" w:hAnsi="宋体" w:eastAsia="宋体" w:cs="宋体"/>
          <w:sz w:val="24"/>
        </w:rPr>
        <w:t>A.用途</w:t>
      </w:r>
    </w:p>
    <w:p w14:paraId="483AF467">
      <w:pPr>
        <w:spacing w:line="360" w:lineRule="auto"/>
        <w:ind w:firstLine="480" w:firstLineChars="200"/>
        <w:rPr>
          <w:rFonts w:ascii="宋体" w:hAnsi="宋体" w:eastAsia="宋体" w:cs="宋体"/>
          <w:sz w:val="24"/>
        </w:rPr>
      </w:pPr>
      <w:r>
        <w:rPr>
          <w:rFonts w:hint="eastAsia" w:ascii="宋体" w:hAnsi="宋体" w:eastAsia="宋体" w:cs="宋体"/>
          <w:sz w:val="24"/>
        </w:rPr>
        <w:t xml:space="preserve">1.该仪表用来测量、指示和传送介质中浊度/浓度。 </w:t>
      </w:r>
    </w:p>
    <w:p w14:paraId="18BEFE91">
      <w:pPr>
        <w:spacing w:line="360" w:lineRule="auto"/>
        <w:ind w:firstLine="480" w:firstLineChars="200"/>
        <w:rPr>
          <w:rFonts w:ascii="宋体" w:hAnsi="宋体" w:eastAsia="宋体" w:cs="宋体"/>
          <w:sz w:val="24"/>
        </w:rPr>
      </w:pPr>
      <w:r>
        <w:rPr>
          <w:rFonts w:hint="eastAsia" w:ascii="宋体" w:hAnsi="宋体" w:eastAsia="宋体" w:cs="宋体"/>
          <w:sz w:val="24"/>
        </w:rPr>
        <w:t>B.原理</w:t>
      </w:r>
    </w:p>
    <w:p w14:paraId="7238D0C5">
      <w:pPr>
        <w:spacing w:line="360" w:lineRule="auto"/>
        <w:ind w:firstLine="480" w:firstLineChars="200"/>
        <w:rPr>
          <w:rFonts w:ascii="宋体" w:hAnsi="宋体" w:eastAsia="宋体" w:cs="宋体"/>
          <w:sz w:val="24"/>
        </w:rPr>
      </w:pPr>
      <w:r>
        <w:rPr>
          <w:rFonts w:hint="eastAsia" w:ascii="宋体" w:hAnsi="宋体" w:eastAsia="宋体" w:cs="宋体"/>
          <w:sz w:val="24"/>
        </w:rPr>
        <w:t>1. 采用散射光光度计或双红外线检测技术。</w:t>
      </w:r>
    </w:p>
    <w:p w14:paraId="08AE1C71">
      <w:pPr>
        <w:spacing w:line="360" w:lineRule="auto"/>
        <w:ind w:firstLine="480" w:firstLineChars="200"/>
        <w:rPr>
          <w:rFonts w:ascii="宋体" w:hAnsi="宋体" w:eastAsia="宋体" w:cs="宋体"/>
          <w:sz w:val="24"/>
        </w:rPr>
      </w:pPr>
      <w:r>
        <w:rPr>
          <w:rFonts w:hint="eastAsia" w:ascii="宋体" w:hAnsi="宋体" w:eastAsia="宋体" w:cs="宋体"/>
          <w:sz w:val="24"/>
        </w:rPr>
        <w:t>C.型式</w:t>
      </w:r>
    </w:p>
    <w:p w14:paraId="1A85CCBB">
      <w:pPr>
        <w:spacing w:line="360" w:lineRule="auto"/>
        <w:ind w:firstLine="480" w:firstLineChars="200"/>
        <w:rPr>
          <w:rFonts w:ascii="宋体" w:hAnsi="宋体" w:eastAsia="宋体" w:cs="宋体"/>
          <w:sz w:val="24"/>
        </w:rPr>
      </w:pPr>
      <w:r>
        <w:rPr>
          <w:rFonts w:hint="eastAsia" w:ascii="宋体" w:hAnsi="宋体" w:eastAsia="宋体" w:cs="宋体"/>
          <w:sz w:val="24"/>
        </w:rPr>
        <w:t>1.组成包括探头、浸没管，变送元件以及所需的安装附件和连接电缆。</w:t>
      </w:r>
    </w:p>
    <w:p w14:paraId="1A0BE5D2">
      <w:pPr>
        <w:spacing w:line="360" w:lineRule="auto"/>
        <w:ind w:firstLine="480" w:firstLineChars="200"/>
        <w:rPr>
          <w:rFonts w:ascii="宋体" w:hAnsi="宋体" w:eastAsia="宋体" w:cs="宋体"/>
          <w:sz w:val="24"/>
        </w:rPr>
      </w:pPr>
      <w:r>
        <w:rPr>
          <w:rFonts w:hint="eastAsia" w:ascii="宋体" w:hAnsi="宋体" w:eastAsia="宋体" w:cs="宋体"/>
          <w:sz w:val="24"/>
        </w:rPr>
        <w:t>2.传感器安装在测量杆中，变送器安装在附近的仪表保护箱中。</w:t>
      </w:r>
    </w:p>
    <w:p w14:paraId="557C727E">
      <w:pPr>
        <w:spacing w:line="360" w:lineRule="auto"/>
        <w:ind w:firstLine="480" w:firstLineChars="200"/>
        <w:rPr>
          <w:rFonts w:ascii="宋体" w:hAnsi="宋体" w:eastAsia="宋体" w:cs="宋体"/>
          <w:sz w:val="24"/>
        </w:rPr>
      </w:pPr>
      <w:r>
        <w:rPr>
          <w:rFonts w:hint="eastAsia" w:ascii="宋体" w:hAnsi="宋体" w:eastAsia="宋体" w:cs="宋体"/>
          <w:sz w:val="24"/>
        </w:rPr>
        <w:t>D.性能</w:t>
      </w:r>
    </w:p>
    <w:p w14:paraId="2241375F">
      <w:pPr>
        <w:spacing w:line="360" w:lineRule="auto"/>
        <w:ind w:firstLine="480" w:firstLineChars="200"/>
        <w:rPr>
          <w:rFonts w:ascii="宋体" w:hAnsi="宋体" w:eastAsia="宋体" w:cs="宋体"/>
          <w:sz w:val="24"/>
        </w:rPr>
      </w:pPr>
      <w:r>
        <w:rPr>
          <w:rFonts w:hint="eastAsia" w:ascii="宋体" w:hAnsi="宋体" w:eastAsia="宋体" w:cs="宋体"/>
          <w:sz w:val="24"/>
        </w:rPr>
        <w:t>1.用于测量再生水处理厂过滤后水的浊度</w:t>
      </w:r>
    </w:p>
    <w:p w14:paraId="3AF60B0F">
      <w:pPr>
        <w:spacing w:line="360" w:lineRule="auto"/>
        <w:ind w:firstLine="480" w:firstLineChars="200"/>
        <w:rPr>
          <w:rFonts w:ascii="宋体" w:hAnsi="宋体" w:eastAsia="宋体" w:cs="宋体"/>
          <w:sz w:val="24"/>
        </w:rPr>
      </w:pPr>
      <w:r>
        <w:rPr>
          <w:rFonts w:hint="eastAsia" w:ascii="宋体" w:hAnsi="宋体" w:eastAsia="宋体" w:cs="宋体"/>
          <w:sz w:val="24"/>
        </w:rPr>
        <w:t>2.测量范围：见仪表自控特殊技术要求</w:t>
      </w:r>
    </w:p>
    <w:p w14:paraId="0C13063C">
      <w:pPr>
        <w:spacing w:line="360" w:lineRule="auto"/>
        <w:ind w:firstLine="480" w:firstLineChars="200"/>
        <w:rPr>
          <w:rFonts w:ascii="宋体" w:hAnsi="宋体" w:eastAsia="宋体" w:cs="宋体"/>
          <w:sz w:val="24"/>
        </w:rPr>
      </w:pPr>
      <w:r>
        <w:rPr>
          <w:rFonts w:hint="eastAsia" w:ascii="宋体" w:hAnsi="宋体" w:eastAsia="宋体" w:cs="宋体"/>
          <w:sz w:val="24"/>
        </w:rPr>
        <w:t>E.探头</w:t>
      </w:r>
    </w:p>
    <w:p w14:paraId="50E2DFB9">
      <w:pPr>
        <w:spacing w:line="360" w:lineRule="auto"/>
        <w:ind w:firstLine="480" w:firstLineChars="200"/>
        <w:rPr>
          <w:rFonts w:ascii="宋体" w:hAnsi="宋体" w:eastAsia="宋体" w:cs="宋体"/>
          <w:sz w:val="24"/>
        </w:rPr>
      </w:pPr>
      <w:r>
        <w:rPr>
          <w:rFonts w:hint="eastAsia" w:ascii="宋体" w:hAnsi="宋体" w:eastAsia="宋体" w:cs="宋体"/>
          <w:sz w:val="24"/>
        </w:rPr>
        <w:t>1.检测方式：浸没式(≥2m）或流通式（带安装附件）</w:t>
      </w:r>
    </w:p>
    <w:p w14:paraId="2AAD9154">
      <w:pPr>
        <w:spacing w:line="360" w:lineRule="auto"/>
        <w:ind w:firstLine="480" w:firstLineChars="200"/>
        <w:rPr>
          <w:rFonts w:ascii="宋体" w:hAnsi="宋体" w:eastAsia="宋体" w:cs="宋体"/>
          <w:sz w:val="24"/>
        </w:rPr>
      </w:pPr>
      <w:r>
        <w:rPr>
          <w:rFonts w:hint="eastAsia" w:ascii="宋体" w:hAnsi="宋体" w:eastAsia="宋体" w:cs="宋体"/>
          <w:sz w:val="24"/>
        </w:rPr>
        <w:t>F.传感器</w:t>
      </w:r>
    </w:p>
    <w:p w14:paraId="5FAD042D">
      <w:pPr>
        <w:spacing w:line="360" w:lineRule="auto"/>
        <w:ind w:firstLine="480" w:firstLineChars="200"/>
        <w:rPr>
          <w:rFonts w:ascii="宋体" w:hAnsi="宋体" w:eastAsia="宋体" w:cs="宋体"/>
          <w:sz w:val="24"/>
        </w:rPr>
      </w:pPr>
      <w:r>
        <w:rPr>
          <w:rFonts w:hint="eastAsia" w:ascii="宋体" w:hAnsi="宋体" w:eastAsia="宋体" w:cs="宋体"/>
          <w:sz w:val="24"/>
        </w:rPr>
        <w:t>1.测量单位：NTU 、 mg/L；</w:t>
      </w:r>
    </w:p>
    <w:p w14:paraId="0B862930">
      <w:pPr>
        <w:spacing w:line="360" w:lineRule="auto"/>
        <w:ind w:firstLine="480" w:firstLineChars="200"/>
        <w:rPr>
          <w:rFonts w:ascii="宋体" w:hAnsi="宋体" w:eastAsia="宋体" w:cs="宋体"/>
          <w:sz w:val="24"/>
        </w:rPr>
      </w:pPr>
      <w:r>
        <w:rPr>
          <w:rFonts w:hint="eastAsia" w:ascii="宋体" w:hAnsi="宋体" w:eastAsia="宋体" w:cs="宋体"/>
          <w:sz w:val="24"/>
        </w:rPr>
        <w:t>2.测量精度：小于 5%读数；响应时间：1 秒；最大流速：3m/s；</w:t>
      </w:r>
    </w:p>
    <w:p w14:paraId="34E6CD10">
      <w:pPr>
        <w:spacing w:line="360" w:lineRule="auto"/>
        <w:ind w:firstLine="480" w:firstLineChars="200"/>
        <w:rPr>
          <w:rFonts w:ascii="宋体" w:hAnsi="宋体" w:eastAsia="宋体" w:cs="宋体"/>
          <w:sz w:val="24"/>
        </w:rPr>
      </w:pPr>
      <w:r>
        <w:rPr>
          <w:rFonts w:hint="eastAsia" w:ascii="宋体" w:hAnsi="宋体" w:eastAsia="宋体" w:cs="宋体"/>
          <w:sz w:val="24"/>
        </w:rPr>
        <w:t>3. 温度：0~40。C；最大样品压力：6bar，</w:t>
      </w:r>
    </w:p>
    <w:p w14:paraId="1555A240">
      <w:pPr>
        <w:spacing w:line="360" w:lineRule="auto"/>
        <w:ind w:firstLine="480" w:firstLineChars="200"/>
        <w:rPr>
          <w:rFonts w:ascii="宋体" w:hAnsi="宋体" w:eastAsia="宋体" w:cs="宋体"/>
          <w:sz w:val="24"/>
        </w:rPr>
      </w:pPr>
      <w:r>
        <w:rPr>
          <w:rFonts w:hint="eastAsia" w:ascii="宋体" w:hAnsi="宋体" w:eastAsia="宋体" w:cs="宋体"/>
          <w:sz w:val="24"/>
        </w:rPr>
        <w:t>4.自动清洗电极。</w:t>
      </w:r>
    </w:p>
    <w:p w14:paraId="113E3703">
      <w:pPr>
        <w:spacing w:line="360" w:lineRule="auto"/>
        <w:ind w:firstLine="480" w:firstLineChars="200"/>
        <w:rPr>
          <w:rFonts w:ascii="宋体" w:hAnsi="宋体" w:eastAsia="宋体" w:cs="宋体"/>
          <w:sz w:val="24"/>
        </w:rPr>
      </w:pPr>
      <w:r>
        <w:rPr>
          <w:rFonts w:hint="eastAsia" w:ascii="宋体" w:hAnsi="宋体" w:eastAsia="宋体" w:cs="宋体"/>
          <w:sz w:val="24"/>
        </w:rPr>
        <w:t>G.变送器</w:t>
      </w:r>
    </w:p>
    <w:p w14:paraId="1AD125B0">
      <w:pPr>
        <w:spacing w:line="360" w:lineRule="auto"/>
        <w:ind w:firstLine="480" w:firstLineChars="200"/>
        <w:rPr>
          <w:rFonts w:ascii="宋体" w:hAnsi="宋体" w:eastAsia="宋体" w:cs="宋体"/>
          <w:sz w:val="24"/>
        </w:rPr>
      </w:pPr>
      <w:r>
        <w:rPr>
          <w:rFonts w:hint="eastAsia" w:ascii="宋体" w:hAnsi="宋体" w:eastAsia="宋体" w:cs="宋体"/>
          <w:sz w:val="24"/>
        </w:rPr>
        <w:t>1.变送器具有下列功能：现场 LCD  显示、隔离输出信号：4~20mA×2（电 导率和温度）、带有温度补偿， 故障报警：三个 SPDT 继电器输出，自身 报警 220VAC ，5A，精度：0.05%量程。满足 CE 的电磁兼容性。</w:t>
      </w:r>
    </w:p>
    <w:p w14:paraId="649FA23C">
      <w:pPr>
        <w:spacing w:line="360" w:lineRule="auto"/>
        <w:ind w:firstLine="480" w:firstLineChars="200"/>
        <w:rPr>
          <w:rFonts w:ascii="宋体" w:hAnsi="宋体" w:eastAsia="宋体" w:cs="宋体"/>
          <w:sz w:val="24"/>
        </w:rPr>
      </w:pPr>
      <w:r>
        <w:rPr>
          <w:rFonts w:hint="eastAsia" w:ascii="宋体" w:hAnsi="宋体" w:eastAsia="宋体" w:cs="宋体"/>
          <w:sz w:val="24"/>
        </w:rPr>
        <w:t>2.可同时连接一个或两个不通类型的数字化传感器。探头可“即插即用”。 具有数月的数据存储能力。</w:t>
      </w:r>
    </w:p>
    <w:p w14:paraId="5B1FB4B5">
      <w:pPr>
        <w:pStyle w:val="3"/>
        <w:rPr>
          <w:rFonts w:ascii="宋体" w:hAnsi="宋体" w:eastAsia="宋体" w:cs="宋体"/>
          <w:sz w:val="24"/>
          <w:szCs w:val="22"/>
        </w:rPr>
      </w:pPr>
      <w:r>
        <w:rPr>
          <w:rFonts w:hint="eastAsia" w:ascii="宋体" w:hAnsi="宋体" w:eastAsia="宋体" w:cs="宋体"/>
          <w:sz w:val="24"/>
          <w:szCs w:val="22"/>
        </w:rPr>
        <w:t>5.4.12  水样提升泵</w:t>
      </w:r>
    </w:p>
    <w:p w14:paraId="6A646695">
      <w:pPr>
        <w:spacing w:line="360" w:lineRule="auto"/>
        <w:ind w:firstLine="480" w:firstLineChars="200"/>
        <w:rPr>
          <w:rFonts w:ascii="宋体" w:hAnsi="宋体" w:eastAsia="宋体" w:cs="宋体"/>
          <w:sz w:val="24"/>
        </w:rPr>
      </w:pPr>
      <w:r>
        <w:rPr>
          <w:rFonts w:hint="eastAsia" w:ascii="宋体" w:hAnsi="宋体" w:eastAsia="宋体" w:cs="宋体"/>
          <w:sz w:val="24"/>
        </w:rPr>
        <w:t>A.用途</w:t>
      </w:r>
    </w:p>
    <w:p w14:paraId="28C05260">
      <w:pPr>
        <w:spacing w:line="360" w:lineRule="auto"/>
        <w:ind w:firstLine="480" w:firstLineChars="200"/>
        <w:rPr>
          <w:rFonts w:ascii="宋体" w:hAnsi="宋体" w:eastAsia="宋体" w:cs="宋体"/>
          <w:sz w:val="24"/>
        </w:rPr>
      </w:pPr>
      <w:r>
        <w:rPr>
          <w:rFonts w:hint="eastAsia" w:ascii="宋体" w:hAnsi="宋体" w:eastAsia="宋体" w:cs="宋体"/>
          <w:sz w:val="24"/>
        </w:rPr>
        <w:t>1.用来提升供水质分析仪表使用的水样</w:t>
      </w:r>
    </w:p>
    <w:p w14:paraId="7524E418">
      <w:pPr>
        <w:spacing w:line="360" w:lineRule="auto"/>
        <w:ind w:firstLine="480" w:firstLineChars="200"/>
        <w:rPr>
          <w:rFonts w:ascii="宋体" w:hAnsi="宋体" w:eastAsia="宋体" w:cs="宋体"/>
          <w:sz w:val="24"/>
        </w:rPr>
      </w:pPr>
      <w:r>
        <w:rPr>
          <w:rFonts w:hint="eastAsia" w:ascii="宋体" w:hAnsi="宋体" w:eastAsia="宋体" w:cs="宋体"/>
          <w:sz w:val="24"/>
        </w:rPr>
        <w:t>B.原理</w:t>
      </w:r>
    </w:p>
    <w:p w14:paraId="234F67E7">
      <w:pPr>
        <w:spacing w:line="360" w:lineRule="auto"/>
        <w:ind w:firstLine="480" w:firstLineChars="200"/>
        <w:rPr>
          <w:rFonts w:ascii="宋体" w:hAnsi="宋体" w:eastAsia="宋体" w:cs="宋体"/>
          <w:sz w:val="24"/>
        </w:rPr>
      </w:pPr>
      <w:r>
        <w:rPr>
          <w:rFonts w:hint="eastAsia" w:ascii="宋体" w:hAnsi="宋体" w:eastAsia="宋体" w:cs="宋体"/>
          <w:sz w:val="24"/>
        </w:rPr>
        <w:t>1.取样泵</w:t>
      </w:r>
    </w:p>
    <w:p w14:paraId="3851D412">
      <w:pPr>
        <w:spacing w:line="360" w:lineRule="auto"/>
        <w:ind w:firstLine="480" w:firstLineChars="200"/>
        <w:rPr>
          <w:rFonts w:ascii="宋体" w:hAnsi="宋体" w:eastAsia="宋体" w:cs="宋体"/>
          <w:sz w:val="24"/>
        </w:rPr>
      </w:pPr>
      <w:r>
        <w:rPr>
          <w:rFonts w:hint="eastAsia" w:ascii="宋体" w:hAnsi="宋体" w:eastAsia="宋体" w:cs="宋体"/>
          <w:sz w:val="24"/>
        </w:rPr>
        <w:t>C. 型式</w:t>
      </w:r>
    </w:p>
    <w:p w14:paraId="3641977F">
      <w:pPr>
        <w:spacing w:line="360" w:lineRule="auto"/>
        <w:ind w:firstLine="480" w:firstLineChars="200"/>
        <w:rPr>
          <w:rFonts w:ascii="宋体" w:hAnsi="宋体" w:eastAsia="宋体" w:cs="宋体"/>
          <w:sz w:val="24"/>
        </w:rPr>
      </w:pPr>
      <w:r>
        <w:rPr>
          <w:rFonts w:hint="eastAsia" w:ascii="宋体" w:hAnsi="宋体" w:eastAsia="宋体" w:cs="宋体"/>
          <w:sz w:val="24"/>
        </w:rPr>
        <w:t>1. 取样泵组成：潜水泵、取样管、过滤器、连接电缆、控制箱全套的安装附件等</w:t>
      </w:r>
    </w:p>
    <w:p w14:paraId="0D5DBEA1">
      <w:pPr>
        <w:spacing w:line="360" w:lineRule="auto"/>
        <w:ind w:firstLine="480" w:firstLineChars="200"/>
        <w:rPr>
          <w:rFonts w:ascii="宋体" w:hAnsi="宋体" w:eastAsia="宋体" w:cs="宋体"/>
          <w:sz w:val="24"/>
        </w:rPr>
      </w:pPr>
      <w:r>
        <w:rPr>
          <w:rFonts w:hint="eastAsia" w:ascii="宋体" w:hAnsi="宋体" w:eastAsia="宋体" w:cs="宋体"/>
          <w:sz w:val="24"/>
        </w:rPr>
        <w:t>D. 性能</w:t>
      </w:r>
    </w:p>
    <w:p w14:paraId="6066D1A5">
      <w:pPr>
        <w:spacing w:line="360" w:lineRule="auto"/>
        <w:ind w:firstLine="480" w:firstLineChars="200"/>
        <w:rPr>
          <w:rFonts w:ascii="宋体" w:hAnsi="宋体" w:eastAsia="宋体" w:cs="宋体"/>
          <w:sz w:val="24"/>
        </w:rPr>
      </w:pPr>
      <w:r>
        <w:rPr>
          <w:rFonts w:hint="eastAsia" w:ascii="宋体" w:hAnsi="宋体" w:eastAsia="宋体" w:cs="宋体"/>
          <w:sz w:val="24"/>
        </w:rPr>
        <w:t>1.适用于水处理厂进水（原污水）和出水水样的提升。 E.    规格要求</w:t>
      </w:r>
    </w:p>
    <w:p w14:paraId="638598C1">
      <w:pPr>
        <w:spacing w:line="360" w:lineRule="auto"/>
        <w:ind w:firstLine="480" w:firstLineChars="200"/>
        <w:rPr>
          <w:rFonts w:ascii="宋体" w:hAnsi="宋体" w:eastAsia="宋体" w:cs="宋体"/>
          <w:sz w:val="24"/>
        </w:rPr>
      </w:pPr>
      <w:r>
        <w:rPr>
          <w:rFonts w:hint="eastAsia" w:ascii="宋体" w:hAnsi="宋体" w:eastAsia="宋体" w:cs="宋体"/>
          <w:sz w:val="24"/>
        </w:rPr>
        <w:t>1.流量：100L/min；扬程：25m；电源：220VAC 50Hz 或 380VAC 50Hz； 功率：1.5kW。</w:t>
      </w:r>
    </w:p>
    <w:p w14:paraId="174220F2">
      <w:pPr>
        <w:spacing w:line="360" w:lineRule="auto"/>
        <w:ind w:firstLine="480" w:firstLineChars="200"/>
        <w:rPr>
          <w:rFonts w:ascii="宋体" w:hAnsi="宋体" w:eastAsia="宋体" w:cs="宋体"/>
          <w:sz w:val="24"/>
        </w:rPr>
      </w:pPr>
      <w:r>
        <w:rPr>
          <w:rFonts w:hint="eastAsia" w:ascii="宋体" w:hAnsi="宋体" w:eastAsia="宋体" w:cs="宋体"/>
          <w:sz w:val="24"/>
        </w:rPr>
        <w:t>2.泵用于污水，具有过滤不堵和免维护特性。</w:t>
      </w:r>
    </w:p>
    <w:p w14:paraId="5EF6AEEA">
      <w:pPr>
        <w:spacing w:line="360" w:lineRule="auto"/>
        <w:ind w:firstLine="480" w:firstLineChars="200"/>
        <w:rPr>
          <w:rFonts w:ascii="宋体" w:hAnsi="宋体" w:eastAsia="宋体" w:cs="宋体"/>
          <w:sz w:val="24"/>
        </w:rPr>
      </w:pPr>
      <w:r>
        <w:rPr>
          <w:rFonts w:hint="eastAsia" w:ascii="宋体" w:hAnsi="宋体" w:eastAsia="宋体" w:cs="宋体"/>
          <w:sz w:val="24"/>
        </w:rPr>
        <w:t>3.控制箱带有泵的输入输出信号（输出信号：运行、故障、转换开关；输入信号：控制）</w:t>
      </w:r>
    </w:p>
    <w:p w14:paraId="38A14064">
      <w:pPr>
        <w:spacing w:line="360" w:lineRule="auto"/>
        <w:ind w:firstLine="480" w:firstLineChars="200"/>
        <w:rPr>
          <w:rFonts w:ascii="宋体" w:hAnsi="宋体" w:eastAsia="宋体" w:cs="宋体"/>
          <w:sz w:val="24"/>
        </w:rPr>
      </w:pPr>
      <w:r>
        <w:rPr>
          <w:rFonts w:hint="eastAsia" w:ascii="宋体" w:hAnsi="宋体" w:eastAsia="宋体" w:cs="宋体"/>
          <w:sz w:val="24"/>
        </w:rPr>
        <w:t>F.安装要求</w:t>
      </w:r>
    </w:p>
    <w:p w14:paraId="1D30200F">
      <w:pPr>
        <w:spacing w:line="360" w:lineRule="auto"/>
        <w:ind w:firstLine="480" w:firstLineChars="200"/>
        <w:rPr>
          <w:rFonts w:ascii="宋体" w:hAnsi="宋体" w:eastAsia="宋体" w:cs="宋体"/>
          <w:sz w:val="24"/>
        </w:rPr>
      </w:pPr>
      <w:r>
        <w:rPr>
          <w:rFonts w:hint="eastAsia" w:ascii="宋体" w:hAnsi="宋体" w:eastAsia="宋体" w:cs="宋体"/>
          <w:sz w:val="24"/>
        </w:rPr>
        <w:t>1.安装在污水处理厂的水质监测小室内。</w:t>
      </w:r>
    </w:p>
    <w:p w14:paraId="5A4AB038">
      <w:pPr>
        <w:pStyle w:val="3"/>
        <w:rPr>
          <w:rFonts w:ascii="宋体" w:hAnsi="宋体" w:eastAsia="宋体" w:cs="宋体"/>
          <w:sz w:val="24"/>
          <w:szCs w:val="22"/>
        </w:rPr>
      </w:pPr>
      <w:r>
        <w:rPr>
          <w:rFonts w:hint="eastAsia" w:ascii="宋体" w:hAnsi="宋体" w:eastAsia="宋体" w:cs="宋体"/>
          <w:sz w:val="24"/>
          <w:szCs w:val="22"/>
        </w:rPr>
        <w:t>5.4.13  信号分配器</w:t>
      </w:r>
    </w:p>
    <w:p w14:paraId="7E574D3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   应用</w:t>
      </w:r>
    </w:p>
    <w:p w14:paraId="76399D34">
      <w:pPr>
        <w:spacing w:line="360" w:lineRule="auto"/>
        <w:ind w:firstLine="480" w:firstLineChars="200"/>
        <w:rPr>
          <w:rFonts w:ascii="宋体" w:hAnsi="宋体" w:eastAsia="宋体" w:cs="宋体"/>
        </w:rPr>
      </w:pPr>
      <w:r>
        <w:rPr>
          <w:rFonts w:hint="eastAsia" w:ascii="宋体" w:hAnsi="宋体" w:eastAsia="宋体" w:cs="宋体"/>
          <w:sz w:val="24"/>
          <w:szCs w:val="32"/>
        </w:rPr>
        <w:t>1.    用来增加仪表信号输出数量。</w:t>
      </w:r>
    </w:p>
    <w:p w14:paraId="1B50C183">
      <w:pPr>
        <w:pStyle w:val="5"/>
        <w:spacing w:line="267" w:lineRule="auto"/>
        <w:rPr>
          <w:rFonts w:eastAsia="宋体"/>
        </w:rPr>
      </w:pPr>
    </w:p>
    <w:p w14:paraId="041C8E8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569516B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1.一个输入信号（4~20mA）获得两个电隔离的输出信号（4~20mA） </w:t>
      </w:r>
    </w:p>
    <w:p w14:paraId="3094D7A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C.特点</w:t>
      </w:r>
    </w:p>
    <w:p w14:paraId="5922CAF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1.单输入双电隔离输出的隔离放大器</w:t>
      </w:r>
    </w:p>
    <w:p w14:paraId="26D1F5C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2.电源：DC24V ，AC220V</w:t>
      </w:r>
    </w:p>
    <w:p w14:paraId="5FCF5B3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3.外壳材料：聚碳酸酯</w:t>
      </w:r>
    </w:p>
    <w:p w14:paraId="30EA369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4.电隔离</w:t>
      </w:r>
    </w:p>
    <w:p w14:paraId="243D769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D.安装</w:t>
      </w:r>
    </w:p>
    <w:p w14:paraId="64FAF44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1.导轨安装或盘安装</w:t>
      </w:r>
    </w:p>
    <w:p w14:paraId="0A7AA3A3">
      <w:pPr>
        <w:pStyle w:val="3"/>
        <w:rPr>
          <w:rFonts w:ascii="宋体" w:hAnsi="宋体" w:eastAsia="宋体" w:cs="宋体"/>
          <w:sz w:val="24"/>
          <w:szCs w:val="22"/>
        </w:rPr>
      </w:pPr>
      <w:r>
        <w:rPr>
          <w:rFonts w:hint="eastAsia" w:ascii="宋体" w:hAnsi="宋体" w:eastAsia="宋体" w:cs="宋体"/>
          <w:sz w:val="24"/>
          <w:szCs w:val="22"/>
        </w:rPr>
        <w:t>5.4.14 在线氨氮仪表（进、出水测量）（若有）</w:t>
      </w:r>
    </w:p>
    <w:p w14:paraId="1DE4552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A.概述</w:t>
      </w:r>
    </w:p>
    <w:p w14:paraId="5BA3375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1.在线氨氮仪表用来测量、显示和变送污水处理厂进出水的氨氮测量值。</w:t>
      </w:r>
    </w:p>
    <w:p w14:paraId="1F90039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2.必须符合国家环保局有关技术要求并具有国家环保局环保产品认证。</w:t>
      </w:r>
    </w:p>
    <w:p w14:paraId="72E5932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6C4B82A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1.氨气逐出比色测量原理，分析仪具有自动气、液传输技术，具有自动校正、自动清洗、自动恒温功能，连续在线监测氨氮。</w:t>
      </w:r>
    </w:p>
    <w:p w14:paraId="27E03D2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6095C3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1.在线氨氮测量仪表具有电气和采样处理部分。电气部分包括电源、信号处理单元、微处理单元、和键盘操作单元。采样处理部分包括： 样品管、 电磁阀、采样泵和测量池等。</w:t>
      </w:r>
    </w:p>
    <w:p w14:paraId="6C6F504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056877B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 在线氨氮仪表适合测量污水处理厂的进出水中的氨氮值。</w:t>
      </w:r>
    </w:p>
    <w:p w14:paraId="13C53D9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E.传感和变送器</w:t>
      </w:r>
    </w:p>
    <w:p w14:paraId="10D86D6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1.测量范围：出水：0~3mg/L；</w:t>
      </w:r>
    </w:p>
    <w:p w14:paraId="59E8B31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2.精度：测量值的±2.5%；或 0.2mg/L，取大者；</w:t>
      </w:r>
    </w:p>
    <w:p w14:paraId="4F2B9AE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3.最低检测限：0.2mg/L；</w:t>
      </w:r>
    </w:p>
    <w:p w14:paraId="56E25B1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4.测量间隔：13min ，15min ，20min 或 30min 可选；</w:t>
      </w:r>
    </w:p>
    <w:p w14:paraId="44CCA27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5.样品要求：流速最小为 0.1l/h；进样压力：1-5psig；样品温度：10~40℃; 进样/出样管径：1/4 英寸管；</w:t>
      </w:r>
    </w:p>
    <w:p w14:paraId="7982BD9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6.仪器具有自动校正、自动清洗功能；</w:t>
      </w:r>
    </w:p>
    <w:p w14:paraId="27B174A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7.显示：LCD 液晶屏，数据和图形显示</w:t>
      </w:r>
    </w:p>
    <w:p w14:paraId="5DD4CFC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8.具有数据存储功能；</w:t>
      </w:r>
    </w:p>
    <w:p w14:paraId="48331BF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9.输出：两路 0/4~20mA，继电器；</w:t>
      </w:r>
    </w:p>
    <w:p w14:paraId="6BC3DDE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10.通信接口：RS485；</w:t>
      </w:r>
    </w:p>
    <w:p w14:paraId="5425536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11.电源：100~230VAC ，50/60Hz</w:t>
      </w:r>
    </w:p>
    <w:p w14:paraId="36FD070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F.安装要求</w:t>
      </w:r>
    </w:p>
    <w:p w14:paraId="24049B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1.室内安装。</w:t>
      </w:r>
    </w:p>
    <w:p w14:paraId="5FC3AC34">
      <w:pPr>
        <w:pStyle w:val="3"/>
        <w:rPr>
          <w:rFonts w:ascii="宋体" w:hAnsi="宋体" w:eastAsia="宋体" w:cs="宋体"/>
          <w:sz w:val="24"/>
          <w:szCs w:val="22"/>
        </w:rPr>
      </w:pPr>
      <w:r>
        <w:rPr>
          <w:rFonts w:hint="eastAsia" w:ascii="宋体" w:hAnsi="宋体" w:eastAsia="宋体" w:cs="宋体"/>
          <w:sz w:val="24"/>
          <w:szCs w:val="22"/>
        </w:rPr>
        <w:t>5.4.15  在线氨氮仪表（过程测量）（若有）</w:t>
      </w:r>
    </w:p>
    <w:p w14:paraId="70B2203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A.用途</w:t>
      </w:r>
    </w:p>
    <w:p w14:paraId="7C8A588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1.用来测量、指示和传送污水处理厂过程检测的氨氮值。 </w:t>
      </w:r>
    </w:p>
    <w:p w14:paraId="6272698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B.测量原理</w:t>
      </w:r>
    </w:p>
    <w:p w14:paraId="5A47A5C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1.氨气敏电极法</w:t>
      </w:r>
    </w:p>
    <w:p w14:paraId="09AFAA8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C.性能</w:t>
      </w:r>
    </w:p>
    <w:p w14:paraId="332E7BE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1.连续测量或间歇测量</w:t>
      </w:r>
    </w:p>
    <w:p w14:paraId="1953110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2.带自动清洗装置，试剂洗和空气清洗</w:t>
      </w:r>
    </w:p>
    <w:p w14:paraId="22BFF19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3.测量范围：0~100mg/L(0~ 10 、20 、200 、1000 mg/l)</w:t>
      </w:r>
    </w:p>
    <w:p w14:paraId="38A2DC8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4.分辨率：0.01 ppm</w:t>
      </w:r>
    </w:p>
    <w:p w14:paraId="5AF22DB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5.测量精度：2%</w:t>
      </w:r>
    </w:p>
    <w:p w14:paraId="17D15C3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6.输出信号：4~20mA ，RS485</w:t>
      </w:r>
    </w:p>
    <w:p w14:paraId="55CB786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7.测量模式：连续或间歇测量，间隔可设置</w:t>
      </w:r>
    </w:p>
    <w:p w14:paraId="79D7F49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8.组成：监测仪、过滤装置、蠕动泵、清洗系统，含温控箱</w:t>
      </w:r>
    </w:p>
    <w:p w14:paraId="6CD03760">
      <w:pPr>
        <w:pStyle w:val="3"/>
        <w:rPr>
          <w:rFonts w:ascii="宋体" w:hAnsi="宋体" w:eastAsia="宋体" w:cs="宋体"/>
          <w:sz w:val="24"/>
          <w:szCs w:val="22"/>
        </w:rPr>
      </w:pPr>
      <w:r>
        <w:rPr>
          <w:rFonts w:hint="eastAsia" w:ascii="宋体" w:hAnsi="宋体" w:eastAsia="宋体" w:cs="宋体"/>
          <w:sz w:val="24"/>
          <w:szCs w:val="22"/>
        </w:rPr>
        <w:t>5.4.16  硝酸盐氮分析仪（电极法）（若有）</w:t>
      </w:r>
    </w:p>
    <w:p w14:paraId="0AE93FF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A.概述</w:t>
      </w:r>
    </w:p>
    <w:p w14:paraId="31476B0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1.用来测量介质中的硝酸盐氮含量</w:t>
      </w:r>
    </w:p>
    <w:p w14:paraId="1BE0C66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19282A5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1.离子选择电极法</w:t>
      </w:r>
    </w:p>
    <w:p w14:paraId="34EE46E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3422848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1.仪表组成：传感器内含电极、连接电缆、变送器和安装支架</w:t>
      </w:r>
    </w:p>
    <w:p w14:paraId="2B41FD0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 性能</w:t>
      </w:r>
    </w:p>
    <w:p w14:paraId="1D94461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1.适用在水处理厂中测量硝化/反硝化反应过程中的硝酸盐氮含量</w:t>
      </w:r>
    </w:p>
    <w:p w14:paraId="5C52A13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E.传感器</w:t>
      </w:r>
    </w:p>
    <w:p w14:paraId="68FEF31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1.无需取样或试样预处理系统、直接进行硝酸盐氮测量</w:t>
      </w:r>
    </w:p>
    <w:p w14:paraId="17C1E50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2.测量范围（NO3-N）：0.1~100mg/l</w:t>
      </w:r>
    </w:p>
    <w:p w14:paraId="047CCFB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3.最大测量误差：±5%</w:t>
      </w:r>
    </w:p>
    <w:p w14:paraId="43391E2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4.重复性：显示值的±3%</w:t>
      </w:r>
    </w:p>
    <w:p w14:paraId="0145CDD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5.防护等级：IP68</w:t>
      </w:r>
    </w:p>
    <w:p w14:paraId="6DF6F35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F.变送器</w:t>
      </w:r>
    </w:p>
    <w:p w14:paraId="35E1637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 同 5.6.9 有关技术要求</w:t>
      </w:r>
    </w:p>
    <w:p w14:paraId="22B08C3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G.电缆</w:t>
      </w:r>
    </w:p>
    <w:p w14:paraId="69FEF8B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1.带有专用接头</w:t>
      </w:r>
    </w:p>
    <w:p w14:paraId="7599225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H.安装要求</w:t>
      </w:r>
    </w:p>
    <w:p w14:paraId="0EC6EF2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I.池边支架安装，杆装</w:t>
      </w:r>
    </w:p>
    <w:p w14:paraId="00D13763">
      <w:pPr>
        <w:pStyle w:val="3"/>
        <w:rPr>
          <w:rFonts w:ascii="宋体" w:hAnsi="宋体" w:eastAsia="宋体" w:cs="宋体"/>
          <w:sz w:val="24"/>
          <w:szCs w:val="22"/>
        </w:rPr>
      </w:pPr>
      <w:r>
        <w:rPr>
          <w:rFonts w:hint="eastAsia" w:ascii="宋体" w:hAnsi="宋体" w:eastAsia="宋体" w:cs="宋体"/>
          <w:sz w:val="24"/>
          <w:szCs w:val="22"/>
        </w:rPr>
        <w:t>5.4.17 硝酸盐氮分析仪（紫外吸收法）（若有）</w:t>
      </w:r>
    </w:p>
    <w:p w14:paraId="7546756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A.概述</w:t>
      </w:r>
    </w:p>
    <w:p w14:paraId="2B11EEB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1.用来测量介质中的硝酸盐氮含量</w:t>
      </w:r>
    </w:p>
    <w:p w14:paraId="69FFDE2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17FBAD0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1.紫外光度法 4 光束吸收测量原理，无需化学试剂。</w:t>
      </w:r>
    </w:p>
    <w:p w14:paraId="2D28E9D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159F94D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1.仪表组成：传感器、变送器、连接电缆、控制箱</w:t>
      </w:r>
    </w:p>
    <w:p w14:paraId="261E4E6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73B3A6A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1.适用在水处理厂中测量硝化/反硝化反应过程中的硝酸盐氮含量 </w:t>
      </w:r>
    </w:p>
    <w:p w14:paraId="4E0C521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E.传感器</w:t>
      </w:r>
    </w:p>
    <w:p w14:paraId="49B53F7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1.传感器信号传输过程中不易受到干扰、响应时间短；</w:t>
      </w:r>
    </w:p>
    <w:p w14:paraId="4950007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2.传感器监控功能，外壳材质为不锈钢；</w:t>
      </w:r>
    </w:p>
    <w:p w14:paraId="1D2F697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3.前置过滤：含过滤装置和蠕动泵取样装置</w:t>
      </w:r>
    </w:p>
    <w:p w14:paraId="3EEED57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4.自动清洗：含试剂清洗和气洗装置</w:t>
      </w:r>
    </w:p>
    <w:p w14:paraId="6B7F6BF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5.测量范围（NO3-N）：0.5~100mg/l</w:t>
      </w:r>
    </w:p>
    <w:p w14:paraId="125E2F7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6.流速要求：0.1~10m/S</w:t>
      </w:r>
    </w:p>
    <w:p w14:paraId="424E987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7.防护等级：IP68</w:t>
      </w:r>
    </w:p>
    <w:p w14:paraId="5C3B7FE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8.带自动清洗装置及其满足实际使用需要的管路</w:t>
      </w:r>
    </w:p>
    <w:p w14:paraId="71A6414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F.变送器</w:t>
      </w:r>
    </w:p>
    <w:p w14:paraId="1223B09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1.同 5.6.9 有关技术要求</w:t>
      </w:r>
    </w:p>
    <w:p w14:paraId="7E3967B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G.电缆</w:t>
      </w:r>
    </w:p>
    <w:p w14:paraId="7B4DBF4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1.带有专用接头</w:t>
      </w:r>
    </w:p>
    <w:p w14:paraId="70B036A6">
      <w:pPr>
        <w:pStyle w:val="3"/>
        <w:rPr>
          <w:rFonts w:ascii="宋体" w:hAnsi="宋体" w:eastAsia="宋体" w:cs="宋体"/>
          <w:sz w:val="24"/>
          <w:szCs w:val="22"/>
        </w:rPr>
      </w:pPr>
      <w:r>
        <w:rPr>
          <w:rFonts w:hint="eastAsia" w:ascii="宋体" w:hAnsi="宋体" w:eastAsia="宋体" w:cs="宋体"/>
          <w:sz w:val="24"/>
          <w:szCs w:val="22"/>
        </w:rPr>
        <w:t>5.4.18 在线 COD 仪表（进、出水测量）（若有）</w:t>
      </w:r>
    </w:p>
    <w:p w14:paraId="332D642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A.用途</w:t>
      </w:r>
    </w:p>
    <w:p w14:paraId="6F67407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1.用来测量、指示和传送污水处理厂进水和出水中的COD 值。</w:t>
      </w:r>
    </w:p>
    <w:p w14:paraId="6722214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2.必须符合国家环保局有关技术要求并具有国家环保局环保产品认证。</w:t>
      </w:r>
    </w:p>
    <w:p w14:paraId="236466C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5DC8D2E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1.采用酸性重铬酸钾法高温消解，用光度法测量样品吸光度，通过吸光度与水样 COD 值的线性关系进行分析测定。</w:t>
      </w:r>
    </w:p>
    <w:p w14:paraId="7C4F377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060EAFE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1.自动取样测量。仪表包括：取样管（带过滤器）、分析仪表、排放管等 </w:t>
      </w:r>
    </w:p>
    <w:p w14:paraId="7C7E560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15B73E1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1.适用于污水处理厂的进水和出水中 COD 的在线测量。</w:t>
      </w:r>
    </w:p>
    <w:p w14:paraId="31D5891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E.分析仪表</w:t>
      </w:r>
    </w:p>
    <w:p w14:paraId="67F8180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1.完全符合COD水质自动监测仪产品技术要求 的行业标准（ HJ/T 377-2007），</w:t>
      </w:r>
    </w:p>
    <w:p w14:paraId="33BFCAD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2.测量范围：出水：0~100mg/L；</w:t>
      </w:r>
    </w:p>
    <w:p w14:paraId="5FD5A0A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3.三档量程：10~1500mg/L，1000~3000mg/L ，1500~5000mg/L 满足不同水质的测量需求。量程自动切换到最适合当前测量水样水质的测量量程而无需任何手动操作。</w:t>
      </w:r>
    </w:p>
    <w:p w14:paraId="2181EF6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4.消解时间：自动、3 、5 、10 、20 、30 、40 、60 、80 、100  或 120 分钟可选；</w:t>
      </w:r>
    </w:p>
    <w:p w14:paraId="10C930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5.测量间隔时间：连续测量、1~24 小时间隔测量、触发启动测量；</w:t>
      </w:r>
    </w:p>
    <w:p w14:paraId="115A98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6.校准：自动校准（时间间隔可人工选择每隔 1 天到每隔 7 天自动校准一 次)；</w:t>
      </w:r>
    </w:p>
    <w:p w14:paraId="5B94948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7.仪器自动清洗，自动全量程校正；</w:t>
      </w:r>
    </w:p>
    <w:p w14:paraId="6E140B3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8.活塞泵取样技术、系统中不包括任何蠕动泵，减少故障；采用抗腐蚀管 路，延长仪器寿命；</w:t>
      </w:r>
    </w:p>
    <w:p w14:paraId="11FE171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9.光学定量系统，保证测量精度(≤10%示值）；</w:t>
      </w:r>
    </w:p>
    <w:p w14:paraId="5BC8A18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10.化学反应单元配备安全防护面板，减少操作人员威胁；</w:t>
      </w:r>
    </w:p>
    <w:p w14:paraId="3AE884A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11.输出：2 路模拟信号 0/4~20mA，最大负载 500 Ω;</w:t>
      </w:r>
    </w:p>
    <w:p w14:paraId="05364D7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12.通信接口：RS485；</w:t>
      </w:r>
    </w:p>
    <w:p w14:paraId="0F45C02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13.环境温度：+ 5℃~+ 40℃;</w:t>
      </w:r>
    </w:p>
    <w:p w14:paraId="01E9FC7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14.电源：AC220 V ± 10%/50-60 Hz；</w:t>
      </w:r>
    </w:p>
    <w:p w14:paraId="0887996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F.安装要求</w:t>
      </w:r>
    </w:p>
    <w:p w14:paraId="5514F06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1.仪表安装在室内。</w:t>
      </w:r>
    </w:p>
    <w:p w14:paraId="1F571359">
      <w:pPr>
        <w:pStyle w:val="3"/>
        <w:rPr>
          <w:rFonts w:ascii="宋体" w:hAnsi="宋体" w:eastAsia="宋体" w:cs="宋体"/>
          <w:sz w:val="24"/>
          <w:szCs w:val="22"/>
        </w:rPr>
      </w:pPr>
      <w:r>
        <w:rPr>
          <w:rFonts w:hint="eastAsia" w:ascii="宋体" w:hAnsi="宋体" w:eastAsia="宋体" w:cs="宋体"/>
          <w:sz w:val="24"/>
          <w:szCs w:val="22"/>
        </w:rPr>
        <w:t>5.4.19  在线总磷仪表（若有）</w:t>
      </w:r>
    </w:p>
    <w:p w14:paraId="6A8DFE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A.概述</w:t>
      </w:r>
    </w:p>
    <w:p w14:paraId="646A0F3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1.在线总磷仪表用来测量、显示和变送污水处理厂出水的总磷测量值。</w:t>
      </w:r>
    </w:p>
    <w:p w14:paraId="53D6246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2.必须符合国家环保局有关技术要求并具有国家环保局环保产品认证。</w:t>
      </w:r>
    </w:p>
    <w:p w14:paraId="593EFCC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6073253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1.将水样中的含磷化合物转化为磷酸根，采用钼蓝法，测量样品的吸光度值，计算出总磷含量。</w:t>
      </w:r>
    </w:p>
    <w:p w14:paraId="3C67BC8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72B818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1.在线总磷测量仪表具有电气和采样处理部分。电气部分包括电源、信号处理单元、微处理单元、和键盘操作单元。采样处理部分包括： 样品管、电磁阀、蠕动泵等。</w:t>
      </w:r>
    </w:p>
    <w:p w14:paraId="1B996C5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67DD23A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1.在线总磷仪表适合测量污水处理厂的出水中的总磷值。 </w:t>
      </w:r>
    </w:p>
    <w:p w14:paraId="29AEDC9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E.传感和变送器</w:t>
      </w:r>
    </w:p>
    <w:p w14:paraId="345296C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1.量程：0～20mg/L</w:t>
      </w:r>
    </w:p>
    <w:p w14:paraId="5F6E3F8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2.重复性：±3%FS</w:t>
      </w:r>
    </w:p>
    <w:p w14:paraId="238820F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3.测量间隔：1~6 小时可调</w:t>
      </w:r>
    </w:p>
    <w:p w14:paraId="3864A3E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4.采样间隔可设定，采用蠕动泵或隔膜泵自吸</w:t>
      </w:r>
    </w:p>
    <w:p w14:paraId="07F0B36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5.输出信号：4~20mA，继电器，错误代码；</w:t>
      </w:r>
    </w:p>
    <w:p w14:paraId="381F522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6.工作温度：+2~+40。C；</w:t>
      </w:r>
    </w:p>
    <w:p w14:paraId="249EA26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7.样品温度：+2~+40。C；</w:t>
      </w:r>
    </w:p>
    <w:p w14:paraId="74C9A1F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8.校正：手动/自动校正；</w:t>
      </w:r>
    </w:p>
    <w:p w14:paraId="765731F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9.取样方式：自吸；</w:t>
      </w:r>
    </w:p>
    <w:p w14:paraId="0A246AE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10.吸样高度：≤5 米；</w:t>
      </w:r>
    </w:p>
    <w:p w14:paraId="322522B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14.防护等级：IP54。</w:t>
      </w:r>
    </w:p>
    <w:p w14:paraId="55B18C5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F.安装要求</w:t>
      </w:r>
    </w:p>
    <w:p w14:paraId="1760BDF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1.在线总磷测量仪表应安装在保护柜中。保护柜安装在钢制基础上并带有加热和温度控制装置。承包单位应完成仪表的过程连接和电缆连接。</w:t>
      </w:r>
    </w:p>
    <w:p w14:paraId="75658672">
      <w:pPr>
        <w:pStyle w:val="3"/>
        <w:rPr>
          <w:rFonts w:ascii="宋体" w:hAnsi="宋体" w:eastAsia="宋体" w:cs="宋体"/>
          <w:sz w:val="24"/>
          <w:szCs w:val="22"/>
        </w:rPr>
      </w:pPr>
      <w:r>
        <w:rPr>
          <w:rFonts w:hint="eastAsia" w:ascii="宋体" w:hAnsi="宋体" w:eastAsia="宋体" w:cs="宋体"/>
          <w:sz w:val="24"/>
          <w:szCs w:val="22"/>
        </w:rPr>
        <w:t>5.4.20 在线总氮仪表（若有）</w:t>
      </w:r>
    </w:p>
    <w:p w14:paraId="52E3C71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A.概述</w:t>
      </w:r>
    </w:p>
    <w:p w14:paraId="0758903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1.在线总氮仪表用来测量、显示和变送污水处理厂出水的总氮测量值。</w:t>
      </w:r>
    </w:p>
    <w:p w14:paraId="6BA0B0C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2.必须符合国家环保局有关技术要求并具有国家环保局环保产品认证。</w:t>
      </w:r>
    </w:p>
    <w:p w14:paraId="0EAA50E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36EE97F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1.将水样中的含氮化合物转化为硝酸根，采用紫外吸光光度法，测量样品 的吸光度值，计算出总氮含量。</w:t>
      </w:r>
    </w:p>
    <w:p w14:paraId="7A47D33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307EB69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1.在线总磷测量仪表具有电气和采样处理部分。电气部分包括电源、信号处理单元、微处理单元、和键盘操作单元。采样处理部分包括： 样品管、电磁阀、蠕动泵等。</w:t>
      </w:r>
    </w:p>
    <w:p w14:paraId="082F1E4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12A8C9A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 在线总氮仪表适合测量污水处理厂的出水中的总氮值。 </w:t>
      </w:r>
    </w:p>
    <w:p w14:paraId="704CF94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 传感和变送器</w:t>
      </w:r>
    </w:p>
    <w:p w14:paraId="54045BC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1.量程：0～50mg/L</w:t>
      </w:r>
    </w:p>
    <w:p w14:paraId="4640ED3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2.重复性：±3%FS</w:t>
      </w:r>
    </w:p>
    <w:p w14:paraId="43D9BC6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3.测量间隔：1~6 小时可调</w:t>
      </w:r>
    </w:p>
    <w:p w14:paraId="131DE90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4.采样间隔可设定，采用蠕动泵或隔膜泵自吸</w:t>
      </w:r>
    </w:p>
    <w:p w14:paraId="7D81860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5.输出信号：4~20mA，继电器，错误代码；</w:t>
      </w:r>
    </w:p>
    <w:p w14:paraId="6D00E97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6.工作温度：+2~+40。C；</w:t>
      </w:r>
    </w:p>
    <w:p w14:paraId="5708F8A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7.样品温度：+2~+40。C；</w:t>
      </w:r>
    </w:p>
    <w:p w14:paraId="0E38261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8.校正：手动/自动校正；</w:t>
      </w:r>
    </w:p>
    <w:p w14:paraId="1B19164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9.取样方式：自吸；</w:t>
      </w:r>
    </w:p>
    <w:p w14:paraId="2C78227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10.吸样高度：≤5 米；</w:t>
      </w:r>
    </w:p>
    <w:p w14:paraId="17CF216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11.防护等级：IP54。</w:t>
      </w:r>
    </w:p>
    <w:p w14:paraId="0041FF2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F.安装要求</w:t>
      </w:r>
    </w:p>
    <w:p w14:paraId="7EE7647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1.在线总氮测量仪表应安装在保护柜中。保护柜安装在钢制基础上并带有加热和温度控制装置。承包单位应完成仪表的过程连接和电缆连接。</w:t>
      </w:r>
    </w:p>
    <w:p w14:paraId="0E064ADB">
      <w:pPr>
        <w:pStyle w:val="3"/>
        <w:rPr>
          <w:rFonts w:ascii="宋体" w:hAnsi="宋体" w:eastAsia="宋体" w:cs="宋体"/>
          <w:sz w:val="24"/>
          <w:szCs w:val="22"/>
        </w:rPr>
      </w:pPr>
      <w:r>
        <w:rPr>
          <w:rFonts w:hint="eastAsia" w:ascii="宋体" w:hAnsi="宋体" w:eastAsia="宋体" w:cs="宋体"/>
          <w:sz w:val="24"/>
          <w:szCs w:val="22"/>
        </w:rPr>
        <w:t>5.4.21自动采样器（配样与留样终端）（若有）</w:t>
      </w:r>
    </w:p>
    <w:p w14:paraId="22726DC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A.水质自动采样器(AB 桶)是领先的具有 A、B 均质混匀桶，机械式带压缩机制  冷的水样采集、冷藏仪器。设计有万向轮（带刹车）使仪器移动时平稳、方便。有多种工作模式（定时定量 1、定时定量 2、定流定量、定时比例、同步留样、超标留样、触发采样、定时采样 1、定时采样 2、定流采样和手动采样）可采混合样、平行样， 可根据具体情况选用合适的采样模式及瓶装方式、留样方式。</w:t>
      </w:r>
    </w:p>
    <w:p w14:paraId="1AEA4A4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1.分瓶存储：24×1000mL；</w:t>
      </w:r>
    </w:p>
    <w:p w14:paraId="2931521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2.最大垂直吸程：根据所选用的外置抽水泵决定；</w:t>
      </w:r>
    </w:p>
    <w:p w14:paraId="6427790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3.仪器工作方式：</w:t>
      </w:r>
    </w:p>
    <w:p w14:paraId="595AC34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a、定时定量 1：定时：24 个时间点，根据星期循环；</w:t>
      </w:r>
    </w:p>
    <w:p w14:paraId="0A0179E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b、定时定量 2：定时：1～9999 分钟； c、定流定量：定流：1～99999m3；</w:t>
      </w:r>
    </w:p>
    <w:p w14:paraId="75AEF60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d、定时比例：定时：1～9999 分钟，流量比例：100～2,999,999:1； e、同步留样：同步开关量触发、RS232/RS485 通信命令触发；</w:t>
      </w:r>
    </w:p>
    <w:p w14:paraId="5421333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 超标留样：间隔：1～9999 分钟，留样由超标开关量、4—20mA 电流 信号、RS232/RS485 通信命令触发；</w:t>
      </w:r>
    </w:p>
    <w:p w14:paraId="18B6F30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g、触发采样：间隔：1～9999 分钟，同步开关量触发采样、供样， 超标开 关量触发留样，亦可 RS232/RS485 通 信命令触发；</w:t>
      </w:r>
    </w:p>
    <w:p w14:paraId="3D969E9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h、定时采样 1：定时：1～9999 分钟，预采样200～5000mL，供样周期： 30～9999 分钟，同步开关量触 发供样，超标开关量触发 留样，亦可 RS232/RS485 通信命令触发；</w:t>
      </w:r>
    </w:p>
    <w:p w14:paraId="564F36D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i、定时采样 2：定时：1～9999 分钟，预采样200～5000mL，供样周期： 30～9999  分钟（主动供样）， 根据供样周期主动供样， 超标开关量触发留样，亦可 RS232/RS485 通信命令触发；</w:t>
      </w:r>
    </w:p>
    <w:p w14:paraId="37F8899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j 、 定流采样：定流：1～99999m3，预采样 200～5000mL，判断时间：1~ 99 分钟，同步开关量触发供  样，超标开关量触发留样， 亦可 RS232/RS485 通信命令触发；</w:t>
      </w:r>
    </w:p>
    <w:p w14:paraId="54C410E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k、流量跟踪： 流量信号：0～20mA，判断时间：1～99 分钟，同步开关量触发供样， 超标开关量触 发留样，亦可 RS232 通信命令 触发；</w:t>
      </w:r>
    </w:p>
    <w:p w14:paraId="00C8F84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4.留样量：1～1000mL；</w:t>
      </w:r>
    </w:p>
    <w:p w14:paraId="38E8D85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5.采样精度：≤±5% F·S；</w:t>
      </w:r>
    </w:p>
    <w:p w14:paraId="57C1403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6.流量测量范围：1～99999m3/h；</w:t>
      </w:r>
    </w:p>
    <w:p w14:paraId="2BC8D6B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7.流量输入信号：4～20mA；</w:t>
      </w:r>
    </w:p>
    <w:p w14:paraId="52E223C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8.流量监测速率：1s；</w:t>
      </w:r>
    </w:p>
    <w:p w14:paraId="4883D92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9.COD、氨氮分析仪输入信号：4～20mA；</w:t>
      </w:r>
    </w:p>
    <w:p w14:paraId="052E355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10.数字显示：320*240 图形液晶全汉字显示，菜单方式操作，简捷方便；</w:t>
      </w:r>
    </w:p>
    <w:p w14:paraId="58C0F65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11.计算机输出接口：标准 RS232/标准 RS485 +  标准 RS232；</w:t>
      </w:r>
    </w:p>
    <w:p w14:paraId="7DB82A9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12.水质样品的存储温度：4±2℃,温度偏差±0.5℃;</w:t>
      </w:r>
    </w:p>
    <w:p w14:paraId="1D47F1A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13.工作电源：220VAC ，50Hz；</w:t>
      </w:r>
    </w:p>
    <w:p w14:paraId="6C0D554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14.采样仪工作环境和温度：0～50℃;</w:t>
      </w:r>
    </w:p>
    <w:p w14:paraId="568D499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B.数据控制单元</w:t>
      </w:r>
    </w:p>
    <w:p w14:paraId="054C830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数据控制单元集成于分析仪器，实现控制整个水污染源在线监测系统内部仪器设备联动, 自动完成水污染源在线监测 仪器的数据采集、整理、输出及上传至监控中心平台,接受监控中心平台命令控制水污染源 在线监测仪器运行等功能的单元。</w:t>
      </w:r>
    </w:p>
    <w:p w14:paraId="634AF88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数据控制单元可协调统一运行水污染源在线监测系统,采集、储存、显示监测数 据 及运行日志, 向监控中心平台上传污染源监测数据。</w:t>
      </w:r>
    </w:p>
    <w:p w14:paraId="4E2D6F9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1.数据控制单元可控制水质自动采样单元采样、送样及留样等操作。</w:t>
      </w:r>
    </w:p>
    <w:p w14:paraId="401DF8A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2.数据控制单元触发水污染源在线监测仪器进行测量、标液核查和校准等操作。</w:t>
      </w:r>
    </w:p>
    <w:p w14:paraId="58D9C70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3.数据控制单元读取各个水污染源在线监测仪器的测量数据,并实现实时数据、小时均值和日均值等项目的查询与显示,并通过数据采集传输仪上传至监控中心平台。</w:t>
      </w:r>
    </w:p>
    <w:p w14:paraId="35B4807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4.数据控制单元记录并上传的污染源监测数据,上报数据应带有时间和数 据状态标识。</w:t>
      </w:r>
    </w:p>
    <w:p w14:paraId="68B19F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5.能实时采集水污染源在线监测仪器及辅助设备的输出数据。</w:t>
      </w:r>
    </w:p>
    <w:p w14:paraId="014514F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6.能对采集的数据进行处理、存储和显示，适合模拟信号、数字信号等多种信号输入方式，兼容多种水在线监测仪器的通信协议。</w:t>
      </w:r>
    </w:p>
    <w:p w14:paraId="524213C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7.具有数据处理参数远程设置功能，例如：可以通过上位机设定或修改采 样数据的量程，监测参数报警值的上、下限等。</w:t>
      </w:r>
    </w:p>
    <w:p w14:paraId="4BFDC782">
      <w:pPr>
        <w:spacing w:line="360" w:lineRule="auto"/>
        <w:ind w:firstLine="480" w:firstLineChars="200"/>
        <w:rPr>
          <w:rFonts w:ascii="宋体" w:hAnsi="宋体" w:eastAsia="宋体" w:cs="宋体"/>
          <w:sz w:val="24"/>
          <w:szCs w:val="32"/>
        </w:rPr>
      </w:pPr>
    </w:p>
    <w:p w14:paraId="61DBA21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 具有数据打包和远程通信功能。</w:t>
      </w:r>
    </w:p>
    <w:p w14:paraId="41E61A5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9.能运行相应程序，控制水在线监测仪器及辅助设备按预定要求进行工作。</w:t>
      </w:r>
    </w:p>
    <w:p w14:paraId="338DF24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10.可自动对仪器进行校准。</w:t>
      </w:r>
    </w:p>
    <w:p w14:paraId="6794196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11.能自动对监测值进行标识，通过标识可以剔除无效数据，确保只有真实 的数据参与统计。数据标识可根据具体要求进行定制。</w:t>
      </w:r>
    </w:p>
    <w:p w14:paraId="379F8A8A">
      <w:pPr>
        <w:pStyle w:val="3"/>
        <w:rPr>
          <w:rFonts w:ascii="宋体" w:hAnsi="宋体" w:eastAsia="宋体" w:cs="宋体"/>
          <w:sz w:val="24"/>
          <w:szCs w:val="22"/>
        </w:rPr>
      </w:pPr>
      <w:r>
        <w:rPr>
          <w:rFonts w:hint="eastAsia" w:ascii="宋体" w:hAnsi="宋体" w:eastAsia="宋体" w:cs="宋体"/>
          <w:sz w:val="24"/>
          <w:szCs w:val="22"/>
        </w:rPr>
        <w:t xml:space="preserve">5.5曝气控制系统 </w:t>
      </w:r>
    </w:p>
    <w:p w14:paraId="7E92AF37">
      <w:pPr>
        <w:pStyle w:val="3"/>
        <w:rPr>
          <w:rFonts w:ascii="宋体" w:hAnsi="宋体" w:eastAsia="宋体" w:cs="宋体"/>
          <w:szCs w:val="32"/>
        </w:rPr>
      </w:pPr>
      <w:r>
        <w:fldChar w:fldCharType="begin"/>
      </w:r>
      <w:r>
        <w:instrText xml:space="preserve"> HYPERLINK "file:///C:\\Users\\TD5466\\Desktop\\昆15_0804\\5.7.24.1" </w:instrText>
      </w:r>
      <w:r>
        <w:fldChar w:fldCharType="separate"/>
      </w:r>
      <w:r>
        <w:rPr>
          <w:rFonts w:hint="eastAsia" w:ascii="宋体" w:hAnsi="宋体" w:eastAsia="宋体" w:cs="宋体"/>
          <w:sz w:val="24"/>
          <w:szCs w:val="22"/>
        </w:rPr>
        <w:t>5.5.1</w:t>
      </w:r>
      <w:r>
        <w:rPr>
          <w:rFonts w:hint="eastAsia" w:ascii="宋体" w:hAnsi="宋体" w:eastAsia="宋体" w:cs="宋体"/>
          <w:sz w:val="24"/>
          <w:szCs w:val="22"/>
        </w:rPr>
        <w:fldChar w:fldCharType="end"/>
      </w:r>
      <w:r>
        <w:rPr>
          <w:rFonts w:hint="eastAsia" w:ascii="宋体" w:hAnsi="宋体" w:eastAsia="宋体" w:cs="宋体"/>
          <w:sz w:val="24"/>
          <w:szCs w:val="22"/>
        </w:rPr>
        <w:t xml:space="preserve"> 描述</w:t>
      </w:r>
    </w:p>
    <w:p w14:paraId="5C58BE1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曝气控制系统是一个集成软件和硬件的成套工艺设备，其主旨功能是针对污水厂的污染负荷和工艺运行状况的变化，采集相应的仪表信号实时跟踪和评估各个曝气控制区的溶解氧和曝气量需求，自动控制鼓风机和空气调节阀，按需调节和分配曝气量，稳定控制好氧区的溶解氧。</w:t>
      </w:r>
    </w:p>
    <w:p w14:paraId="5380CA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要求曝气控制系统可根据污水厂的工况特点，通过低溶解氧控制、氨氮优化控制、曝气器评估等多种控制策略的自动切换并迅速执行，有效应对常见的周期性的负荷变化，突发性的负荷冲击，以及生物池的负荷差异，曝气效能差异、管路压力差异等多种实际工况，保障生物池处理工艺高效稳定运行，提升污水处理厂精细化的运行管理水平。</w:t>
      </w:r>
    </w:p>
    <w:p w14:paraId="0EEE03A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C.本项目生化处理采用 SBR 工艺，鉴于SBR的工艺特点，曝气控制系统供应商应充分了解 SBR 的工艺设计及工艺需求，对空气调节阀及管路布置出具合理、深化的设计方案，满足SBR主曝气区连续曝气控制的气量控制和序批池间歇曝气的时序控制需求，保障 SBR 生物池曝气量的合理分配及工艺的稳定运行，最终方案需征得工艺提供方同意。</w:t>
      </w:r>
    </w:p>
    <w:p w14:paraId="5C0F25D0">
      <w:pPr>
        <w:pStyle w:val="3"/>
        <w:rPr>
          <w:rFonts w:ascii="宋体" w:hAnsi="宋体" w:eastAsia="宋体" w:cs="宋体"/>
          <w:bCs/>
          <w:szCs w:val="32"/>
        </w:rPr>
      </w:pPr>
      <w:r>
        <w:fldChar w:fldCharType="begin"/>
      </w:r>
      <w:r>
        <w:instrText xml:space="preserve"> HYPERLINK "file:///C:\\Users\\TD5466\\Desktop\\昆15_0804\\5.7.24.2" </w:instrText>
      </w:r>
      <w:r>
        <w:fldChar w:fldCharType="separate"/>
      </w:r>
      <w:r>
        <w:rPr>
          <w:rFonts w:hint="eastAsia" w:ascii="宋体" w:hAnsi="宋体" w:eastAsia="宋体" w:cs="宋体"/>
          <w:sz w:val="24"/>
          <w:szCs w:val="22"/>
        </w:rPr>
        <w:t>5.5.2</w:t>
      </w:r>
      <w:r>
        <w:rPr>
          <w:rFonts w:hint="eastAsia" w:ascii="宋体" w:hAnsi="宋体" w:eastAsia="宋体" w:cs="宋体"/>
          <w:sz w:val="24"/>
          <w:szCs w:val="22"/>
        </w:rPr>
        <w:fldChar w:fldCharType="end"/>
      </w:r>
      <w:r>
        <w:rPr>
          <w:rFonts w:hint="eastAsia" w:ascii="宋体" w:hAnsi="宋体" w:eastAsia="宋体" w:cs="宋体"/>
          <w:sz w:val="24"/>
          <w:szCs w:val="22"/>
        </w:rPr>
        <w:t xml:space="preserve"> 系统组成</w:t>
      </w:r>
    </w:p>
    <w:tbl>
      <w:tblPr>
        <w:tblStyle w:val="8"/>
        <w:tblW w:w="8651" w:type="dxa"/>
        <w:tblInd w:w="100" w:type="dxa"/>
        <w:tblLayout w:type="fixed"/>
        <w:tblCellMar>
          <w:top w:w="0" w:type="dxa"/>
          <w:left w:w="108" w:type="dxa"/>
          <w:bottom w:w="0" w:type="dxa"/>
          <w:right w:w="108" w:type="dxa"/>
        </w:tblCellMar>
      </w:tblPr>
      <w:tblGrid>
        <w:gridCol w:w="723"/>
        <w:gridCol w:w="1733"/>
        <w:gridCol w:w="3285"/>
        <w:gridCol w:w="825"/>
        <w:gridCol w:w="720"/>
        <w:gridCol w:w="1365"/>
      </w:tblGrid>
      <w:tr w14:paraId="4C630B8C">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77F9">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C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名称</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53E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规格与描述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97D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148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数量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4B36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14:paraId="17B3B656">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DC3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FC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曝气控制系统</w:t>
            </w:r>
          </w:p>
        </w:tc>
        <w:tc>
          <w:tcPr>
            <w:tcW w:w="32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12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集成软件和硬件的成套工艺设备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ED37">
            <w:pPr>
              <w:jc w:val="center"/>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10E6">
            <w:pPr>
              <w:jc w:val="center"/>
              <w:rPr>
                <w:rFonts w:ascii="Calibri" w:hAnsi="Calibri" w:eastAsia="宋体" w:cs="Calibri"/>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310E">
            <w:pPr>
              <w:jc w:val="center"/>
              <w:rPr>
                <w:rFonts w:ascii="Calibri" w:hAnsi="Calibri" w:eastAsia="宋体" w:cs="Calibri"/>
                <w:color w:val="000000"/>
                <w:sz w:val="18"/>
                <w:szCs w:val="18"/>
              </w:rPr>
            </w:pPr>
          </w:p>
        </w:tc>
      </w:tr>
      <w:tr w14:paraId="279298B1">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95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44F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电动调节阀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09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含执行机构，适配</w:t>
            </w:r>
            <w:r>
              <w:rPr>
                <w:rFonts w:ascii="Arial" w:hAnsi="Arial" w:eastAsia="宋体" w:cs="Arial"/>
                <w:color w:val="000000"/>
                <w:kern w:val="0"/>
                <w:sz w:val="18"/>
                <w:szCs w:val="18"/>
                <w:lang w:bidi="ar"/>
              </w:rPr>
              <w:t>DN300</w:t>
            </w:r>
            <w:r>
              <w:rPr>
                <w:rFonts w:hint="eastAsia" w:ascii="宋体" w:hAnsi="宋体" w:eastAsia="宋体" w:cs="宋体"/>
                <w:color w:val="000000"/>
                <w:kern w:val="0"/>
                <w:sz w:val="18"/>
                <w:szCs w:val="18"/>
                <w:lang w:bidi="ar"/>
              </w:rPr>
              <w:t>管径，具体阀芯径距应经阀门厂家核算后确定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0AA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B3B64">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42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安装在生化池空气管道</w:t>
            </w:r>
          </w:p>
        </w:tc>
      </w:tr>
      <w:tr w14:paraId="253B4D9D">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8A5A">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86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电动调节阀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794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含执行机构，含适配</w:t>
            </w:r>
            <w:r>
              <w:rPr>
                <w:rFonts w:ascii="Arial" w:hAnsi="Arial" w:eastAsia="宋体" w:cs="Arial"/>
                <w:color w:val="000000"/>
                <w:kern w:val="0"/>
                <w:sz w:val="18"/>
                <w:szCs w:val="18"/>
                <w:lang w:bidi="ar"/>
              </w:rPr>
              <w:t xml:space="preserve">DN350 </w:t>
            </w:r>
            <w:r>
              <w:rPr>
                <w:rFonts w:hint="eastAsia" w:ascii="宋体" w:hAnsi="宋体" w:eastAsia="宋体" w:cs="宋体"/>
                <w:color w:val="000000"/>
                <w:kern w:val="0"/>
                <w:sz w:val="18"/>
                <w:szCs w:val="18"/>
                <w:lang w:bidi="ar"/>
              </w:rPr>
              <w:t>管径，具体阀芯径距应经阀门厂家核算后确定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AE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4B45">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7F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安装在生化池空气管道</w:t>
            </w:r>
          </w:p>
        </w:tc>
      </w:tr>
      <w:tr w14:paraId="06ABB6C4">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42B8">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80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电动调节阀</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AD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含执行机构，适配</w:t>
            </w:r>
            <w:r>
              <w:rPr>
                <w:rFonts w:ascii="Arial" w:hAnsi="Arial" w:eastAsia="宋体" w:cs="Arial"/>
                <w:color w:val="000000"/>
                <w:kern w:val="0"/>
                <w:sz w:val="18"/>
                <w:szCs w:val="18"/>
                <w:lang w:bidi="ar"/>
              </w:rPr>
              <w:t xml:space="preserve"> DN600 </w:t>
            </w:r>
            <w:r>
              <w:rPr>
                <w:rFonts w:hint="eastAsia" w:ascii="宋体" w:hAnsi="宋体" w:eastAsia="宋体" w:cs="宋体"/>
                <w:color w:val="000000"/>
                <w:kern w:val="0"/>
                <w:sz w:val="18"/>
                <w:szCs w:val="18"/>
                <w:lang w:bidi="ar"/>
              </w:rPr>
              <w:t>管径，</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具体阀芯径距应经阀门厂家核算后确定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0E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437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37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安装在生化池空气管道</w:t>
            </w:r>
          </w:p>
        </w:tc>
      </w:tr>
      <w:tr w14:paraId="6CFFF521">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3674">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8AAE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热式气体流量计</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1513">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DN300</w:t>
            </w:r>
            <w:r>
              <w:rPr>
                <w:rFonts w:hint="eastAsia" w:ascii="宋体" w:hAnsi="宋体" w:eastAsia="宋体" w:cs="宋体"/>
                <w:color w:val="000000"/>
                <w:kern w:val="0"/>
                <w:sz w:val="18"/>
                <w:szCs w:val="18"/>
                <w:lang w:bidi="ar"/>
              </w:rPr>
              <w:t>，带分体显示单元，安装附件及成套电缆，恒功率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F3E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D62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ED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与空气调节阀配套使用</w:t>
            </w:r>
          </w:p>
        </w:tc>
      </w:tr>
      <w:tr w14:paraId="34E03504">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E0C2">
            <w:pPr>
              <w:jc w:val="center"/>
              <w:rPr>
                <w:rFonts w:ascii="Calibri" w:hAnsi="Calibri" w:eastAsia="宋体" w:cs="Calibri"/>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505C">
            <w:pPr>
              <w:jc w:val="center"/>
              <w:rPr>
                <w:rFonts w:ascii="Calibri" w:hAnsi="Calibri" w:eastAsia="宋体" w:cs="Calibri"/>
                <w:color w:val="000000"/>
                <w:sz w:val="18"/>
                <w:szCs w:val="18"/>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CA1E">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DN350</w:t>
            </w:r>
            <w:r>
              <w:rPr>
                <w:rFonts w:hint="eastAsia" w:ascii="宋体" w:hAnsi="宋体" w:eastAsia="宋体" w:cs="宋体"/>
                <w:color w:val="000000"/>
                <w:kern w:val="0"/>
                <w:sz w:val="18"/>
                <w:szCs w:val="18"/>
                <w:lang w:bidi="ar"/>
              </w:rPr>
              <w:t>，带分体显示单元，安装</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附件及成套电缆，恒功率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9B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BEC2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A1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与空气调节阀配套使用</w:t>
            </w:r>
          </w:p>
        </w:tc>
      </w:tr>
      <w:tr w14:paraId="3C3D9001">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B45F">
            <w:pPr>
              <w:jc w:val="center"/>
              <w:rPr>
                <w:rFonts w:ascii="Calibri" w:hAnsi="Calibri" w:eastAsia="宋体" w:cs="Calibri"/>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69CC">
            <w:pPr>
              <w:jc w:val="center"/>
              <w:rPr>
                <w:rFonts w:ascii="Calibri" w:hAnsi="Calibri" w:eastAsia="宋体" w:cs="Calibri"/>
                <w:color w:val="000000"/>
                <w:sz w:val="18"/>
                <w:szCs w:val="18"/>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5CF3">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DN600</w:t>
            </w:r>
            <w:r>
              <w:rPr>
                <w:rFonts w:hint="eastAsia" w:ascii="宋体" w:hAnsi="宋体" w:eastAsia="宋体" w:cs="宋体"/>
                <w:color w:val="000000"/>
                <w:kern w:val="0"/>
                <w:sz w:val="18"/>
                <w:szCs w:val="18"/>
                <w:lang w:bidi="ar"/>
              </w:rPr>
              <w:t>，带分体显示单元，安装</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附件及成套电缆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A5B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B28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27B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与空气调节阀配套使用</w:t>
            </w:r>
          </w:p>
        </w:tc>
      </w:tr>
      <w:tr w14:paraId="558DAD49">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38E7">
            <w:pPr>
              <w:jc w:val="center"/>
              <w:rPr>
                <w:rFonts w:ascii="Calibri" w:hAnsi="Calibri" w:eastAsia="宋体" w:cs="Calibri"/>
                <w:color w:val="000000"/>
                <w:sz w:val="18"/>
                <w:szCs w:val="18"/>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B4C9">
            <w:pPr>
              <w:jc w:val="center"/>
              <w:rPr>
                <w:rFonts w:ascii="Calibri" w:hAnsi="Calibri" w:eastAsia="宋体" w:cs="Calibri"/>
                <w:color w:val="000000"/>
                <w:sz w:val="18"/>
                <w:szCs w:val="18"/>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45B4">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DN1200</w:t>
            </w:r>
            <w:r>
              <w:rPr>
                <w:rFonts w:hint="eastAsia" w:ascii="宋体" w:hAnsi="宋体" w:eastAsia="宋体" w:cs="宋体"/>
                <w:color w:val="000000"/>
                <w:kern w:val="0"/>
                <w:sz w:val="18"/>
                <w:szCs w:val="18"/>
                <w:lang w:bidi="ar"/>
              </w:rPr>
              <w:t>，带分体显示单元，安装</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附件及成套电缆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FD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1165">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1D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鼓风机出风管</w:t>
            </w:r>
          </w:p>
        </w:tc>
      </w:tr>
      <w:tr w14:paraId="3C0C3FE5">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DBA96">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EA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仪表保护箱</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F6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6B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7D58">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34</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85EA">
            <w:pPr>
              <w:jc w:val="center"/>
              <w:rPr>
                <w:rFonts w:ascii="Calibri" w:hAnsi="Calibri" w:eastAsia="宋体" w:cs="Calibri"/>
                <w:color w:val="000000"/>
                <w:sz w:val="18"/>
                <w:szCs w:val="18"/>
              </w:rPr>
            </w:pPr>
          </w:p>
        </w:tc>
      </w:tr>
      <w:tr w14:paraId="10378722">
        <w:tblPrEx>
          <w:tblCellMar>
            <w:top w:w="0" w:type="dxa"/>
            <w:left w:w="108" w:type="dxa"/>
            <w:bottom w:w="0" w:type="dxa"/>
            <w:right w:w="108" w:type="dxa"/>
          </w:tblCellMar>
        </w:tblPrEx>
        <w:trPr>
          <w:trHeight w:val="50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BFE85">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155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控制柜</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D9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精确曝气系统控制柜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E7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2D5D8">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B8C6">
            <w:pPr>
              <w:jc w:val="center"/>
              <w:rPr>
                <w:rFonts w:ascii="宋体" w:hAnsi="宋体" w:eastAsia="宋体" w:cs="宋体"/>
                <w:color w:val="000000"/>
                <w:sz w:val="18"/>
                <w:szCs w:val="18"/>
              </w:rPr>
            </w:pPr>
          </w:p>
        </w:tc>
      </w:tr>
    </w:tbl>
    <w:p w14:paraId="3D47D8ED">
      <w:pPr>
        <w:pStyle w:val="5"/>
        <w:spacing w:line="354" w:lineRule="auto"/>
        <w:rPr>
          <w:rFonts w:eastAsia="宋体"/>
        </w:rPr>
      </w:pPr>
    </w:p>
    <w:p w14:paraId="0859D112">
      <w:pPr>
        <w:pStyle w:val="3"/>
        <w:rPr>
          <w:rFonts w:ascii="宋体" w:hAnsi="宋体" w:eastAsia="宋体" w:cs="宋体"/>
          <w:szCs w:val="32"/>
        </w:rPr>
      </w:pPr>
      <w:r>
        <w:fldChar w:fldCharType="begin"/>
      </w:r>
      <w:r>
        <w:instrText xml:space="preserve"> HYPERLINK "file:///C:\\Users\\TD5466\\Desktop\\昆15_0804\\5.7.24.3" </w:instrText>
      </w:r>
      <w:r>
        <w:fldChar w:fldCharType="separate"/>
      </w:r>
      <w:r>
        <w:rPr>
          <w:rFonts w:hint="eastAsia" w:ascii="宋体" w:hAnsi="宋体" w:eastAsia="宋体" w:cs="宋体"/>
          <w:sz w:val="24"/>
          <w:szCs w:val="22"/>
        </w:rPr>
        <w:t>5.5.3</w:t>
      </w:r>
      <w:r>
        <w:rPr>
          <w:rFonts w:hint="eastAsia" w:ascii="宋体" w:hAnsi="宋体" w:eastAsia="宋体" w:cs="宋体"/>
          <w:sz w:val="24"/>
          <w:szCs w:val="22"/>
        </w:rPr>
        <w:fldChar w:fldCharType="end"/>
      </w:r>
      <w:r>
        <w:rPr>
          <w:rFonts w:hint="eastAsia" w:ascii="宋体" w:hAnsi="宋体" w:eastAsia="宋体" w:cs="宋体"/>
          <w:sz w:val="24"/>
          <w:szCs w:val="22"/>
        </w:rPr>
        <w:t>曝气系统控制柜</w:t>
      </w:r>
    </w:p>
    <w:p w14:paraId="78B6524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曝气控制系统须配套带 PLC 的控制柜，为了保障曝气控制系统的安全稳定性，控制系统的计算，控制执行及相关安全策略均应现场控制柜中完成。</w:t>
      </w:r>
    </w:p>
    <w:p w14:paraId="057ED36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控制柜应能实时接受空气调节阀的开度信号，气体流量计的流量信号，并能根 据开度和流量信号直接控制空气调节阀。</w:t>
      </w:r>
    </w:p>
    <w:p w14:paraId="6D818C1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通过显示屏可进行操作（包括但不限于定制菜单，错误信息屏幕提示，诊断等）；</w:t>
      </w:r>
    </w:p>
    <w:p w14:paraId="1DE8D8A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与相应现场控制站通讯方式：工业以太网。 </w:t>
      </w:r>
    </w:p>
    <w:p w14:paraId="08CC476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曝气控制系统要求</w:t>
      </w:r>
    </w:p>
    <w:p w14:paraId="1FDCE263">
      <w:pPr>
        <w:spacing w:line="360" w:lineRule="auto"/>
        <w:ind w:firstLine="480" w:firstLineChars="200"/>
        <w:rPr>
          <w:sz w:val="24"/>
        </w:rPr>
      </w:pPr>
      <w:r>
        <w:rPr>
          <w:rFonts w:hint="eastAsia" w:ascii="宋体" w:hAnsi="宋体" w:eastAsia="宋体" w:cs="宋体"/>
          <w:sz w:val="24"/>
          <w:szCs w:val="32"/>
        </w:rPr>
        <w:t>系统以溶解氧作为控制目标信号，计算不同曝气控制区所需曝气量，并根据实际曝气量快速计算空气调节阀所需动作阀位并执行。</w:t>
      </w:r>
    </w:p>
    <w:p w14:paraId="77E5B5DF">
      <w:pPr>
        <w:pStyle w:val="3"/>
        <w:rPr>
          <w:rFonts w:ascii="宋体" w:hAnsi="宋体" w:eastAsia="宋体" w:cs="宋体"/>
          <w:szCs w:val="32"/>
        </w:rPr>
      </w:pPr>
      <w:r>
        <w:fldChar w:fldCharType="begin"/>
      </w:r>
      <w:r>
        <w:instrText xml:space="preserve"> HYPERLINK "file:///C:\\Users\\TD5466\\Desktop\\昆15_0804\\5.7.24.4" </w:instrText>
      </w:r>
      <w:r>
        <w:fldChar w:fldCharType="separate"/>
      </w:r>
      <w:r>
        <w:rPr>
          <w:rFonts w:hint="eastAsia" w:ascii="宋体" w:hAnsi="宋体" w:eastAsia="宋体" w:cs="宋体"/>
          <w:sz w:val="24"/>
          <w:szCs w:val="22"/>
        </w:rPr>
        <w:t>5.5.4</w:t>
      </w:r>
      <w:r>
        <w:rPr>
          <w:rFonts w:hint="eastAsia" w:ascii="宋体" w:hAnsi="宋体" w:eastAsia="宋体" w:cs="宋体"/>
          <w:sz w:val="24"/>
          <w:szCs w:val="22"/>
        </w:rPr>
        <w:fldChar w:fldCharType="end"/>
      </w:r>
      <w:r>
        <w:rPr>
          <w:rFonts w:hint="eastAsia" w:ascii="宋体" w:hAnsi="宋体" w:eastAsia="宋体" w:cs="宋体"/>
          <w:sz w:val="24"/>
          <w:szCs w:val="22"/>
        </w:rPr>
        <w:t>投标人投标时应至少提供以下文件</w:t>
      </w:r>
    </w:p>
    <w:p w14:paraId="427F17E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A.现场布置图，布置图中明确标识系统内设备组件的准确安装位置</w:t>
      </w:r>
    </w:p>
    <w:p w14:paraId="20C50EB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B.空气调节阀和气体流量计的设备外型结构图和安装尺寸图</w:t>
      </w:r>
    </w:p>
    <w:p w14:paraId="42D1C6B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C.产品彩色样本</w:t>
      </w:r>
    </w:p>
    <w:p w14:paraId="04C029B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D.制造商资格证明与业绩证明文件</w:t>
      </w:r>
    </w:p>
    <w:p w14:paraId="5B0D8B9A">
      <w:pPr>
        <w:pStyle w:val="3"/>
        <w:rPr>
          <w:rFonts w:ascii="宋体" w:hAnsi="宋体" w:eastAsia="宋体" w:cs="宋体"/>
          <w:sz w:val="24"/>
          <w:szCs w:val="22"/>
        </w:rPr>
      </w:pPr>
      <w:r>
        <w:fldChar w:fldCharType="begin"/>
      </w:r>
      <w:r>
        <w:instrText xml:space="preserve"> HYPERLINK "file:///C:\\Users\\TD5466\\Desktop\\昆15_0804\\5.7.24.6" </w:instrText>
      </w:r>
      <w:r>
        <w:fldChar w:fldCharType="separate"/>
      </w:r>
      <w:r>
        <w:rPr>
          <w:rFonts w:hint="eastAsia" w:ascii="宋体" w:hAnsi="宋体" w:eastAsia="宋体" w:cs="宋体"/>
          <w:sz w:val="24"/>
          <w:szCs w:val="22"/>
        </w:rPr>
        <w:t>5</w:t>
      </w:r>
      <w:r>
        <w:rPr>
          <w:rFonts w:hint="eastAsia" w:ascii="宋体" w:hAnsi="宋体" w:eastAsia="宋体" w:cs="宋体"/>
          <w:sz w:val="24"/>
          <w:szCs w:val="22"/>
        </w:rPr>
        <w:fldChar w:fldCharType="end"/>
      </w:r>
      <w:r>
        <w:rPr>
          <w:rFonts w:hint="eastAsia" w:ascii="宋体" w:hAnsi="宋体" w:eastAsia="宋体" w:cs="宋体"/>
          <w:sz w:val="24"/>
          <w:szCs w:val="22"/>
        </w:rPr>
        <w:t>.5.5热式空气流量计</w:t>
      </w:r>
    </w:p>
    <w:p w14:paraId="31B1744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-测量原理：热扩散技术（热导式），恒功率。</w:t>
      </w:r>
    </w:p>
    <w:p w14:paraId="7FC69FC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-结构形式：传感器变送器一体式或分体式（带分体显示单元），插入式安装；</w:t>
      </w:r>
    </w:p>
    <w:p w14:paraId="01EBB8C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-传感器为全不锈钢 1.4571，传感器中探针与探杆须由一根棒材一体加工制成、无焊接，耐腐蚀；</w:t>
      </w:r>
    </w:p>
    <w:p w14:paraId="4B1BB7E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-测量精度：≤2%；重复性：≤0.5%；</w:t>
      </w:r>
    </w:p>
    <w:p w14:paraId="0169FE9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-供电电源：24VDC；防护等级：IP68；</w:t>
      </w:r>
    </w:p>
    <w:p w14:paraId="5A57EAA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-显示形式：8digit；</w:t>
      </w:r>
    </w:p>
    <w:p w14:paraId="79D0CFD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-绝缘信号输出，4-20mA，有源，负荷小于400Ohm</w:t>
      </w:r>
    </w:p>
    <w:p w14:paraId="5AC18C7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-安装附件：配套不锈钢焊接短管和手动球阀。</w:t>
      </w:r>
    </w:p>
    <w:p w14:paraId="4E36C810">
      <w:pPr>
        <w:spacing w:line="360" w:lineRule="auto"/>
        <w:ind w:firstLine="480" w:firstLineChars="200"/>
        <w:rPr>
          <w:sz w:val="24"/>
        </w:rPr>
      </w:pPr>
      <w:r>
        <w:rPr>
          <w:rFonts w:hint="eastAsia" w:ascii="宋体" w:hAnsi="宋体" w:eastAsia="宋体" w:cs="宋体"/>
          <w:sz w:val="24"/>
          <w:szCs w:val="32"/>
        </w:rPr>
        <w:t>-由于现场直管段安装条件的限制，要求气体流量计和空气调节阀需根据现场条件 进行综合考虑和整体设计，电动空气调节阀与热式气体流量计为同一制造商配套提供，流量计可装于阀前不超过3D，并满足该安装条件下的测量精度。</w:t>
      </w:r>
    </w:p>
    <w:p w14:paraId="26A5D9F1">
      <w:pPr>
        <w:pStyle w:val="3"/>
        <w:rPr>
          <w:rFonts w:ascii="宋体" w:hAnsi="宋体" w:eastAsia="宋体" w:cs="宋体"/>
          <w:sz w:val="24"/>
          <w:szCs w:val="22"/>
        </w:rPr>
      </w:pPr>
      <w:r>
        <w:rPr>
          <w:rFonts w:hint="eastAsia" w:ascii="宋体" w:hAnsi="宋体" w:eastAsia="宋体" w:cs="宋体"/>
          <w:sz w:val="24"/>
          <w:szCs w:val="22"/>
        </w:rPr>
        <w:t>5.5.</w:t>
      </w:r>
      <w:r>
        <w:fldChar w:fldCharType="begin"/>
      </w:r>
      <w:r>
        <w:instrText xml:space="preserve"> HYPERLINK "file:///C:\\Users\\TD5466\\Desktop\\昆15_0804\\5.7.24.7" </w:instrText>
      </w:r>
      <w:r>
        <w:fldChar w:fldCharType="separate"/>
      </w:r>
      <w:r>
        <w:rPr>
          <w:rFonts w:hint="eastAsia" w:ascii="宋体" w:hAnsi="宋体" w:eastAsia="宋体" w:cs="宋体"/>
          <w:sz w:val="24"/>
          <w:szCs w:val="22"/>
        </w:rPr>
        <w:t>6</w:t>
      </w:r>
      <w:r>
        <w:rPr>
          <w:rFonts w:hint="eastAsia" w:ascii="宋体" w:hAnsi="宋体" w:eastAsia="宋体" w:cs="宋体"/>
          <w:sz w:val="24"/>
          <w:szCs w:val="22"/>
        </w:rPr>
        <w:fldChar w:fldCharType="end"/>
      </w:r>
      <w:r>
        <w:rPr>
          <w:rFonts w:hint="eastAsia" w:ascii="宋体" w:hAnsi="宋体" w:eastAsia="宋体" w:cs="宋体"/>
          <w:sz w:val="24"/>
          <w:szCs w:val="22"/>
        </w:rPr>
        <w:t xml:space="preserve"> 电动调节阀</w:t>
      </w:r>
    </w:p>
    <w:p w14:paraId="43A6BB0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 电动调节阀应为成套设备，包括调节阀及相配套的电动执行机构。调节阀是气体流量测量与控制的核心执行单元，能根据中控上位机或精确曝气控制系统发出的控制命令，实现对各曝气区的曝气气体进行控制及合理分配，以满足曝气区的工艺运行稳定对曝气量的要求。</w:t>
      </w:r>
    </w:p>
    <w:p w14:paraId="6E61080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 为保障鼓风机的运行安全，阀门应根据阀门特性和风量范围进行选型，选型应满足设计工况的高流通能力，阀门制造商需要对所供阀门的压力损失进行模拟测试，并提供不同开度-流量下的阀门压损曲线图，通过设计流量时的阀门压力损失应≤10mbar；</w:t>
      </w:r>
      <w:r>
        <w:rPr>
          <w:rFonts w:hint="eastAsia" w:ascii="宋体" w:hAnsi="宋体" w:eastAsia="宋体" w:cs="宋体"/>
          <w:b/>
          <w:bCs/>
          <w:sz w:val="24"/>
          <w:szCs w:val="32"/>
        </w:rPr>
        <w:t>宜采用电动菱形阀</w:t>
      </w:r>
      <w:r>
        <w:rPr>
          <w:rFonts w:hint="eastAsia" w:ascii="宋体" w:hAnsi="宋体" w:eastAsia="宋体" w:cs="宋体"/>
          <w:sz w:val="24"/>
          <w:szCs w:val="32"/>
        </w:rPr>
        <w:t>。</w:t>
      </w:r>
    </w:p>
    <w:p w14:paraId="1B7CE4C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1）技术要求</w:t>
      </w:r>
    </w:p>
    <w:p w14:paraId="2160AA9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用于风量调节设计；</w:t>
      </w:r>
    </w:p>
    <w:p w14:paraId="147D1A9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提供流量调节特性曲线和实际工作曲线；</w:t>
      </w:r>
    </w:p>
    <w:p w14:paraId="1E72652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2）结构形式</w:t>
      </w:r>
    </w:p>
    <w:p w14:paraId="25A06A6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—为了最大限度降低阻流部件产生的不必要压损和鼓风机运行安全，保障空气 调节阀的最大流通量。</w:t>
      </w:r>
    </w:p>
    <w:p w14:paraId="161DEED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材质详见对应阀门技术要求。</w:t>
      </w:r>
    </w:p>
    <w:p w14:paraId="155FB12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3）阀门配套的电动执行机构技术要求</w:t>
      </w:r>
    </w:p>
    <w:p w14:paraId="131AF35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电动执行机构应采用阀门厂家配套。</w:t>
      </w:r>
    </w:p>
    <w:p w14:paraId="0BF70F5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电动执行机构均采用调节型电动执行机构</w:t>
      </w:r>
    </w:p>
    <w:p w14:paraId="2014BDF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电源：380V、AC、50Hz。F 级绝缘，防护等级:不低于IP67</w:t>
      </w:r>
    </w:p>
    <w:p w14:paraId="56C9B25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可接收 4～20mA DC 模拟信号或开关信号（无源干接点）。</w:t>
      </w:r>
    </w:p>
    <w:p w14:paraId="12CC3B4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开/关极限位置均配限位开关，开和关的方向均配扭矩开关以防过载。 — 带有现场阀位指示，阀门在开/关运行过程中有闪光指示信号。</w:t>
      </w:r>
    </w:p>
    <w:p w14:paraId="400AF40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电动装置应具有就地操作按钮、就地和远程转换开关、远程开启度显示，</w:t>
      </w:r>
    </w:p>
    <w:p w14:paraId="7F4167B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所有控制元器件安装于启闭装置的一体化控制单元内， </w:t>
      </w:r>
    </w:p>
    <w:p w14:paraId="0B34E540">
      <w:pPr>
        <w:pStyle w:val="3"/>
        <w:rPr>
          <w:rFonts w:ascii="宋体" w:hAnsi="宋体" w:eastAsia="宋体" w:cs="宋体"/>
          <w:sz w:val="24"/>
          <w:szCs w:val="22"/>
        </w:rPr>
      </w:pPr>
      <w:r>
        <w:rPr>
          <w:rFonts w:hint="eastAsia" w:ascii="宋体" w:hAnsi="宋体" w:eastAsia="宋体" w:cs="宋体"/>
          <w:sz w:val="24"/>
          <w:szCs w:val="22"/>
        </w:rPr>
        <w:t>5.5.7  溶解氧仪</w:t>
      </w:r>
    </w:p>
    <w:p w14:paraId="074B6ED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A.概述</w:t>
      </w:r>
    </w:p>
    <w:p w14:paraId="73E7F67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1.适用范围：地表水、工业污水和市政污水的溶解氧(DO) (0～35℃)自动分 析。</w:t>
      </w:r>
    </w:p>
    <w:p w14:paraId="24E7DEB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2.用途：溶解氧仪测量、显示和传输污水生化处理过程溶解氧浓度。</w:t>
      </w:r>
    </w:p>
    <w:p w14:paraId="6E58136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3.组成：传感器、变送器及全部安装附件和电缆。</w:t>
      </w:r>
    </w:p>
    <w:p w14:paraId="43EE53F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B.传感器</w:t>
      </w:r>
    </w:p>
    <w:p w14:paraId="29178E2F">
      <w:pPr>
        <w:jc w:val="left"/>
      </w:pPr>
    </w:p>
    <w:p w14:paraId="07B6730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1.形式：无膜、无阴阳电极、无电极液，抗 H2S、金属离子、油污染</w:t>
      </w:r>
    </w:p>
    <w:p w14:paraId="7D68624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2.工作原理：化学荧光法</w:t>
      </w:r>
    </w:p>
    <w:p w14:paraId="288E621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 溶氧测定范围：0.00～10.00 mg/L</w:t>
      </w:r>
    </w:p>
    <w:p w14:paraId="79558CE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4.温度测定范围：0~50℃,带温度自动补偿</w:t>
      </w:r>
    </w:p>
    <w:p w14:paraId="620A77F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5.重复性误差 ： ±0.3 mg/L</w:t>
      </w:r>
    </w:p>
    <w:p w14:paraId="46AA26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6.零点漂移 ： ±0.3 mg/L</w:t>
      </w:r>
    </w:p>
    <w:p w14:paraId="089818A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7.量程漂移 ： ±0.3 mg/L</w:t>
      </w:r>
    </w:p>
    <w:p w14:paraId="4DF55F7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8.准确性： ±0.1%</w:t>
      </w:r>
    </w:p>
    <w:p w14:paraId="595BE13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9.重现性：0.05mg/L</w:t>
      </w:r>
    </w:p>
    <w:p w14:paraId="34DC19C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10.灵敏度： ±0.05%</w:t>
      </w:r>
    </w:p>
    <w:p w14:paraId="7AD4D6F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11.响应时间( T90) ：1 min 以内</w:t>
      </w:r>
    </w:p>
    <w:p w14:paraId="52483B2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12.温度补偿精度 ： ±0.3 mg/L</w:t>
      </w:r>
    </w:p>
    <w:p w14:paraId="3812AE5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13.MTBF  ： ≧720 h/次</w:t>
      </w:r>
    </w:p>
    <w:p w14:paraId="3FB6677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14.实际水样比对试验 ： ±0.3mg/L</w:t>
      </w:r>
    </w:p>
    <w:p w14:paraId="53AD0F3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15.电压稳定性 ：指示值的变化在±0.3mg/L 以内</w:t>
      </w:r>
    </w:p>
    <w:p w14:paraId="312E4F0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16.绝缘阻抗 ： 5MΩ以上</w:t>
      </w:r>
    </w:p>
    <w:p w14:paraId="589BB94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17.传感器老化自动检测</w:t>
      </w:r>
    </w:p>
    <w:p w14:paraId="691EE56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18.防护等级：IP68</w:t>
      </w:r>
    </w:p>
    <w:p w14:paraId="615384B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19.电缆：50 米，带快速接头</w:t>
      </w:r>
    </w:p>
    <w:p w14:paraId="5C18758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C.变送器</w:t>
      </w:r>
    </w:p>
    <w:p w14:paraId="31622D6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1.系统功能：具有设定、校对、断电保护、来电恢复、故障报警，以及时间、参数显示功能，包括年、月、日和时、分以及测量值等。</w:t>
      </w:r>
    </w:p>
    <w:p w14:paraId="1E740B4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2.自动校准重现性、漂移和响应时间。</w:t>
      </w:r>
    </w:p>
    <w:p w14:paraId="64E1743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3.传感器维护报警：依据传感器老化信息，产生预维护提示、告警，到期未维护将产生报警信号。</w:t>
      </w:r>
    </w:p>
    <w:p w14:paraId="3835330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4.工作环境：-20~60℃, 0～95％相对湿度、无冷凝。</w:t>
      </w:r>
    </w:p>
    <w:p w14:paraId="6BF2AE5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5.显示：LCD 液晶显示屏，具数据存贮功能，具有中文菜单显示。</w:t>
      </w:r>
    </w:p>
    <w:p w14:paraId="5816240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 探头输入：双通道，传感器与控制器可即插即用，无需校准。</w:t>
      </w:r>
    </w:p>
    <w:p w14:paraId="647203A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7.数据存储：用户设置均保存在存储器中。</w:t>
      </w:r>
    </w:p>
    <w:p w14:paraId="0502097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8.控制功能：PID 高低限报警，设置点等控制功能。</w:t>
      </w:r>
    </w:p>
    <w:p w14:paraId="3A31C2C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9.输出内容：溶解氧 DO、温度 t 信号，传感器老化状态，传感器、变送器 故障状态。</w:t>
      </w:r>
    </w:p>
    <w:p w14:paraId="2209BD4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10.输出信号：2 路 4~20mADC ，三个继电器输出。</w:t>
      </w:r>
    </w:p>
    <w:p w14:paraId="6AB04CF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11.溶解氧 DO——4~20mADC    350 Ω。</w:t>
      </w:r>
    </w:p>
    <w:p w14:paraId="0884EA8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12.温度 t        ——4~20mADC    350 Ω。</w:t>
      </w:r>
    </w:p>
    <w:p w14:paraId="6E263E9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13.传感器老化——继电器接点  2A    220V。</w:t>
      </w:r>
    </w:p>
    <w:p w14:paraId="4C3C293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14.传感器故障——继电器接点  2A   220V。</w:t>
      </w:r>
    </w:p>
    <w:p w14:paraId="3B06985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15.变送器故障——继电器接点  2A    220V。</w:t>
      </w:r>
    </w:p>
    <w:p w14:paraId="0710497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16.防护等级：IP66</w:t>
      </w:r>
    </w:p>
    <w:p w14:paraId="16DFCCC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17.电源：180 ~ 260VAC ，50/60Hz。</w:t>
      </w:r>
    </w:p>
    <w:p w14:paraId="22BFA0A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18. 安装方式：壁挂/面板/夹管式安装。</w:t>
      </w:r>
    </w:p>
    <w:p w14:paraId="2C82B62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D.整机</w:t>
      </w:r>
    </w:p>
    <w:p w14:paraId="2D93CD3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 构造：由检测单元、显示记录、数据处理、信号传输单元等构成。</w:t>
      </w:r>
    </w:p>
    <w:p w14:paraId="1A33996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2.采样部分：有完整密闭的采样系统。</w:t>
      </w:r>
    </w:p>
    <w:p w14:paraId="489104F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3.测量单元：由电极、支持部分、转换器等构成。</w:t>
      </w:r>
    </w:p>
    <w:p w14:paraId="7E7978C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4.电极支持部分指固定电极的电极套管，由不锈钢、硬质聚氯乙烯、聚丙烯等不受试样侵蚀的材质构成。</w:t>
      </w:r>
    </w:p>
    <w:p w14:paraId="151BA22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5.转换器及显示器具有防水滴构造。</w:t>
      </w:r>
    </w:p>
    <w:p w14:paraId="60291BD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6.显示记录单元：具有将溶解氧浓度( mg/L)以数字形式显示、记录的功能。</w:t>
      </w:r>
    </w:p>
    <w:p w14:paraId="241F021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7.数据传输装置：有完整的数据采集、传输系统。</w:t>
      </w:r>
    </w:p>
    <w:p w14:paraId="54A022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E.附件</w:t>
      </w:r>
    </w:p>
    <w:p w14:paraId="1E590CF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1.传感器浮球式安装组件。</w:t>
      </w:r>
    </w:p>
    <w:p w14:paraId="5952AEC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2.电极清洗装置：采用水、空气等流体清洗电极的清洗装置。</w:t>
      </w:r>
    </w:p>
    <w:p w14:paraId="5408D739">
      <w:pPr>
        <w:pStyle w:val="3"/>
        <w:rPr>
          <w:rFonts w:ascii="宋体" w:hAnsi="宋体" w:eastAsia="宋体" w:cs="宋体"/>
          <w:sz w:val="24"/>
          <w:szCs w:val="22"/>
        </w:rPr>
      </w:pPr>
      <w:r>
        <w:rPr>
          <w:rFonts w:hint="eastAsia" w:ascii="宋体" w:hAnsi="宋体" w:eastAsia="宋体" w:cs="宋体"/>
          <w:sz w:val="24"/>
          <w:szCs w:val="22"/>
        </w:rPr>
        <w:t>5.5.8浮球液位开关</w:t>
      </w:r>
    </w:p>
    <w:p w14:paraId="72357CF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A.概述</w:t>
      </w:r>
    </w:p>
    <w:p w14:paraId="090933E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1.用来测量介质中的高、低液位。</w:t>
      </w:r>
    </w:p>
    <w:p w14:paraId="4119FD8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B.原理</w:t>
      </w:r>
    </w:p>
    <w:p w14:paraId="1D1F727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1.采用浮球和其中的开关来进行测量。</w:t>
      </w:r>
    </w:p>
    <w:p w14:paraId="5A76297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C.型式</w:t>
      </w:r>
    </w:p>
    <w:p w14:paraId="0220F6C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1.液位开关的组成：带触点浮球、重锤、接线盒（室外）及全部安装附件。 </w:t>
      </w:r>
    </w:p>
    <w:p w14:paraId="45A8B7A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D.性能</w:t>
      </w:r>
    </w:p>
    <w:p w14:paraId="749AE08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1.浮球与电缆连接处应严密密封。</w:t>
      </w:r>
    </w:p>
    <w:p w14:paraId="74A3AD5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2.适合于在污水处理厂的原污水、活性污泥、剩余污泥以及脱磷用药液中</w:t>
      </w:r>
    </w:p>
    <w:p w14:paraId="463E0C2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 xml:space="preserve">使用。 </w:t>
      </w:r>
    </w:p>
    <w:p w14:paraId="5565A98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E.传感器</w:t>
      </w:r>
    </w:p>
    <w:p w14:paraId="3826A7E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1.输出触点：1NO+1NC。</w:t>
      </w:r>
    </w:p>
    <w:p w14:paraId="3E04BB7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2.输出触点：230VAC ，5A。</w:t>
      </w:r>
    </w:p>
    <w:p w14:paraId="5698769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3.浮球材质：不锈钢。</w:t>
      </w:r>
    </w:p>
    <w:p w14:paraId="320A0E5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F.电缆</w:t>
      </w:r>
    </w:p>
    <w:p w14:paraId="46D5F6A1">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1.长度：15m。</w:t>
      </w:r>
    </w:p>
    <w:p w14:paraId="19634719">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G.安装要求</w:t>
      </w:r>
    </w:p>
    <w:p w14:paraId="10AB3DF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1.提供用来固定浮球开关的支架/支管，将浮球液位开关的连接电缆固定在支架或支管上。浮球的位置参见附图。</w:t>
      </w:r>
    </w:p>
    <w:p w14:paraId="1473C7FA">
      <w:pPr>
        <w:pStyle w:val="3"/>
        <w:rPr>
          <w:rFonts w:ascii="宋体" w:hAnsi="宋体" w:eastAsia="宋体" w:cs="宋体"/>
          <w:sz w:val="24"/>
          <w:szCs w:val="22"/>
        </w:rPr>
      </w:pPr>
      <w:bookmarkStart w:id="11" w:name="bookmark118"/>
      <w:bookmarkEnd w:id="11"/>
      <w:bookmarkStart w:id="12" w:name="bookmark122"/>
      <w:bookmarkEnd w:id="12"/>
      <w:bookmarkStart w:id="13" w:name="bookmark120"/>
      <w:bookmarkEnd w:id="13"/>
      <w:r>
        <w:rPr>
          <w:rFonts w:hint="eastAsia" w:ascii="宋体" w:hAnsi="宋体" w:eastAsia="宋体" w:cs="宋体"/>
          <w:sz w:val="24"/>
          <w:szCs w:val="22"/>
        </w:rPr>
        <w:t>5.6 仪表系统、自控系统和监视系统的特殊要求</w:t>
      </w:r>
    </w:p>
    <w:p w14:paraId="38CB869B">
      <w:pPr>
        <w:pStyle w:val="3"/>
        <w:rPr>
          <w:rFonts w:ascii="宋体" w:hAnsi="宋体" w:eastAsia="宋体" w:cs="宋体"/>
          <w:sz w:val="24"/>
          <w:szCs w:val="22"/>
        </w:rPr>
      </w:pPr>
      <w:r>
        <w:rPr>
          <w:rFonts w:hint="eastAsia" w:ascii="宋体" w:hAnsi="宋体" w:eastAsia="宋体" w:cs="宋体"/>
          <w:sz w:val="24"/>
          <w:szCs w:val="22"/>
        </w:rPr>
        <w:t>5.6.1  综述</w:t>
      </w:r>
    </w:p>
    <w:p w14:paraId="72F7B86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A.本部分技术要求包括：昆明第十五水质净化厂工程的仪表和控制系统的提供、 安装指导、调试、试运行的要求。</w:t>
      </w:r>
    </w:p>
    <w:p w14:paraId="246A4E4A">
      <w:pPr>
        <w:pStyle w:val="3"/>
        <w:rPr>
          <w:rFonts w:ascii="宋体" w:hAnsi="宋体" w:eastAsia="宋体" w:cs="宋体"/>
          <w:sz w:val="24"/>
          <w:szCs w:val="22"/>
        </w:rPr>
      </w:pPr>
      <w:r>
        <w:rPr>
          <w:rFonts w:hint="eastAsia" w:ascii="宋体" w:hAnsi="宋体" w:eastAsia="宋体" w:cs="宋体"/>
          <w:sz w:val="24"/>
          <w:szCs w:val="22"/>
        </w:rPr>
        <w:t>5.6.2</w:t>
      </w:r>
    </w:p>
    <w:p w14:paraId="1D4A44E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A.现场控制站主要包括有：</w:t>
      </w:r>
    </w:p>
    <w:p w14:paraId="4542FBF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1.控制站（CPU 冗余）：</w:t>
      </w:r>
    </w:p>
    <w:tbl>
      <w:tblPr>
        <w:tblStyle w:val="8"/>
        <w:tblW w:w="8460" w:type="dxa"/>
        <w:tblInd w:w="100" w:type="dxa"/>
        <w:tblLayout w:type="autofit"/>
        <w:tblCellMar>
          <w:top w:w="0" w:type="dxa"/>
          <w:left w:w="108" w:type="dxa"/>
          <w:bottom w:w="0" w:type="dxa"/>
          <w:right w:w="108" w:type="dxa"/>
        </w:tblCellMar>
      </w:tblPr>
      <w:tblGrid>
        <w:gridCol w:w="1351"/>
        <w:gridCol w:w="2985"/>
        <w:gridCol w:w="4124"/>
      </w:tblGrid>
      <w:tr w14:paraId="48370485">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BBC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编号</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A05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安装地点</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849E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控制区域</w:t>
            </w:r>
          </w:p>
        </w:tc>
      </w:tr>
      <w:tr w14:paraId="7E78A099">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3C9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DB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粗格栅间配电室（地上）</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CB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粗格栅及进水泵房</w:t>
            </w:r>
          </w:p>
        </w:tc>
      </w:tr>
      <w:tr w14:paraId="1CA1A861">
        <w:tblPrEx>
          <w:tblCellMar>
            <w:top w:w="0" w:type="dxa"/>
            <w:left w:w="108" w:type="dxa"/>
            <w:bottom w:w="0" w:type="dxa"/>
            <w:right w:w="108" w:type="dxa"/>
          </w:tblCellMar>
        </w:tblPrEx>
        <w:trPr>
          <w:trHeight w:val="458"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07DD">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93E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细格栅间配电室（地下）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17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细格栅及曝气沉砂池及相关除臭、进水水质分析</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小室等</w:t>
            </w:r>
          </w:p>
        </w:tc>
      </w:tr>
      <w:tr w14:paraId="4F304760">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628A">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FCS03</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FE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总变电室</w:t>
            </w:r>
            <w:r>
              <w:rPr>
                <w:rFonts w:ascii="Arial" w:hAnsi="Arial" w:eastAsia="宋体" w:cs="Arial"/>
                <w:color w:val="000000"/>
                <w:kern w:val="0"/>
                <w:sz w:val="18"/>
                <w:szCs w:val="18"/>
                <w:lang w:bidi="ar"/>
              </w:rPr>
              <w:t xml:space="preserve"> 1</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3C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总变电室用电设备、鼓风机房等</w:t>
            </w:r>
          </w:p>
        </w:tc>
      </w:tr>
      <w:tr w14:paraId="5EFD1BDA">
        <w:tblPrEx>
          <w:tblCellMar>
            <w:top w:w="0" w:type="dxa"/>
            <w:left w:w="108" w:type="dxa"/>
            <w:bottom w:w="0" w:type="dxa"/>
            <w:right w:w="108" w:type="dxa"/>
          </w:tblCellMar>
        </w:tblPrEx>
        <w:trPr>
          <w:trHeight w:val="458"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1A13">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09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1</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00DC4">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1#~2#SBR </w:t>
            </w:r>
            <w:r>
              <w:rPr>
                <w:rFonts w:hint="eastAsia" w:ascii="宋体" w:hAnsi="宋体" w:eastAsia="宋体" w:cs="宋体"/>
                <w:color w:val="000000"/>
                <w:kern w:val="0"/>
                <w:sz w:val="18"/>
                <w:szCs w:val="18"/>
                <w:lang w:bidi="ar"/>
              </w:rPr>
              <w:t>用电设备控制、生物除臭、</w:t>
            </w:r>
            <w:r>
              <w:rPr>
                <w:rFonts w:ascii="Arial" w:hAnsi="Arial" w:eastAsia="宋体" w:cs="Arial"/>
                <w:color w:val="000000"/>
                <w:kern w:val="0"/>
                <w:sz w:val="18"/>
                <w:szCs w:val="18"/>
                <w:lang w:bidi="ar"/>
              </w:rPr>
              <w:t xml:space="preserve">PAC </w:t>
            </w:r>
            <w:r>
              <w:rPr>
                <w:rFonts w:hint="eastAsia" w:ascii="宋体" w:hAnsi="宋体" w:eastAsia="宋体" w:cs="宋体"/>
                <w:color w:val="000000"/>
                <w:kern w:val="0"/>
                <w:sz w:val="18"/>
                <w:szCs w:val="18"/>
                <w:lang w:bidi="ar"/>
              </w:rPr>
              <w:t>、醋</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酸钠加药等</w:t>
            </w:r>
          </w:p>
        </w:tc>
      </w:tr>
      <w:tr w14:paraId="36FA16C8">
        <w:tblPrEx>
          <w:tblCellMar>
            <w:top w:w="0" w:type="dxa"/>
            <w:left w:w="108" w:type="dxa"/>
            <w:bottom w:w="0" w:type="dxa"/>
            <w:right w:w="108" w:type="dxa"/>
          </w:tblCellMar>
        </w:tblPrEx>
        <w:trPr>
          <w:trHeight w:val="458"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5995">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FCS05</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65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改进型</w:t>
            </w:r>
            <w:r>
              <w:rPr>
                <w:rFonts w:ascii="Arial" w:hAnsi="Arial" w:eastAsia="宋体" w:cs="Arial"/>
                <w:color w:val="000000"/>
                <w:kern w:val="0"/>
                <w:sz w:val="18"/>
                <w:szCs w:val="18"/>
                <w:lang w:bidi="ar"/>
              </w:rPr>
              <w:t xml:space="preserve"> SBR </w:t>
            </w:r>
            <w:r>
              <w:rPr>
                <w:rFonts w:hint="eastAsia" w:ascii="宋体" w:hAnsi="宋体" w:eastAsia="宋体" w:cs="宋体"/>
                <w:color w:val="000000"/>
                <w:kern w:val="0"/>
                <w:sz w:val="18"/>
                <w:szCs w:val="18"/>
                <w:lang w:bidi="ar"/>
              </w:rPr>
              <w:t>配电室</w:t>
            </w:r>
            <w:r>
              <w:rPr>
                <w:rFonts w:ascii="Arial" w:hAnsi="Arial" w:eastAsia="宋体" w:cs="Arial"/>
                <w:color w:val="000000"/>
                <w:kern w:val="0"/>
                <w:sz w:val="18"/>
                <w:szCs w:val="18"/>
                <w:lang w:bidi="ar"/>
              </w:rPr>
              <w:t xml:space="preserve"> 1</w:t>
            </w:r>
            <w:r>
              <w:rPr>
                <w:rFonts w:hint="eastAsia" w:ascii="宋体" w:hAnsi="宋体" w:eastAsia="宋体" w:cs="宋体"/>
                <w:color w:val="000000"/>
                <w:kern w:val="0"/>
                <w:sz w:val="18"/>
                <w:szCs w:val="18"/>
                <w:lang w:bidi="ar"/>
              </w:rPr>
              <w:t>（地</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C8D9">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3#~4#SBR </w:t>
            </w:r>
            <w:r>
              <w:rPr>
                <w:rFonts w:hint="eastAsia" w:ascii="宋体" w:hAnsi="宋体" w:eastAsia="宋体" w:cs="宋体"/>
                <w:color w:val="000000"/>
                <w:kern w:val="0"/>
                <w:sz w:val="18"/>
                <w:szCs w:val="18"/>
                <w:lang w:bidi="ar"/>
              </w:rPr>
              <w:t>用电设备控制、生物除臭、</w:t>
            </w:r>
            <w:r>
              <w:rPr>
                <w:rFonts w:ascii="Arial" w:hAnsi="Arial" w:eastAsia="宋体" w:cs="Arial"/>
                <w:color w:val="000000"/>
                <w:kern w:val="0"/>
                <w:sz w:val="18"/>
                <w:szCs w:val="18"/>
                <w:lang w:bidi="ar"/>
              </w:rPr>
              <w:t xml:space="preserve">PAC </w:t>
            </w:r>
            <w:r>
              <w:rPr>
                <w:rFonts w:hint="eastAsia" w:ascii="宋体" w:hAnsi="宋体" w:eastAsia="宋体" w:cs="宋体"/>
                <w:color w:val="000000"/>
                <w:kern w:val="0"/>
                <w:sz w:val="18"/>
                <w:szCs w:val="18"/>
                <w:lang w:bidi="ar"/>
              </w:rPr>
              <w:t>、醋</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酸钠加药等</w:t>
            </w:r>
          </w:p>
        </w:tc>
      </w:tr>
      <w:tr w14:paraId="7E5075DB">
        <w:tblPrEx>
          <w:tblCellMar>
            <w:top w:w="0" w:type="dxa"/>
            <w:left w:w="108" w:type="dxa"/>
            <w:bottom w:w="0" w:type="dxa"/>
            <w:right w:w="108" w:type="dxa"/>
          </w:tblCellMar>
        </w:tblPrEx>
        <w:trPr>
          <w:trHeight w:val="458"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CA8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FCS06</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74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2</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EC55">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5#~6#SBR </w:t>
            </w:r>
            <w:r>
              <w:rPr>
                <w:rFonts w:hint="eastAsia" w:ascii="宋体" w:hAnsi="宋体" w:eastAsia="宋体" w:cs="宋体"/>
                <w:color w:val="000000"/>
                <w:kern w:val="0"/>
                <w:sz w:val="18"/>
                <w:szCs w:val="18"/>
                <w:lang w:bidi="ar"/>
              </w:rPr>
              <w:t>用电设备控制、生物除臭、</w:t>
            </w:r>
            <w:r>
              <w:rPr>
                <w:rFonts w:ascii="Arial" w:hAnsi="Arial" w:eastAsia="宋体" w:cs="Arial"/>
                <w:color w:val="000000"/>
                <w:kern w:val="0"/>
                <w:sz w:val="18"/>
                <w:szCs w:val="18"/>
                <w:lang w:bidi="ar"/>
              </w:rPr>
              <w:t xml:space="preserve">PAC </w:t>
            </w:r>
            <w:r>
              <w:rPr>
                <w:rFonts w:hint="eastAsia" w:ascii="宋体" w:hAnsi="宋体" w:eastAsia="宋体" w:cs="宋体"/>
                <w:color w:val="000000"/>
                <w:kern w:val="0"/>
                <w:sz w:val="18"/>
                <w:szCs w:val="18"/>
                <w:lang w:bidi="ar"/>
              </w:rPr>
              <w:t>、醋</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酸钠加药等</w:t>
            </w:r>
          </w:p>
        </w:tc>
      </w:tr>
      <w:tr w14:paraId="1723B8BD">
        <w:tblPrEx>
          <w:tblCellMar>
            <w:top w:w="0" w:type="dxa"/>
            <w:left w:w="108" w:type="dxa"/>
            <w:bottom w:w="0" w:type="dxa"/>
            <w:right w:w="108" w:type="dxa"/>
          </w:tblCellMar>
        </w:tblPrEx>
        <w:trPr>
          <w:trHeight w:val="458"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651DC">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FCS07</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6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改进型</w:t>
            </w:r>
            <w:r>
              <w:rPr>
                <w:rFonts w:ascii="Arial" w:hAnsi="Arial" w:eastAsia="宋体" w:cs="Arial"/>
                <w:color w:val="000000"/>
                <w:kern w:val="0"/>
                <w:sz w:val="18"/>
                <w:szCs w:val="18"/>
                <w:lang w:bidi="ar"/>
              </w:rPr>
              <w:t xml:space="preserve"> SBR </w:t>
            </w:r>
            <w:r>
              <w:rPr>
                <w:rFonts w:hint="eastAsia" w:ascii="宋体" w:hAnsi="宋体" w:eastAsia="宋体" w:cs="宋体"/>
                <w:color w:val="000000"/>
                <w:kern w:val="0"/>
                <w:sz w:val="18"/>
                <w:szCs w:val="18"/>
                <w:lang w:bidi="ar"/>
              </w:rPr>
              <w:t>配电室</w:t>
            </w:r>
            <w:r>
              <w:rPr>
                <w:rFonts w:ascii="Arial" w:hAnsi="Arial" w:eastAsia="宋体" w:cs="Arial"/>
                <w:color w:val="000000"/>
                <w:kern w:val="0"/>
                <w:sz w:val="18"/>
                <w:szCs w:val="18"/>
                <w:lang w:bidi="ar"/>
              </w:rPr>
              <w:t xml:space="preserve"> 2</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683C">
            <w:pPr>
              <w:widowControl/>
              <w:jc w:val="center"/>
              <w:textAlignment w:val="center"/>
              <w:rPr>
                <w:rFonts w:ascii="Arial" w:hAnsi="Arial" w:eastAsia="宋体" w:cs="Arial"/>
                <w:color w:val="000000"/>
                <w:sz w:val="18"/>
                <w:szCs w:val="18"/>
              </w:rPr>
            </w:pPr>
            <w:r>
              <w:rPr>
                <w:rFonts w:ascii="Arial" w:hAnsi="Arial" w:eastAsia="宋体" w:cs="Arial"/>
                <w:color w:val="000000"/>
                <w:kern w:val="0"/>
                <w:sz w:val="18"/>
                <w:szCs w:val="18"/>
                <w:lang w:bidi="ar"/>
              </w:rPr>
              <w:t xml:space="preserve">7#~8#SBR </w:t>
            </w:r>
            <w:r>
              <w:rPr>
                <w:rFonts w:hint="eastAsia" w:ascii="宋体" w:hAnsi="宋体" w:eastAsia="宋体" w:cs="宋体"/>
                <w:color w:val="000000"/>
                <w:kern w:val="0"/>
                <w:sz w:val="18"/>
                <w:szCs w:val="18"/>
                <w:lang w:bidi="ar"/>
              </w:rPr>
              <w:t>用电设备控制、生物除臭、</w:t>
            </w:r>
            <w:r>
              <w:rPr>
                <w:rFonts w:ascii="Arial" w:hAnsi="Arial" w:eastAsia="宋体" w:cs="Arial"/>
                <w:color w:val="000000"/>
                <w:kern w:val="0"/>
                <w:sz w:val="18"/>
                <w:szCs w:val="18"/>
                <w:lang w:bidi="ar"/>
              </w:rPr>
              <w:t xml:space="preserve">PAC </w:t>
            </w:r>
            <w:r>
              <w:rPr>
                <w:rFonts w:hint="eastAsia" w:ascii="宋体" w:hAnsi="宋体" w:eastAsia="宋体" w:cs="宋体"/>
                <w:color w:val="000000"/>
                <w:kern w:val="0"/>
                <w:sz w:val="18"/>
                <w:szCs w:val="18"/>
                <w:lang w:bidi="ar"/>
              </w:rPr>
              <w:t>、醋</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酸钠加药等</w:t>
            </w:r>
          </w:p>
        </w:tc>
      </w:tr>
      <w:tr w14:paraId="13FE0C63">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F690">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FCS08-1~2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9CC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3 </w:t>
            </w:r>
            <w:r>
              <w:rPr>
                <w:rFonts w:hint="eastAsia" w:ascii="宋体" w:hAnsi="宋体" w:eastAsia="宋体" w:cs="宋体"/>
                <w:color w:val="000000"/>
                <w:kern w:val="0"/>
                <w:sz w:val="18"/>
                <w:szCs w:val="18"/>
                <w:lang w:bidi="ar"/>
              </w:rPr>
              <w:t>、</w:t>
            </w:r>
            <w:r>
              <w:rPr>
                <w:rFonts w:ascii="Arial" w:hAnsi="Arial" w:eastAsia="宋体" w:cs="Arial"/>
                <w:color w:val="000000"/>
                <w:kern w:val="0"/>
                <w:sz w:val="18"/>
                <w:szCs w:val="18"/>
                <w:lang w:bidi="ar"/>
              </w:rPr>
              <w:t>4</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A5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二级提升泵房、深床砂滤池系统</w:t>
            </w:r>
          </w:p>
        </w:tc>
      </w:tr>
      <w:tr w14:paraId="285F6836">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009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FCS09</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82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6</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2DC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气浮池气浮池系统</w:t>
            </w:r>
          </w:p>
        </w:tc>
      </w:tr>
      <w:tr w14:paraId="212C64D7">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287">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FCS10</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F6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6</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F8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浓缩机及其公用系统</w:t>
            </w:r>
          </w:p>
        </w:tc>
      </w:tr>
      <w:tr w14:paraId="53AECC88">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5B4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FCS11</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98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6</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85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板框压滤机及其公用系统</w:t>
            </w:r>
          </w:p>
        </w:tc>
      </w:tr>
      <w:tr w14:paraId="2AC54D2E">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70DE">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FCS12</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F1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5</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06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5 </w:t>
            </w:r>
            <w:r>
              <w:rPr>
                <w:rFonts w:hint="eastAsia" w:ascii="宋体" w:hAnsi="宋体" w:eastAsia="宋体" w:cs="宋体"/>
                <w:color w:val="000000"/>
                <w:kern w:val="0"/>
                <w:sz w:val="18"/>
                <w:szCs w:val="18"/>
                <w:lang w:bidi="ar"/>
              </w:rPr>
              <w:t>用电系统、除臭系统</w:t>
            </w:r>
          </w:p>
        </w:tc>
      </w:tr>
      <w:tr w14:paraId="5B71CA46">
        <w:tblPrEx>
          <w:tblCellMar>
            <w:top w:w="0" w:type="dxa"/>
            <w:left w:w="108" w:type="dxa"/>
            <w:bottom w:w="0" w:type="dxa"/>
            <w:right w:w="108" w:type="dxa"/>
          </w:tblCellMar>
        </w:tblPrEx>
        <w:trPr>
          <w:trHeight w:val="458"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9A53">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FCS13</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60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总变电室</w:t>
            </w:r>
            <w:r>
              <w:rPr>
                <w:rFonts w:ascii="Arial" w:hAnsi="Arial" w:eastAsia="宋体" w:cs="Arial"/>
                <w:color w:val="000000"/>
                <w:kern w:val="0"/>
                <w:sz w:val="18"/>
                <w:szCs w:val="18"/>
                <w:lang w:bidi="ar"/>
              </w:rPr>
              <w:t xml:space="preserve"> 2</w:t>
            </w:r>
            <w:r>
              <w:rPr>
                <w:rFonts w:hint="eastAsia" w:ascii="宋体" w:hAnsi="宋体" w:eastAsia="宋体" w:cs="宋体"/>
                <w:color w:val="000000"/>
                <w:kern w:val="0"/>
                <w:sz w:val="18"/>
                <w:szCs w:val="18"/>
                <w:lang w:bidi="ar"/>
              </w:rPr>
              <w:t>（地下）</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72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紫外消毒系统、自用水系统、配水泵房、出水水</w:t>
            </w:r>
            <w:r>
              <w:rPr>
                <w:rFonts w:ascii="Arial" w:hAnsi="Arial" w:eastAsia="宋体" w:cs="Arial"/>
                <w:color w:val="000000"/>
                <w:kern w:val="0"/>
                <w:sz w:val="18"/>
                <w:szCs w:val="18"/>
                <w:lang w:bidi="ar"/>
              </w:rPr>
              <w:t xml:space="preserve"> </w:t>
            </w:r>
            <w:r>
              <w:rPr>
                <w:rFonts w:hint="eastAsia" w:ascii="宋体" w:hAnsi="宋体" w:eastAsia="宋体" w:cs="宋体"/>
                <w:color w:val="000000"/>
                <w:kern w:val="0"/>
                <w:sz w:val="18"/>
                <w:szCs w:val="18"/>
                <w:lang w:bidi="ar"/>
              </w:rPr>
              <w:t>质监测</w:t>
            </w:r>
          </w:p>
        </w:tc>
      </w:tr>
      <w:tr w14:paraId="50084F09">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9C9E7">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FCS14</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810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w:t>
            </w:r>
            <w:r>
              <w:rPr>
                <w:rFonts w:ascii="Arial" w:hAnsi="Arial" w:eastAsia="宋体" w:cs="Arial"/>
                <w:color w:val="000000"/>
                <w:kern w:val="0"/>
                <w:sz w:val="18"/>
                <w:szCs w:val="18"/>
                <w:lang w:bidi="ar"/>
              </w:rPr>
              <w:t xml:space="preserve"> 1</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C8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地下空间风机、气体检测系统</w:t>
            </w:r>
          </w:p>
        </w:tc>
      </w:tr>
      <w:tr w14:paraId="5381775D">
        <w:tblPrEx>
          <w:tblCellMar>
            <w:top w:w="0" w:type="dxa"/>
            <w:left w:w="108" w:type="dxa"/>
            <w:bottom w:w="0" w:type="dxa"/>
            <w:right w:w="108" w:type="dxa"/>
          </w:tblCellMar>
        </w:tblPrEx>
        <w:trPr>
          <w:trHeight w:val="40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F6D1">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FCS15</w:t>
            </w:r>
          </w:p>
        </w:tc>
        <w:tc>
          <w:tcPr>
            <w:tcW w:w="2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95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总变电室</w:t>
            </w:r>
            <w:r>
              <w:rPr>
                <w:rFonts w:ascii="Arial" w:hAnsi="Arial" w:eastAsia="宋体" w:cs="Arial"/>
                <w:color w:val="000000"/>
                <w:kern w:val="0"/>
                <w:sz w:val="18"/>
                <w:szCs w:val="18"/>
                <w:lang w:bidi="ar"/>
              </w:rPr>
              <w:t xml:space="preserve"> 2</w:t>
            </w:r>
          </w:p>
        </w:tc>
        <w:tc>
          <w:tcPr>
            <w:tcW w:w="4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22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地下空间风机、气体检测系统</w:t>
            </w:r>
          </w:p>
        </w:tc>
      </w:tr>
    </w:tbl>
    <w:p w14:paraId="28CD0AE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注1，上述现场控制站的输入输出点，由投标人按照输入输出点统计原则 自行统计并列入投标文件中。</w:t>
      </w:r>
    </w:p>
    <w:p w14:paraId="5D28B4E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注2，控制站可使用设备成套提供的控制站，但应增加一定数量的不属于 成套设备内的设备的控制内容。</w:t>
      </w:r>
    </w:p>
    <w:p w14:paraId="7DB20D50">
      <w:pPr>
        <w:spacing w:line="360" w:lineRule="auto"/>
        <w:ind w:firstLine="480" w:firstLineChars="200"/>
      </w:pPr>
      <w:r>
        <w:rPr>
          <w:rFonts w:hint="eastAsia" w:ascii="宋体" w:hAnsi="宋体" w:eastAsia="宋体" w:cs="宋体"/>
          <w:sz w:val="24"/>
          <w:szCs w:val="32"/>
        </w:rPr>
        <w:t>注3，全厂宜选用统一制造厂的产品，也可选用其它同等级品牌系列的可编程控制器。如选用同等级其它品牌，卖方应保证所提供的可编程控制器能与污水处理厂通信，并负责完成相关工作。</w:t>
      </w:r>
    </w:p>
    <w:p w14:paraId="32B5A3C2">
      <w:pPr>
        <w:spacing w:line="360" w:lineRule="auto"/>
        <w:rPr>
          <w:rFonts w:ascii="宋体" w:hAnsi="宋体" w:eastAsia="宋体" w:cs="宋体"/>
          <w:sz w:val="24"/>
          <w:szCs w:val="32"/>
        </w:rPr>
      </w:pPr>
      <w:r>
        <w:rPr>
          <w:rFonts w:hint="eastAsia" w:ascii="宋体" w:hAnsi="宋体" w:eastAsia="宋体" w:cs="宋体"/>
          <w:sz w:val="24"/>
          <w:szCs w:val="32"/>
        </w:rPr>
        <w:t>B. 就地控制站有：</w:t>
      </w:r>
    </w:p>
    <w:p w14:paraId="7D582051">
      <w:pPr>
        <w:spacing w:line="360" w:lineRule="auto"/>
        <w:rPr>
          <w:rFonts w:ascii="宋体" w:hAnsi="宋体" w:eastAsia="宋体" w:cs="宋体"/>
          <w:sz w:val="24"/>
          <w:szCs w:val="32"/>
        </w:rPr>
      </w:pPr>
      <w:r>
        <w:rPr>
          <w:rFonts w:hint="eastAsia" w:ascii="宋体" w:hAnsi="宋体" w:eastAsia="宋体" w:cs="宋体"/>
          <w:sz w:val="24"/>
          <w:szCs w:val="32"/>
        </w:rPr>
        <w:t>1. 就地控制站：</w:t>
      </w:r>
    </w:p>
    <w:tbl>
      <w:tblPr>
        <w:tblStyle w:val="8"/>
        <w:tblW w:w="8385" w:type="dxa"/>
        <w:tblInd w:w="358" w:type="dxa"/>
        <w:tblLayout w:type="autofit"/>
        <w:tblCellMar>
          <w:top w:w="0" w:type="dxa"/>
          <w:left w:w="108" w:type="dxa"/>
          <w:bottom w:w="0" w:type="dxa"/>
          <w:right w:w="108" w:type="dxa"/>
        </w:tblCellMar>
      </w:tblPr>
      <w:tblGrid>
        <w:gridCol w:w="2790"/>
        <w:gridCol w:w="3053"/>
        <w:gridCol w:w="2542"/>
      </w:tblGrid>
      <w:tr w14:paraId="6989E7D9">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B145">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编号</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890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安装地点</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6BD1">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控制区域</w:t>
            </w:r>
          </w:p>
        </w:tc>
      </w:tr>
      <w:tr w14:paraId="5E13EAC3">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4F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LCS0203~207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F3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细格栅除臭</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92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除臭系统</w:t>
            </w:r>
          </w:p>
        </w:tc>
      </w:tr>
      <w:tr w14:paraId="67FA9BE6">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120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LCS0301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8D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鼓风机房</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C5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鼓风机 MCP 系统</w:t>
            </w:r>
          </w:p>
        </w:tc>
      </w:tr>
      <w:tr w14:paraId="53F8ED5F">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BC0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LCS0401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BC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 1</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427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2#曝气系统</w:t>
            </w:r>
          </w:p>
        </w:tc>
      </w:tr>
      <w:tr w14:paraId="3E56FC65">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72A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LCS0402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C9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SBR1#池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C4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1#精曝气系统</w:t>
            </w:r>
          </w:p>
        </w:tc>
      </w:tr>
      <w:tr w14:paraId="7915DD80">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D95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LCS0403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B3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SBR1#池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8D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 SBR 池</w:t>
            </w:r>
          </w:p>
        </w:tc>
      </w:tr>
      <w:tr w14:paraId="3EA87526">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80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LCS0404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76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97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醋酸钠加药系统</w:t>
            </w:r>
          </w:p>
        </w:tc>
      </w:tr>
      <w:tr w14:paraId="74E20DCA">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16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LCS0405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366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F4E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加药系统</w:t>
            </w:r>
          </w:p>
        </w:tc>
      </w:tr>
      <w:tr w14:paraId="41DBF8B7">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E8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LCS0406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98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生物池除臭</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28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除臭系统</w:t>
            </w:r>
          </w:p>
        </w:tc>
      </w:tr>
      <w:tr w14:paraId="0654659A">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53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LCS0501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94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 配电室 1</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C1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4#曝气系统</w:t>
            </w:r>
          </w:p>
        </w:tc>
      </w:tr>
      <w:tr w14:paraId="3A97995C">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79C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LCS0502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56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SBR3#池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C47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3#曝气系统</w:t>
            </w:r>
          </w:p>
        </w:tc>
      </w:tr>
      <w:tr w14:paraId="73408776">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37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LCS0503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8C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SBR3#池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85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 SBR 池</w:t>
            </w:r>
          </w:p>
        </w:tc>
      </w:tr>
      <w:tr w14:paraId="3084A89C">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B6B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LCS0504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2BC2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11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醋酸钠加药系统</w:t>
            </w:r>
          </w:p>
        </w:tc>
      </w:tr>
      <w:tr w14:paraId="1762F986">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53A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LCS0505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5B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92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加药系统</w:t>
            </w:r>
          </w:p>
        </w:tc>
      </w:tr>
      <w:tr w14:paraId="143F5799">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58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LCS0506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09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生物池除臭</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7D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除臭系统</w:t>
            </w:r>
          </w:p>
        </w:tc>
      </w:tr>
      <w:tr w14:paraId="4624C38B">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3D6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LCS0601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9A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分变电室 2</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F39A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5#曝气系统</w:t>
            </w:r>
          </w:p>
        </w:tc>
      </w:tr>
      <w:tr w14:paraId="3467E441">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84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LCS0602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47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SBR6#池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598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6#曝气系统</w:t>
            </w:r>
          </w:p>
        </w:tc>
      </w:tr>
      <w:tr w14:paraId="6789E63A">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5A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LCS0603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F0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SBR6#池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6C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 SBR 池</w:t>
            </w:r>
          </w:p>
        </w:tc>
      </w:tr>
      <w:tr w14:paraId="4B286D9B">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5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LCS0604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82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723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醋酸钠加药系统</w:t>
            </w:r>
          </w:p>
        </w:tc>
      </w:tr>
      <w:tr w14:paraId="6D402824">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C2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LCS0605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F6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820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加药系统</w:t>
            </w:r>
          </w:p>
        </w:tc>
      </w:tr>
      <w:tr w14:paraId="1A8A691E">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ED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LCS0606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CF42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生物池除臭</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5D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除臭系统</w:t>
            </w:r>
          </w:p>
        </w:tc>
      </w:tr>
      <w:tr w14:paraId="6B8BFA35">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F5A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LCS0701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C9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 配电室 2</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E2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7#曝气系统</w:t>
            </w:r>
          </w:p>
        </w:tc>
      </w:tr>
      <w:tr w14:paraId="6CC2AE59">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AA5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LCS0702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E4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 8#池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77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8#曝气系统</w:t>
            </w:r>
          </w:p>
        </w:tc>
      </w:tr>
      <w:tr w14:paraId="44BDE0D0">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88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LCS0703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3C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SBR 8#池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BF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 SBR 池</w:t>
            </w:r>
          </w:p>
        </w:tc>
      </w:tr>
      <w:tr w14:paraId="2033E81B">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5D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LCS0704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E0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4BE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醋酸钠加药系统</w:t>
            </w:r>
          </w:p>
        </w:tc>
      </w:tr>
      <w:tr w14:paraId="21556465">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6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LCS0705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76B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4E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加药系统</w:t>
            </w:r>
          </w:p>
        </w:tc>
      </w:tr>
      <w:tr w14:paraId="2AE5F461">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6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LCS0706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53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生物池除臭</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3D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除臭系统</w:t>
            </w:r>
          </w:p>
        </w:tc>
      </w:tr>
      <w:tr w14:paraId="0B5471FC">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F6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LCS08-101~08-112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38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LCS08-101~08-112</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0B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LCS08-101~08-112</w:t>
            </w:r>
          </w:p>
        </w:tc>
      </w:tr>
      <w:tr w14:paraId="762D275D">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75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LCS08-201~08-208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A5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LCS08-201~08-208</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535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LCS08-201~08-208</w:t>
            </w:r>
          </w:p>
        </w:tc>
      </w:tr>
      <w:tr w14:paraId="61A52A4B">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17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LCS0901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74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 PAM</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B7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PAM 加药系统</w:t>
            </w:r>
          </w:p>
        </w:tc>
      </w:tr>
      <w:tr w14:paraId="33077129">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62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LCS0901A~F</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83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 PAM</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8F6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PAM 加药系统</w:t>
            </w:r>
          </w:p>
        </w:tc>
      </w:tr>
      <w:tr w14:paraId="55A2A80F">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00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LCS0902</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BB0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气浮池设备间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ED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气浮池活性炭投加系统</w:t>
            </w:r>
          </w:p>
        </w:tc>
      </w:tr>
      <w:tr w14:paraId="61018249">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62D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LCS0903~904</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F0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气浮池设备间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16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w:t>
            </w:r>
          </w:p>
        </w:tc>
      </w:tr>
      <w:tr w14:paraId="59C32540">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05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LCS0905</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AC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气浮池 PAC 加药</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C10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PAC 加药系统</w:t>
            </w:r>
          </w:p>
        </w:tc>
      </w:tr>
      <w:tr w14:paraId="6022C27D">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DD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LCS1001~LCS1011</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85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脱水机房</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78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浓缩机系统</w:t>
            </w:r>
          </w:p>
        </w:tc>
      </w:tr>
      <w:tr w14:paraId="7BA251AC">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30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LCS1101~LCS1108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42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脱水机房</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803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板框脱水机</w:t>
            </w:r>
          </w:p>
        </w:tc>
      </w:tr>
      <w:tr w14:paraId="2ECF3E60">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2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LCS1201~ LCS1203</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DA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除臭</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C9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除臭系统</w:t>
            </w:r>
          </w:p>
        </w:tc>
      </w:tr>
      <w:tr w14:paraId="6BFABF9B">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A4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LCS1204~ LCS1209</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4C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料仓</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D79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料仓系统</w:t>
            </w:r>
          </w:p>
        </w:tc>
      </w:tr>
      <w:tr w14:paraId="5535D03D">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9D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LCS1301~ LCS1306</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FC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紫外消毒渠</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D28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紫外消毒系统</w:t>
            </w:r>
          </w:p>
        </w:tc>
      </w:tr>
      <w:tr w14:paraId="2E27929E">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8E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LCS1307</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C7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出水水质分析小室</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1C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出水水质监测</w:t>
            </w:r>
          </w:p>
        </w:tc>
      </w:tr>
      <w:tr w14:paraId="21C63406">
        <w:tblPrEx>
          <w:tblCellMar>
            <w:top w:w="0" w:type="dxa"/>
            <w:left w:w="108" w:type="dxa"/>
            <w:bottom w:w="0" w:type="dxa"/>
            <w:right w:w="108" w:type="dxa"/>
          </w:tblCellMar>
        </w:tblPrEx>
        <w:trPr>
          <w:trHeight w:val="500" w:hRule="atLeast"/>
        </w:trPr>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718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LCS1308</w:t>
            </w:r>
          </w:p>
        </w:tc>
        <w:tc>
          <w:tcPr>
            <w:tcW w:w="3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98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次氯酸钠加药间</w:t>
            </w:r>
          </w:p>
        </w:tc>
        <w:tc>
          <w:tcPr>
            <w:tcW w:w="2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A7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次氯酸钠加药系统</w:t>
            </w:r>
          </w:p>
        </w:tc>
      </w:tr>
    </w:tbl>
    <w:p w14:paraId="4BC68F6A">
      <w:pPr>
        <w:pStyle w:val="5"/>
        <w:spacing w:line="294" w:lineRule="auto"/>
        <w:rPr>
          <w:rFonts w:eastAsia="宋体"/>
        </w:rPr>
      </w:pPr>
    </w:p>
    <w:p w14:paraId="1B78A90E">
      <w:pPr>
        <w:spacing w:before="78" w:line="360" w:lineRule="auto"/>
        <w:ind w:right="27" w:firstLine="460" w:firstLineChars="200"/>
        <w:rPr>
          <w:rFonts w:ascii="宋体" w:hAnsi="宋体" w:eastAsia="宋体" w:cs="宋体"/>
          <w:sz w:val="24"/>
        </w:rPr>
      </w:pPr>
      <w:r>
        <w:rPr>
          <w:rFonts w:hint="eastAsia" w:ascii="宋体" w:hAnsi="宋体" w:eastAsia="宋体" w:cs="宋体"/>
          <w:spacing w:val="-5"/>
          <w:sz w:val="24"/>
        </w:rPr>
        <w:t>注</w:t>
      </w:r>
      <w:r>
        <w:rPr>
          <w:rFonts w:hint="eastAsia" w:ascii="宋体" w:hAnsi="宋体" w:eastAsia="宋体" w:cs="宋体"/>
          <w:spacing w:val="-16"/>
          <w:sz w:val="24"/>
        </w:rPr>
        <w:t xml:space="preserve"> </w:t>
      </w:r>
      <w:r>
        <w:rPr>
          <w:rFonts w:hint="eastAsia" w:ascii="宋体" w:hAnsi="宋体" w:eastAsia="宋体" w:cs="宋体"/>
          <w:spacing w:val="-5"/>
          <w:sz w:val="24"/>
        </w:rPr>
        <w:t>1：制造厂成套控制站应可以增加必须的非制造厂设备的控制。</w:t>
      </w:r>
    </w:p>
    <w:p w14:paraId="7EFA45DD">
      <w:pPr>
        <w:spacing w:before="78" w:line="360" w:lineRule="auto"/>
        <w:ind w:right="90" w:firstLine="480" w:firstLineChars="200"/>
        <w:rPr>
          <w:rFonts w:ascii="宋体" w:hAnsi="宋体" w:eastAsia="宋体" w:cs="宋体"/>
          <w:sz w:val="24"/>
        </w:rPr>
      </w:pPr>
      <w:r>
        <w:rPr>
          <w:rFonts w:hint="eastAsia" w:ascii="宋体" w:hAnsi="宋体" w:eastAsia="宋体" w:cs="宋体"/>
          <w:sz w:val="24"/>
        </w:rPr>
        <w:t>注 2:上述就地控制站的输入输出点，由投标人按照输入输出点</w:t>
      </w:r>
      <w:r>
        <w:rPr>
          <w:rFonts w:hint="eastAsia" w:ascii="宋体" w:hAnsi="宋体" w:eastAsia="宋体" w:cs="宋体"/>
          <w:spacing w:val="-1"/>
          <w:sz w:val="24"/>
        </w:rPr>
        <w:t>统计原则</w:t>
      </w:r>
      <w:r>
        <w:rPr>
          <w:rFonts w:hint="eastAsia" w:ascii="宋体" w:hAnsi="宋体" w:eastAsia="宋体" w:cs="宋体"/>
          <w:spacing w:val="-6"/>
          <w:sz w:val="24"/>
        </w:rPr>
        <w:t>自行统计并类如投标文件中。</w:t>
      </w:r>
    </w:p>
    <w:p w14:paraId="62572FEF">
      <w:pPr>
        <w:spacing w:line="360" w:lineRule="auto"/>
        <w:rPr>
          <w:rFonts w:ascii="宋体" w:hAnsi="宋体" w:eastAsia="宋体" w:cs="宋体"/>
          <w:b/>
          <w:bCs/>
          <w:sz w:val="24"/>
          <w:szCs w:val="32"/>
        </w:rPr>
      </w:pPr>
      <w:r>
        <w:rPr>
          <w:rFonts w:hint="eastAsia" w:ascii="宋体" w:hAnsi="宋体" w:eastAsia="宋体" w:cs="宋体"/>
          <w:b/>
          <w:bCs/>
          <w:sz w:val="24"/>
          <w:szCs w:val="32"/>
        </w:rPr>
        <w:t>C.本工程控制器输入输出点统计原则</w:t>
      </w:r>
    </w:p>
    <w:p w14:paraId="45D6DF62">
      <w:pPr>
        <w:spacing w:line="360" w:lineRule="auto"/>
        <w:rPr>
          <w:rFonts w:ascii="宋体" w:hAnsi="宋体" w:eastAsia="宋体" w:cs="宋体"/>
          <w:sz w:val="24"/>
          <w:szCs w:val="32"/>
        </w:rPr>
      </w:pPr>
      <w:r>
        <w:rPr>
          <w:rFonts w:hint="eastAsia" w:ascii="宋体" w:hAnsi="宋体" w:eastAsia="宋体" w:cs="宋体"/>
          <w:sz w:val="24"/>
          <w:szCs w:val="32"/>
        </w:rPr>
        <w:t>1.控制器输入输出信号原则要求</w:t>
      </w:r>
    </w:p>
    <w:tbl>
      <w:tblPr>
        <w:tblStyle w:val="8"/>
        <w:tblW w:w="8715" w:type="dxa"/>
        <w:tblInd w:w="100" w:type="dxa"/>
        <w:tblLayout w:type="autofit"/>
        <w:tblCellMar>
          <w:top w:w="0" w:type="dxa"/>
          <w:left w:w="108" w:type="dxa"/>
          <w:bottom w:w="0" w:type="dxa"/>
          <w:right w:w="108" w:type="dxa"/>
        </w:tblCellMar>
      </w:tblPr>
      <w:tblGrid>
        <w:gridCol w:w="818"/>
        <w:gridCol w:w="2026"/>
        <w:gridCol w:w="999"/>
        <w:gridCol w:w="878"/>
        <w:gridCol w:w="759"/>
        <w:gridCol w:w="781"/>
        <w:gridCol w:w="759"/>
        <w:gridCol w:w="1695"/>
      </w:tblGrid>
      <w:tr w14:paraId="0FBFFF4A">
        <w:tblPrEx>
          <w:tblCellMar>
            <w:top w:w="0" w:type="dxa"/>
            <w:left w:w="108" w:type="dxa"/>
            <w:bottom w:w="0" w:type="dxa"/>
            <w:right w:w="108" w:type="dxa"/>
          </w:tblCellMar>
        </w:tblPrEx>
        <w:trPr>
          <w:trHeight w:val="50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47A3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w:t>
            </w:r>
            <w:r>
              <w:rPr>
                <w:rFonts w:hint="eastAsia" w:ascii="宋体" w:hAnsi="宋体" w:eastAsia="宋体" w:cs="宋体"/>
                <w:color w:val="000000"/>
                <w:kern w:val="0"/>
                <w:sz w:val="18"/>
                <w:szCs w:val="18"/>
                <w:lang w:bidi="ar"/>
              </w:rPr>
              <w:t xml:space="preserve"> </w:t>
            </w:r>
            <w:r>
              <w:rPr>
                <w:rFonts w:hint="eastAsia" w:ascii="宋体" w:hAnsi="宋体" w:eastAsia="宋体" w:cs="宋体"/>
                <w:b/>
                <w:bCs/>
                <w:color w:val="000000"/>
                <w:kern w:val="0"/>
                <w:sz w:val="18"/>
                <w:szCs w:val="18"/>
                <w:lang w:bidi="ar"/>
              </w:rPr>
              <w:t>号</w:t>
            </w:r>
          </w:p>
        </w:tc>
        <w:tc>
          <w:tcPr>
            <w:tcW w:w="20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21C2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描述</w:t>
            </w:r>
          </w:p>
        </w:tc>
        <w:tc>
          <w:tcPr>
            <w:tcW w:w="4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CEBB2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输入输出点</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F2089">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备注</w:t>
            </w:r>
          </w:p>
        </w:tc>
      </w:tr>
      <w:tr w14:paraId="0AECDAFC">
        <w:tblPrEx>
          <w:tblCellMar>
            <w:top w:w="0" w:type="dxa"/>
            <w:left w:w="108" w:type="dxa"/>
            <w:bottom w:w="0" w:type="dxa"/>
            <w:right w:w="108" w:type="dxa"/>
          </w:tblCellMar>
        </w:tblPrEx>
        <w:trPr>
          <w:trHeight w:val="50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735A">
            <w:pPr>
              <w:jc w:val="center"/>
              <w:rPr>
                <w:rFonts w:ascii="宋体" w:hAnsi="宋体" w:eastAsia="宋体" w:cs="宋体"/>
                <w:b/>
                <w:bCs/>
                <w:color w:val="000000"/>
                <w:sz w:val="18"/>
                <w:szCs w:val="18"/>
              </w:rPr>
            </w:pPr>
          </w:p>
        </w:tc>
        <w:tc>
          <w:tcPr>
            <w:tcW w:w="20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329BF">
            <w:pPr>
              <w:jc w:val="center"/>
              <w:rPr>
                <w:rFonts w:ascii="宋体" w:hAnsi="宋体" w:eastAsia="宋体" w:cs="宋体"/>
                <w:b/>
                <w:bCs/>
                <w:color w:val="000000"/>
                <w:sz w:val="18"/>
                <w:szCs w:val="18"/>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6D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AI</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14E9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AO</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E8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DI</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AB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DO</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982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COM</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93E0">
            <w:pPr>
              <w:jc w:val="center"/>
              <w:rPr>
                <w:rFonts w:ascii="宋体" w:hAnsi="宋体" w:eastAsia="宋体" w:cs="宋体"/>
                <w:b/>
                <w:bCs/>
                <w:color w:val="000000"/>
                <w:sz w:val="18"/>
                <w:szCs w:val="18"/>
              </w:rPr>
            </w:pPr>
          </w:p>
        </w:tc>
      </w:tr>
      <w:tr w14:paraId="74A5F506">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AA8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A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开关柜</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F665">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7CC5">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89FA">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11AF">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6CED">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676E">
            <w:pPr>
              <w:jc w:val="center"/>
              <w:rPr>
                <w:rFonts w:ascii="宋体" w:hAnsi="宋体" w:eastAsia="宋体" w:cs="宋体"/>
                <w:color w:val="000000"/>
                <w:sz w:val="18"/>
                <w:szCs w:val="18"/>
              </w:rPr>
            </w:pPr>
          </w:p>
        </w:tc>
      </w:tr>
      <w:tr w14:paraId="01959523">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D0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94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电气测量保护信号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64CE">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9FB24">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78C8">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A6F4A">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5387">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66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详见电气技术要求</w:t>
            </w:r>
          </w:p>
        </w:tc>
      </w:tr>
      <w:tr w14:paraId="1B36717C">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10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F4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变压器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60433">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F99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C568">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F42F">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1E8">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3B29">
            <w:pPr>
              <w:jc w:val="center"/>
              <w:rPr>
                <w:rFonts w:ascii="宋体" w:hAnsi="宋体" w:eastAsia="宋体" w:cs="宋体"/>
                <w:color w:val="000000"/>
                <w:sz w:val="18"/>
                <w:szCs w:val="18"/>
              </w:rPr>
            </w:pPr>
          </w:p>
        </w:tc>
      </w:tr>
      <w:tr w14:paraId="28EE68F3">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50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30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变压器超温、高温</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EA69">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99C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6D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DB1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9878">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1D8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△变压器数量</w:t>
            </w:r>
          </w:p>
        </w:tc>
      </w:tr>
      <w:tr w14:paraId="7E26F6FE">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F3C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76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电容器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C7F7">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E164A">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9DA44">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7442F">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A4FA">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E5DB">
            <w:pPr>
              <w:jc w:val="center"/>
              <w:rPr>
                <w:rFonts w:ascii="宋体" w:hAnsi="宋体" w:eastAsia="宋体" w:cs="宋体"/>
                <w:color w:val="000000"/>
                <w:sz w:val="18"/>
                <w:szCs w:val="18"/>
              </w:rPr>
            </w:pPr>
          </w:p>
        </w:tc>
      </w:tr>
      <w:tr w14:paraId="59B2BC2C">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78D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E3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电容器信号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75172">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C59DB">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FF6C">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BC69">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CA62">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A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△电容器柜数量</w:t>
            </w:r>
          </w:p>
        </w:tc>
      </w:tr>
      <w:tr w14:paraId="70712E02">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D5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30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变频器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E7C6">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F694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942C">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2B7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0EA2">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4DD8">
            <w:pPr>
              <w:jc w:val="center"/>
              <w:rPr>
                <w:rFonts w:ascii="宋体" w:hAnsi="宋体" w:eastAsia="宋体" w:cs="宋体"/>
                <w:color w:val="000000"/>
                <w:sz w:val="18"/>
                <w:szCs w:val="18"/>
              </w:rPr>
            </w:pPr>
          </w:p>
        </w:tc>
      </w:tr>
      <w:tr w14:paraId="67A78540">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FB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263D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变频器信号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E0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8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BF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B0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6714">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705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变频器数量</w:t>
            </w:r>
          </w:p>
        </w:tc>
      </w:tr>
      <w:tr w14:paraId="1CF18054">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E0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E9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电动机</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71A6">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E02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DBCFD">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4146">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14EF">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146D">
            <w:pPr>
              <w:jc w:val="center"/>
              <w:rPr>
                <w:rFonts w:ascii="宋体" w:hAnsi="宋体" w:eastAsia="宋体" w:cs="宋体"/>
                <w:color w:val="000000"/>
                <w:sz w:val="18"/>
                <w:szCs w:val="18"/>
              </w:rPr>
            </w:pPr>
          </w:p>
        </w:tc>
      </w:tr>
      <w:tr w14:paraId="0F7C0774">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4CB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5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故障信号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DFBE">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307A">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71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B8F5">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4746">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632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电动机数量</w:t>
            </w:r>
          </w:p>
        </w:tc>
      </w:tr>
      <w:tr w14:paraId="78BEF42C">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ACF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E9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就地/远方转换开关 位置信号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18EE4">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8025">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D1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CED6">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F129">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90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电动机数量</w:t>
            </w:r>
          </w:p>
        </w:tc>
      </w:tr>
      <w:tr w14:paraId="68D96049">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0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24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运行信号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11C24">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9195">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C84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36DF7">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92D1">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33F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电动机数量</w:t>
            </w:r>
          </w:p>
        </w:tc>
      </w:tr>
      <w:tr w14:paraId="1F2F1E38">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B8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040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开关位置</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79E7">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36D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7D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70EB">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D1B3">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E69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电动机数量</w:t>
            </w:r>
          </w:p>
        </w:tc>
      </w:tr>
      <w:tr w14:paraId="26710443">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1E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DA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控制信号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FB7D">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C86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B5CF">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A31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4C00">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8C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电动机数量</w:t>
            </w:r>
          </w:p>
        </w:tc>
      </w:tr>
      <w:tr w14:paraId="54A07EF4">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A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01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轴温</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2FF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C4D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2E3E">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A95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080A">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2F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△10kV 电动机数量</w:t>
            </w:r>
          </w:p>
        </w:tc>
      </w:tr>
      <w:tr w14:paraId="30D285A1">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4A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237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低压配电控制系中心</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F482">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FC5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4D29">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DB69">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29DB">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880CF">
            <w:pPr>
              <w:jc w:val="center"/>
              <w:rPr>
                <w:rFonts w:ascii="宋体" w:hAnsi="宋体" w:eastAsia="宋体" w:cs="宋体"/>
                <w:color w:val="000000"/>
                <w:sz w:val="18"/>
                <w:szCs w:val="18"/>
              </w:rPr>
            </w:pPr>
          </w:p>
        </w:tc>
      </w:tr>
      <w:tr w14:paraId="271FEB45">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1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53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进线/母联三相电流</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1300">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CF6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70C3">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CF57">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290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C5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△进线数量</w:t>
            </w:r>
          </w:p>
        </w:tc>
      </w:tr>
      <w:tr w14:paraId="2DCDB453">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6E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A23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进线/母联三相电压</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4557">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FFD6">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776E">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83C3">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8B0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D9D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△进线数量</w:t>
            </w:r>
          </w:p>
        </w:tc>
      </w:tr>
      <w:tr w14:paraId="4DB22E01">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B9E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15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进线/母联功率</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72163">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C89B">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9C88">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C60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C6D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62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△进线数量</w:t>
            </w:r>
          </w:p>
        </w:tc>
      </w:tr>
      <w:tr w14:paraId="7A93FC15">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C1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186C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进线/母联功率因数</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48F9">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59A3">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B29B">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CFD4">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EB0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64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△进线数量</w:t>
            </w:r>
          </w:p>
        </w:tc>
      </w:tr>
      <w:tr w14:paraId="7355DD7E">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B1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6B7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进线/母联电量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8E150">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8AA8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2EF88">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C233A">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34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09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△进线数量</w:t>
            </w:r>
          </w:p>
        </w:tc>
      </w:tr>
      <w:tr w14:paraId="34FE7AA4">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28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4E7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成套设备出线电量</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5451">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664B">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40DF0">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56A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318E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0565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△成套设备数量</w:t>
            </w:r>
          </w:p>
        </w:tc>
      </w:tr>
      <w:tr w14:paraId="1EC4BAEF">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B0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57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有源滤波系统</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A1CC1">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E824">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6040">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79C6">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8AF5">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78D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详见电气技术要求</w:t>
            </w:r>
          </w:p>
        </w:tc>
      </w:tr>
      <w:tr w14:paraId="64691D60">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5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B84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软起动器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CBD40">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16B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5BD9">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66DA">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CED">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00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详见电气技术要求</w:t>
            </w:r>
          </w:p>
        </w:tc>
      </w:tr>
      <w:tr w14:paraId="0D6A747B">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E7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54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075A">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0B6B">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EE4C">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6BF23">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F8046">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E01B">
            <w:pPr>
              <w:jc w:val="center"/>
              <w:rPr>
                <w:rFonts w:ascii="宋体" w:hAnsi="宋体" w:eastAsia="宋体" w:cs="宋体"/>
                <w:color w:val="000000"/>
                <w:sz w:val="18"/>
                <w:szCs w:val="18"/>
              </w:rPr>
            </w:pPr>
          </w:p>
        </w:tc>
      </w:tr>
      <w:tr w14:paraId="109D1BDE">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22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4F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变频器反馈信号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169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AC2D9">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B036">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D5FE">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4AF6">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A9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△变频器数量</w:t>
            </w:r>
          </w:p>
        </w:tc>
      </w:tr>
      <w:tr w14:paraId="4FC7E5F8">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BAC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9D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变频器调节信号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451E">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4D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39B4">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682A">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C875">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A08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△变频器数量</w:t>
            </w:r>
          </w:p>
        </w:tc>
      </w:tr>
      <w:tr w14:paraId="4700C8F7">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31F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8BA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变频器参数信号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103E6">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F743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E802">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34FC5">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17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8B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△变频器数量</w:t>
            </w:r>
          </w:p>
        </w:tc>
      </w:tr>
      <w:tr w14:paraId="2B6CE748">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8F5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8B2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低压马达控制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FC4C">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A1E3">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56BC">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1445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63FF">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2108">
            <w:pPr>
              <w:jc w:val="center"/>
              <w:rPr>
                <w:rFonts w:ascii="宋体" w:hAnsi="宋体" w:eastAsia="宋体" w:cs="宋体"/>
                <w:color w:val="000000"/>
                <w:sz w:val="18"/>
                <w:szCs w:val="18"/>
              </w:rPr>
            </w:pPr>
          </w:p>
        </w:tc>
      </w:tr>
      <w:tr w14:paraId="7947EB9D">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71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F12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故障信号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870E">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21EE6">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05F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8C4B9">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9C57">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D72B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△马达数量</w:t>
            </w:r>
          </w:p>
        </w:tc>
      </w:tr>
      <w:tr w14:paraId="41B6C00A">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EB5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FB1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运行信号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5C34">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1A7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56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847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619C">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92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△马达数量</w:t>
            </w:r>
          </w:p>
        </w:tc>
      </w:tr>
      <w:tr w14:paraId="18CA5749">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0E7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7B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转换开关位置信号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13F3">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352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1E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7FAC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7E6E">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2F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△转换开关位置</w:t>
            </w:r>
          </w:p>
        </w:tc>
      </w:tr>
      <w:tr w14:paraId="64E5528F">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2D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27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控制信号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5E84">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A8E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3DB4">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1DF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0A706">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7C6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△马达数量</w:t>
            </w:r>
          </w:p>
        </w:tc>
      </w:tr>
      <w:tr w14:paraId="5F2564C9">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D1B4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53A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开关位置</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E97">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2E4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2F2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F621">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3897">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6C2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△马达数量</w:t>
            </w:r>
          </w:p>
        </w:tc>
      </w:tr>
      <w:tr w14:paraId="28476AA5">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64B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7C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轴温</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DAD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3C61">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19A7">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C8E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7FADA">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38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△90kW 及以上马达数量</w:t>
            </w:r>
          </w:p>
        </w:tc>
      </w:tr>
      <w:tr w14:paraId="0CE5CD6D">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F9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BC1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电动闸、阀门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5E21">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CC1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64DF">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D776F">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BAE8D">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406CC">
            <w:pPr>
              <w:jc w:val="center"/>
              <w:rPr>
                <w:rFonts w:ascii="宋体" w:hAnsi="宋体" w:eastAsia="宋体" w:cs="宋体"/>
                <w:color w:val="000000"/>
                <w:sz w:val="18"/>
                <w:szCs w:val="18"/>
              </w:rPr>
            </w:pPr>
          </w:p>
        </w:tc>
      </w:tr>
      <w:tr w14:paraId="616D4C0D">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9840">
            <w:pPr>
              <w:jc w:val="center"/>
              <w:rPr>
                <w:rFonts w:ascii="宋体" w:hAnsi="宋体" w:eastAsia="宋体" w:cs="宋体"/>
                <w:color w:val="000000"/>
                <w:sz w:val="18"/>
                <w:szCs w:val="18"/>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BE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闸、阀门位置信号</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0246D">
            <w:pPr>
              <w:jc w:val="center"/>
              <w:rPr>
                <w:rFonts w:ascii="宋体" w:hAnsi="宋体" w:eastAsia="宋体" w:cs="宋体"/>
                <w:color w:val="000000"/>
                <w:sz w:val="18"/>
                <w:szCs w:val="18"/>
              </w:rPr>
            </w:pP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259FE">
            <w:pPr>
              <w:jc w:val="center"/>
              <w:rPr>
                <w:rFonts w:ascii="宋体" w:hAnsi="宋体" w:eastAsia="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341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50911">
            <w:pPr>
              <w:jc w:val="center"/>
              <w:rPr>
                <w:rFonts w:ascii="宋体" w:hAnsi="宋体" w:eastAsia="宋体" w:cs="宋体"/>
                <w:color w:val="000000"/>
                <w:sz w:val="18"/>
                <w:szCs w:val="18"/>
              </w:rPr>
            </w:pP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9C025">
            <w:pPr>
              <w:jc w:val="center"/>
              <w:rPr>
                <w:rFonts w:ascii="宋体" w:hAnsi="宋体" w:eastAsia="宋体" w:cs="宋体"/>
                <w:color w:val="000000"/>
                <w:sz w:val="18"/>
                <w:szCs w:val="18"/>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D25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△闸、阀门数量</w:t>
            </w:r>
          </w:p>
        </w:tc>
      </w:tr>
      <w:tr w14:paraId="7861E346">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75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17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（全开关）</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4C2B2">
            <w:pPr>
              <w:jc w:val="center"/>
              <w:rPr>
                <w:rFonts w:ascii="宋体" w:hAnsi="宋体" w:eastAsia="宋体" w:cs="宋体"/>
                <w:color w:val="000000"/>
                <w:sz w:val="18"/>
                <w:szCs w:val="18"/>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DEA1A">
            <w:pPr>
              <w:jc w:val="center"/>
              <w:rPr>
                <w:rFonts w:ascii="宋体" w:hAnsi="宋体" w:eastAsia="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AAD34">
            <w:pPr>
              <w:jc w:val="center"/>
              <w:rPr>
                <w:rFonts w:ascii="宋体" w:hAnsi="宋体" w:eastAsia="宋体" w:cs="宋体"/>
                <w:color w:val="000000"/>
                <w:sz w:val="18"/>
                <w:szCs w:val="18"/>
              </w:rPr>
            </w:pPr>
          </w:p>
        </w:tc>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381D9">
            <w:pPr>
              <w:jc w:val="center"/>
              <w:rPr>
                <w:rFonts w:ascii="宋体" w:hAnsi="宋体" w:eastAsia="宋体" w:cs="宋体"/>
                <w:color w:val="000000"/>
                <w:sz w:val="18"/>
                <w:szCs w:val="18"/>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9597E">
            <w:pPr>
              <w:jc w:val="center"/>
              <w:rPr>
                <w:rFonts w:ascii="宋体" w:hAnsi="宋体" w:eastAsia="宋体" w:cs="宋体"/>
                <w:color w:val="000000"/>
                <w:sz w:val="18"/>
                <w:szCs w:val="18"/>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13C2">
            <w:pPr>
              <w:jc w:val="center"/>
              <w:rPr>
                <w:rFonts w:ascii="宋体" w:hAnsi="宋体" w:eastAsia="宋体" w:cs="宋体"/>
                <w:color w:val="000000"/>
                <w:sz w:val="18"/>
                <w:szCs w:val="18"/>
              </w:rPr>
            </w:pPr>
          </w:p>
        </w:tc>
      </w:tr>
      <w:tr w14:paraId="46866969">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E0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B5F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闸、阀门故障信号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3F3E">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065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0E4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336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DA594">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F5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△闸、阀门数量</w:t>
            </w:r>
          </w:p>
        </w:tc>
      </w:tr>
      <w:tr w14:paraId="200FA907">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6CE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6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就地/远方转换开关 位置信号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4CBE">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F66E">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B8E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0859">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43266">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347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△闸、阀门数量</w:t>
            </w:r>
          </w:p>
        </w:tc>
      </w:tr>
      <w:tr w14:paraId="40E2DBC3">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25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81F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闸、阀门控制信号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F65C">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1D82">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E841">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F24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B65B">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758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△闸、阀门数量</w:t>
            </w:r>
          </w:p>
        </w:tc>
      </w:tr>
      <w:tr w14:paraId="52138CE8">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921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27CC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调节阀门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EB3B">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29D3">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B5300">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C0E8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121D">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A2AD">
            <w:pPr>
              <w:jc w:val="center"/>
              <w:rPr>
                <w:rFonts w:ascii="宋体" w:hAnsi="宋体" w:eastAsia="宋体" w:cs="宋体"/>
                <w:color w:val="000000"/>
                <w:sz w:val="18"/>
                <w:szCs w:val="18"/>
              </w:rPr>
            </w:pPr>
          </w:p>
        </w:tc>
      </w:tr>
      <w:tr w14:paraId="0D76C547">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73C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73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调节阀故障</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2983">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34F9">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3F8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90A7">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5826">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6F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△调节阀数量</w:t>
            </w:r>
          </w:p>
        </w:tc>
      </w:tr>
      <w:tr w14:paraId="50EFBADE">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DFB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BF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就地远方转换开关 位置</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B484">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F5D5">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FC9F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DD8C">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73561">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84D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△调节阀数量</w:t>
            </w:r>
          </w:p>
        </w:tc>
      </w:tr>
      <w:tr w14:paraId="7570978D">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A8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6B7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位置反馈</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7E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8F89">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4DCB">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21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834E">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40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△调节阀数量</w:t>
            </w:r>
          </w:p>
        </w:tc>
      </w:tr>
      <w:tr w14:paraId="46121A77">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F0C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D27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调节阀控制</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1A7A">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2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4263">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7FA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BE52">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152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△调节阀数量</w:t>
            </w:r>
          </w:p>
        </w:tc>
      </w:tr>
      <w:tr w14:paraId="77A4BA99">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2D3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2C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在线仪表信号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D04A">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B1CD">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3D652">
            <w:pPr>
              <w:jc w:val="center"/>
              <w:rPr>
                <w:rFonts w:ascii="宋体" w:hAnsi="宋体" w:eastAsia="宋体" w:cs="宋体"/>
                <w:color w:val="000000"/>
                <w:sz w:val="18"/>
                <w:szCs w:val="18"/>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140">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4FCF">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7FE7">
            <w:pPr>
              <w:jc w:val="center"/>
              <w:rPr>
                <w:rFonts w:ascii="宋体" w:hAnsi="宋体" w:eastAsia="宋体" w:cs="宋体"/>
                <w:color w:val="000000"/>
                <w:sz w:val="18"/>
                <w:szCs w:val="18"/>
              </w:rPr>
            </w:pPr>
          </w:p>
        </w:tc>
      </w:tr>
      <w:tr w14:paraId="1232F81F">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7F3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714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在线测量仪表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5D7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AACB">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160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9E34">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F148B">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08D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△在线仪表数量</w:t>
            </w:r>
          </w:p>
        </w:tc>
      </w:tr>
      <w:tr w14:paraId="4DCBE2DC">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67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241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流量仪表</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23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4DEA1">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A0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A748">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581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2E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△在线仪表数量</w:t>
            </w:r>
          </w:p>
        </w:tc>
      </w:tr>
      <w:tr w14:paraId="09123EE8">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E74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6F1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液位/压力开关</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2CE8B">
            <w:pPr>
              <w:jc w:val="center"/>
              <w:rPr>
                <w:rFonts w:ascii="宋体" w:hAnsi="宋体" w:eastAsia="宋体" w:cs="宋体"/>
                <w:color w:val="000000"/>
                <w:sz w:val="18"/>
                <w:szCs w:val="18"/>
              </w:rPr>
            </w:pP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A623F">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D1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9E8E">
            <w:pPr>
              <w:jc w:val="center"/>
              <w:rPr>
                <w:rFonts w:ascii="宋体" w:hAnsi="宋体" w:eastAsia="宋体" w:cs="宋体"/>
                <w:color w:val="000000"/>
                <w:sz w:val="18"/>
                <w:szCs w:val="18"/>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9FB3">
            <w:pPr>
              <w:jc w:val="center"/>
              <w:rPr>
                <w:rFonts w:ascii="宋体" w:hAnsi="宋体" w:eastAsia="宋体" w:cs="宋体"/>
                <w:color w:val="000000"/>
                <w:sz w:val="18"/>
                <w:szCs w:val="18"/>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887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△在线仪表数量</w:t>
            </w:r>
          </w:p>
        </w:tc>
      </w:tr>
      <w:tr w14:paraId="20C58797">
        <w:tblPrEx>
          <w:tblCellMar>
            <w:top w:w="0" w:type="dxa"/>
            <w:left w:w="108" w:type="dxa"/>
            <w:bottom w:w="0" w:type="dxa"/>
            <w:right w:w="108" w:type="dxa"/>
          </w:tblCellMar>
        </w:tblPrEx>
        <w:trPr>
          <w:trHeight w:val="5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F4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9D7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备用</w:t>
            </w:r>
          </w:p>
        </w:tc>
        <w:tc>
          <w:tcPr>
            <w:tcW w:w="41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4E5F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46D8">
            <w:pPr>
              <w:jc w:val="center"/>
              <w:rPr>
                <w:rFonts w:ascii="宋体" w:hAnsi="宋体" w:eastAsia="宋体" w:cs="宋体"/>
                <w:color w:val="000000"/>
                <w:sz w:val="18"/>
                <w:szCs w:val="18"/>
              </w:rPr>
            </w:pPr>
          </w:p>
        </w:tc>
      </w:tr>
    </w:tbl>
    <w:p w14:paraId="54EF6B6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注 1：如有的机械设备、电气设备等采用通信方式传递信号，应在投标文件中注明。</w:t>
      </w:r>
    </w:p>
    <w:p w14:paraId="7FF7DCB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注 2：上述输入输出点统计原则为最低要求，投标人可以在不低于上述原则的基础 上为更好的提高设备的应用水平，合理地对上述原则进行补充。</w:t>
      </w:r>
    </w:p>
    <w:p w14:paraId="62DBC002">
      <w:pPr>
        <w:spacing w:line="360" w:lineRule="auto"/>
        <w:ind w:firstLine="480" w:firstLineChars="200"/>
        <w:rPr>
          <w:rFonts w:ascii="宋体" w:hAnsi="宋体" w:eastAsia="宋体" w:cs="宋体"/>
          <w:b/>
          <w:bCs/>
          <w:sz w:val="24"/>
          <w:szCs w:val="32"/>
        </w:rPr>
      </w:pPr>
      <w:r>
        <w:rPr>
          <w:rFonts w:hint="eastAsia" w:ascii="宋体" w:hAnsi="宋体" w:eastAsia="宋体" w:cs="宋体"/>
          <w:sz w:val="24"/>
          <w:szCs w:val="32"/>
        </w:rPr>
        <w:t xml:space="preserve">注 3：电气设备的信号要求详见电气系统的技术要求并按照执行。 </w:t>
      </w:r>
      <w:r>
        <w:rPr>
          <w:rFonts w:hint="eastAsia" w:ascii="宋体" w:hAnsi="宋体" w:eastAsia="宋体" w:cs="宋体"/>
          <w:b/>
          <w:bCs/>
          <w:sz w:val="24"/>
          <w:szCs w:val="32"/>
        </w:rPr>
        <w:t>5.7.5 其它</w:t>
      </w:r>
    </w:p>
    <w:p w14:paraId="2361F10F">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A.仪表现场保护箱：按照仪表通用技术要求中的有关内容，在本工程中要提供</w:t>
      </w:r>
    </w:p>
    <w:p w14:paraId="7F69883D">
      <w:pPr>
        <w:spacing w:line="360" w:lineRule="auto"/>
        <w:rPr>
          <w:rFonts w:ascii="宋体" w:hAnsi="宋体" w:eastAsia="宋体" w:cs="宋体"/>
          <w:sz w:val="24"/>
          <w:szCs w:val="32"/>
        </w:rPr>
      </w:pPr>
      <w:r>
        <w:rPr>
          <w:rFonts w:hint="eastAsia" w:ascii="宋体" w:hAnsi="宋体" w:eastAsia="宋体" w:cs="宋体"/>
          <w:sz w:val="24"/>
          <w:szCs w:val="32"/>
        </w:rPr>
        <w:t>全套仪表现场保护箱。仪表保护箱的规格要满足实际提供仪表的要求。仪表保护箱应具有加热和温度控制功能。</w:t>
      </w:r>
    </w:p>
    <w:p w14:paraId="0E9C8A6B">
      <w:pPr>
        <w:numPr>
          <w:ilvl w:val="0"/>
          <w:numId w:val="4"/>
        </w:num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仪表保护箱和仪表信号进入控制柜之后应安装浪涌抑制器，并与仪表信号匹 配。</w:t>
      </w:r>
      <w:bookmarkStart w:id="14" w:name="bookmark124"/>
      <w:bookmarkEnd w:id="14"/>
    </w:p>
    <w:p w14:paraId="2676E0E5">
      <w:pPr>
        <w:pStyle w:val="2"/>
        <w:rPr>
          <w:rFonts w:ascii="宋体" w:hAnsi="宋体" w:eastAsia="宋体" w:cs="宋体"/>
          <w:sz w:val="28"/>
          <w:szCs w:val="22"/>
        </w:rPr>
      </w:pPr>
      <w:bookmarkStart w:id="15" w:name="_Hlk180500729"/>
      <w:r>
        <w:rPr>
          <w:rFonts w:hint="eastAsia" w:ascii="宋体" w:hAnsi="宋体" w:eastAsia="宋体" w:cs="宋体"/>
          <w:sz w:val="28"/>
          <w:szCs w:val="22"/>
        </w:rPr>
        <w:t>六.功能保证及其它</w:t>
      </w:r>
    </w:p>
    <w:p w14:paraId="399E899C">
      <w:pPr>
        <w:pStyle w:val="3"/>
        <w:rPr>
          <w:rFonts w:ascii="宋体" w:hAnsi="宋体" w:eastAsia="宋体" w:cs="宋体"/>
          <w:sz w:val="24"/>
          <w:szCs w:val="22"/>
        </w:rPr>
      </w:pPr>
      <w:r>
        <w:rPr>
          <w:rFonts w:hint="eastAsia" w:ascii="宋体" w:hAnsi="宋体" w:eastAsia="宋体" w:cs="宋体"/>
          <w:sz w:val="24"/>
          <w:szCs w:val="22"/>
        </w:rPr>
        <w:t>6.1 概述</w:t>
      </w:r>
    </w:p>
    <w:p w14:paraId="1211E60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A.该附件包括：</w:t>
      </w:r>
    </w:p>
    <w:p w14:paraId="53B2C23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1.功能保证有效性的前提，在生产能力及品质和/或消耗方面的设定；</w:t>
      </w:r>
    </w:p>
    <w:p w14:paraId="0BD23EE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 不能达到功能保证要求及其它的违约赔偿金计算方法。</w:t>
      </w:r>
    </w:p>
    <w:p w14:paraId="1BC40C38">
      <w:pPr>
        <w:pStyle w:val="3"/>
        <w:rPr>
          <w:rFonts w:ascii="宋体" w:hAnsi="宋体" w:eastAsia="宋体" w:cs="宋体"/>
          <w:sz w:val="24"/>
          <w:szCs w:val="22"/>
        </w:rPr>
      </w:pPr>
      <w:r>
        <w:rPr>
          <w:rFonts w:hint="eastAsia" w:ascii="宋体" w:hAnsi="宋体" w:eastAsia="宋体" w:cs="宋体"/>
          <w:sz w:val="24"/>
          <w:szCs w:val="22"/>
        </w:rPr>
        <w:t>6.2 前提</w:t>
      </w:r>
    </w:p>
    <w:p w14:paraId="4B15943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A.卖方所供系统及设备的功能保证基于以下前提条件。</w:t>
      </w:r>
    </w:p>
    <w:p w14:paraId="15E2D918">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1.平均处理水量：旱季污水处理量 40 万 m³/d，雨季设计流量60万 m³/d</w:t>
      </w:r>
    </w:p>
    <w:p w14:paraId="3AAF378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 全厂设计进水水质如下：</w:t>
      </w:r>
    </w:p>
    <w:tbl>
      <w:tblPr>
        <w:tblStyle w:val="8"/>
        <w:tblW w:w="7755" w:type="dxa"/>
        <w:tblInd w:w="100" w:type="dxa"/>
        <w:tblLayout w:type="autofit"/>
        <w:tblCellMar>
          <w:top w:w="0" w:type="dxa"/>
          <w:left w:w="108" w:type="dxa"/>
          <w:bottom w:w="0" w:type="dxa"/>
          <w:right w:w="108" w:type="dxa"/>
        </w:tblCellMar>
      </w:tblPr>
      <w:tblGrid>
        <w:gridCol w:w="1619"/>
        <w:gridCol w:w="2775"/>
        <w:gridCol w:w="1426"/>
        <w:gridCol w:w="1935"/>
      </w:tblGrid>
      <w:tr w14:paraId="452AB44E">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E64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CA8C">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4E13">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1A5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设计进水</w:t>
            </w:r>
          </w:p>
        </w:tc>
      </w:tr>
      <w:tr w14:paraId="376C76F6">
        <w:tblPrEx>
          <w:tblCellMar>
            <w:top w:w="0" w:type="dxa"/>
            <w:left w:w="108" w:type="dxa"/>
            <w:bottom w:w="0" w:type="dxa"/>
            <w:right w:w="108" w:type="dxa"/>
          </w:tblCellMar>
        </w:tblPrEx>
        <w:trPr>
          <w:trHeight w:val="400" w:hRule="atLeast"/>
        </w:trPr>
        <w:tc>
          <w:tcPr>
            <w:tcW w:w="7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3E45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旱季</w:t>
            </w:r>
          </w:p>
        </w:tc>
      </w:tr>
      <w:tr w14:paraId="454C8668">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97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FFE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生化需氧量（BOD5）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A7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43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r>
      <w:tr w14:paraId="254F6A72">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D1D2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F3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化学需氧量（CODcr）</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B6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267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r>
      <w:tr w14:paraId="7EDD5829">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538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76FA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悬浮物（SS）</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3F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B9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w:t>
            </w:r>
          </w:p>
        </w:tc>
      </w:tr>
      <w:tr w14:paraId="38582DBF">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18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C1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总氮(TN)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5EE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0C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r>
      <w:tr w14:paraId="3F25F4CA">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D26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8C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氨氮(NH3-N)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842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47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r>
      <w:tr w14:paraId="6AF003F2">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B28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9303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总磷（以 P 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AC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2B6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r>
      <w:tr w14:paraId="2E5A0672">
        <w:tblPrEx>
          <w:tblCellMar>
            <w:top w:w="0" w:type="dxa"/>
            <w:left w:w="108" w:type="dxa"/>
            <w:bottom w:w="0" w:type="dxa"/>
            <w:right w:w="108" w:type="dxa"/>
          </w:tblCellMar>
        </w:tblPrEx>
        <w:trPr>
          <w:trHeight w:val="400" w:hRule="atLeast"/>
        </w:trPr>
        <w:tc>
          <w:tcPr>
            <w:tcW w:w="7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D444A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雨季</w:t>
            </w:r>
          </w:p>
        </w:tc>
      </w:tr>
      <w:tr w14:paraId="094362C0">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06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E0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生化需氧量（BOD5）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BB1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C7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r>
      <w:tr w14:paraId="21A666AA">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04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C3D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化学需氧量（CODcr）</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E9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A2C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245</w:t>
            </w:r>
          </w:p>
        </w:tc>
      </w:tr>
      <w:tr w14:paraId="545D55C6">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4E5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33D7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悬浮物（SS）</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AD5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277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230</w:t>
            </w:r>
          </w:p>
        </w:tc>
      </w:tr>
      <w:tr w14:paraId="5D348E33">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80B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F8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总氮(TN)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ACCB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8B9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r>
      <w:tr w14:paraId="4294972D">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330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D6E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氨氮(NH3-N)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1D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34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r>
      <w:tr w14:paraId="2AC3884F">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706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6EE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总磷（以 P 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F9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640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r>
    </w:tbl>
    <w:p w14:paraId="2A510CC7">
      <w:pPr>
        <w:spacing w:line="360" w:lineRule="auto"/>
        <w:ind w:firstLine="480" w:firstLineChars="200"/>
        <w:rPr>
          <w:rFonts w:ascii="宋体" w:hAnsi="宋体" w:eastAsia="宋体" w:cs="宋体"/>
          <w:sz w:val="24"/>
          <w:szCs w:val="32"/>
        </w:rPr>
      </w:pPr>
    </w:p>
    <w:p w14:paraId="0263EC1D">
      <w:pPr>
        <w:rPr>
          <w:rFonts w:ascii="宋体" w:hAnsi="宋体" w:eastAsia="宋体" w:cs="宋体"/>
          <w:sz w:val="24"/>
          <w:szCs w:val="32"/>
        </w:rPr>
      </w:pPr>
      <w:bookmarkStart w:id="16" w:name="bookmark152"/>
      <w:bookmarkEnd w:id="16"/>
      <w:bookmarkStart w:id="17" w:name="bookmark126"/>
      <w:bookmarkEnd w:id="17"/>
      <w:bookmarkStart w:id="18" w:name="bookmark148"/>
      <w:bookmarkEnd w:id="18"/>
      <w:r>
        <w:rPr>
          <w:rFonts w:hint="eastAsia" w:ascii="宋体" w:hAnsi="宋体" w:eastAsia="宋体" w:cs="宋体"/>
          <w:sz w:val="24"/>
          <w:szCs w:val="32"/>
        </w:rPr>
        <w:t>B. 改进型 SBR 系统进水水质</w:t>
      </w:r>
    </w:p>
    <w:tbl>
      <w:tblPr>
        <w:tblStyle w:val="8"/>
        <w:tblW w:w="7755" w:type="dxa"/>
        <w:tblInd w:w="100" w:type="dxa"/>
        <w:tblLayout w:type="autofit"/>
        <w:tblCellMar>
          <w:top w:w="0" w:type="dxa"/>
          <w:left w:w="108" w:type="dxa"/>
          <w:bottom w:w="0" w:type="dxa"/>
          <w:right w:w="108" w:type="dxa"/>
        </w:tblCellMar>
      </w:tblPr>
      <w:tblGrid>
        <w:gridCol w:w="1619"/>
        <w:gridCol w:w="2775"/>
        <w:gridCol w:w="1426"/>
        <w:gridCol w:w="1935"/>
      </w:tblGrid>
      <w:tr w14:paraId="2C17B1E9">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C264">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5677">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4DF7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74BF">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水质</w:t>
            </w:r>
          </w:p>
        </w:tc>
      </w:tr>
      <w:tr w14:paraId="3B157389">
        <w:tblPrEx>
          <w:tblCellMar>
            <w:top w:w="0" w:type="dxa"/>
            <w:left w:w="108" w:type="dxa"/>
            <w:bottom w:w="0" w:type="dxa"/>
            <w:right w:w="108" w:type="dxa"/>
          </w:tblCellMar>
        </w:tblPrEx>
        <w:trPr>
          <w:trHeight w:val="400" w:hRule="atLeast"/>
        </w:trPr>
        <w:tc>
          <w:tcPr>
            <w:tcW w:w="7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10FF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旱季</w:t>
            </w:r>
          </w:p>
        </w:tc>
      </w:tr>
      <w:tr w14:paraId="2F30B73B">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122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61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生化需氧量（BOD5）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842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E9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180</w:t>
            </w:r>
          </w:p>
        </w:tc>
      </w:tr>
      <w:tr w14:paraId="1416BE50">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1F6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AE1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化学需氧量（CODcr）</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D8C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0A5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350</w:t>
            </w:r>
          </w:p>
        </w:tc>
      </w:tr>
      <w:tr w14:paraId="480BB7FC">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FC62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82E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悬浮物（SS）</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CA7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6C68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280</w:t>
            </w:r>
          </w:p>
        </w:tc>
      </w:tr>
      <w:tr w14:paraId="0AC5491A">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11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66C0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总氮(TN)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14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BFA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r>
      <w:tr w14:paraId="43830E9E">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25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AA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氨氮(NH3-N)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4BC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C6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r>
      <w:tr w14:paraId="22BEE282">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90A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4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总磷（以 P 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78D2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53B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r>
      <w:tr w14:paraId="146AD942">
        <w:tblPrEx>
          <w:tblCellMar>
            <w:top w:w="0" w:type="dxa"/>
            <w:left w:w="108" w:type="dxa"/>
            <w:bottom w:w="0" w:type="dxa"/>
            <w:right w:w="108" w:type="dxa"/>
          </w:tblCellMar>
        </w:tblPrEx>
        <w:trPr>
          <w:trHeight w:val="400" w:hRule="atLeast"/>
        </w:trPr>
        <w:tc>
          <w:tcPr>
            <w:tcW w:w="7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046A3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雨季</w:t>
            </w:r>
          </w:p>
        </w:tc>
      </w:tr>
      <w:tr w14:paraId="560FE6DD">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D6B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B51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生化需氧量（BOD5）</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239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46D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120</w:t>
            </w:r>
          </w:p>
        </w:tc>
      </w:tr>
      <w:tr w14:paraId="48FC2E2F">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A0C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9D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化学需氧量（CODcr）</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BD1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62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245</w:t>
            </w:r>
          </w:p>
        </w:tc>
      </w:tr>
      <w:tr w14:paraId="71C32B8B">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AB5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585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悬浮物（SS）</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86A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AE9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230</w:t>
            </w:r>
          </w:p>
        </w:tc>
      </w:tr>
      <w:tr w14:paraId="25BB2541">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A74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AAF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总氮(TN)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E6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A13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r>
      <w:tr w14:paraId="6B3FCBE0">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EE8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88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氨氮(NH3-N)</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B5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9F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r>
      <w:tr w14:paraId="75431F1D">
        <w:tblPrEx>
          <w:tblCellMar>
            <w:top w:w="0" w:type="dxa"/>
            <w:left w:w="108" w:type="dxa"/>
            <w:bottom w:w="0" w:type="dxa"/>
            <w:right w:w="108" w:type="dxa"/>
          </w:tblCellMar>
        </w:tblPrEx>
        <w:trPr>
          <w:trHeight w:val="400" w:hRule="atLeast"/>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4A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3A1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总磷（以 P 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53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E1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r>
    </w:tbl>
    <w:p w14:paraId="2B0DA135">
      <w:pPr>
        <w:pStyle w:val="3"/>
        <w:rPr>
          <w:rFonts w:ascii="宋体" w:hAnsi="宋体" w:eastAsia="宋体" w:cs="宋体"/>
          <w:sz w:val="24"/>
          <w:szCs w:val="22"/>
        </w:rPr>
      </w:pPr>
      <w:r>
        <w:rPr>
          <w:rFonts w:hint="eastAsia" w:ascii="宋体" w:hAnsi="宋体" w:eastAsia="宋体" w:cs="宋体"/>
          <w:sz w:val="24"/>
          <w:szCs w:val="22"/>
        </w:rPr>
        <w:t>6.3 出水保证值</w:t>
      </w:r>
    </w:p>
    <w:p w14:paraId="44EE49E4">
      <w:pPr>
        <w:spacing w:line="360" w:lineRule="auto"/>
      </w:pPr>
      <w:r>
        <w:rPr>
          <w:rFonts w:hint="eastAsia" w:ascii="宋体" w:hAnsi="宋体" w:eastAsia="宋体" w:cs="宋体"/>
          <w:sz w:val="24"/>
        </w:rPr>
        <w:t>6.3.1 改进型SBR系统出水水质及处理能力保证值</w:t>
      </w:r>
    </w:p>
    <w:tbl>
      <w:tblPr>
        <w:tblStyle w:val="8"/>
        <w:tblW w:w="7751" w:type="dxa"/>
        <w:tblInd w:w="100" w:type="dxa"/>
        <w:tblLayout w:type="autofit"/>
        <w:tblCellMar>
          <w:top w:w="0" w:type="dxa"/>
          <w:left w:w="108" w:type="dxa"/>
          <w:bottom w:w="0" w:type="dxa"/>
          <w:right w:w="108" w:type="dxa"/>
        </w:tblCellMar>
      </w:tblPr>
      <w:tblGrid>
        <w:gridCol w:w="1623"/>
        <w:gridCol w:w="2768"/>
        <w:gridCol w:w="1425"/>
        <w:gridCol w:w="1935"/>
      </w:tblGrid>
      <w:tr w14:paraId="0CCC98FB">
        <w:tblPrEx>
          <w:tblCellMar>
            <w:top w:w="0" w:type="dxa"/>
            <w:left w:w="108" w:type="dxa"/>
            <w:bottom w:w="0" w:type="dxa"/>
            <w:right w:w="108" w:type="dxa"/>
          </w:tblCellMar>
        </w:tblPrEx>
        <w:trPr>
          <w:trHeight w:val="500"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8F4A">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序号</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CD17">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项目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E8F0">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单位</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0326">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SS 出水指标</w:t>
            </w:r>
          </w:p>
        </w:tc>
      </w:tr>
      <w:tr w14:paraId="73E0DCB2">
        <w:tblPrEx>
          <w:tblCellMar>
            <w:top w:w="0" w:type="dxa"/>
            <w:left w:w="108" w:type="dxa"/>
            <w:bottom w:w="0" w:type="dxa"/>
            <w:right w:w="108" w:type="dxa"/>
          </w:tblCellMar>
        </w:tblPrEx>
        <w:trPr>
          <w:trHeight w:val="500"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6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B58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生化需氧量（BOD5）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E6A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F3E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14:paraId="1D6DD614">
        <w:tblPrEx>
          <w:tblCellMar>
            <w:top w:w="0" w:type="dxa"/>
            <w:left w:w="108" w:type="dxa"/>
            <w:bottom w:w="0" w:type="dxa"/>
            <w:right w:w="108" w:type="dxa"/>
          </w:tblCellMar>
        </w:tblPrEx>
        <w:trPr>
          <w:trHeight w:val="500"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F905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9D2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化学需氧量（CODcr）</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318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5AB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r>
      <w:tr w14:paraId="39B5A0D3">
        <w:tblPrEx>
          <w:tblCellMar>
            <w:top w:w="0" w:type="dxa"/>
            <w:left w:w="108" w:type="dxa"/>
            <w:bottom w:w="0" w:type="dxa"/>
            <w:right w:w="108" w:type="dxa"/>
          </w:tblCellMar>
        </w:tblPrEx>
        <w:trPr>
          <w:trHeight w:val="500"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8E9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07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悬浮物（SS）</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F88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4900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r>
      <w:tr w14:paraId="7CE773D7">
        <w:tblPrEx>
          <w:tblCellMar>
            <w:top w:w="0" w:type="dxa"/>
            <w:left w:w="108" w:type="dxa"/>
            <w:bottom w:w="0" w:type="dxa"/>
            <w:right w:w="108" w:type="dxa"/>
          </w:tblCellMar>
        </w:tblPrEx>
        <w:trPr>
          <w:trHeight w:val="500"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7A17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DBE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总氮(TN)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F0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3E6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≤5（10）</w:t>
            </w:r>
          </w:p>
        </w:tc>
      </w:tr>
      <w:tr w14:paraId="5C4ED365">
        <w:tblPrEx>
          <w:tblCellMar>
            <w:top w:w="0" w:type="dxa"/>
            <w:left w:w="108" w:type="dxa"/>
            <w:bottom w:w="0" w:type="dxa"/>
            <w:right w:w="108" w:type="dxa"/>
          </w:tblCellMar>
        </w:tblPrEx>
        <w:trPr>
          <w:trHeight w:val="500"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406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5F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氨氮(NH3-N)</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60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875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≤1.0（1.5）</w:t>
            </w:r>
          </w:p>
        </w:tc>
      </w:tr>
      <w:tr w14:paraId="34D21352">
        <w:tblPrEx>
          <w:tblCellMar>
            <w:top w:w="0" w:type="dxa"/>
            <w:left w:w="108" w:type="dxa"/>
            <w:bottom w:w="0" w:type="dxa"/>
            <w:right w:w="108" w:type="dxa"/>
          </w:tblCellMar>
        </w:tblPrEx>
        <w:trPr>
          <w:trHeight w:val="500" w:hRule="atLeast"/>
        </w:trPr>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ABC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2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A9B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总磷（以 P 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DAA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mg/L</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23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≤0.5</w:t>
            </w:r>
          </w:p>
        </w:tc>
      </w:tr>
    </w:tbl>
    <w:p w14:paraId="7A3BF99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注：括号内限制为水温≤12℃时的控制指标</w:t>
      </w:r>
    </w:p>
    <w:p w14:paraId="69E4118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处理能力保证值:旱季污水处理量 40 万 m³/d，雨季设计流量 60 万 m³/d</w:t>
      </w:r>
      <w:bookmarkStart w:id="19" w:name="bookmark158"/>
      <w:bookmarkEnd w:id="19"/>
    </w:p>
    <w:p w14:paraId="6D80DD2D">
      <w:pPr>
        <w:pStyle w:val="3"/>
        <w:rPr>
          <w:rFonts w:ascii="宋体" w:hAnsi="宋体" w:eastAsia="宋体" w:cs="宋体"/>
          <w:sz w:val="24"/>
          <w:szCs w:val="22"/>
        </w:rPr>
      </w:pPr>
      <w:r>
        <w:rPr>
          <w:rFonts w:hint="eastAsia" w:ascii="宋体" w:hAnsi="宋体" w:eastAsia="宋体" w:cs="宋体"/>
          <w:sz w:val="24"/>
          <w:szCs w:val="22"/>
        </w:rPr>
        <w:t>6.4 功能保证不能实现及违约赔偿金</w:t>
      </w:r>
    </w:p>
    <w:p w14:paraId="03B1FA97">
      <w:pPr>
        <w:pStyle w:val="3"/>
        <w:rPr>
          <w:rFonts w:ascii="宋体" w:hAnsi="宋体" w:eastAsia="宋体" w:cs="宋体"/>
          <w:sz w:val="24"/>
          <w:szCs w:val="22"/>
        </w:rPr>
      </w:pPr>
      <w:r>
        <w:rPr>
          <w:rFonts w:hint="eastAsia" w:ascii="宋体" w:hAnsi="宋体" w:eastAsia="宋体" w:cs="宋体"/>
          <w:sz w:val="24"/>
          <w:szCs w:val="22"/>
        </w:rPr>
        <w:t>6.4.1 保证的功能及能力不能实现</w:t>
      </w:r>
    </w:p>
    <w:p w14:paraId="5DE7346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A.如果投标人的改进型 SBR 系统出水水质不能满足要求，卖方应免费改变、修改和/或增加设备直至满足要求；在最终确认条款下的系统功能不能满足要求时，则卖方应承担招标方的所有损失，另应支付合同总价的</w:t>
      </w:r>
      <w:r>
        <w:rPr>
          <w:rFonts w:hint="eastAsia" w:ascii="宋体" w:hAnsi="宋体" w:eastAsia="宋体" w:cs="宋体"/>
          <w:b/>
          <w:bCs/>
          <w:sz w:val="24"/>
          <w:szCs w:val="32"/>
        </w:rPr>
        <w:t>20%</w:t>
      </w:r>
      <w:r>
        <w:rPr>
          <w:rFonts w:hint="eastAsia" w:ascii="宋体" w:hAnsi="宋体" w:eastAsia="宋体" w:cs="宋体"/>
          <w:sz w:val="24"/>
          <w:szCs w:val="32"/>
        </w:rPr>
        <w:t>作为赔偿金。</w:t>
      </w:r>
    </w:p>
    <w:p w14:paraId="09D2C43E">
      <w:pPr>
        <w:pStyle w:val="3"/>
        <w:rPr>
          <w:rFonts w:ascii="宋体" w:hAnsi="宋体" w:eastAsia="宋体" w:cs="宋体"/>
          <w:sz w:val="24"/>
          <w:szCs w:val="22"/>
        </w:rPr>
      </w:pPr>
      <w:r>
        <w:rPr>
          <w:rFonts w:hint="eastAsia" w:ascii="宋体" w:hAnsi="宋体" w:eastAsia="宋体" w:cs="宋体"/>
          <w:sz w:val="24"/>
          <w:szCs w:val="22"/>
        </w:rPr>
        <w:t>6.4.2 责任限制</w:t>
      </w:r>
    </w:p>
    <w:p w14:paraId="75BF2A0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如果卖方最终不能满足上述要求，且差距在20%或以上，招标方有权考虑终止合同。</w:t>
      </w:r>
    </w:p>
    <w:p w14:paraId="41BD4961">
      <w:pPr>
        <w:pStyle w:val="3"/>
        <w:rPr>
          <w:rFonts w:ascii="宋体" w:hAnsi="宋体" w:eastAsia="宋体" w:cs="宋体"/>
          <w:sz w:val="24"/>
          <w:szCs w:val="22"/>
        </w:rPr>
      </w:pPr>
      <w:r>
        <w:rPr>
          <w:rFonts w:hint="eastAsia" w:ascii="宋体" w:hAnsi="宋体" w:eastAsia="宋体" w:cs="宋体"/>
          <w:sz w:val="24"/>
          <w:szCs w:val="22"/>
        </w:rPr>
        <w:t>6.5  其它罚责</w:t>
      </w:r>
    </w:p>
    <w:p w14:paraId="15B4F677">
      <w:pPr>
        <w:pStyle w:val="3"/>
        <w:rPr>
          <w:rFonts w:ascii="宋体" w:hAnsi="宋体" w:eastAsia="宋体" w:cs="宋体"/>
          <w:sz w:val="24"/>
          <w:szCs w:val="22"/>
        </w:rPr>
      </w:pPr>
      <w:r>
        <w:rPr>
          <w:rFonts w:hint="eastAsia" w:ascii="宋体" w:hAnsi="宋体" w:eastAsia="宋体" w:cs="宋体"/>
          <w:sz w:val="24"/>
          <w:szCs w:val="22"/>
        </w:rPr>
        <w:t>6.5.1设备交货时间滞后</w:t>
      </w:r>
    </w:p>
    <w:p w14:paraId="5A60001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A.如因卖方原因推迟交货，则每滞后一周（七天），卖方应支付合同总价的1%作为违约赔偿金。违约赔偿金总计不超过合同总价的5%。</w:t>
      </w:r>
    </w:p>
    <w:p w14:paraId="2FF0F396">
      <w:pPr>
        <w:pStyle w:val="3"/>
        <w:rPr>
          <w:rFonts w:ascii="宋体" w:hAnsi="宋体" w:eastAsia="宋体" w:cs="宋体"/>
          <w:sz w:val="24"/>
          <w:szCs w:val="22"/>
        </w:rPr>
      </w:pPr>
      <w:r>
        <w:rPr>
          <w:rFonts w:hint="eastAsia" w:ascii="宋体" w:hAnsi="宋体" w:eastAsia="宋体" w:cs="宋体"/>
          <w:sz w:val="24"/>
          <w:szCs w:val="22"/>
        </w:rPr>
        <w:t>6.5.2 调试及试运行进度滞后</w:t>
      </w:r>
    </w:p>
    <w:p w14:paraId="49BD8AE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 如因卖方原因导致：1、污水试运行时间延长(即超出30天) ，2、性能测试时 间延长（即超出 30 天），致使系统设备未能按要求投入正式运行，则每滞后一天，卖方应支付合同总价的 0.5%作为违约赔偿金。违约赔偿金总计不超过合同总价的5%。</w:t>
      </w:r>
    </w:p>
    <w:bookmarkEnd w:id="15"/>
    <w:p w14:paraId="078759E0">
      <w:pPr>
        <w:pStyle w:val="2"/>
        <w:rPr>
          <w:sz w:val="28"/>
          <w:szCs w:val="22"/>
        </w:rPr>
      </w:pPr>
      <w:r>
        <w:rPr>
          <w:rFonts w:hint="eastAsia"/>
          <w:sz w:val="28"/>
          <w:szCs w:val="22"/>
        </w:rPr>
        <w:t>七 取样</w:t>
      </w:r>
    </w:p>
    <w:p w14:paraId="6E8FAD8E">
      <w:pPr>
        <w:pStyle w:val="3"/>
        <w:rPr>
          <w:rFonts w:ascii="宋体" w:hAnsi="宋体" w:eastAsia="宋体" w:cs="宋体"/>
          <w:sz w:val="24"/>
          <w:szCs w:val="22"/>
        </w:rPr>
      </w:pPr>
      <w:r>
        <w:rPr>
          <w:rFonts w:hint="eastAsia" w:ascii="宋体" w:hAnsi="宋体" w:eastAsia="宋体" w:cs="宋体"/>
          <w:sz w:val="24"/>
          <w:szCs w:val="22"/>
        </w:rPr>
        <w:t>7.1 概述</w:t>
      </w:r>
    </w:p>
    <w:p w14:paraId="19020FDB">
      <w:pPr>
        <w:spacing w:line="360" w:lineRule="auto"/>
        <w:ind w:firstLine="480" w:firstLineChars="200"/>
        <w:rPr>
          <w:rFonts w:ascii="宋体" w:hAnsi="宋体" w:eastAsia="宋体" w:cs="宋体"/>
          <w:sz w:val="24"/>
        </w:rPr>
      </w:pPr>
      <w:r>
        <w:rPr>
          <w:rFonts w:hint="eastAsia" w:ascii="宋体" w:hAnsi="宋体" w:eastAsia="宋体" w:cs="宋体"/>
          <w:sz w:val="24"/>
        </w:rPr>
        <w:t>A.取样点、检测频率和合格与否的判定应根据相关国家及昆明市地方标准及规 范的规定，由买卖双方确认。</w:t>
      </w:r>
    </w:p>
    <w:p w14:paraId="2A739B71">
      <w:pPr>
        <w:spacing w:line="360" w:lineRule="auto"/>
        <w:ind w:firstLine="480" w:firstLineChars="200"/>
        <w:rPr>
          <w:rFonts w:ascii="宋体" w:hAnsi="宋体" w:eastAsia="宋体" w:cs="宋体"/>
          <w:sz w:val="24"/>
        </w:rPr>
        <w:sectPr>
          <w:footerReference r:id="rId14" w:type="first"/>
          <w:headerReference r:id="rId11" w:type="default"/>
          <w:footerReference r:id="rId12" w:type="default"/>
          <w:footerReference r:id="rId13" w:type="even"/>
          <w:pgSz w:w="11907" w:h="16839"/>
          <w:pgMar w:top="1380" w:right="1387" w:bottom="1579" w:left="1785" w:header="928" w:footer="1199" w:gutter="0"/>
          <w:cols w:space="720" w:num="1"/>
        </w:sectPr>
      </w:pPr>
      <w:r>
        <w:rPr>
          <w:rFonts w:hint="eastAsia" w:ascii="宋体" w:hAnsi="宋体" w:eastAsia="宋体" w:cs="宋体"/>
          <w:sz w:val="24"/>
        </w:rPr>
        <w:t>B.除了 A 条明确的要求外，还需按下述取样及验证方式，对系统供货的关键设 备进行最终验收。</w:t>
      </w:r>
    </w:p>
    <w:p w14:paraId="1944D20F">
      <w:pPr>
        <w:pStyle w:val="5"/>
        <w:spacing w:line="388" w:lineRule="auto"/>
        <w:rPr>
          <w:rFonts w:eastAsia="宋体"/>
        </w:rPr>
      </w:pPr>
    </w:p>
    <w:p w14:paraId="003B4B9D">
      <w:pPr>
        <w:spacing w:before="91" w:line="219" w:lineRule="auto"/>
        <w:ind w:left="5248"/>
        <w:rPr>
          <w:sz w:val="28"/>
          <w:szCs w:val="28"/>
        </w:rPr>
      </w:pPr>
      <w:bookmarkStart w:id="20" w:name="bookmark164"/>
      <w:bookmarkEnd w:id="20"/>
      <w:r>
        <w:rPr>
          <w:b/>
          <w:bCs/>
          <w:spacing w:val="-3"/>
          <w:sz w:val="28"/>
          <w:szCs w:val="28"/>
        </w:rPr>
        <w:t>第</w:t>
      </w:r>
      <w:r>
        <w:rPr>
          <w:rFonts w:hint="eastAsia"/>
          <w:b/>
          <w:bCs/>
          <w:spacing w:val="-3"/>
          <w:sz w:val="28"/>
          <w:szCs w:val="28"/>
        </w:rPr>
        <w:t>7</w:t>
      </w:r>
      <w:r>
        <w:rPr>
          <w:b/>
          <w:bCs/>
          <w:spacing w:val="-3"/>
          <w:sz w:val="28"/>
          <w:szCs w:val="28"/>
        </w:rPr>
        <w:t>节：</w:t>
      </w:r>
      <w:r>
        <w:rPr>
          <w:spacing w:val="-3"/>
          <w:sz w:val="28"/>
          <w:szCs w:val="28"/>
        </w:rPr>
        <w:t xml:space="preserve">   </w:t>
      </w:r>
      <w:r>
        <w:rPr>
          <w:b/>
          <w:bCs/>
          <w:spacing w:val="-3"/>
          <w:sz w:val="28"/>
          <w:szCs w:val="28"/>
        </w:rPr>
        <w:t>工程进度时间表</w:t>
      </w:r>
    </w:p>
    <w:p w14:paraId="7DD0886B">
      <w:pPr>
        <w:spacing w:before="20" w:line="212" w:lineRule="auto"/>
        <w:ind w:left="12104"/>
      </w:pPr>
      <w:r>
        <mc:AlternateContent>
          <mc:Choice Requires="wps">
            <w:drawing>
              <wp:anchor distT="0" distB="0" distL="114300" distR="114300" simplePos="0" relativeHeight="251669504" behindDoc="0" locked="0" layoutInCell="1" allowOverlap="1">
                <wp:simplePos x="0" y="0"/>
                <wp:positionH relativeFrom="column">
                  <wp:posOffset>6522720</wp:posOffset>
                </wp:positionH>
                <wp:positionV relativeFrom="paragraph">
                  <wp:posOffset>2628265</wp:posOffset>
                </wp:positionV>
                <wp:extent cx="56515" cy="38100"/>
                <wp:effectExtent l="0" t="0" r="635" b="0"/>
                <wp:wrapNone/>
                <wp:docPr id="38" name="任意多边形 38"/>
                <wp:cNvGraphicFramePr/>
                <a:graphic xmlns:a="http://schemas.openxmlformats.org/drawingml/2006/main">
                  <a:graphicData uri="http://schemas.microsoft.com/office/word/2010/wordprocessingShape">
                    <wps:wsp>
                      <wps:cNvSpPr/>
                      <wps:spPr>
                        <a:xfrm>
                          <a:off x="0" y="0"/>
                          <a:ext cx="56515" cy="38100"/>
                        </a:xfrm>
                        <a:custGeom>
                          <a:avLst/>
                          <a:gdLst/>
                          <a:ahLst/>
                          <a:cxnLst/>
                          <a:rect l="0" t="0" r="0" b="0"/>
                          <a:pathLst>
                            <a:path w="88" h="60">
                              <a:moveTo>
                                <a:pt x="0" y="60"/>
                              </a:moveTo>
                              <a:lnTo>
                                <a:pt x="88" y="60"/>
                              </a:lnTo>
                              <a:lnTo>
                                <a:pt x="88"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3.6pt;margin-top:206.95pt;height:3pt;width:4.45pt;z-index:251669504;mso-width-relative:page;mso-height-relative:page;" fillcolor="#000000" filled="t" stroked="f" coordsize="88,60" o:gfxdata="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9SesNgAAAANAQAA&#10;DwAAAAAAAAABACAAAAAiAAAAZHJzL2Rvd25yZXYueG1sUEsBAhQAFAAAAAgAh07iQDgS0O0ZAgAA&#10;mAQAAA4AAAAAAAAAAQAgAAAAJwEAAGRycy9lMm9Eb2MueG1sUEsFBgAAAAAGAAYAWQEAALIFAAAA&#10;AA==&#10;" path="m0,60l88,60,88,0,0,0,0,60xe">
                <v:fill on="t" focussize="0,0"/>
                <v:stroke on="f"/>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6578600</wp:posOffset>
                </wp:positionH>
                <wp:positionV relativeFrom="paragraph">
                  <wp:posOffset>2628265</wp:posOffset>
                </wp:positionV>
                <wp:extent cx="260985" cy="38100"/>
                <wp:effectExtent l="0" t="0" r="5715" b="0"/>
                <wp:wrapNone/>
                <wp:docPr id="29" name="任意多边形 29"/>
                <wp:cNvGraphicFramePr/>
                <a:graphic xmlns:a="http://schemas.openxmlformats.org/drawingml/2006/main">
                  <a:graphicData uri="http://schemas.microsoft.com/office/word/2010/wordprocessingShape">
                    <wps:wsp>
                      <wps:cNvSpPr/>
                      <wps:spPr>
                        <a:xfrm>
                          <a:off x="0" y="0"/>
                          <a:ext cx="260985" cy="38100"/>
                        </a:xfrm>
                        <a:custGeom>
                          <a:avLst/>
                          <a:gdLst/>
                          <a:ahLst/>
                          <a:cxnLst/>
                          <a:rect l="0" t="0" r="0" b="0"/>
                          <a:pathLst>
                            <a:path w="410" h="60">
                              <a:moveTo>
                                <a:pt x="0" y="60"/>
                              </a:moveTo>
                              <a:lnTo>
                                <a:pt x="410" y="60"/>
                              </a:lnTo>
                              <a:lnTo>
                                <a:pt x="410"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18pt;margin-top:206.95pt;height:3pt;width:20.55pt;z-index:251667456;mso-width-relative:page;mso-height-relative:page;" fillcolor="#000000" filled="t" stroked="f" coordsize="410,60" o:gfxdata="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YaHF2gAA&#10;AA0BAAAPAAAAAAAAAAEAIAAAACIAAABkcnMvZG93bnJldi54bWxQSwECFAAUAAAACACHTuJAuUm1&#10;pBwCAACcBAAADgAAAAAAAAABACAAAAApAQAAZHJzL2Uyb0RvYy54bWxQSwUGAAAAAAYABgBZAQAA&#10;twUAAAAA&#10;" path="m0,60l410,60,410,0,0,0,0,60xe">
                <v:fill on="t" focussize="0,0"/>
                <v:stroke on="f"/>
                <v:imagedata o:title=""/>
                <o:lock v:ext="edit" aspectratio="f"/>
              </v:shape>
            </w:pict>
          </mc:Fallback>
        </mc:AlternateContent>
      </w:r>
      <w:r>
        <w:rPr>
          <w:spacing w:val="-1"/>
        </w:rPr>
        <w:t>合同生效之日起</w:t>
      </w:r>
    </w:p>
    <w:tbl>
      <w:tblPr>
        <w:tblStyle w:val="8"/>
        <w:tblW w:w="137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5"/>
        <w:gridCol w:w="2664"/>
        <w:gridCol w:w="523"/>
        <w:gridCol w:w="499"/>
        <w:gridCol w:w="475"/>
        <w:gridCol w:w="478"/>
        <w:gridCol w:w="475"/>
        <w:gridCol w:w="478"/>
        <w:gridCol w:w="478"/>
        <w:gridCol w:w="499"/>
        <w:gridCol w:w="497"/>
        <w:gridCol w:w="499"/>
        <w:gridCol w:w="501"/>
        <w:gridCol w:w="496"/>
        <w:gridCol w:w="458"/>
        <w:gridCol w:w="478"/>
        <w:gridCol w:w="499"/>
        <w:gridCol w:w="501"/>
        <w:gridCol w:w="501"/>
        <w:gridCol w:w="501"/>
        <w:gridCol w:w="499"/>
        <w:gridCol w:w="502"/>
        <w:gridCol w:w="516"/>
      </w:tblGrid>
      <w:tr w14:paraId="4D281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0" w:hRule="atLeast"/>
        </w:trPr>
        <w:tc>
          <w:tcPr>
            <w:tcW w:w="775" w:type="dxa"/>
          </w:tcPr>
          <w:p w14:paraId="440E6E87">
            <w:pPr>
              <w:pStyle w:val="10"/>
              <w:spacing w:before="155" w:line="211" w:lineRule="auto"/>
              <w:ind w:left="157"/>
              <w:rPr>
                <w:rFonts w:ascii="Arial" w:hAnsi="Arial" w:cs="Arial"/>
                <w:sz w:val="24"/>
              </w:rPr>
            </w:pPr>
            <w:r>
              <w:rPr>
                <w:rFonts w:ascii="Arial" w:hAnsi="Arial" w:cs="Arial"/>
                <w:b/>
                <w:bCs/>
                <w:spacing w:val="-5"/>
                <w:sz w:val="24"/>
              </w:rPr>
              <w:t>序号</w:t>
            </w:r>
          </w:p>
        </w:tc>
        <w:tc>
          <w:tcPr>
            <w:tcW w:w="2664" w:type="dxa"/>
          </w:tcPr>
          <w:p w14:paraId="78B30A6E">
            <w:pPr>
              <w:pStyle w:val="10"/>
              <w:spacing w:before="155" w:line="211" w:lineRule="auto"/>
              <w:ind w:left="1222"/>
              <w:rPr>
                <w:rFonts w:ascii="Arial" w:hAnsi="Arial" w:cs="Arial"/>
                <w:sz w:val="24"/>
              </w:rPr>
            </w:pPr>
            <w:r>
              <w:rPr>
                <w:rFonts w:ascii="Arial" w:hAnsi="Arial" w:cs="Arial"/>
                <w:b/>
                <w:bCs/>
                <w:spacing w:val="-3"/>
                <w:sz w:val="24"/>
              </w:rPr>
              <w:t>月</w:t>
            </w:r>
          </w:p>
        </w:tc>
        <w:tc>
          <w:tcPr>
            <w:tcW w:w="523" w:type="dxa"/>
          </w:tcPr>
          <w:p w14:paraId="07A4128E">
            <w:pPr>
              <w:spacing w:before="181" w:line="186" w:lineRule="auto"/>
              <w:ind w:left="213"/>
              <w:rPr>
                <w:sz w:val="24"/>
              </w:rPr>
            </w:pPr>
            <w:r>
              <w:rPr>
                <w:b/>
                <w:bCs/>
                <w:sz w:val="24"/>
              </w:rPr>
              <w:t>1</w:t>
            </w:r>
          </w:p>
        </w:tc>
        <w:tc>
          <w:tcPr>
            <w:tcW w:w="499" w:type="dxa"/>
          </w:tcPr>
          <w:p w14:paraId="3C6876FA">
            <w:pPr>
              <w:spacing w:before="180" w:line="217" w:lineRule="auto"/>
              <w:ind w:left="148"/>
              <w:rPr>
                <w:sz w:val="24"/>
              </w:rPr>
            </w:pPr>
            <w:r>
              <w:rPr>
                <w:b/>
                <w:bCs/>
                <w:sz w:val="24"/>
              </w:rPr>
              <w:t>…</w:t>
            </w:r>
          </w:p>
        </w:tc>
        <w:tc>
          <w:tcPr>
            <w:tcW w:w="475" w:type="dxa"/>
          </w:tcPr>
          <w:p w14:paraId="0EA920CD">
            <w:pPr>
              <w:spacing w:before="181" w:line="186" w:lineRule="auto"/>
              <w:ind w:left="180"/>
              <w:rPr>
                <w:sz w:val="24"/>
              </w:rPr>
            </w:pPr>
            <w:r>
              <w:rPr>
                <w:b/>
                <w:bCs/>
                <w:sz w:val="24"/>
              </w:rPr>
              <w:t>4</w:t>
            </w:r>
          </w:p>
        </w:tc>
        <w:tc>
          <w:tcPr>
            <w:tcW w:w="478" w:type="dxa"/>
          </w:tcPr>
          <w:p w14:paraId="095C12FF">
            <w:pPr>
              <w:spacing w:before="184" w:line="183" w:lineRule="auto"/>
              <w:ind w:left="184"/>
              <w:rPr>
                <w:sz w:val="24"/>
              </w:rPr>
            </w:pPr>
            <w:r>
              <w:rPr>
                <w:b/>
                <w:bCs/>
                <w:sz w:val="24"/>
              </w:rPr>
              <w:t>5</w:t>
            </w:r>
          </w:p>
        </w:tc>
        <w:tc>
          <w:tcPr>
            <w:tcW w:w="475" w:type="dxa"/>
          </w:tcPr>
          <w:p w14:paraId="2C516ECB">
            <w:pPr>
              <w:spacing w:before="180" w:line="186" w:lineRule="auto"/>
              <w:ind w:left="182"/>
              <w:rPr>
                <w:sz w:val="24"/>
              </w:rPr>
            </w:pPr>
            <w:r>
              <w:rPr>
                <w:b/>
                <w:bCs/>
                <w:sz w:val="24"/>
              </w:rPr>
              <w:t>6</w:t>
            </w:r>
          </w:p>
        </w:tc>
        <w:tc>
          <w:tcPr>
            <w:tcW w:w="478" w:type="dxa"/>
          </w:tcPr>
          <w:p w14:paraId="4B143764">
            <w:pPr>
              <w:spacing w:before="184" w:line="183" w:lineRule="auto"/>
              <w:ind w:left="184"/>
              <w:rPr>
                <w:sz w:val="24"/>
              </w:rPr>
            </w:pPr>
            <w:r>
              <w:rPr>
                <w:b/>
                <w:bCs/>
                <w:sz w:val="24"/>
              </w:rPr>
              <w:t>7</w:t>
            </w:r>
          </w:p>
        </w:tc>
        <w:tc>
          <w:tcPr>
            <w:tcW w:w="478" w:type="dxa"/>
          </w:tcPr>
          <w:p w14:paraId="619DC268">
            <w:pPr>
              <w:spacing w:before="182" w:line="185" w:lineRule="auto"/>
              <w:ind w:left="182"/>
              <w:rPr>
                <w:sz w:val="24"/>
              </w:rPr>
            </w:pPr>
            <w:r>
              <w:rPr>
                <w:b/>
                <w:bCs/>
                <w:sz w:val="24"/>
              </w:rPr>
              <w:t>8</w:t>
            </w:r>
          </w:p>
        </w:tc>
        <w:tc>
          <w:tcPr>
            <w:tcW w:w="499" w:type="dxa"/>
          </w:tcPr>
          <w:p w14:paraId="7C37E9C4">
            <w:pPr>
              <w:spacing w:before="180" w:line="217" w:lineRule="auto"/>
              <w:ind w:left="146"/>
              <w:rPr>
                <w:sz w:val="24"/>
              </w:rPr>
            </w:pPr>
            <w:r>
              <w:rPr>
                <w:b/>
                <w:bCs/>
                <w:sz w:val="24"/>
              </w:rPr>
              <w:t>…</w:t>
            </w:r>
          </w:p>
        </w:tc>
        <w:tc>
          <w:tcPr>
            <w:tcW w:w="497" w:type="dxa"/>
          </w:tcPr>
          <w:p w14:paraId="08100A2E">
            <w:pPr>
              <w:spacing w:before="181" w:line="186" w:lineRule="auto"/>
              <w:ind w:left="146"/>
              <w:rPr>
                <w:sz w:val="24"/>
              </w:rPr>
            </w:pPr>
            <w:r>
              <w:rPr>
                <w:b/>
                <w:bCs/>
                <w:spacing w:val="-8"/>
                <w:sz w:val="24"/>
              </w:rPr>
              <w:t>11</w:t>
            </w:r>
          </w:p>
        </w:tc>
        <w:tc>
          <w:tcPr>
            <w:tcW w:w="499" w:type="dxa"/>
          </w:tcPr>
          <w:p w14:paraId="6A63317E">
            <w:pPr>
              <w:spacing w:before="180" w:line="217" w:lineRule="auto"/>
              <w:ind w:left="146"/>
              <w:rPr>
                <w:sz w:val="24"/>
              </w:rPr>
            </w:pPr>
            <w:r>
              <w:rPr>
                <w:b/>
                <w:bCs/>
                <w:sz w:val="24"/>
              </w:rPr>
              <w:t>…</w:t>
            </w:r>
          </w:p>
        </w:tc>
        <w:tc>
          <w:tcPr>
            <w:tcW w:w="501" w:type="dxa"/>
          </w:tcPr>
          <w:p w14:paraId="7A6EA41C">
            <w:pPr>
              <w:spacing w:before="181" w:line="186" w:lineRule="auto"/>
              <w:ind w:left="141"/>
              <w:rPr>
                <w:sz w:val="24"/>
              </w:rPr>
            </w:pPr>
            <w:r>
              <w:rPr>
                <w:b/>
                <w:bCs/>
                <w:spacing w:val="-4"/>
                <w:sz w:val="24"/>
              </w:rPr>
              <w:t>14</w:t>
            </w:r>
          </w:p>
        </w:tc>
        <w:tc>
          <w:tcPr>
            <w:tcW w:w="496" w:type="dxa"/>
          </w:tcPr>
          <w:p w14:paraId="019AB140">
            <w:pPr>
              <w:spacing w:before="180" w:line="186" w:lineRule="auto"/>
              <w:ind w:left="142"/>
              <w:rPr>
                <w:sz w:val="24"/>
              </w:rPr>
            </w:pPr>
            <w:r>
              <w:rPr>
                <w:b/>
                <w:bCs/>
                <w:spacing w:val="-4"/>
                <w:sz w:val="24"/>
              </w:rPr>
              <w:t>15</w:t>
            </w:r>
          </w:p>
        </w:tc>
        <w:tc>
          <w:tcPr>
            <w:tcW w:w="458" w:type="dxa"/>
          </w:tcPr>
          <w:p w14:paraId="268E8718">
            <w:pPr>
              <w:spacing w:before="180" w:line="186" w:lineRule="auto"/>
              <w:ind w:left="124"/>
              <w:rPr>
                <w:sz w:val="24"/>
              </w:rPr>
            </w:pPr>
            <w:r>
              <w:rPr>
                <w:b/>
                <w:bCs/>
                <w:spacing w:val="-4"/>
                <w:sz w:val="24"/>
              </w:rPr>
              <w:t>16</w:t>
            </w:r>
          </w:p>
        </w:tc>
        <w:tc>
          <w:tcPr>
            <w:tcW w:w="478" w:type="dxa"/>
          </w:tcPr>
          <w:p w14:paraId="44E168F4">
            <w:pPr>
              <w:spacing w:before="180" w:line="186" w:lineRule="auto"/>
              <w:ind w:left="134"/>
              <w:rPr>
                <w:sz w:val="24"/>
              </w:rPr>
            </w:pPr>
            <w:r>
              <w:rPr>
                <w:b/>
                <w:bCs/>
                <w:spacing w:val="-4"/>
                <w:sz w:val="24"/>
              </w:rPr>
              <w:t>17</w:t>
            </w:r>
          </w:p>
        </w:tc>
        <w:tc>
          <w:tcPr>
            <w:tcW w:w="499" w:type="dxa"/>
          </w:tcPr>
          <w:p w14:paraId="168437B1">
            <w:pPr>
              <w:spacing w:before="180" w:line="186" w:lineRule="auto"/>
              <w:ind w:left="143"/>
              <w:rPr>
                <w:sz w:val="24"/>
              </w:rPr>
            </w:pPr>
            <w:r>
              <w:rPr>
                <w:b/>
                <w:bCs/>
                <w:spacing w:val="-4"/>
                <w:sz w:val="24"/>
              </w:rPr>
              <w:t>18</w:t>
            </w:r>
          </w:p>
        </w:tc>
        <w:tc>
          <w:tcPr>
            <w:tcW w:w="501" w:type="dxa"/>
          </w:tcPr>
          <w:p w14:paraId="69593167">
            <w:pPr>
              <w:spacing w:before="180" w:line="186" w:lineRule="auto"/>
              <w:ind w:left="146"/>
              <w:rPr>
                <w:sz w:val="24"/>
              </w:rPr>
            </w:pPr>
            <w:r>
              <w:rPr>
                <w:b/>
                <w:bCs/>
                <w:spacing w:val="-4"/>
                <w:sz w:val="24"/>
              </w:rPr>
              <w:t>19</w:t>
            </w:r>
          </w:p>
        </w:tc>
        <w:tc>
          <w:tcPr>
            <w:tcW w:w="501" w:type="dxa"/>
          </w:tcPr>
          <w:p w14:paraId="1DC92DC9">
            <w:pPr>
              <w:spacing w:before="180" w:line="186" w:lineRule="auto"/>
              <w:ind w:left="134"/>
              <w:rPr>
                <w:sz w:val="24"/>
              </w:rPr>
            </w:pPr>
            <w:r>
              <w:rPr>
                <w:b/>
                <w:bCs/>
                <w:spacing w:val="-2"/>
                <w:sz w:val="24"/>
              </w:rPr>
              <w:t>20</w:t>
            </w:r>
          </w:p>
        </w:tc>
        <w:tc>
          <w:tcPr>
            <w:tcW w:w="501" w:type="dxa"/>
          </w:tcPr>
          <w:p w14:paraId="49EE4B0A">
            <w:pPr>
              <w:spacing w:before="181" w:line="186" w:lineRule="auto"/>
              <w:ind w:left="135"/>
              <w:rPr>
                <w:sz w:val="24"/>
              </w:rPr>
            </w:pPr>
            <w:r>
              <w:rPr>
                <w:b/>
                <w:bCs/>
                <w:spacing w:val="-2"/>
                <w:sz w:val="24"/>
              </w:rPr>
              <w:t>21</w:t>
            </w:r>
          </w:p>
        </w:tc>
        <w:tc>
          <w:tcPr>
            <w:tcW w:w="499" w:type="dxa"/>
          </w:tcPr>
          <w:p w14:paraId="55C1A25D">
            <w:pPr>
              <w:spacing w:before="181" w:line="186" w:lineRule="auto"/>
              <w:ind w:left="135"/>
              <w:rPr>
                <w:sz w:val="24"/>
              </w:rPr>
            </w:pPr>
            <w:r>
              <w:rPr>
                <w:b/>
                <w:bCs/>
                <w:spacing w:val="-2"/>
                <w:sz w:val="24"/>
              </w:rPr>
              <w:t>22</w:t>
            </w:r>
          </w:p>
        </w:tc>
        <w:tc>
          <w:tcPr>
            <w:tcW w:w="502" w:type="dxa"/>
          </w:tcPr>
          <w:p w14:paraId="007E9A90">
            <w:pPr>
              <w:spacing w:before="180" w:line="217" w:lineRule="auto"/>
              <w:ind w:left="153"/>
              <w:rPr>
                <w:sz w:val="24"/>
              </w:rPr>
            </w:pPr>
            <w:r>
              <w:rPr>
                <w:b/>
                <w:bCs/>
                <w:sz w:val="24"/>
              </w:rPr>
              <w:t>…</w:t>
            </w:r>
          </w:p>
        </w:tc>
        <w:tc>
          <w:tcPr>
            <w:tcW w:w="516" w:type="dxa"/>
          </w:tcPr>
          <w:p w14:paraId="13FC3273">
            <w:pPr>
              <w:spacing w:before="180" w:line="186" w:lineRule="auto"/>
              <w:ind w:left="134"/>
              <w:rPr>
                <w:sz w:val="24"/>
              </w:rPr>
            </w:pPr>
            <w:r>
              <w:rPr>
                <w:b/>
                <w:bCs/>
                <w:spacing w:val="-1"/>
                <w:sz w:val="24"/>
              </w:rPr>
              <w:t>34</w:t>
            </w:r>
          </w:p>
        </w:tc>
      </w:tr>
      <w:tr w14:paraId="1FC81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9" w:hRule="atLeast"/>
        </w:trPr>
        <w:tc>
          <w:tcPr>
            <w:tcW w:w="775" w:type="dxa"/>
            <w:vMerge w:val="restart"/>
            <w:tcBorders>
              <w:bottom w:val="nil"/>
            </w:tcBorders>
          </w:tcPr>
          <w:p w14:paraId="164990B2">
            <w:pPr>
              <w:spacing w:line="251" w:lineRule="auto"/>
            </w:pPr>
          </w:p>
          <w:p w14:paraId="1F40B4DD">
            <w:pPr>
              <w:spacing w:before="69" w:line="186" w:lineRule="auto"/>
              <w:ind w:left="357"/>
              <w:rPr>
                <w:sz w:val="24"/>
              </w:rPr>
            </w:pPr>
            <w:r>
              <w:rPr>
                <w:sz w:val="24"/>
              </w:rPr>
              <w:t>1</w:t>
            </w:r>
          </w:p>
        </w:tc>
        <w:tc>
          <w:tcPr>
            <w:tcW w:w="2664" w:type="dxa"/>
            <w:vMerge w:val="restart"/>
            <w:tcBorders>
              <w:bottom w:val="nil"/>
            </w:tcBorders>
          </w:tcPr>
          <w:p w14:paraId="10673E9B">
            <w:pPr>
              <w:pStyle w:val="10"/>
              <w:spacing w:before="300" w:line="221" w:lineRule="auto"/>
              <w:ind w:left="115"/>
              <w:rPr>
                <w:rFonts w:ascii="Arial" w:hAnsi="Arial" w:cs="Arial"/>
              </w:rPr>
            </w:pPr>
            <w:r>
              <w:rPr>
                <w:rFonts w:ascii="Arial" w:hAnsi="Arial" w:cs="Arial"/>
                <w:spacing w:val="-1"/>
              </w:rPr>
              <w:t>设计、设计联络及审核</w:t>
            </w:r>
          </w:p>
        </w:tc>
        <w:tc>
          <w:tcPr>
            <w:tcW w:w="523" w:type="dxa"/>
            <w:tcBorders>
              <w:bottom w:val="single" w:color="000000" w:sz="10" w:space="0"/>
            </w:tcBorders>
          </w:tcPr>
          <w:p w14:paraId="63D97C40">
            <w:pPr>
              <w:spacing w:line="320" w:lineRule="auto"/>
            </w:pPr>
          </w:p>
          <w:p w14:paraId="29808914">
            <w:pPr>
              <w:spacing w:line="57" w:lineRule="exact"/>
            </w:pPr>
            <w:r>
              <w:rPr>
                <w:position w:val="-1"/>
              </w:rPr>
              <mc:AlternateContent>
                <mc:Choice Requires="wps">
                  <w:drawing>
                    <wp:inline distT="0" distB="0" distL="114300" distR="114300">
                      <wp:extent cx="326390" cy="38100"/>
                      <wp:effectExtent l="0" t="0" r="6985" b="0"/>
                      <wp:docPr id="25" name="任意多边形 25"/>
                      <wp:cNvGraphicFramePr/>
                      <a:graphic xmlns:a="http://schemas.openxmlformats.org/drawingml/2006/main">
                        <a:graphicData uri="http://schemas.microsoft.com/office/word/2010/wordprocessingShape">
                          <wps:wsp>
                            <wps:cNvSpPr/>
                            <wps:spPr>
                              <a:xfrm>
                                <a:off x="0" y="0"/>
                                <a:ext cx="326390" cy="38100"/>
                              </a:xfrm>
                              <a:custGeom>
                                <a:avLst/>
                                <a:gdLst/>
                                <a:ahLst/>
                                <a:cxnLst/>
                                <a:rect l="0" t="0" r="0" b="0"/>
                                <a:pathLst>
                                  <a:path w="514" h="60">
                                    <a:moveTo>
                                      <a:pt x="0" y="60"/>
                                    </a:moveTo>
                                    <a:lnTo>
                                      <a:pt x="513" y="60"/>
                                    </a:lnTo>
                                    <a:lnTo>
                                      <a:pt x="513"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5.7pt;" fillcolor="#000000" filled="t" stroked="f" coordsize="514,60" o:gfxdata="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pkLvNMAAAACAQAA&#10;DwAAAAAAAAABACAAAAAiAAAAZHJzL2Rvd25yZXYueG1sUEsBAhQAFAAAAAgAh07iQEYh4qMeAgAA&#10;nAQAAA4AAAAAAAAAAQAgAAAAIgEAAGRycy9lMm9Eb2MueG1sUEsFBgAAAAAGAAYAWQEAALIFAAAA&#10;AA==&#10;" path="m0,60l513,60,513,0,0,0,0,60xe">
                      <v:fill on="t" focussize="0,0"/>
                      <v:stroke on="f"/>
                      <v:imagedata o:title=""/>
                      <o:lock v:ext="edit" aspectratio="f"/>
                      <w10:wrap type="none"/>
                      <w10:anchorlock/>
                    </v:shape>
                  </w:pict>
                </mc:Fallback>
              </mc:AlternateContent>
            </w:r>
          </w:p>
        </w:tc>
        <w:tc>
          <w:tcPr>
            <w:tcW w:w="499" w:type="dxa"/>
            <w:tcBorders>
              <w:bottom w:val="single" w:color="000000" w:sz="4" w:space="0"/>
            </w:tcBorders>
          </w:tcPr>
          <w:p w14:paraId="43179856">
            <w:pPr>
              <w:spacing w:line="320" w:lineRule="auto"/>
            </w:pPr>
          </w:p>
          <w:p w14:paraId="7B3BED6F">
            <w:pPr>
              <w:spacing w:line="57" w:lineRule="exact"/>
              <w:ind w:firstLine="1"/>
            </w:pPr>
            <w:r>
              <w:rPr>
                <w:position w:val="-1"/>
              </w:rPr>
              <mc:AlternateContent>
                <mc:Choice Requires="wps">
                  <w:drawing>
                    <wp:inline distT="0" distB="0" distL="114300" distR="114300">
                      <wp:extent cx="311150" cy="38100"/>
                      <wp:effectExtent l="0" t="0" r="3175" b="0"/>
                      <wp:docPr id="23" name="任意多边形 23"/>
                      <wp:cNvGraphicFramePr/>
                      <a:graphic xmlns:a="http://schemas.openxmlformats.org/drawingml/2006/main">
                        <a:graphicData uri="http://schemas.microsoft.com/office/word/2010/wordprocessingShape">
                          <wps:wsp>
                            <wps:cNvSpPr/>
                            <wps:spPr>
                              <a:xfrm>
                                <a:off x="0" y="0"/>
                                <a:ext cx="311150" cy="38100"/>
                              </a:xfrm>
                              <a:custGeom>
                                <a:avLst/>
                                <a:gdLst/>
                                <a:ahLst/>
                                <a:cxnLst/>
                                <a:rect l="0" t="0" r="0" b="0"/>
                                <a:pathLst>
                                  <a:path w="490" h="60">
                                    <a:moveTo>
                                      <a:pt x="0" y="60"/>
                                    </a:moveTo>
                                    <a:lnTo>
                                      <a:pt x="489" y="60"/>
                                    </a:lnTo>
                                    <a:lnTo>
                                      <a:pt x="489"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4.5pt;" fillcolor="#000000" filled="t" stroked="f" coordsize="490,60" o:gfxdata="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hge5tMAAAACAQAA&#10;DwAAAAAAAAABACAAAAAiAAAAZHJzL2Rvd25yZXYueG1sUEsBAhQAFAAAAAgAh07iQK2gFxgeAgAA&#10;nAQAAA4AAAAAAAAAAQAgAAAAIgEAAGRycy9lMm9Eb2MueG1sUEsFBgAAAAAGAAYAWQEAALIFAAAA&#10;AA==&#10;" path="m0,60l489,60,489,0,0,0,0,60xe">
                      <v:fill on="t" focussize="0,0"/>
                      <v:stroke on="f"/>
                      <v:imagedata o:title=""/>
                      <o:lock v:ext="edit" aspectratio="f"/>
                      <w10:wrap type="none"/>
                      <w10:anchorlock/>
                    </v:shape>
                  </w:pict>
                </mc:Fallback>
              </mc:AlternateContent>
            </w:r>
          </w:p>
        </w:tc>
        <w:tc>
          <w:tcPr>
            <w:tcW w:w="475" w:type="dxa"/>
            <w:tcBorders>
              <w:bottom w:val="single" w:color="000000" w:sz="4" w:space="0"/>
            </w:tcBorders>
          </w:tcPr>
          <w:p w14:paraId="4510C57E">
            <w:pPr>
              <w:spacing w:line="320" w:lineRule="auto"/>
            </w:pPr>
          </w:p>
          <w:p w14:paraId="2F754A84">
            <w:pPr>
              <w:spacing w:line="57" w:lineRule="exact"/>
              <w:ind w:firstLine="80"/>
            </w:pPr>
            <w:r>
              <w:rPr>
                <w:position w:val="-1"/>
              </w:rPr>
              <mc:AlternateContent>
                <mc:Choice Requires="wps">
                  <w:drawing>
                    <wp:inline distT="0" distB="0" distL="114300" distR="114300">
                      <wp:extent cx="245745" cy="38100"/>
                      <wp:effectExtent l="0" t="0" r="1905" b="0"/>
                      <wp:docPr id="32" name="任意多边形 32"/>
                      <wp:cNvGraphicFramePr/>
                      <a:graphic xmlns:a="http://schemas.openxmlformats.org/drawingml/2006/main">
                        <a:graphicData uri="http://schemas.microsoft.com/office/word/2010/wordprocessingShape">
                          <wps:wsp>
                            <wps:cNvSpPr/>
                            <wps:spPr>
                              <a:xfrm>
                                <a:off x="0" y="0"/>
                                <a:ext cx="245745" cy="38100"/>
                              </a:xfrm>
                              <a:custGeom>
                                <a:avLst/>
                                <a:gdLst/>
                                <a:ahLst/>
                                <a:cxnLst/>
                                <a:rect l="0" t="0" r="0" b="0"/>
                                <a:pathLst>
                                  <a:path w="387" h="60">
                                    <a:moveTo>
                                      <a:pt x="0" y="60"/>
                                    </a:moveTo>
                                    <a:lnTo>
                                      <a:pt x="386" y="60"/>
                                    </a:lnTo>
                                    <a:lnTo>
                                      <a:pt x="386"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35pt;" fillcolor="#000000" filled="t" stroked="f" coordsize="387,60" o:gfxdata="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vmg7UAAAAAgEA&#10;AA8AAAAAAAAAAQAgAAAAIgAAAGRycy9kb3ducmV2LnhtbFBLAQIUABQAAAAIAIdO4kDvngUbHgIA&#10;AJwEAAAOAAAAAAAAAAEAIAAAACMBAABkcnMvZTJvRG9jLnhtbFBLBQYAAAAABgAGAFkBAACzBQAA&#10;AAA=&#10;" path="m0,60l386,60,386,0,0,0,0,60xe">
                      <v:fill on="t" focussize="0,0"/>
                      <v:stroke on="f"/>
                      <v:imagedata o:title=""/>
                      <o:lock v:ext="edit" aspectratio="f"/>
                      <w10:wrap type="none"/>
                      <w10:anchorlock/>
                    </v:shape>
                  </w:pict>
                </mc:Fallback>
              </mc:AlternateContent>
            </w:r>
          </w:p>
        </w:tc>
        <w:tc>
          <w:tcPr>
            <w:tcW w:w="478" w:type="dxa"/>
            <w:vMerge w:val="restart"/>
            <w:tcBorders>
              <w:bottom w:val="nil"/>
            </w:tcBorders>
          </w:tcPr>
          <w:p w14:paraId="41B87854"/>
        </w:tc>
        <w:tc>
          <w:tcPr>
            <w:tcW w:w="475" w:type="dxa"/>
            <w:vMerge w:val="restart"/>
            <w:tcBorders>
              <w:bottom w:val="nil"/>
            </w:tcBorders>
          </w:tcPr>
          <w:p w14:paraId="5CED0834"/>
        </w:tc>
        <w:tc>
          <w:tcPr>
            <w:tcW w:w="478" w:type="dxa"/>
            <w:vMerge w:val="restart"/>
            <w:tcBorders>
              <w:bottom w:val="nil"/>
            </w:tcBorders>
          </w:tcPr>
          <w:p w14:paraId="0C609CFE"/>
        </w:tc>
        <w:tc>
          <w:tcPr>
            <w:tcW w:w="478" w:type="dxa"/>
            <w:vMerge w:val="restart"/>
            <w:tcBorders>
              <w:bottom w:val="nil"/>
            </w:tcBorders>
          </w:tcPr>
          <w:p w14:paraId="7173778A"/>
        </w:tc>
        <w:tc>
          <w:tcPr>
            <w:tcW w:w="499" w:type="dxa"/>
            <w:vMerge w:val="restart"/>
            <w:tcBorders>
              <w:bottom w:val="nil"/>
            </w:tcBorders>
          </w:tcPr>
          <w:p w14:paraId="75BDDCF8"/>
        </w:tc>
        <w:tc>
          <w:tcPr>
            <w:tcW w:w="497" w:type="dxa"/>
            <w:vMerge w:val="restart"/>
            <w:tcBorders>
              <w:bottom w:val="nil"/>
            </w:tcBorders>
          </w:tcPr>
          <w:p w14:paraId="0FD30F68"/>
        </w:tc>
        <w:tc>
          <w:tcPr>
            <w:tcW w:w="499" w:type="dxa"/>
            <w:vMerge w:val="restart"/>
            <w:tcBorders>
              <w:bottom w:val="nil"/>
            </w:tcBorders>
          </w:tcPr>
          <w:p w14:paraId="2F02BF41"/>
        </w:tc>
        <w:tc>
          <w:tcPr>
            <w:tcW w:w="501" w:type="dxa"/>
            <w:vMerge w:val="restart"/>
            <w:tcBorders>
              <w:bottom w:val="nil"/>
            </w:tcBorders>
          </w:tcPr>
          <w:p w14:paraId="176FFC7A"/>
        </w:tc>
        <w:tc>
          <w:tcPr>
            <w:tcW w:w="496" w:type="dxa"/>
            <w:vMerge w:val="restart"/>
            <w:tcBorders>
              <w:bottom w:val="nil"/>
            </w:tcBorders>
          </w:tcPr>
          <w:p w14:paraId="3E35A252"/>
        </w:tc>
        <w:tc>
          <w:tcPr>
            <w:tcW w:w="458" w:type="dxa"/>
            <w:vMerge w:val="restart"/>
            <w:tcBorders>
              <w:bottom w:val="nil"/>
            </w:tcBorders>
          </w:tcPr>
          <w:p w14:paraId="2AA10100"/>
        </w:tc>
        <w:tc>
          <w:tcPr>
            <w:tcW w:w="478" w:type="dxa"/>
            <w:vMerge w:val="restart"/>
            <w:tcBorders>
              <w:bottom w:val="nil"/>
            </w:tcBorders>
          </w:tcPr>
          <w:p w14:paraId="7DB03556"/>
        </w:tc>
        <w:tc>
          <w:tcPr>
            <w:tcW w:w="499" w:type="dxa"/>
            <w:vMerge w:val="restart"/>
            <w:tcBorders>
              <w:bottom w:val="nil"/>
            </w:tcBorders>
          </w:tcPr>
          <w:p w14:paraId="6BFB2A5D"/>
        </w:tc>
        <w:tc>
          <w:tcPr>
            <w:tcW w:w="501" w:type="dxa"/>
            <w:vMerge w:val="restart"/>
            <w:tcBorders>
              <w:bottom w:val="nil"/>
            </w:tcBorders>
          </w:tcPr>
          <w:p w14:paraId="1D951105"/>
        </w:tc>
        <w:tc>
          <w:tcPr>
            <w:tcW w:w="501" w:type="dxa"/>
            <w:vMerge w:val="restart"/>
            <w:tcBorders>
              <w:bottom w:val="nil"/>
            </w:tcBorders>
          </w:tcPr>
          <w:p w14:paraId="7ABAC18F"/>
        </w:tc>
        <w:tc>
          <w:tcPr>
            <w:tcW w:w="501" w:type="dxa"/>
            <w:vMerge w:val="restart"/>
            <w:tcBorders>
              <w:bottom w:val="nil"/>
            </w:tcBorders>
          </w:tcPr>
          <w:p w14:paraId="69A0757F"/>
        </w:tc>
        <w:tc>
          <w:tcPr>
            <w:tcW w:w="499" w:type="dxa"/>
            <w:vMerge w:val="restart"/>
            <w:tcBorders>
              <w:bottom w:val="nil"/>
            </w:tcBorders>
          </w:tcPr>
          <w:p w14:paraId="4BC86E5D"/>
        </w:tc>
        <w:tc>
          <w:tcPr>
            <w:tcW w:w="502" w:type="dxa"/>
            <w:vMerge w:val="restart"/>
            <w:tcBorders>
              <w:bottom w:val="nil"/>
            </w:tcBorders>
          </w:tcPr>
          <w:p w14:paraId="633ECED5"/>
        </w:tc>
        <w:tc>
          <w:tcPr>
            <w:tcW w:w="516" w:type="dxa"/>
            <w:vMerge w:val="restart"/>
            <w:tcBorders>
              <w:bottom w:val="nil"/>
            </w:tcBorders>
          </w:tcPr>
          <w:p w14:paraId="7B91B48A"/>
        </w:tc>
      </w:tr>
      <w:tr w14:paraId="3159B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6" w:hRule="atLeast"/>
        </w:trPr>
        <w:tc>
          <w:tcPr>
            <w:tcW w:w="775" w:type="dxa"/>
            <w:vMerge w:val="continue"/>
            <w:tcBorders>
              <w:top w:val="nil"/>
            </w:tcBorders>
          </w:tcPr>
          <w:p w14:paraId="5A7F92E3"/>
        </w:tc>
        <w:tc>
          <w:tcPr>
            <w:tcW w:w="2664" w:type="dxa"/>
            <w:vMerge w:val="continue"/>
            <w:tcBorders>
              <w:top w:val="nil"/>
            </w:tcBorders>
          </w:tcPr>
          <w:p w14:paraId="6B32E83A"/>
        </w:tc>
        <w:tc>
          <w:tcPr>
            <w:tcW w:w="523" w:type="dxa"/>
            <w:tcBorders>
              <w:top w:val="single" w:color="000000" w:sz="10" w:space="0"/>
            </w:tcBorders>
          </w:tcPr>
          <w:p w14:paraId="1B03EA24"/>
        </w:tc>
        <w:tc>
          <w:tcPr>
            <w:tcW w:w="499" w:type="dxa"/>
            <w:tcBorders>
              <w:top w:val="single" w:color="000000" w:sz="4" w:space="0"/>
            </w:tcBorders>
          </w:tcPr>
          <w:p w14:paraId="003A1E4E"/>
        </w:tc>
        <w:tc>
          <w:tcPr>
            <w:tcW w:w="475" w:type="dxa"/>
            <w:tcBorders>
              <w:top w:val="single" w:color="000000" w:sz="4" w:space="0"/>
            </w:tcBorders>
          </w:tcPr>
          <w:p w14:paraId="50A944CA"/>
        </w:tc>
        <w:tc>
          <w:tcPr>
            <w:tcW w:w="478" w:type="dxa"/>
            <w:vMerge w:val="continue"/>
            <w:tcBorders>
              <w:top w:val="nil"/>
            </w:tcBorders>
          </w:tcPr>
          <w:p w14:paraId="08C0EAE8"/>
        </w:tc>
        <w:tc>
          <w:tcPr>
            <w:tcW w:w="475" w:type="dxa"/>
            <w:vMerge w:val="continue"/>
            <w:tcBorders>
              <w:top w:val="nil"/>
            </w:tcBorders>
          </w:tcPr>
          <w:p w14:paraId="6C0068E5"/>
        </w:tc>
        <w:tc>
          <w:tcPr>
            <w:tcW w:w="478" w:type="dxa"/>
            <w:vMerge w:val="continue"/>
            <w:tcBorders>
              <w:top w:val="nil"/>
            </w:tcBorders>
          </w:tcPr>
          <w:p w14:paraId="66C5163F"/>
        </w:tc>
        <w:tc>
          <w:tcPr>
            <w:tcW w:w="478" w:type="dxa"/>
            <w:vMerge w:val="continue"/>
            <w:tcBorders>
              <w:top w:val="nil"/>
            </w:tcBorders>
          </w:tcPr>
          <w:p w14:paraId="31F34EDF"/>
        </w:tc>
        <w:tc>
          <w:tcPr>
            <w:tcW w:w="499" w:type="dxa"/>
            <w:vMerge w:val="continue"/>
            <w:tcBorders>
              <w:top w:val="nil"/>
            </w:tcBorders>
          </w:tcPr>
          <w:p w14:paraId="5E258EA3"/>
        </w:tc>
        <w:tc>
          <w:tcPr>
            <w:tcW w:w="497" w:type="dxa"/>
            <w:vMerge w:val="continue"/>
            <w:tcBorders>
              <w:top w:val="nil"/>
            </w:tcBorders>
          </w:tcPr>
          <w:p w14:paraId="61DDE3F2"/>
        </w:tc>
        <w:tc>
          <w:tcPr>
            <w:tcW w:w="499" w:type="dxa"/>
            <w:vMerge w:val="continue"/>
            <w:tcBorders>
              <w:top w:val="nil"/>
            </w:tcBorders>
          </w:tcPr>
          <w:p w14:paraId="187EA7DD"/>
        </w:tc>
        <w:tc>
          <w:tcPr>
            <w:tcW w:w="501" w:type="dxa"/>
            <w:vMerge w:val="continue"/>
            <w:tcBorders>
              <w:top w:val="nil"/>
            </w:tcBorders>
          </w:tcPr>
          <w:p w14:paraId="4DFA80CE"/>
        </w:tc>
        <w:tc>
          <w:tcPr>
            <w:tcW w:w="496" w:type="dxa"/>
            <w:vMerge w:val="continue"/>
            <w:tcBorders>
              <w:top w:val="nil"/>
            </w:tcBorders>
          </w:tcPr>
          <w:p w14:paraId="1E2C4F88"/>
        </w:tc>
        <w:tc>
          <w:tcPr>
            <w:tcW w:w="458" w:type="dxa"/>
            <w:vMerge w:val="continue"/>
            <w:tcBorders>
              <w:top w:val="nil"/>
            </w:tcBorders>
          </w:tcPr>
          <w:p w14:paraId="24F3CF14"/>
        </w:tc>
        <w:tc>
          <w:tcPr>
            <w:tcW w:w="478" w:type="dxa"/>
            <w:vMerge w:val="continue"/>
            <w:tcBorders>
              <w:top w:val="nil"/>
            </w:tcBorders>
          </w:tcPr>
          <w:p w14:paraId="385BEE5C"/>
        </w:tc>
        <w:tc>
          <w:tcPr>
            <w:tcW w:w="499" w:type="dxa"/>
            <w:vMerge w:val="continue"/>
            <w:tcBorders>
              <w:top w:val="nil"/>
            </w:tcBorders>
          </w:tcPr>
          <w:p w14:paraId="39D40CD3"/>
        </w:tc>
        <w:tc>
          <w:tcPr>
            <w:tcW w:w="501" w:type="dxa"/>
            <w:vMerge w:val="continue"/>
            <w:tcBorders>
              <w:top w:val="nil"/>
            </w:tcBorders>
          </w:tcPr>
          <w:p w14:paraId="16FCC67C"/>
        </w:tc>
        <w:tc>
          <w:tcPr>
            <w:tcW w:w="501" w:type="dxa"/>
            <w:vMerge w:val="continue"/>
            <w:tcBorders>
              <w:top w:val="nil"/>
            </w:tcBorders>
          </w:tcPr>
          <w:p w14:paraId="7A572FA0"/>
        </w:tc>
        <w:tc>
          <w:tcPr>
            <w:tcW w:w="501" w:type="dxa"/>
            <w:vMerge w:val="continue"/>
            <w:tcBorders>
              <w:top w:val="nil"/>
            </w:tcBorders>
          </w:tcPr>
          <w:p w14:paraId="7DCB103F"/>
        </w:tc>
        <w:tc>
          <w:tcPr>
            <w:tcW w:w="499" w:type="dxa"/>
            <w:vMerge w:val="continue"/>
            <w:tcBorders>
              <w:top w:val="nil"/>
            </w:tcBorders>
          </w:tcPr>
          <w:p w14:paraId="723B3C4A"/>
        </w:tc>
        <w:tc>
          <w:tcPr>
            <w:tcW w:w="502" w:type="dxa"/>
            <w:vMerge w:val="continue"/>
            <w:tcBorders>
              <w:top w:val="nil"/>
            </w:tcBorders>
          </w:tcPr>
          <w:p w14:paraId="6584E961"/>
        </w:tc>
        <w:tc>
          <w:tcPr>
            <w:tcW w:w="516" w:type="dxa"/>
            <w:vMerge w:val="continue"/>
            <w:tcBorders>
              <w:top w:val="nil"/>
            </w:tcBorders>
          </w:tcPr>
          <w:p w14:paraId="36FA09E0"/>
        </w:tc>
      </w:tr>
      <w:tr w14:paraId="735E9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0" w:hRule="atLeast"/>
        </w:trPr>
        <w:tc>
          <w:tcPr>
            <w:tcW w:w="775" w:type="dxa"/>
            <w:vMerge w:val="restart"/>
            <w:tcBorders>
              <w:bottom w:val="nil"/>
            </w:tcBorders>
          </w:tcPr>
          <w:p w14:paraId="59A195F4">
            <w:pPr>
              <w:spacing w:before="310" w:line="186" w:lineRule="auto"/>
              <w:ind w:left="334"/>
              <w:rPr>
                <w:sz w:val="24"/>
              </w:rPr>
            </w:pPr>
            <w:r>
              <w:rPr>
                <w:sz w:val="24"/>
              </w:rPr>
              <w:t>2</w:t>
            </w:r>
          </w:p>
        </w:tc>
        <w:tc>
          <w:tcPr>
            <w:tcW w:w="2664" w:type="dxa"/>
            <w:vMerge w:val="restart"/>
            <w:tcBorders>
              <w:bottom w:val="nil"/>
            </w:tcBorders>
          </w:tcPr>
          <w:p w14:paraId="270288DC">
            <w:pPr>
              <w:pStyle w:val="10"/>
              <w:spacing w:before="288" w:line="221" w:lineRule="auto"/>
              <w:ind w:left="115"/>
              <w:rPr>
                <w:rFonts w:ascii="Arial" w:hAnsi="Arial" w:cs="Arial"/>
              </w:rPr>
            </w:pPr>
            <w:r>
              <w:rPr>
                <w:rFonts w:ascii="Arial" w:hAnsi="Arial" w:cs="Arial"/>
                <w:spacing w:val="-3"/>
              </w:rPr>
              <w:t>设备制造</w:t>
            </w:r>
          </w:p>
        </w:tc>
        <w:tc>
          <w:tcPr>
            <w:tcW w:w="523" w:type="dxa"/>
            <w:tcBorders>
              <w:bottom w:val="single" w:color="000000" w:sz="4" w:space="0"/>
            </w:tcBorders>
          </w:tcPr>
          <w:p w14:paraId="274923E2">
            <w:pPr>
              <w:spacing w:line="324" w:lineRule="auto"/>
            </w:pPr>
          </w:p>
          <w:p w14:paraId="3BF26547">
            <w:pPr>
              <w:spacing w:line="34" w:lineRule="exact"/>
            </w:pPr>
            <w:r>
              <w:rPr>
                <w:position w:val="-3"/>
              </w:rPr>
              <mc:AlternateContent>
                <mc:Choice Requires="wps">
                  <w:drawing>
                    <wp:inline distT="0" distB="0" distL="114300" distR="114300">
                      <wp:extent cx="326390" cy="38100"/>
                      <wp:effectExtent l="0" t="0" r="6985" b="0"/>
                      <wp:docPr id="28" name="任意多边形 28"/>
                      <wp:cNvGraphicFramePr/>
                      <a:graphic xmlns:a="http://schemas.openxmlformats.org/drawingml/2006/main">
                        <a:graphicData uri="http://schemas.microsoft.com/office/word/2010/wordprocessingShape">
                          <wps:wsp>
                            <wps:cNvSpPr/>
                            <wps:spPr>
                              <a:xfrm>
                                <a:off x="0" y="0"/>
                                <a:ext cx="326390" cy="38100"/>
                              </a:xfrm>
                              <a:custGeom>
                                <a:avLst/>
                                <a:gdLst/>
                                <a:ahLst/>
                                <a:cxnLst/>
                                <a:rect l="0" t="0" r="0" b="0"/>
                                <a:pathLst>
                                  <a:path w="514" h="60">
                                    <a:moveTo>
                                      <a:pt x="0" y="60"/>
                                    </a:moveTo>
                                    <a:lnTo>
                                      <a:pt x="513" y="60"/>
                                    </a:lnTo>
                                    <a:lnTo>
                                      <a:pt x="513"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5.7pt;" fillcolor="#000000" filled="t" stroked="f" coordsize="514,60" o:gfxdata="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pkLvNMAAAACAQAA&#10;DwAAAAAAAAABACAAAAAiAAAAZHJzL2Rvd25yZXYueG1sUEsBAhQAFAAAAAgAh07iQGLs2KceAgAA&#10;nAQAAA4AAAAAAAAAAQAgAAAAIgEAAGRycy9lMm9Eb2MueG1sUEsFBgAAAAAGAAYAWQEAALIFAAAA&#10;AA==&#10;" path="m0,60l513,60,513,0,0,0,0,60xe">
                      <v:fill on="t" focussize="0,0"/>
                      <v:stroke on="f"/>
                      <v:imagedata o:title=""/>
                      <o:lock v:ext="edit" aspectratio="f"/>
                      <w10:wrap type="none"/>
                      <w10:anchorlock/>
                    </v:shape>
                  </w:pict>
                </mc:Fallback>
              </mc:AlternateContent>
            </w:r>
          </w:p>
        </w:tc>
        <w:tc>
          <w:tcPr>
            <w:tcW w:w="499" w:type="dxa"/>
            <w:tcBorders>
              <w:bottom w:val="single" w:color="000000" w:sz="4" w:space="0"/>
            </w:tcBorders>
          </w:tcPr>
          <w:p w14:paraId="5D2415E7">
            <w:pPr>
              <w:spacing w:line="324" w:lineRule="auto"/>
            </w:pPr>
            <w:r>
              <mc:AlternateContent>
                <mc:Choice Requires="wps">
                  <w:drawing>
                    <wp:anchor distT="0" distB="0" distL="114300" distR="114300" simplePos="0" relativeHeight="251672576" behindDoc="0" locked="0" layoutInCell="1" allowOverlap="1">
                      <wp:simplePos x="0" y="0"/>
                      <wp:positionH relativeFrom="page">
                        <wp:posOffset>-70485</wp:posOffset>
                      </wp:positionH>
                      <wp:positionV relativeFrom="page">
                        <wp:posOffset>210185</wp:posOffset>
                      </wp:positionV>
                      <wp:extent cx="56515" cy="38100"/>
                      <wp:effectExtent l="0" t="0" r="635" b="0"/>
                      <wp:wrapNone/>
                      <wp:docPr id="33" name="任意多边形 33"/>
                      <wp:cNvGraphicFramePr/>
                      <a:graphic xmlns:a="http://schemas.openxmlformats.org/drawingml/2006/main">
                        <a:graphicData uri="http://schemas.microsoft.com/office/word/2010/wordprocessingShape">
                          <wps:wsp>
                            <wps:cNvSpPr/>
                            <wps:spPr>
                              <a:xfrm>
                                <a:off x="0" y="0"/>
                                <a:ext cx="56515" cy="38100"/>
                              </a:xfrm>
                              <a:custGeom>
                                <a:avLst/>
                                <a:gdLst/>
                                <a:ahLst/>
                                <a:cxnLst/>
                                <a:rect l="0" t="0" r="0" b="0"/>
                                <a:pathLst>
                                  <a:path w="88" h="60">
                                    <a:moveTo>
                                      <a:pt x="0" y="60"/>
                                    </a:moveTo>
                                    <a:lnTo>
                                      <a:pt x="88" y="60"/>
                                    </a:lnTo>
                                    <a:lnTo>
                                      <a:pt x="88"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5pt;margin-top:16.55pt;height:3pt;width:4.45pt;mso-position-horizontal-relative:page;mso-position-vertical-relative:page;z-index:251672576;mso-width-relative:page;mso-height-relative:page;" fillcolor="#000000" filled="t" stroked="f" coordsize="88,60" o:gfxdata="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gD3jHVAAAACAEAAA8A&#10;AAAAAAAAAQAgAAAAIgAAAGRycy9kb3ducmV2LnhtbFBLAQIUABQAAAAIAIdO4kALgXfgGgIAAJgE&#10;AAAOAAAAAAAAAAEAIAAAACQBAABkcnMvZTJvRG9jLnhtbFBLBQYAAAAABgAGAFkBAACwBQAAAAA=&#10;" path="m0,60l88,60,88,0,0,0,0,60xe">
                      <v:fill on="t" focussize="0,0"/>
                      <v:stroke on="f"/>
                      <v:imagedata o:title=""/>
                      <o:lock v:ext="edit" aspectratio="f"/>
                    </v:shape>
                  </w:pict>
                </mc:Fallback>
              </mc:AlternateContent>
            </w:r>
          </w:p>
          <w:p w14:paraId="4C693933">
            <w:pPr>
              <w:spacing w:line="34" w:lineRule="exact"/>
              <w:ind w:firstLine="80"/>
            </w:pPr>
            <w:r>
              <w:rPr>
                <w:position w:val="-3"/>
              </w:rPr>
              <mc:AlternateContent>
                <mc:Choice Requires="wps">
                  <w:drawing>
                    <wp:inline distT="0" distB="0" distL="114300" distR="114300">
                      <wp:extent cx="260985" cy="38100"/>
                      <wp:effectExtent l="0" t="0" r="5715" b="0"/>
                      <wp:docPr id="36" name="任意多边形 36"/>
                      <wp:cNvGraphicFramePr/>
                      <a:graphic xmlns:a="http://schemas.openxmlformats.org/drawingml/2006/main">
                        <a:graphicData uri="http://schemas.microsoft.com/office/word/2010/wordprocessingShape">
                          <wps:wsp>
                            <wps:cNvSpPr/>
                            <wps:spPr>
                              <a:xfrm>
                                <a:off x="0" y="0"/>
                                <a:ext cx="260985" cy="38100"/>
                              </a:xfrm>
                              <a:custGeom>
                                <a:avLst/>
                                <a:gdLst/>
                                <a:ahLst/>
                                <a:cxnLst/>
                                <a:rect l="0" t="0" r="0" b="0"/>
                                <a:pathLst>
                                  <a:path w="410" h="60">
                                    <a:moveTo>
                                      <a:pt x="0" y="60"/>
                                    </a:moveTo>
                                    <a:lnTo>
                                      <a:pt x="410" y="60"/>
                                    </a:lnTo>
                                    <a:lnTo>
                                      <a:pt x="410"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55pt;" fillcolor="#000000" filled="t" stroked="f" coordsize="410,60" o:gfxdata="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Im17tIAAAACAQAADwAA&#10;AAAAAAABACAAAAAiAAAAZHJzL2Rvd25yZXYueG1sUEsBAhQAFAAAAAgAh07iQB4sodgcAgAAnAQA&#10;AA4AAAAAAAAAAQAgAAAAIQEAAGRycy9lMm9Eb2MueG1sUEsFBgAAAAAGAAYAWQEAAK8FAAAAAA==&#10;" path="m0,60l410,60,410,0,0,0,0,60xe">
                      <v:fill on="t" focussize="0,0"/>
                      <v:stroke on="f"/>
                      <v:imagedata o:title=""/>
                      <o:lock v:ext="edit" aspectratio="f"/>
                      <w10:wrap type="none"/>
                      <w10:anchorlock/>
                    </v:shape>
                  </w:pict>
                </mc:Fallback>
              </mc:AlternateContent>
            </w:r>
          </w:p>
        </w:tc>
        <w:tc>
          <w:tcPr>
            <w:tcW w:w="475" w:type="dxa"/>
            <w:tcBorders>
              <w:bottom w:val="single" w:color="000000" w:sz="4" w:space="0"/>
            </w:tcBorders>
          </w:tcPr>
          <w:p w14:paraId="7BC44426">
            <w:pPr>
              <w:spacing w:line="324" w:lineRule="auto"/>
            </w:pPr>
          </w:p>
          <w:p w14:paraId="337751DA">
            <w:pPr>
              <w:spacing w:line="34" w:lineRule="exact"/>
              <w:ind w:firstLine="80"/>
            </w:pPr>
            <w:r>
              <w:rPr>
                <w:position w:val="-3"/>
              </w:rPr>
              <mc:AlternateContent>
                <mc:Choice Requires="wps">
                  <w:drawing>
                    <wp:inline distT="0" distB="0" distL="114300" distR="114300">
                      <wp:extent cx="245745" cy="38100"/>
                      <wp:effectExtent l="0" t="0" r="1905" b="0"/>
                      <wp:docPr id="37" name="任意多边形 37"/>
                      <wp:cNvGraphicFramePr/>
                      <a:graphic xmlns:a="http://schemas.openxmlformats.org/drawingml/2006/main">
                        <a:graphicData uri="http://schemas.microsoft.com/office/word/2010/wordprocessingShape">
                          <wps:wsp>
                            <wps:cNvSpPr/>
                            <wps:spPr>
                              <a:xfrm>
                                <a:off x="0" y="0"/>
                                <a:ext cx="245745" cy="38100"/>
                              </a:xfrm>
                              <a:custGeom>
                                <a:avLst/>
                                <a:gdLst/>
                                <a:ahLst/>
                                <a:cxnLst/>
                                <a:rect l="0" t="0" r="0" b="0"/>
                                <a:pathLst>
                                  <a:path w="387" h="60">
                                    <a:moveTo>
                                      <a:pt x="0" y="60"/>
                                    </a:moveTo>
                                    <a:lnTo>
                                      <a:pt x="386" y="60"/>
                                    </a:lnTo>
                                    <a:lnTo>
                                      <a:pt x="386"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35pt;" fillcolor="#000000" filled="t" stroked="f" coordsize="387,60" o:gfxdata="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vmg7UAAAAAgEA&#10;AA8AAAAAAAAAAQAgAAAAIgAAAGRycy9kb3ducmV2LnhtbFBLAQIUABQAAAAIAIdO4kC2srgzHgIA&#10;AJwEAAAOAAAAAAAAAAEAIAAAACMBAABkcnMvZTJvRG9jLnhtbFBLBQYAAAAABgAGAFkBAACzBQAA&#10;AAA=&#10;" path="m0,60l386,60,386,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038BEF57">
            <w:pPr>
              <w:spacing w:line="324" w:lineRule="auto"/>
            </w:pPr>
          </w:p>
          <w:p w14:paraId="2A699999">
            <w:pPr>
              <w:spacing w:line="34" w:lineRule="exact"/>
              <w:ind w:firstLine="80"/>
            </w:pPr>
            <w:r>
              <w:rPr>
                <w:position w:val="-3"/>
              </w:rPr>
              <mc:AlternateContent>
                <mc:Choice Requires="wps">
                  <w:drawing>
                    <wp:inline distT="0" distB="0" distL="114300" distR="114300">
                      <wp:extent cx="247015" cy="38100"/>
                      <wp:effectExtent l="0" t="0" r="635" b="0"/>
                      <wp:docPr id="30" name="任意多边形 30"/>
                      <wp:cNvGraphicFramePr/>
                      <a:graphic xmlns:a="http://schemas.openxmlformats.org/drawingml/2006/main">
                        <a:graphicData uri="http://schemas.microsoft.com/office/word/2010/wordprocessingShape">
                          <wps:wsp>
                            <wps:cNvSpPr/>
                            <wps:spPr>
                              <a:xfrm>
                                <a:off x="0" y="0"/>
                                <a:ext cx="247015" cy="38100"/>
                              </a:xfrm>
                              <a:custGeom>
                                <a:avLst/>
                                <a:gdLst/>
                                <a:ahLst/>
                                <a:cxnLst/>
                                <a:rect l="0" t="0" r="0" b="0"/>
                                <a:pathLst>
                                  <a:path w="389" h="60">
                                    <a:moveTo>
                                      <a:pt x="0" y="60"/>
                                    </a:moveTo>
                                    <a:lnTo>
                                      <a:pt x="388" y="60"/>
                                    </a:lnTo>
                                    <a:lnTo>
                                      <a:pt x="388"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45pt;" fillcolor="#000000" filled="t" stroked="f" coordsize="389,60" o:gfxdata="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IRxV1gAAAAIB&#10;AAAPAAAAAAAAAAEAIAAAACIAAABkcnMvZG93bnJldi54bWxQSwECFAAUAAAACACHTuJAm0/eXB0C&#10;AACcBAAADgAAAAAAAAABACAAAAAlAQAAZHJzL2Uyb0RvYy54bWxQSwUGAAAAAAYABgBZAQAAtAUA&#10;AAAA&#10;" path="m0,60l388,60,388,0,0,0,0,60xe">
                      <v:fill on="t" focussize="0,0"/>
                      <v:stroke on="f"/>
                      <v:imagedata o:title=""/>
                      <o:lock v:ext="edit" aspectratio="f"/>
                      <w10:wrap type="none"/>
                      <w10:anchorlock/>
                    </v:shape>
                  </w:pict>
                </mc:Fallback>
              </mc:AlternateContent>
            </w:r>
          </w:p>
        </w:tc>
        <w:tc>
          <w:tcPr>
            <w:tcW w:w="475" w:type="dxa"/>
            <w:tcBorders>
              <w:bottom w:val="single" w:color="000000" w:sz="4" w:space="0"/>
            </w:tcBorders>
          </w:tcPr>
          <w:p w14:paraId="303656E1">
            <w:pPr>
              <w:spacing w:line="324" w:lineRule="auto"/>
            </w:pPr>
          </w:p>
          <w:p w14:paraId="2FAFB67A">
            <w:pPr>
              <w:spacing w:line="34" w:lineRule="exact"/>
              <w:ind w:firstLine="80"/>
            </w:pPr>
            <w:r>
              <w:rPr>
                <w:position w:val="-3"/>
              </w:rPr>
              <mc:AlternateContent>
                <mc:Choice Requires="wps">
                  <w:drawing>
                    <wp:inline distT="0" distB="0" distL="114300" distR="114300">
                      <wp:extent cx="245745" cy="38100"/>
                      <wp:effectExtent l="0" t="0" r="1905" b="0"/>
                      <wp:docPr id="31" name="任意多边形 31"/>
                      <wp:cNvGraphicFramePr/>
                      <a:graphic xmlns:a="http://schemas.openxmlformats.org/drawingml/2006/main">
                        <a:graphicData uri="http://schemas.microsoft.com/office/word/2010/wordprocessingShape">
                          <wps:wsp>
                            <wps:cNvSpPr/>
                            <wps:spPr>
                              <a:xfrm>
                                <a:off x="0" y="0"/>
                                <a:ext cx="245745" cy="38100"/>
                              </a:xfrm>
                              <a:custGeom>
                                <a:avLst/>
                                <a:gdLst/>
                                <a:ahLst/>
                                <a:cxnLst/>
                                <a:rect l="0" t="0" r="0" b="0"/>
                                <a:pathLst>
                                  <a:path w="387" h="60">
                                    <a:moveTo>
                                      <a:pt x="0" y="60"/>
                                    </a:moveTo>
                                    <a:lnTo>
                                      <a:pt x="386" y="60"/>
                                    </a:lnTo>
                                    <a:lnTo>
                                      <a:pt x="386"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35pt;" fillcolor="#000000" filled="t" stroked="f" coordsize="387,60" o:gfxdata="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vmg7UAAAAAgEA&#10;AA8AAAAAAAAAAQAgAAAAIgAAAGRycy9kb3ducmV2LnhtbFBLAQIUABQAAAAIAIdO4kDneL61HgIA&#10;AJwEAAAOAAAAAAAAAAEAIAAAACMBAABkcnMvZTJvRG9jLnhtbFBLBQYAAAAABgAGAFkBAACzBQAA&#10;AAA=&#10;" path="m0,60l386,60,386,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02F83DC4">
            <w:pPr>
              <w:spacing w:line="324" w:lineRule="auto"/>
            </w:pPr>
          </w:p>
          <w:p w14:paraId="08663AB5">
            <w:pPr>
              <w:spacing w:line="34" w:lineRule="exact"/>
              <w:ind w:firstLine="80"/>
            </w:pPr>
            <w:r>
              <w:rPr>
                <w:position w:val="-3"/>
              </w:rPr>
              <mc:AlternateContent>
                <mc:Choice Requires="wps">
                  <w:drawing>
                    <wp:inline distT="0" distB="0" distL="114300" distR="114300">
                      <wp:extent cx="247015" cy="38100"/>
                      <wp:effectExtent l="0" t="0" r="635" b="0"/>
                      <wp:docPr id="26" name="任意多边形 26"/>
                      <wp:cNvGraphicFramePr/>
                      <a:graphic xmlns:a="http://schemas.openxmlformats.org/drawingml/2006/main">
                        <a:graphicData uri="http://schemas.microsoft.com/office/word/2010/wordprocessingShape">
                          <wps:wsp>
                            <wps:cNvSpPr/>
                            <wps:spPr>
                              <a:xfrm>
                                <a:off x="0" y="0"/>
                                <a:ext cx="247015" cy="38100"/>
                              </a:xfrm>
                              <a:custGeom>
                                <a:avLst/>
                                <a:gdLst/>
                                <a:ahLst/>
                                <a:cxnLst/>
                                <a:rect l="0" t="0" r="0" b="0"/>
                                <a:pathLst>
                                  <a:path w="389" h="60">
                                    <a:moveTo>
                                      <a:pt x="0" y="60"/>
                                    </a:moveTo>
                                    <a:lnTo>
                                      <a:pt x="388" y="60"/>
                                    </a:lnTo>
                                    <a:lnTo>
                                      <a:pt x="388"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45pt;" fillcolor="#000000" filled="t" stroked="f" coordsize="389,60" o:gfxdata="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IRxV1gAAAAIB&#10;AAAPAAAAAAAAAAEAIAAAACIAAABkcnMvZG93bnJldi54bWxQSwECFAAUAAAACACHTuJAhpQL3x0C&#10;AACcBAAADgAAAAAAAAABACAAAAAlAQAAZHJzL2Uyb0RvYy54bWxQSwUGAAAAAAYABgBZAQAAtAUA&#10;AAAA&#10;" path="m0,60l388,60,388,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54E6F591">
            <w:pPr>
              <w:spacing w:line="324" w:lineRule="auto"/>
            </w:pPr>
          </w:p>
          <w:p w14:paraId="3B6794E8">
            <w:pPr>
              <w:spacing w:line="34" w:lineRule="exact"/>
              <w:ind w:firstLine="80"/>
            </w:pPr>
            <w:r>
              <w:rPr>
                <w:position w:val="-3"/>
              </w:rPr>
              <mc:AlternateContent>
                <mc:Choice Requires="wps">
                  <w:drawing>
                    <wp:inline distT="0" distB="0" distL="114300" distR="114300">
                      <wp:extent cx="247650" cy="38100"/>
                      <wp:effectExtent l="0" t="0" r="0" b="0"/>
                      <wp:docPr id="34" name="任意多边形 34"/>
                      <wp:cNvGraphicFramePr/>
                      <a:graphic xmlns:a="http://schemas.openxmlformats.org/drawingml/2006/main">
                        <a:graphicData uri="http://schemas.microsoft.com/office/word/2010/wordprocessingShape">
                          <wps:wsp>
                            <wps:cNvSpPr/>
                            <wps:spPr>
                              <a:xfrm>
                                <a:off x="0" y="0"/>
                                <a:ext cx="247650" cy="38100"/>
                              </a:xfrm>
                              <a:custGeom>
                                <a:avLst/>
                                <a:gdLst/>
                                <a:ahLst/>
                                <a:cxnLst/>
                                <a:rect l="0" t="0" r="0" b="0"/>
                                <a:pathLst>
                                  <a:path w="390" h="60">
                                    <a:moveTo>
                                      <a:pt x="0" y="60"/>
                                    </a:moveTo>
                                    <a:lnTo>
                                      <a:pt x="389" y="60"/>
                                    </a:lnTo>
                                    <a:lnTo>
                                      <a:pt x="389"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5pt;" fillcolor="#000000" filled="t" stroked="f" coordsize="390,60" o:gfxdata="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j/oFNMAAAACAQAA&#10;DwAAAAAAAAABACAAAAAiAAAAZHJzL2Rvd25yZXYueG1sUEsBAhQAFAAAAAgAh07iQJWpk50eAgAA&#10;nAQAAA4AAAAAAAAAAQAgAAAAIgEAAGRycy9lMm9Eb2MueG1sUEsFBgAAAAAGAAYAWQEAALIFAAAA&#10;AA==&#10;" path="m0,60l389,60,389,0,0,0,0,60xe">
                      <v:fill on="t" focussize="0,0"/>
                      <v:stroke on="f"/>
                      <v:imagedata o:title=""/>
                      <o:lock v:ext="edit" aspectratio="f"/>
                      <w10:wrap type="none"/>
                      <w10:anchorlock/>
                    </v:shape>
                  </w:pict>
                </mc:Fallback>
              </mc:AlternateContent>
            </w:r>
          </w:p>
        </w:tc>
        <w:tc>
          <w:tcPr>
            <w:tcW w:w="499" w:type="dxa"/>
            <w:vMerge w:val="restart"/>
            <w:tcBorders>
              <w:bottom w:val="nil"/>
            </w:tcBorders>
          </w:tcPr>
          <w:p w14:paraId="0FC85FA7"/>
        </w:tc>
        <w:tc>
          <w:tcPr>
            <w:tcW w:w="497" w:type="dxa"/>
            <w:vMerge w:val="restart"/>
            <w:tcBorders>
              <w:bottom w:val="nil"/>
            </w:tcBorders>
          </w:tcPr>
          <w:p w14:paraId="150A3534"/>
        </w:tc>
        <w:tc>
          <w:tcPr>
            <w:tcW w:w="499" w:type="dxa"/>
            <w:vMerge w:val="restart"/>
            <w:tcBorders>
              <w:bottom w:val="nil"/>
            </w:tcBorders>
          </w:tcPr>
          <w:p w14:paraId="43A7D3D2"/>
        </w:tc>
        <w:tc>
          <w:tcPr>
            <w:tcW w:w="501" w:type="dxa"/>
            <w:vMerge w:val="restart"/>
            <w:tcBorders>
              <w:bottom w:val="nil"/>
            </w:tcBorders>
          </w:tcPr>
          <w:p w14:paraId="18760784"/>
        </w:tc>
        <w:tc>
          <w:tcPr>
            <w:tcW w:w="496" w:type="dxa"/>
            <w:vMerge w:val="restart"/>
            <w:tcBorders>
              <w:bottom w:val="nil"/>
            </w:tcBorders>
          </w:tcPr>
          <w:p w14:paraId="030B1FD5"/>
        </w:tc>
        <w:tc>
          <w:tcPr>
            <w:tcW w:w="458" w:type="dxa"/>
            <w:vMerge w:val="restart"/>
            <w:tcBorders>
              <w:bottom w:val="nil"/>
            </w:tcBorders>
          </w:tcPr>
          <w:p w14:paraId="5CD0EFCA"/>
        </w:tc>
        <w:tc>
          <w:tcPr>
            <w:tcW w:w="478" w:type="dxa"/>
            <w:vMerge w:val="restart"/>
            <w:tcBorders>
              <w:bottom w:val="nil"/>
            </w:tcBorders>
          </w:tcPr>
          <w:p w14:paraId="568C082D"/>
        </w:tc>
        <w:tc>
          <w:tcPr>
            <w:tcW w:w="499" w:type="dxa"/>
            <w:vMerge w:val="restart"/>
            <w:tcBorders>
              <w:bottom w:val="nil"/>
            </w:tcBorders>
          </w:tcPr>
          <w:p w14:paraId="5522977D"/>
        </w:tc>
        <w:tc>
          <w:tcPr>
            <w:tcW w:w="501" w:type="dxa"/>
            <w:vMerge w:val="restart"/>
            <w:tcBorders>
              <w:bottom w:val="nil"/>
            </w:tcBorders>
          </w:tcPr>
          <w:p w14:paraId="2B1A7AE4"/>
        </w:tc>
        <w:tc>
          <w:tcPr>
            <w:tcW w:w="501" w:type="dxa"/>
            <w:vMerge w:val="restart"/>
            <w:tcBorders>
              <w:bottom w:val="nil"/>
            </w:tcBorders>
          </w:tcPr>
          <w:p w14:paraId="31E9468F"/>
        </w:tc>
        <w:tc>
          <w:tcPr>
            <w:tcW w:w="501" w:type="dxa"/>
            <w:vMerge w:val="restart"/>
            <w:tcBorders>
              <w:bottom w:val="nil"/>
            </w:tcBorders>
          </w:tcPr>
          <w:p w14:paraId="5D44AB99"/>
        </w:tc>
        <w:tc>
          <w:tcPr>
            <w:tcW w:w="499" w:type="dxa"/>
            <w:vMerge w:val="restart"/>
            <w:tcBorders>
              <w:bottom w:val="nil"/>
            </w:tcBorders>
          </w:tcPr>
          <w:p w14:paraId="2E77E9A5"/>
        </w:tc>
        <w:tc>
          <w:tcPr>
            <w:tcW w:w="502" w:type="dxa"/>
            <w:vMerge w:val="restart"/>
            <w:tcBorders>
              <w:bottom w:val="nil"/>
            </w:tcBorders>
          </w:tcPr>
          <w:p w14:paraId="494B2958"/>
        </w:tc>
        <w:tc>
          <w:tcPr>
            <w:tcW w:w="516" w:type="dxa"/>
            <w:vMerge w:val="restart"/>
            <w:tcBorders>
              <w:bottom w:val="nil"/>
            </w:tcBorders>
          </w:tcPr>
          <w:p w14:paraId="637DFCF8"/>
        </w:tc>
      </w:tr>
      <w:tr w14:paraId="487FF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trPr>
        <w:tc>
          <w:tcPr>
            <w:tcW w:w="775" w:type="dxa"/>
            <w:vMerge w:val="continue"/>
            <w:tcBorders>
              <w:top w:val="nil"/>
            </w:tcBorders>
          </w:tcPr>
          <w:p w14:paraId="0E710DBD"/>
        </w:tc>
        <w:tc>
          <w:tcPr>
            <w:tcW w:w="2664" w:type="dxa"/>
            <w:vMerge w:val="continue"/>
            <w:tcBorders>
              <w:top w:val="nil"/>
            </w:tcBorders>
          </w:tcPr>
          <w:p w14:paraId="2228D41E"/>
        </w:tc>
        <w:tc>
          <w:tcPr>
            <w:tcW w:w="523" w:type="dxa"/>
            <w:tcBorders>
              <w:top w:val="single" w:color="000000" w:sz="4" w:space="0"/>
            </w:tcBorders>
          </w:tcPr>
          <w:p w14:paraId="135E4F2E"/>
        </w:tc>
        <w:tc>
          <w:tcPr>
            <w:tcW w:w="499" w:type="dxa"/>
            <w:tcBorders>
              <w:top w:val="single" w:color="000000" w:sz="4" w:space="0"/>
            </w:tcBorders>
          </w:tcPr>
          <w:p w14:paraId="241047BE"/>
        </w:tc>
        <w:tc>
          <w:tcPr>
            <w:tcW w:w="475" w:type="dxa"/>
            <w:tcBorders>
              <w:top w:val="single" w:color="000000" w:sz="4" w:space="0"/>
            </w:tcBorders>
          </w:tcPr>
          <w:p w14:paraId="1F9D0810"/>
        </w:tc>
        <w:tc>
          <w:tcPr>
            <w:tcW w:w="478" w:type="dxa"/>
            <w:tcBorders>
              <w:top w:val="single" w:color="000000" w:sz="4" w:space="0"/>
            </w:tcBorders>
          </w:tcPr>
          <w:p w14:paraId="664AFE97"/>
        </w:tc>
        <w:tc>
          <w:tcPr>
            <w:tcW w:w="475" w:type="dxa"/>
            <w:tcBorders>
              <w:top w:val="single" w:color="000000" w:sz="4" w:space="0"/>
            </w:tcBorders>
          </w:tcPr>
          <w:p w14:paraId="6615CA35"/>
        </w:tc>
        <w:tc>
          <w:tcPr>
            <w:tcW w:w="478" w:type="dxa"/>
            <w:tcBorders>
              <w:top w:val="single" w:color="000000" w:sz="4" w:space="0"/>
            </w:tcBorders>
          </w:tcPr>
          <w:p w14:paraId="6CFB4DE9"/>
        </w:tc>
        <w:tc>
          <w:tcPr>
            <w:tcW w:w="478" w:type="dxa"/>
            <w:tcBorders>
              <w:top w:val="single" w:color="000000" w:sz="4" w:space="0"/>
            </w:tcBorders>
          </w:tcPr>
          <w:p w14:paraId="7FE8CABE"/>
        </w:tc>
        <w:tc>
          <w:tcPr>
            <w:tcW w:w="499" w:type="dxa"/>
            <w:vMerge w:val="continue"/>
            <w:tcBorders>
              <w:top w:val="nil"/>
            </w:tcBorders>
          </w:tcPr>
          <w:p w14:paraId="20B6D8D5"/>
        </w:tc>
        <w:tc>
          <w:tcPr>
            <w:tcW w:w="497" w:type="dxa"/>
            <w:vMerge w:val="continue"/>
            <w:tcBorders>
              <w:top w:val="nil"/>
            </w:tcBorders>
          </w:tcPr>
          <w:p w14:paraId="21A915F5"/>
        </w:tc>
        <w:tc>
          <w:tcPr>
            <w:tcW w:w="499" w:type="dxa"/>
            <w:vMerge w:val="continue"/>
            <w:tcBorders>
              <w:top w:val="nil"/>
            </w:tcBorders>
          </w:tcPr>
          <w:p w14:paraId="6EBC22C8"/>
        </w:tc>
        <w:tc>
          <w:tcPr>
            <w:tcW w:w="501" w:type="dxa"/>
            <w:vMerge w:val="continue"/>
            <w:tcBorders>
              <w:top w:val="nil"/>
            </w:tcBorders>
          </w:tcPr>
          <w:p w14:paraId="428F3723"/>
        </w:tc>
        <w:tc>
          <w:tcPr>
            <w:tcW w:w="496" w:type="dxa"/>
            <w:vMerge w:val="continue"/>
            <w:tcBorders>
              <w:top w:val="nil"/>
            </w:tcBorders>
          </w:tcPr>
          <w:p w14:paraId="0B430386"/>
        </w:tc>
        <w:tc>
          <w:tcPr>
            <w:tcW w:w="458" w:type="dxa"/>
            <w:vMerge w:val="continue"/>
            <w:tcBorders>
              <w:top w:val="nil"/>
            </w:tcBorders>
          </w:tcPr>
          <w:p w14:paraId="24EADBEF"/>
        </w:tc>
        <w:tc>
          <w:tcPr>
            <w:tcW w:w="478" w:type="dxa"/>
            <w:vMerge w:val="continue"/>
            <w:tcBorders>
              <w:top w:val="nil"/>
            </w:tcBorders>
          </w:tcPr>
          <w:p w14:paraId="610438C3"/>
        </w:tc>
        <w:tc>
          <w:tcPr>
            <w:tcW w:w="499" w:type="dxa"/>
            <w:vMerge w:val="continue"/>
            <w:tcBorders>
              <w:top w:val="nil"/>
            </w:tcBorders>
          </w:tcPr>
          <w:p w14:paraId="7A0281FA"/>
        </w:tc>
        <w:tc>
          <w:tcPr>
            <w:tcW w:w="501" w:type="dxa"/>
            <w:vMerge w:val="continue"/>
            <w:tcBorders>
              <w:top w:val="nil"/>
            </w:tcBorders>
          </w:tcPr>
          <w:p w14:paraId="4D415EA9"/>
        </w:tc>
        <w:tc>
          <w:tcPr>
            <w:tcW w:w="501" w:type="dxa"/>
            <w:vMerge w:val="continue"/>
            <w:tcBorders>
              <w:top w:val="nil"/>
            </w:tcBorders>
          </w:tcPr>
          <w:p w14:paraId="5FD96990"/>
        </w:tc>
        <w:tc>
          <w:tcPr>
            <w:tcW w:w="501" w:type="dxa"/>
            <w:vMerge w:val="continue"/>
            <w:tcBorders>
              <w:top w:val="nil"/>
            </w:tcBorders>
          </w:tcPr>
          <w:p w14:paraId="32B38FEE"/>
        </w:tc>
        <w:tc>
          <w:tcPr>
            <w:tcW w:w="499" w:type="dxa"/>
            <w:vMerge w:val="continue"/>
            <w:tcBorders>
              <w:top w:val="nil"/>
            </w:tcBorders>
          </w:tcPr>
          <w:p w14:paraId="2DA57667"/>
        </w:tc>
        <w:tc>
          <w:tcPr>
            <w:tcW w:w="502" w:type="dxa"/>
            <w:vMerge w:val="continue"/>
            <w:tcBorders>
              <w:top w:val="nil"/>
            </w:tcBorders>
          </w:tcPr>
          <w:p w14:paraId="3FBC1832"/>
        </w:tc>
        <w:tc>
          <w:tcPr>
            <w:tcW w:w="516" w:type="dxa"/>
            <w:vMerge w:val="continue"/>
            <w:tcBorders>
              <w:top w:val="nil"/>
            </w:tcBorders>
          </w:tcPr>
          <w:p w14:paraId="2DF91AA5"/>
        </w:tc>
      </w:tr>
      <w:tr w14:paraId="0992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0" w:hRule="atLeast"/>
        </w:trPr>
        <w:tc>
          <w:tcPr>
            <w:tcW w:w="775" w:type="dxa"/>
            <w:vMerge w:val="restart"/>
            <w:tcBorders>
              <w:bottom w:val="nil"/>
            </w:tcBorders>
          </w:tcPr>
          <w:p w14:paraId="70009721">
            <w:pPr>
              <w:spacing w:before="308" w:line="186" w:lineRule="auto"/>
              <w:ind w:left="338"/>
              <w:rPr>
                <w:sz w:val="24"/>
              </w:rPr>
            </w:pPr>
            <w:r>
              <w:rPr>
                <w:sz w:val="24"/>
              </w:rPr>
              <w:t>3</w:t>
            </w:r>
          </w:p>
        </w:tc>
        <w:tc>
          <w:tcPr>
            <w:tcW w:w="2664" w:type="dxa"/>
            <w:vMerge w:val="restart"/>
            <w:tcBorders>
              <w:bottom w:val="nil"/>
            </w:tcBorders>
          </w:tcPr>
          <w:p w14:paraId="61B2D069">
            <w:pPr>
              <w:pStyle w:val="10"/>
              <w:spacing w:before="285" w:line="221" w:lineRule="auto"/>
              <w:ind w:left="111"/>
              <w:rPr>
                <w:rFonts w:ascii="Arial" w:hAnsi="Arial" w:cs="Arial"/>
              </w:rPr>
            </w:pPr>
            <w:r>
              <w:rPr>
                <w:rFonts w:ascii="Arial" w:hAnsi="Arial" w:cs="Arial"/>
                <w:spacing w:val="-2"/>
              </w:rPr>
              <w:t>运输</w:t>
            </w:r>
          </w:p>
        </w:tc>
        <w:tc>
          <w:tcPr>
            <w:tcW w:w="523" w:type="dxa"/>
            <w:vMerge w:val="restart"/>
            <w:tcBorders>
              <w:bottom w:val="nil"/>
            </w:tcBorders>
          </w:tcPr>
          <w:p w14:paraId="23F23D10"/>
        </w:tc>
        <w:tc>
          <w:tcPr>
            <w:tcW w:w="499" w:type="dxa"/>
            <w:vMerge w:val="restart"/>
            <w:tcBorders>
              <w:bottom w:val="nil"/>
            </w:tcBorders>
          </w:tcPr>
          <w:p w14:paraId="1F1D5E64"/>
        </w:tc>
        <w:tc>
          <w:tcPr>
            <w:tcW w:w="475" w:type="dxa"/>
            <w:vMerge w:val="restart"/>
            <w:tcBorders>
              <w:bottom w:val="nil"/>
            </w:tcBorders>
          </w:tcPr>
          <w:p w14:paraId="44BAD20F"/>
        </w:tc>
        <w:tc>
          <w:tcPr>
            <w:tcW w:w="478" w:type="dxa"/>
            <w:vMerge w:val="restart"/>
            <w:tcBorders>
              <w:bottom w:val="nil"/>
            </w:tcBorders>
          </w:tcPr>
          <w:p w14:paraId="4E1957F9"/>
        </w:tc>
        <w:tc>
          <w:tcPr>
            <w:tcW w:w="475" w:type="dxa"/>
            <w:tcBorders>
              <w:bottom w:val="single" w:color="000000" w:sz="4" w:space="0"/>
            </w:tcBorders>
          </w:tcPr>
          <w:p w14:paraId="3D50D315">
            <w:pPr>
              <w:spacing w:line="319" w:lineRule="auto"/>
            </w:pPr>
          </w:p>
          <w:p w14:paraId="60BEAE7C">
            <w:pPr>
              <w:spacing w:line="39" w:lineRule="exact"/>
              <w:ind w:firstLine="1"/>
            </w:pPr>
            <w:r>
              <w:rPr>
                <w:position w:val="-2"/>
              </w:rPr>
              <mc:AlternateContent>
                <mc:Choice Requires="wps">
                  <w:drawing>
                    <wp:inline distT="0" distB="0" distL="114300" distR="114300">
                      <wp:extent cx="295910" cy="38100"/>
                      <wp:effectExtent l="0" t="0" r="8890" b="0"/>
                      <wp:docPr id="27" name="任意多边形 27"/>
                      <wp:cNvGraphicFramePr/>
                      <a:graphic xmlns:a="http://schemas.openxmlformats.org/drawingml/2006/main">
                        <a:graphicData uri="http://schemas.microsoft.com/office/word/2010/wordprocessingShape">
                          <wps:wsp>
                            <wps:cNvSpPr/>
                            <wps:spPr>
                              <a:xfrm>
                                <a:off x="0" y="0"/>
                                <a:ext cx="295910" cy="38100"/>
                              </a:xfrm>
                              <a:custGeom>
                                <a:avLst/>
                                <a:gdLst/>
                                <a:ahLst/>
                                <a:cxnLst/>
                                <a:rect l="0" t="0" r="0" b="0"/>
                                <a:pathLst>
                                  <a:path w="465" h="60">
                                    <a:moveTo>
                                      <a:pt x="0" y="60"/>
                                    </a:moveTo>
                                    <a:lnTo>
                                      <a:pt x="465" y="60"/>
                                    </a:lnTo>
                                    <a:lnTo>
                                      <a:pt x="465"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3.3pt;" fillcolor="#000000" filled="t" stroked="f" coordsize="465,60" o:gfxdata="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kMvtzTAAAAAgEAAA8A&#10;AAAAAAAAAQAgAAAAIgAAAGRycy9kb3ducmV2LnhtbFBLAQIUABQAAAAIAIdO4kARKmqLHAIAAJwE&#10;AAAOAAAAAAAAAAEAIAAAACIBAABkcnMvZTJvRG9jLnhtbFBLBQYAAAAABgAGAFkBAACwBQAAAAA=&#10;" path="m0,60l465,60,465,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0E38AD6E">
            <w:pPr>
              <w:spacing w:line="319" w:lineRule="auto"/>
            </w:pPr>
          </w:p>
          <w:p w14:paraId="2F621B65">
            <w:pPr>
              <w:spacing w:line="39" w:lineRule="exact"/>
              <w:ind w:firstLine="80"/>
            </w:pPr>
            <w:r>
              <w:rPr>
                <w:position w:val="-2"/>
              </w:rPr>
              <mc:AlternateContent>
                <mc:Choice Requires="wps">
                  <w:drawing>
                    <wp:inline distT="0" distB="0" distL="114300" distR="114300">
                      <wp:extent cx="247015" cy="38100"/>
                      <wp:effectExtent l="0" t="0" r="635" b="0"/>
                      <wp:docPr id="35" name="任意多边形 35"/>
                      <wp:cNvGraphicFramePr/>
                      <a:graphic xmlns:a="http://schemas.openxmlformats.org/drawingml/2006/main">
                        <a:graphicData uri="http://schemas.microsoft.com/office/word/2010/wordprocessingShape">
                          <wps:wsp>
                            <wps:cNvSpPr/>
                            <wps:spPr>
                              <a:xfrm>
                                <a:off x="0" y="0"/>
                                <a:ext cx="247015" cy="38100"/>
                              </a:xfrm>
                              <a:custGeom>
                                <a:avLst/>
                                <a:gdLst/>
                                <a:ahLst/>
                                <a:cxnLst/>
                                <a:rect l="0" t="0" r="0" b="0"/>
                                <a:pathLst>
                                  <a:path w="389" h="60">
                                    <a:moveTo>
                                      <a:pt x="0" y="60"/>
                                    </a:moveTo>
                                    <a:lnTo>
                                      <a:pt x="388" y="60"/>
                                    </a:lnTo>
                                    <a:lnTo>
                                      <a:pt x="388"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45pt;" fillcolor="#000000" filled="t" stroked="f" coordsize="389,60" o:gfxdata="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IRxV1gAAAAIB&#10;AAAPAAAAAAAAAAEAIAAAACIAAABkcnMvZG93bnJldi54bWxQSwECFAAUAAAACACHTuJAwmNjdB0C&#10;AACcBAAADgAAAAAAAAABACAAAAAlAQAAZHJzL2Uyb0RvYy54bWxQSwUGAAAAAAYABgBZAQAAtAUA&#10;AAAA&#10;" path="m0,60l388,60,388,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61C1C1A3">
            <w:pPr>
              <w:spacing w:line="319" w:lineRule="auto"/>
            </w:pPr>
          </w:p>
          <w:p w14:paraId="612E8326">
            <w:pPr>
              <w:spacing w:line="39" w:lineRule="exact"/>
              <w:ind w:firstLine="80"/>
            </w:pPr>
            <w:r>
              <w:rPr>
                <w:position w:val="-2"/>
              </w:rPr>
              <mc:AlternateContent>
                <mc:Choice Requires="wps">
                  <w:drawing>
                    <wp:inline distT="0" distB="0" distL="114300" distR="114300">
                      <wp:extent cx="247650" cy="38100"/>
                      <wp:effectExtent l="0" t="0" r="0" b="0"/>
                      <wp:docPr id="39" name="任意多边形 39"/>
                      <wp:cNvGraphicFramePr/>
                      <a:graphic xmlns:a="http://schemas.openxmlformats.org/drawingml/2006/main">
                        <a:graphicData uri="http://schemas.microsoft.com/office/word/2010/wordprocessingShape">
                          <wps:wsp>
                            <wps:cNvSpPr/>
                            <wps:spPr>
                              <a:xfrm>
                                <a:off x="0" y="0"/>
                                <a:ext cx="247650" cy="38100"/>
                              </a:xfrm>
                              <a:custGeom>
                                <a:avLst/>
                                <a:gdLst/>
                                <a:ahLst/>
                                <a:cxnLst/>
                                <a:rect l="0" t="0" r="0" b="0"/>
                                <a:pathLst>
                                  <a:path w="390" h="60">
                                    <a:moveTo>
                                      <a:pt x="0" y="60"/>
                                    </a:moveTo>
                                    <a:lnTo>
                                      <a:pt x="389" y="60"/>
                                    </a:lnTo>
                                    <a:lnTo>
                                      <a:pt x="389"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5pt;" fillcolor="#000000" filled="t" stroked="f" coordsize="390,60" o:gfxdata="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Y/6BTTAAAAAgEAAA8A&#10;AAAAAAAAAQAgAAAAIgAAAGRycy9kb3ducmV2LnhtbFBLAQIUABQAAAAIAIdO4kCxZKmZHAIAAJwE&#10;AAAOAAAAAAAAAAEAIAAAACIBAABkcnMvZTJvRG9jLnhtbFBLBQYAAAAABgAGAFkBAACwBQAAAAA=&#10;" path="m0,60l389,60,389,0,0,0,0,60xe">
                      <v:fill on="t" focussize="0,0"/>
                      <v:stroke on="f"/>
                      <v:imagedata o:title=""/>
                      <o:lock v:ext="edit" aspectratio="f"/>
                      <w10:wrap type="none"/>
                      <w10:anchorlock/>
                    </v:shape>
                  </w:pict>
                </mc:Fallback>
              </mc:AlternateContent>
            </w:r>
          </w:p>
        </w:tc>
        <w:tc>
          <w:tcPr>
            <w:tcW w:w="499" w:type="dxa"/>
            <w:tcBorders>
              <w:bottom w:val="single" w:color="000000" w:sz="4" w:space="0"/>
            </w:tcBorders>
          </w:tcPr>
          <w:p w14:paraId="506A2916">
            <w:pPr>
              <w:spacing w:line="319" w:lineRule="auto"/>
            </w:pPr>
          </w:p>
          <w:p w14:paraId="13B71A7F">
            <w:pPr>
              <w:spacing w:line="39" w:lineRule="exact"/>
              <w:ind w:firstLine="80"/>
            </w:pPr>
            <w:r>
              <w:rPr>
                <w:position w:val="-2"/>
              </w:rPr>
              <mc:AlternateContent>
                <mc:Choice Requires="wps">
                  <w:drawing>
                    <wp:inline distT="0" distB="0" distL="114300" distR="114300">
                      <wp:extent cx="260985" cy="38100"/>
                      <wp:effectExtent l="0" t="0" r="5715" b="0"/>
                      <wp:docPr id="40" name="任意多边形 40"/>
                      <wp:cNvGraphicFramePr/>
                      <a:graphic xmlns:a="http://schemas.openxmlformats.org/drawingml/2006/main">
                        <a:graphicData uri="http://schemas.microsoft.com/office/word/2010/wordprocessingShape">
                          <wps:wsp>
                            <wps:cNvSpPr/>
                            <wps:spPr>
                              <a:xfrm>
                                <a:off x="0" y="0"/>
                                <a:ext cx="260985" cy="38100"/>
                              </a:xfrm>
                              <a:custGeom>
                                <a:avLst/>
                                <a:gdLst/>
                                <a:ahLst/>
                                <a:cxnLst/>
                                <a:rect l="0" t="0" r="0" b="0"/>
                                <a:pathLst>
                                  <a:path w="410" h="60">
                                    <a:moveTo>
                                      <a:pt x="0" y="60"/>
                                    </a:moveTo>
                                    <a:lnTo>
                                      <a:pt x="410" y="60"/>
                                    </a:lnTo>
                                    <a:lnTo>
                                      <a:pt x="410"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55pt;" fillcolor="#000000" filled="t" stroked="f" coordsize="410,60" o:gfxdata="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SJte7SAAAAAgEAAA8AAAAA&#10;AAAAAQAgAAAAIgAAAGRycy9kb3ducmV2LnhtbFBLAQIUABQAAAAIAIdO4kCrkJ5HGgIAAJwEAAAO&#10;AAAAAAAAAAEAIAAAACEBAABkcnMvZTJvRG9jLnhtbFBLBQYAAAAABgAGAFkBAACtBQAAAAA=&#10;" path="m0,60l410,60,410,0,0,0,0,60xe">
                      <v:fill on="t" focussize="0,0"/>
                      <v:stroke on="f"/>
                      <v:imagedata o:title=""/>
                      <o:lock v:ext="edit" aspectratio="f"/>
                      <w10:wrap type="none"/>
                      <w10:anchorlock/>
                    </v:shape>
                  </w:pict>
                </mc:Fallback>
              </mc:AlternateContent>
            </w:r>
          </w:p>
        </w:tc>
        <w:tc>
          <w:tcPr>
            <w:tcW w:w="497" w:type="dxa"/>
            <w:tcBorders>
              <w:bottom w:val="single" w:color="000000" w:sz="4" w:space="0"/>
            </w:tcBorders>
          </w:tcPr>
          <w:p w14:paraId="72802405">
            <w:pPr>
              <w:spacing w:line="319" w:lineRule="auto"/>
            </w:pPr>
            <w:r>
              <mc:AlternateContent>
                <mc:Choice Requires="wps">
                  <w:drawing>
                    <wp:anchor distT="0" distB="0" distL="114300" distR="114300" simplePos="0" relativeHeight="251673600" behindDoc="0" locked="0" layoutInCell="1" allowOverlap="1">
                      <wp:simplePos x="0" y="0"/>
                      <wp:positionH relativeFrom="page">
                        <wp:posOffset>-70485</wp:posOffset>
                      </wp:positionH>
                      <wp:positionV relativeFrom="page">
                        <wp:posOffset>207010</wp:posOffset>
                      </wp:positionV>
                      <wp:extent cx="56515" cy="38100"/>
                      <wp:effectExtent l="0" t="0" r="635" b="0"/>
                      <wp:wrapNone/>
                      <wp:docPr id="24" name="任意多边形 24"/>
                      <wp:cNvGraphicFramePr/>
                      <a:graphic xmlns:a="http://schemas.openxmlformats.org/drawingml/2006/main">
                        <a:graphicData uri="http://schemas.microsoft.com/office/word/2010/wordprocessingShape">
                          <wps:wsp>
                            <wps:cNvSpPr/>
                            <wps:spPr>
                              <a:xfrm>
                                <a:off x="0" y="0"/>
                                <a:ext cx="56515" cy="38100"/>
                              </a:xfrm>
                              <a:custGeom>
                                <a:avLst/>
                                <a:gdLst/>
                                <a:ahLst/>
                                <a:cxnLst/>
                                <a:rect l="0" t="0" r="0" b="0"/>
                                <a:pathLst>
                                  <a:path w="88" h="60">
                                    <a:moveTo>
                                      <a:pt x="0" y="60"/>
                                    </a:moveTo>
                                    <a:lnTo>
                                      <a:pt x="88" y="60"/>
                                    </a:lnTo>
                                    <a:lnTo>
                                      <a:pt x="88"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5pt;margin-top:16.3pt;height:3pt;width:4.45pt;mso-position-horizontal-relative:page;mso-position-vertical-relative:page;z-index:251673600;mso-width-relative:page;mso-height-relative:page;" fillcolor="#000000" filled="t" stroked="f" coordsize="88,60" o:gfxdata="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sKvojVAAAACAEAAA8A&#10;AAAAAAAAAQAgAAAAIgAAAGRycy9kb3ducmV2LnhtbFBLAQIUABQAAAAIAIdO4kCfhxb0GgIAAJgE&#10;AAAOAAAAAAAAAAEAIAAAACQBAABkcnMvZTJvRG9jLnhtbFBLBQYAAAAABgAGAFkBAACwBQAAAAA=&#10;" path="m0,60l88,60,88,0,0,0,0,60xe">
                      <v:fill on="t" focussize="0,0"/>
                      <v:stroke on="f"/>
                      <v:imagedata o:title=""/>
                      <o:lock v:ext="edit" aspectratio="f"/>
                    </v:shape>
                  </w:pict>
                </mc:Fallback>
              </mc:AlternateContent>
            </w:r>
          </w:p>
          <w:p w14:paraId="38F2C243">
            <w:pPr>
              <w:spacing w:line="39" w:lineRule="exact"/>
              <w:ind w:firstLine="80"/>
            </w:pPr>
            <w:r>
              <w:rPr>
                <w:position w:val="-2"/>
              </w:rPr>
              <mc:AlternateContent>
                <mc:Choice Requires="wps">
                  <w:drawing>
                    <wp:inline distT="0" distB="0" distL="114300" distR="114300">
                      <wp:extent cx="259080" cy="38100"/>
                      <wp:effectExtent l="0" t="0" r="7620" b="0"/>
                      <wp:docPr id="52" name="任意多边形 52"/>
                      <wp:cNvGraphicFramePr/>
                      <a:graphic xmlns:a="http://schemas.openxmlformats.org/drawingml/2006/main">
                        <a:graphicData uri="http://schemas.microsoft.com/office/word/2010/wordprocessingShape">
                          <wps:wsp>
                            <wps:cNvSpPr/>
                            <wps:spPr>
                              <a:xfrm>
                                <a:off x="0" y="0"/>
                                <a:ext cx="259080" cy="38100"/>
                              </a:xfrm>
                              <a:custGeom>
                                <a:avLst/>
                                <a:gdLst/>
                                <a:ahLst/>
                                <a:cxnLst/>
                                <a:rect l="0" t="0" r="0" b="0"/>
                                <a:pathLst>
                                  <a:path w="407" h="60">
                                    <a:moveTo>
                                      <a:pt x="0" y="60"/>
                                    </a:moveTo>
                                    <a:lnTo>
                                      <a:pt x="407" y="60"/>
                                    </a:lnTo>
                                    <a:lnTo>
                                      <a:pt x="407"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4pt;" fillcolor="#000000" filled="t" stroked="f" coordsize="407,60" o:gfxdata="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EY3Z0QAAAAIBAAAPAAAA&#10;AAAAAAEAIAAAACIAAABkcnMvZG93bnJldi54bWxQSwECFAAUAAAACACHTuJA94+gkxwCAACcBAAA&#10;DgAAAAAAAAABACAAAAAgAQAAZHJzL2Uyb0RvYy54bWxQSwUGAAAAAAYABgBZAQAArgUAAAAA&#10;" path="m0,60l407,60,407,0,0,0,0,60xe">
                      <v:fill on="t" focussize="0,0"/>
                      <v:stroke on="f"/>
                      <v:imagedata o:title=""/>
                      <o:lock v:ext="edit" aspectratio="f"/>
                      <w10:wrap type="none"/>
                      <w10:anchorlock/>
                    </v:shape>
                  </w:pict>
                </mc:Fallback>
              </mc:AlternateContent>
            </w:r>
          </w:p>
        </w:tc>
        <w:tc>
          <w:tcPr>
            <w:tcW w:w="499" w:type="dxa"/>
            <w:tcBorders>
              <w:bottom w:val="single" w:color="000000" w:sz="4" w:space="0"/>
            </w:tcBorders>
          </w:tcPr>
          <w:p w14:paraId="5413544A">
            <w:pPr>
              <w:spacing w:line="319" w:lineRule="auto"/>
            </w:pPr>
          </w:p>
          <w:p w14:paraId="04956D75">
            <w:pPr>
              <w:spacing w:line="39" w:lineRule="exact"/>
              <w:ind w:firstLine="80"/>
            </w:pPr>
            <w:r>
              <w:rPr>
                <w:position w:val="-2"/>
              </w:rPr>
              <mc:AlternateContent>
                <mc:Choice Requires="wps">
                  <w:drawing>
                    <wp:inline distT="0" distB="0" distL="114300" distR="114300">
                      <wp:extent cx="260985" cy="38100"/>
                      <wp:effectExtent l="0" t="0" r="5715" b="0"/>
                      <wp:docPr id="47" name="任意多边形 47"/>
                      <wp:cNvGraphicFramePr/>
                      <a:graphic xmlns:a="http://schemas.openxmlformats.org/drawingml/2006/main">
                        <a:graphicData uri="http://schemas.microsoft.com/office/word/2010/wordprocessingShape">
                          <wps:wsp>
                            <wps:cNvSpPr/>
                            <wps:spPr>
                              <a:xfrm>
                                <a:off x="0" y="0"/>
                                <a:ext cx="260985" cy="38100"/>
                              </a:xfrm>
                              <a:custGeom>
                                <a:avLst/>
                                <a:gdLst/>
                                <a:ahLst/>
                                <a:cxnLst/>
                                <a:rect l="0" t="0" r="0" b="0"/>
                                <a:pathLst>
                                  <a:path w="410" h="60">
                                    <a:moveTo>
                                      <a:pt x="0" y="60"/>
                                    </a:moveTo>
                                    <a:lnTo>
                                      <a:pt x="410" y="60"/>
                                    </a:lnTo>
                                    <a:lnTo>
                                      <a:pt x="410"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55pt;" fillcolor="#000000" filled="t" stroked="f" coordsize="410,60" o:gfxdata="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0ibXu0gAAAAIBAAAPAAAA&#10;AAAAAAEAIAAAACIAAABkcnMvZG93bnJldi54bWxQSwECFAAUAAAACACHTuJAPQXeEhsCAACcBAAA&#10;DgAAAAAAAAABACAAAAAhAQAAZHJzL2Uyb0RvYy54bWxQSwUGAAAAAAYABgBZAQAArgUAAAAA&#10;" path="m0,60l410,60,410,0,0,0,0,60xe">
                      <v:fill on="t" focussize="0,0"/>
                      <v:stroke on="f"/>
                      <v:imagedata o:title=""/>
                      <o:lock v:ext="edit" aspectratio="f"/>
                      <w10:wrap type="none"/>
                      <w10:anchorlock/>
                    </v:shape>
                  </w:pict>
                </mc:Fallback>
              </mc:AlternateContent>
            </w:r>
          </w:p>
        </w:tc>
        <w:tc>
          <w:tcPr>
            <w:tcW w:w="501" w:type="dxa"/>
            <w:tcBorders>
              <w:bottom w:val="single" w:color="000000" w:sz="4" w:space="0"/>
            </w:tcBorders>
          </w:tcPr>
          <w:p w14:paraId="7394DB6C">
            <w:pPr>
              <w:spacing w:line="319" w:lineRule="auto"/>
            </w:pPr>
          </w:p>
          <w:p w14:paraId="30B2A7BC">
            <w:pPr>
              <w:spacing w:line="39" w:lineRule="exact"/>
              <w:ind w:firstLine="80"/>
            </w:pPr>
            <w:r>
              <w:rPr>
                <w:position w:val="-2"/>
              </w:rPr>
              <mc:AlternateContent>
                <mc:Choice Requires="wps">
                  <w:drawing>
                    <wp:inline distT="0" distB="0" distL="114300" distR="114300">
                      <wp:extent cx="262255" cy="38100"/>
                      <wp:effectExtent l="0" t="0" r="4445" b="0"/>
                      <wp:docPr id="54" name="任意多边形 54"/>
                      <wp:cNvGraphicFramePr/>
                      <a:graphic xmlns:a="http://schemas.openxmlformats.org/drawingml/2006/main">
                        <a:graphicData uri="http://schemas.microsoft.com/office/word/2010/wordprocessingShape">
                          <wps:wsp>
                            <wps:cNvSpPr/>
                            <wps:spPr>
                              <a:xfrm>
                                <a:off x="0" y="0"/>
                                <a:ext cx="262255" cy="38100"/>
                              </a:xfrm>
                              <a:custGeom>
                                <a:avLst/>
                                <a:gdLst/>
                                <a:ahLst/>
                                <a:cxnLst/>
                                <a:rect l="0" t="0" r="0" b="0"/>
                                <a:pathLst>
                                  <a:path w="412" h="60">
                                    <a:moveTo>
                                      <a:pt x="0" y="60"/>
                                    </a:moveTo>
                                    <a:lnTo>
                                      <a:pt x="412" y="60"/>
                                    </a:lnTo>
                                    <a:lnTo>
                                      <a:pt x="412"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65pt;" fillcolor="#000000" filled="t" stroked="f" coordsize="412,60" o:gfxdata="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pqQrtIAAAACAQAADwAA&#10;AAAAAAABACAAAAAiAAAAZHJzL2Rvd25yZXYueG1sUEsBAhQAFAAAAAgAh07iQHdwRe0cAgAAnAQA&#10;AA4AAAAAAAAAAQAgAAAAIQEAAGRycy9lMm9Eb2MueG1sUEsFBgAAAAAGAAYAWQEAAK8FAAAAAA==&#10;" path="m0,60l412,60,412,0,0,0,0,60xe">
                      <v:fill on="t" focussize="0,0"/>
                      <v:stroke on="f"/>
                      <v:imagedata o:title=""/>
                      <o:lock v:ext="edit" aspectratio="f"/>
                      <w10:wrap type="none"/>
                      <w10:anchorlock/>
                    </v:shape>
                  </w:pict>
                </mc:Fallback>
              </mc:AlternateContent>
            </w:r>
          </w:p>
        </w:tc>
        <w:tc>
          <w:tcPr>
            <w:tcW w:w="496" w:type="dxa"/>
            <w:vMerge w:val="restart"/>
            <w:tcBorders>
              <w:bottom w:val="nil"/>
            </w:tcBorders>
          </w:tcPr>
          <w:p w14:paraId="50D9A78B"/>
        </w:tc>
        <w:tc>
          <w:tcPr>
            <w:tcW w:w="458" w:type="dxa"/>
            <w:vMerge w:val="restart"/>
            <w:tcBorders>
              <w:bottom w:val="nil"/>
            </w:tcBorders>
          </w:tcPr>
          <w:p w14:paraId="48FD6DF1"/>
        </w:tc>
        <w:tc>
          <w:tcPr>
            <w:tcW w:w="478" w:type="dxa"/>
            <w:vMerge w:val="restart"/>
            <w:tcBorders>
              <w:bottom w:val="nil"/>
            </w:tcBorders>
          </w:tcPr>
          <w:p w14:paraId="3D6F865A"/>
        </w:tc>
        <w:tc>
          <w:tcPr>
            <w:tcW w:w="499" w:type="dxa"/>
            <w:vMerge w:val="restart"/>
            <w:tcBorders>
              <w:bottom w:val="nil"/>
            </w:tcBorders>
          </w:tcPr>
          <w:p w14:paraId="7A81EF54"/>
        </w:tc>
        <w:tc>
          <w:tcPr>
            <w:tcW w:w="501" w:type="dxa"/>
            <w:vMerge w:val="restart"/>
            <w:tcBorders>
              <w:bottom w:val="nil"/>
            </w:tcBorders>
          </w:tcPr>
          <w:p w14:paraId="65C7520A"/>
        </w:tc>
        <w:tc>
          <w:tcPr>
            <w:tcW w:w="501" w:type="dxa"/>
            <w:vMerge w:val="restart"/>
            <w:tcBorders>
              <w:bottom w:val="nil"/>
            </w:tcBorders>
          </w:tcPr>
          <w:p w14:paraId="2AA33276"/>
        </w:tc>
        <w:tc>
          <w:tcPr>
            <w:tcW w:w="501" w:type="dxa"/>
            <w:vMerge w:val="restart"/>
            <w:tcBorders>
              <w:bottom w:val="nil"/>
            </w:tcBorders>
          </w:tcPr>
          <w:p w14:paraId="51D390C3"/>
        </w:tc>
        <w:tc>
          <w:tcPr>
            <w:tcW w:w="499" w:type="dxa"/>
            <w:vMerge w:val="restart"/>
            <w:tcBorders>
              <w:bottom w:val="nil"/>
            </w:tcBorders>
          </w:tcPr>
          <w:p w14:paraId="3C657603"/>
        </w:tc>
        <w:tc>
          <w:tcPr>
            <w:tcW w:w="502" w:type="dxa"/>
            <w:vMerge w:val="restart"/>
            <w:tcBorders>
              <w:bottom w:val="nil"/>
            </w:tcBorders>
          </w:tcPr>
          <w:p w14:paraId="1B6D1D85"/>
        </w:tc>
        <w:tc>
          <w:tcPr>
            <w:tcW w:w="516" w:type="dxa"/>
            <w:vMerge w:val="restart"/>
            <w:tcBorders>
              <w:bottom w:val="nil"/>
            </w:tcBorders>
          </w:tcPr>
          <w:p w14:paraId="44123548"/>
        </w:tc>
      </w:tr>
      <w:tr w14:paraId="5315C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5" w:hRule="atLeast"/>
        </w:trPr>
        <w:tc>
          <w:tcPr>
            <w:tcW w:w="775" w:type="dxa"/>
            <w:vMerge w:val="continue"/>
            <w:tcBorders>
              <w:top w:val="nil"/>
            </w:tcBorders>
          </w:tcPr>
          <w:p w14:paraId="64A6EDF4"/>
        </w:tc>
        <w:tc>
          <w:tcPr>
            <w:tcW w:w="2664" w:type="dxa"/>
            <w:vMerge w:val="continue"/>
            <w:tcBorders>
              <w:top w:val="nil"/>
            </w:tcBorders>
          </w:tcPr>
          <w:p w14:paraId="730385F3"/>
        </w:tc>
        <w:tc>
          <w:tcPr>
            <w:tcW w:w="523" w:type="dxa"/>
            <w:vMerge w:val="continue"/>
            <w:tcBorders>
              <w:top w:val="nil"/>
            </w:tcBorders>
          </w:tcPr>
          <w:p w14:paraId="6936B316"/>
        </w:tc>
        <w:tc>
          <w:tcPr>
            <w:tcW w:w="499" w:type="dxa"/>
            <w:vMerge w:val="continue"/>
            <w:tcBorders>
              <w:top w:val="nil"/>
            </w:tcBorders>
          </w:tcPr>
          <w:p w14:paraId="72813DE9"/>
        </w:tc>
        <w:tc>
          <w:tcPr>
            <w:tcW w:w="475" w:type="dxa"/>
            <w:vMerge w:val="continue"/>
            <w:tcBorders>
              <w:top w:val="nil"/>
            </w:tcBorders>
          </w:tcPr>
          <w:p w14:paraId="63311B90"/>
        </w:tc>
        <w:tc>
          <w:tcPr>
            <w:tcW w:w="478" w:type="dxa"/>
            <w:vMerge w:val="continue"/>
            <w:tcBorders>
              <w:top w:val="nil"/>
            </w:tcBorders>
          </w:tcPr>
          <w:p w14:paraId="6DFB5055"/>
        </w:tc>
        <w:tc>
          <w:tcPr>
            <w:tcW w:w="475" w:type="dxa"/>
            <w:tcBorders>
              <w:top w:val="single" w:color="000000" w:sz="4" w:space="0"/>
            </w:tcBorders>
          </w:tcPr>
          <w:p w14:paraId="5D45B1BB"/>
        </w:tc>
        <w:tc>
          <w:tcPr>
            <w:tcW w:w="478" w:type="dxa"/>
            <w:tcBorders>
              <w:top w:val="single" w:color="000000" w:sz="4" w:space="0"/>
            </w:tcBorders>
          </w:tcPr>
          <w:p w14:paraId="55C03FA7"/>
        </w:tc>
        <w:tc>
          <w:tcPr>
            <w:tcW w:w="478" w:type="dxa"/>
            <w:tcBorders>
              <w:top w:val="single" w:color="000000" w:sz="4" w:space="0"/>
            </w:tcBorders>
          </w:tcPr>
          <w:p w14:paraId="4B56D903"/>
        </w:tc>
        <w:tc>
          <w:tcPr>
            <w:tcW w:w="499" w:type="dxa"/>
            <w:tcBorders>
              <w:top w:val="single" w:color="000000" w:sz="4" w:space="0"/>
            </w:tcBorders>
          </w:tcPr>
          <w:p w14:paraId="5DD01EC8"/>
        </w:tc>
        <w:tc>
          <w:tcPr>
            <w:tcW w:w="497" w:type="dxa"/>
            <w:tcBorders>
              <w:top w:val="single" w:color="000000" w:sz="4" w:space="0"/>
            </w:tcBorders>
          </w:tcPr>
          <w:p w14:paraId="1439BE91"/>
        </w:tc>
        <w:tc>
          <w:tcPr>
            <w:tcW w:w="499" w:type="dxa"/>
            <w:tcBorders>
              <w:top w:val="single" w:color="000000" w:sz="4" w:space="0"/>
            </w:tcBorders>
          </w:tcPr>
          <w:p w14:paraId="06508756"/>
        </w:tc>
        <w:tc>
          <w:tcPr>
            <w:tcW w:w="501" w:type="dxa"/>
            <w:tcBorders>
              <w:top w:val="single" w:color="000000" w:sz="4" w:space="0"/>
            </w:tcBorders>
          </w:tcPr>
          <w:p w14:paraId="5A64ACBB"/>
        </w:tc>
        <w:tc>
          <w:tcPr>
            <w:tcW w:w="496" w:type="dxa"/>
            <w:vMerge w:val="continue"/>
            <w:tcBorders>
              <w:top w:val="nil"/>
            </w:tcBorders>
          </w:tcPr>
          <w:p w14:paraId="63436E81"/>
        </w:tc>
        <w:tc>
          <w:tcPr>
            <w:tcW w:w="458" w:type="dxa"/>
            <w:vMerge w:val="continue"/>
            <w:tcBorders>
              <w:top w:val="nil"/>
            </w:tcBorders>
          </w:tcPr>
          <w:p w14:paraId="2CF32C46"/>
        </w:tc>
        <w:tc>
          <w:tcPr>
            <w:tcW w:w="478" w:type="dxa"/>
            <w:vMerge w:val="continue"/>
            <w:tcBorders>
              <w:top w:val="nil"/>
            </w:tcBorders>
          </w:tcPr>
          <w:p w14:paraId="07F63201"/>
        </w:tc>
        <w:tc>
          <w:tcPr>
            <w:tcW w:w="499" w:type="dxa"/>
            <w:vMerge w:val="continue"/>
            <w:tcBorders>
              <w:top w:val="nil"/>
            </w:tcBorders>
          </w:tcPr>
          <w:p w14:paraId="0AE9092A"/>
        </w:tc>
        <w:tc>
          <w:tcPr>
            <w:tcW w:w="501" w:type="dxa"/>
            <w:vMerge w:val="continue"/>
            <w:tcBorders>
              <w:top w:val="nil"/>
            </w:tcBorders>
          </w:tcPr>
          <w:p w14:paraId="29113799"/>
        </w:tc>
        <w:tc>
          <w:tcPr>
            <w:tcW w:w="501" w:type="dxa"/>
            <w:vMerge w:val="continue"/>
            <w:tcBorders>
              <w:top w:val="nil"/>
            </w:tcBorders>
          </w:tcPr>
          <w:p w14:paraId="148EA9EC"/>
        </w:tc>
        <w:tc>
          <w:tcPr>
            <w:tcW w:w="501" w:type="dxa"/>
            <w:vMerge w:val="continue"/>
            <w:tcBorders>
              <w:top w:val="nil"/>
            </w:tcBorders>
          </w:tcPr>
          <w:p w14:paraId="40198532"/>
        </w:tc>
        <w:tc>
          <w:tcPr>
            <w:tcW w:w="499" w:type="dxa"/>
            <w:vMerge w:val="continue"/>
            <w:tcBorders>
              <w:top w:val="nil"/>
            </w:tcBorders>
          </w:tcPr>
          <w:p w14:paraId="2E17AD6D"/>
        </w:tc>
        <w:tc>
          <w:tcPr>
            <w:tcW w:w="502" w:type="dxa"/>
            <w:vMerge w:val="continue"/>
            <w:tcBorders>
              <w:top w:val="nil"/>
            </w:tcBorders>
          </w:tcPr>
          <w:p w14:paraId="5D64F567"/>
        </w:tc>
        <w:tc>
          <w:tcPr>
            <w:tcW w:w="516" w:type="dxa"/>
            <w:vMerge w:val="continue"/>
            <w:tcBorders>
              <w:top w:val="nil"/>
            </w:tcBorders>
          </w:tcPr>
          <w:p w14:paraId="05276336"/>
        </w:tc>
      </w:tr>
      <w:tr w14:paraId="022E9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2" w:hRule="atLeast"/>
        </w:trPr>
        <w:tc>
          <w:tcPr>
            <w:tcW w:w="775" w:type="dxa"/>
            <w:vMerge w:val="restart"/>
            <w:tcBorders>
              <w:bottom w:val="nil"/>
            </w:tcBorders>
          </w:tcPr>
          <w:p w14:paraId="0656524A">
            <w:pPr>
              <w:spacing w:line="244" w:lineRule="auto"/>
            </w:pPr>
          </w:p>
          <w:p w14:paraId="389F9269">
            <w:pPr>
              <w:spacing w:before="69" w:line="186" w:lineRule="auto"/>
              <w:ind w:left="332"/>
              <w:rPr>
                <w:sz w:val="24"/>
              </w:rPr>
            </w:pPr>
            <w:r>
              <w:rPr>
                <w:sz w:val="24"/>
              </w:rPr>
              <w:t>4</w:t>
            </w:r>
          </w:p>
        </w:tc>
        <w:tc>
          <w:tcPr>
            <w:tcW w:w="2664" w:type="dxa"/>
            <w:vMerge w:val="restart"/>
            <w:tcBorders>
              <w:bottom w:val="nil"/>
            </w:tcBorders>
          </w:tcPr>
          <w:p w14:paraId="5CC0A274">
            <w:pPr>
              <w:pStyle w:val="10"/>
              <w:spacing w:before="292" w:line="222" w:lineRule="auto"/>
              <w:ind w:left="112"/>
              <w:rPr>
                <w:rFonts w:ascii="Arial" w:hAnsi="Arial" w:cs="Arial"/>
              </w:rPr>
            </w:pPr>
            <w:r>
              <w:rPr>
                <w:rFonts w:ascii="Arial" w:hAnsi="Arial" w:cs="Arial"/>
                <w:spacing w:val="-2"/>
              </w:rPr>
              <w:t>土建施工</w:t>
            </w:r>
          </w:p>
        </w:tc>
        <w:tc>
          <w:tcPr>
            <w:tcW w:w="523" w:type="dxa"/>
            <w:tcBorders>
              <w:bottom w:val="single" w:color="000000" w:sz="4" w:space="0"/>
            </w:tcBorders>
          </w:tcPr>
          <w:p w14:paraId="652533F3">
            <w:pPr>
              <w:spacing w:line="328" w:lineRule="auto"/>
            </w:pPr>
          </w:p>
          <w:p w14:paraId="5F46DC20">
            <w:pPr>
              <w:spacing w:line="31" w:lineRule="exact"/>
            </w:pPr>
            <w:r>
              <w:rPr>
                <w:position w:val="-3"/>
              </w:rPr>
              <mc:AlternateContent>
                <mc:Choice Requires="wps">
                  <w:drawing>
                    <wp:inline distT="0" distB="0" distL="114300" distR="114300">
                      <wp:extent cx="326390" cy="38100"/>
                      <wp:effectExtent l="0" t="0" r="6985" b="0"/>
                      <wp:docPr id="49" name="任意多边形 49"/>
                      <wp:cNvGraphicFramePr/>
                      <a:graphic xmlns:a="http://schemas.openxmlformats.org/drawingml/2006/main">
                        <a:graphicData uri="http://schemas.microsoft.com/office/word/2010/wordprocessingShape">
                          <wps:wsp>
                            <wps:cNvSpPr/>
                            <wps:spPr>
                              <a:xfrm>
                                <a:off x="0" y="0"/>
                                <a:ext cx="326390" cy="38100"/>
                              </a:xfrm>
                              <a:custGeom>
                                <a:avLst/>
                                <a:gdLst/>
                                <a:ahLst/>
                                <a:cxnLst/>
                                <a:rect l="0" t="0" r="0" b="0"/>
                                <a:pathLst>
                                  <a:path w="514" h="60">
                                    <a:moveTo>
                                      <a:pt x="0" y="60"/>
                                    </a:moveTo>
                                    <a:lnTo>
                                      <a:pt x="513" y="60"/>
                                    </a:lnTo>
                                    <a:lnTo>
                                      <a:pt x="513"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5.7pt;" fillcolor="#000000" filled="t" stroked="f" coordsize="514,60" o:gfxdata="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aZC7zTAAAAAgEA&#10;AA8AAAAAAAAAAQAgAAAAIgAAAGRycy9kb3ducmV2LnhtbFBLAQIUABQAAAAIAIdO4kAN1HRoHwIA&#10;AJwEAAAOAAAAAAAAAAEAIAAAACIBAABkcnMvZTJvRG9jLnhtbFBLBQYAAAAABgAGAFkBAACzBQAA&#10;AAA=&#10;" path="m0,60l513,60,513,0,0,0,0,60xe">
                      <v:fill on="t" focussize="0,0"/>
                      <v:stroke on="f"/>
                      <v:imagedata o:title=""/>
                      <o:lock v:ext="edit" aspectratio="f"/>
                      <w10:wrap type="none"/>
                      <w10:anchorlock/>
                    </v:shape>
                  </w:pict>
                </mc:Fallback>
              </mc:AlternateContent>
            </w:r>
          </w:p>
        </w:tc>
        <w:tc>
          <w:tcPr>
            <w:tcW w:w="499" w:type="dxa"/>
            <w:tcBorders>
              <w:bottom w:val="single" w:color="000000" w:sz="4" w:space="0"/>
            </w:tcBorders>
          </w:tcPr>
          <w:p w14:paraId="3C779237">
            <w:pPr>
              <w:spacing w:line="328" w:lineRule="auto"/>
            </w:pPr>
            <w:r>
              <mc:AlternateContent>
                <mc:Choice Requires="wps">
                  <w:drawing>
                    <wp:anchor distT="0" distB="0" distL="114300" distR="114300" simplePos="0" relativeHeight="251674624" behindDoc="0" locked="0" layoutInCell="1" allowOverlap="1">
                      <wp:simplePos x="0" y="0"/>
                      <wp:positionH relativeFrom="page">
                        <wp:posOffset>-70485</wp:posOffset>
                      </wp:positionH>
                      <wp:positionV relativeFrom="page">
                        <wp:posOffset>212725</wp:posOffset>
                      </wp:positionV>
                      <wp:extent cx="56515" cy="38100"/>
                      <wp:effectExtent l="0" t="0" r="635" b="0"/>
                      <wp:wrapNone/>
                      <wp:docPr id="51" name="任意多边形 51"/>
                      <wp:cNvGraphicFramePr/>
                      <a:graphic xmlns:a="http://schemas.openxmlformats.org/drawingml/2006/main">
                        <a:graphicData uri="http://schemas.microsoft.com/office/word/2010/wordprocessingShape">
                          <wps:wsp>
                            <wps:cNvSpPr/>
                            <wps:spPr>
                              <a:xfrm>
                                <a:off x="0" y="0"/>
                                <a:ext cx="56515" cy="38100"/>
                              </a:xfrm>
                              <a:custGeom>
                                <a:avLst/>
                                <a:gdLst/>
                                <a:ahLst/>
                                <a:cxnLst/>
                                <a:rect l="0" t="0" r="0" b="0"/>
                                <a:pathLst>
                                  <a:path w="88" h="60">
                                    <a:moveTo>
                                      <a:pt x="0" y="60"/>
                                    </a:moveTo>
                                    <a:lnTo>
                                      <a:pt x="88" y="60"/>
                                    </a:lnTo>
                                    <a:lnTo>
                                      <a:pt x="88"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5pt;margin-top:16.75pt;height:3pt;width:4.45pt;mso-position-horizontal-relative:page;mso-position-vertical-relative:page;z-index:251674624;mso-width-relative:page;mso-height-relative:page;" fillcolor="#000000" filled="t" stroked="f" coordsize="88,60" o:gfxdata="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dLFDVAAAACAEAAA8A&#10;AAAAAAAAAQAgAAAAIgAAAGRycy9kb3ducmV2LnhtbFBLAQIUABQAAAAIAIdO4kDoWXBzGgIAAJgE&#10;AAAOAAAAAAAAAAEAIAAAACQBAABkcnMvZTJvRG9jLnhtbFBLBQYAAAAABgAGAFkBAACwBQAAAAA=&#10;" path="m0,60l88,60,88,0,0,0,0,60xe">
                      <v:fill on="t" focussize="0,0"/>
                      <v:stroke on="f"/>
                      <v:imagedata o:title=""/>
                      <o:lock v:ext="edit" aspectratio="f"/>
                    </v:shape>
                  </w:pict>
                </mc:Fallback>
              </mc:AlternateContent>
            </w:r>
          </w:p>
          <w:p w14:paraId="5231129C">
            <w:pPr>
              <w:spacing w:line="31" w:lineRule="exact"/>
              <w:ind w:firstLine="80"/>
            </w:pPr>
            <w:r>
              <w:rPr>
                <w:position w:val="-3"/>
              </w:rPr>
              <mc:AlternateContent>
                <mc:Choice Requires="wps">
                  <w:drawing>
                    <wp:inline distT="0" distB="0" distL="114300" distR="114300">
                      <wp:extent cx="260985" cy="38100"/>
                      <wp:effectExtent l="0" t="0" r="5715" b="0"/>
                      <wp:docPr id="42" name="任意多边形 42"/>
                      <wp:cNvGraphicFramePr/>
                      <a:graphic xmlns:a="http://schemas.openxmlformats.org/drawingml/2006/main">
                        <a:graphicData uri="http://schemas.microsoft.com/office/word/2010/wordprocessingShape">
                          <wps:wsp>
                            <wps:cNvSpPr/>
                            <wps:spPr>
                              <a:xfrm>
                                <a:off x="0" y="0"/>
                                <a:ext cx="260985" cy="38100"/>
                              </a:xfrm>
                              <a:custGeom>
                                <a:avLst/>
                                <a:gdLst/>
                                <a:ahLst/>
                                <a:cxnLst/>
                                <a:rect l="0" t="0" r="0" b="0"/>
                                <a:pathLst>
                                  <a:path w="410" h="60">
                                    <a:moveTo>
                                      <a:pt x="0" y="60"/>
                                    </a:moveTo>
                                    <a:lnTo>
                                      <a:pt x="410" y="60"/>
                                    </a:lnTo>
                                    <a:lnTo>
                                      <a:pt x="410"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55pt;" fillcolor="#000000" filled="t" stroked="f" coordsize="410,60" o:gfxdata="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0ibXu0gAAAAIBAAAPAAAA&#10;AAAAAAEAIAAAACIAAABkcnMvZG93bnJldi54bWxQSwECFAAUAAAACACHTuJAZCljOhsCAACcBAAA&#10;DgAAAAAAAAABACAAAAAhAQAAZHJzL2Uyb0RvYy54bWxQSwUGAAAAAAYABgBZAQAArgUAAAAA&#10;" path="m0,60l410,60,410,0,0,0,0,60xe">
                      <v:fill on="t" focussize="0,0"/>
                      <v:stroke on="f"/>
                      <v:imagedata o:title=""/>
                      <o:lock v:ext="edit" aspectratio="f"/>
                      <w10:wrap type="none"/>
                      <w10:anchorlock/>
                    </v:shape>
                  </w:pict>
                </mc:Fallback>
              </mc:AlternateContent>
            </w:r>
          </w:p>
        </w:tc>
        <w:tc>
          <w:tcPr>
            <w:tcW w:w="475" w:type="dxa"/>
            <w:tcBorders>
              <w:bottom w:val="single" w:color="000000" w:sz="4" w:space="0"/>
            </w:tcBorders>
          </w:tcPr>
          <w:p w14:paraId="3FA3C137">
            <w:pPr>
              <w:spacing w:line="328" w:lineRule="auto"/>
            </w:pPr>
          </w:p>
          <w:p w14:paraId="08382CF5">
            <w:pPr>
              <w:spacing w:line="31" w:lineRule="exact"/>
              <w:ind w:firstLine="80"/>
            </w:pPr>
            <w:r>
              <w:rPr>
                <w:position w:val="-3"/>
              </w:rPr>
              <mc:AlternateContent>
                <mc:Choice Requires="wps">
                  <w:drawing>
                    <wp:inline distT="0" distB="0" distL="114300" distR="114300">
                      <wp:extent cx="245745" cy="38100"/>
                      <wp:effectExtent l="0" t="0" r="1905" b="0"/>
                      <wp:docPr id="43" name="任意多边形 43"/>
                      <wp:cNvGraphicFramePr/>
                      <a:graphic xmlns:a="http://schemas.openxmlformats.org/drawingml/2006/main">
                        <a:graphicData uri="http://schemas.microsoft.com/office/word/2010/wordprocessingShape">
                          <wps:wsp>
                            <wps:cNvSpPr/>
                            <wps:spPr>
                              <a:xfrm>
                                <a:off x="0" y="0"/>
                                <a:ext cx="245745" cy="38100"/>
                              </a:xfrm>
                              <a:custGeom>
                                <a:avLst/>
                                <a:gdLst/>
                                <a:ahLst/>
                                <a:cxnLst/>
                                <a:rect l="0" t="0" r="0" b="0"/>
                                <a:pathLst>
                                  <a:path w="387" h="60">
                                    <a:moveTo>
                                      <a:pt x="0" y="60"/>
                                    </a:moveTo>
                                    <a:lnTo>
                                      <a:pt x="386" y="60"/>
                                    </a:lnTo>
                                    <a:lnTo>
                                      <a:pt x="386"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35pt;" fillcolor="#000000" filled="t" stroked="f" coordsize="387,60" o:gfxdata="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vmg7UAAAAAgEA&#10;AA8AAAAAAAAAAQAgAAAAIgAAAGRycy9kb3ducmV2LnhtbFBLAQIUABQAAAAIAIdO4kDMt3rRHgIA&#10;AJwEAAAOAAAAAAAAAAEAIAAAACMBAABkcnMvZTJvRG9jLnhtbFBLBQYAAAAABgAGAFkBAACzBQAA&#10;AAA=&#10;" path="m0,60l386,60,386,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6E215B8A">
            <w:pPr>
              <w:spacing w:line="328" w:lineRule="auto"/>
            </w:pPr>
          </w:p>
          <w:p w14:paraId="10C1A13D">
            <w:pPr>
              <w:spacing w:line="31" w:lineRule="exact"/>
              <w:ind w:firstLine="80"/>
            </w:pPr>
            <w:r>
              <w:rPr>
                <w:position w:val="-3"/>
              </w:rPr>
              <mc:AlternateContent>
                <mc:Choice Requires="wps">
                  <w:drawing>
                    <wp:inline distT="0" distB="0" distL="114300" distR="114300">
                      <wp:extent cx="247015" cy="38100"/>
                      <wp:effectExtent l="0" t="0" r="635" b="0"/>
                      <wp:docPr id="44" name="任意多边形 44"/>
                      <wp:cNvGraphicFramePr/>
                      <a:graphic xmlns:a="http://schemas.openxmlformats.org/drawingml/2006/main">
                        <a:graphicData uri="http://schemas.microsoft.com/office/word/2010/wordprocessingShape">
                          <wps:wsp>
                            <wps:cNvSpPr/>
                            <wps:spPr>
                              <a:xfrm>
                                <a:off x="0" y="0"/>
                                <a:ext cx="247015" cy="38100"/>
                              </a:xfrm>
                              <a:custGeom>
                                <a:avLst/>
                                <a:gdLst/>
                                <a:ahLst/>
                                <a:cxnLst/>
                                <a:rect l="0" t="0" r="0" b="0"/>
                                <a:pathLst>
                                  <a:path w="389" h="60">
                                    <a:moveTo>
                                      <a:pt x="0" y="60"/>
                                    </a:moveTo>
                                    <a:lnTo>
                                      <a:pt x="388" y="60"/>
                                    </a:lnTo>
                                    <a:lnTo>
                                      <a:pt x="388"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45pt;" fillcolor="#000000" filled="t" stroked="f" coordsize="389,60" o:gfxdata="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iEcVdYAAAAC&#10;AQAADwAAAAAAAAABACAAAAAiAAAAZHJzL2Rvd25yZXYueG1sUEsBAhQAFAAAAAgAh07iQOFKHL4e&#10;AgAAnAQAAA4AAAAAAAAAAQAgAAAAJQEAAGRycy9lMm9Eb2MueG1sUEsFBgAAAAAGAAYAWQEAALUF&#10;AAAAAA==&#10;" path="m0,60l388,60,388,0,0,0,0,60xe">
                      <v:fill on="t" focussize="0,0"/>
                      <v:stroke on="f"/>
                      <v:imagedata o:title=""/>
                      <o:lock v:ext="edit" aspectratio="f"/>
                      <w10:wrap type="none"/>
                      <w10:anchorlock/>
                    </v:shape>
                  </w:pict>
                </mc:Fallback>
              </mc:AlternateContent>
            </w:r>
          </w:p>
        </w:tc>
        <w:tc>
          <w:tcPr>
            <w:tcW w:w="475" w:type="dxa"/>
            <w:tcBorders>
              <w:bottom w:val="single" w:color="000000" w:sz="4" w:space="0"/>
            </w:tcBorders>
          </w:tcPr>
          <w:p w14:paraId="6F536E69">
            <w:pPr>
              <w:spacing w:line="328" w:lineRule="auto"/>
            </w:pPr>
          </w:p>
          <w:p w14:paraId="6EBF9665">
            <w:pPr>
              <w:spacing w:line="31" w:lineRule="exact"/>
              <w:ind w:firstLine="80"/>
            </w:pPr>
            <w:r>
              <w:rPr>
                <w:position w:val="-3"/>
              </w:rPr>
              <mc:AlternateContent>
                <mc:Choice Requires="wps">
                  <w:drawing>
                    <wp:inline distT="0" distB="0" distL="114300" distR="114300">
                      <wp:extent cx="245745" cy="38100"/>
                      <wp:effectExtent l="0" t="0" r="1905" b="0"/>
                      <wp:docPr id="53" name="任意多边形 53"/>
                      <wp:cNvGraphicFramePr/>
                      <a:graphic xmlns:a="http://schemas.openxmlformats.org/drawingml/2006/main">
                        <a:graphicData uri="http://schemas.microsoft.com/office/word/2010/wordprocessingShape">
                          <wps:wsp>
                            <wps:cNvSpPr/>
                            <wps:spPr>
                              <a:xfrm>
                                <a:off x="0" y="0"/>
                                <a:ext cx="245745" cy="38100"/>
                              </a:xfrm>
                              <a:custGeom>
                                <a:avLst/>
                                <a:gdLst/>
                                <a:ahLst/>
                                <a:cxnLst/>
                                <a:rect l="0" t="0" r="0" b="0"/>
                                <a:pathLst>
                                  <a:path w="387" h="60">
                                    <a:moveTo>
                                      <a:pt x="0" y="60"/>
                                    </a:moveTo>
                                    <a:lnTo>
                                      <a:pt x="386" y="60"/>
                                    </a:lnTo>
                                    <a:lnTo>
                                      <a:pt x="386"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35pt;" fillcolor="#000000" filled="t" stroked="f" coordsize="387,60" o:gfxdata="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wvmg7UAAAAAgEA&#10;AA8AAAAAAAAAAQAgAAAAIgAAAGRycy9kb3ducmV2LnhtbFBLAQIUABQAAAAIAIdO4kCApqnUHgIA&#10;AJwEAAAOAAAAAAAAAAEAIAAAACMBAABkcnMvZTJvRG9jLnhtbFBLBQYAAAAABgAGAFkBAACzBQAA&#10;AAA=&#10;" path="m0,60l386,60,386,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46F9A264">
            <w:pPr>
              <w:spacing w:line="328" w:lineRule="auto"/>
            </w:pPr>
          </w:p>
          <w:p w14:paraId="71D7C059">
            <w:pPr>
              <w:spacing w:line="31" w:lineRule="exact"/>
              <w:ind w:firstLine="80"/>
            </w:pPr>
            <w:r>
              <w:rPr>
                <w:position w:val="-3"/>
              </w:rPr>
              <mc:AlternateContent>
                <mc:Choice Requires="wps">
                  <w:drawing>
                    <wp:inline distT="0" distB="0" distL="114300" distR="114300">
                      <wp:extent cx="247015" cy="38100"/>
                      <wp:effectExtent l="0" t="0" r="635" b="0"/>
                      <wp:docPr id="56" name="任意多边形 56"/>
                      <wp:cNvGraphicFramePr/>
                      <a:graphic xmlns:a="http://schemas.openxmlformats.org/drawingml/2006/main">
                        <a:graphicData uri="http://schemas.microsoft.com/office/word/2010/wordprocessingShape">
                          <wps:wsp>
                            <wps:cNvSpPr/>
                            <wps:spPr>
                              <a:xfrm>
                                <a:off x="0" y="0"/>
                                <a:ext cx="247015" cy="38100"/>
                              </a:xfrm>
                              <a:custGeom>
                                <a:avLst/>
                                <a:gdLst/>
                                <a:ahLst/>
                                <a:cxnLst/>
                                <a:rect l="0" t="0" r="0" b="0"/>
                                <a:pathLst>
                                  <a:path w="389" h="60">
                                    <a:moveTo>
                                      <a:pt x="0" y="60"/>
                                    </a:moveTo>
                                    <a:lnTo>
                                      <a:pt x="388" y="60"/>
                                    </a:lnTo>
                                    <a:lnTo>
                                      <a:pt x="388"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45pt;" fillcolor="#000000" filled="t" stroked="f" coordsize="389,60" o:gfxdata="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iEcVdYAAAAC&#10;AQAADwAAAAAAAAABACAAAAAiAAAAZHJzL2Rvd25yZXYueG1sUEsBAhQAFAAAAAgAh07iQGLiMsYe&#10;AgAAnAQAAA4AAAAAAAAAAQAgAAAAJQEAAGRycy9lMm9Eb2MueG1sUEsFBgAAAAAGAAYAWQEAALUF&#10;AAAAAA==&#10;" path="m0,60l388,60,388,0,0,0,0,60xe">
                      <v:fill on="t" focussize="0,0"/>
                      <v:stroke on="f"/>
                      <v:imagedata o:title=""/>
                      <o:lock v:ext="edit" aspectratio="f"/>
                      <w10:wrap type="none"/>
                      <w10:anchorlock/>
                    </v:shape>
                  </w:pict>
                </mc:Fallback>
              </mc:AlternateContent>
            </w:r>
          </w:p>
        </w:tc>
        <w:tc>
          <w:tcPr>
            <w:tcW w:w="478" w:type="dxa"/>
            <w:tcBorders>
              <w:bottom w:val="single" w:color="000000" w:sz="4" w:space="0"/>
            </w:tcBorders>
          </w:tcPr>
          <w:p w14:paraId="7CFB175B">
            <w:pPr>
              <w:spacing w:line="328" w:lineRule="auto"/>
            </w:pPr>
          </w:p>
          <w:p w14:paraId="47BBF62B">
            <w:pPr>
              <w:spacing w:line="31" w:lineRule="exact"/>
              <w:ind w:firstLine="80"/>
            </w:pPr>
            <w:r>
              <w:rPr>
                <w:position w:val="-3"/>
              </w:rPr>
              <mc:AlternateContent>
                <mc:Choice Requires="wps">
                  <w:drawing>
                    <wp:inline distT="0" distB="0" distL="114300" distR="114300">
                      <wp:extent cx="247650" cy="38100"/>
                      <wp:effectExtent l="0" t="0" r="0" b="0"/>
                      <wp:docPr id="41" name="任意多边形 41"/>
                      <wp:cNvGraphicFramePr/>
                      <a:graphic xmlns:a="http://schemas.openxmlformats.org/drawingml/2006/main">
                        <a:graphicData uri="http://schemas.microsoft.com/office/word/2010/wordprocessingShape">
                          <wps:wsp>
                            <wps:cNvSpPr/>
                            <wps:spPr>
                              <a:xfrm>
                                <a:off x="0" y="0"/>
                                <a:ext cx="247650" cy="38100"/>
                              </a:xfrm>
                              <a:custGeom>
                                <a:avLst/>
                                <a:gdLst/>
                                <a:ahLst/>
                                <a:cxnLst/>
                                <a:rect l="0" t="0" r="0" b="0"/>
                                <a:pathLst>
                                  <a:path w="390" h="60">
                                    <a:moveTo>
                                      <a:pt x="0" y="60"/>
                                    </a:moveTo>
                                    <a:lnTo>
                                      <a:pt x="389" y="60"/>
                                    </a:lnTo>
                                    <a:lnTo>
                                      <a:pt x="389"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19.5pt;" fillcolor="#000000" filled="t" stroked="f" coordsize="390,60" o:gfxdata="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P+gU0wAAAAIBAAAP&#10;AAAAAAAAAAEAIAAAACIAAABkcnMvZG93bnJldi54bWxQSwECFAAUAAAACACHTuJAKPMXrB0CAACc&#10;BAAADgAAAAAAAAABACAAAAAiAQAAZHJzL2Uyb0RvYy54bWxQSwUGAAAAAAYABgBZAQAAsQUAAAAA&#10;" path="m0,60l389,60,389,0,0,0,0,60xe">
                      <v:fill on="t" focussize="0,0"/>
                      <v:stroke on="f"/>
                      <v:imagedata o:title=""/>
                      <o:lock v:ext="edit" aspectratio="f"/>
                      <w10:wrap type="none"/>
                      <w10:anchorlock/>
                    </v:shape>
                  </w:pict>
                </mc:Fallback>
              </mc:AlternateContent>
            </w:r>
          </w:p>
        </w:tc>
        <w:tc>
          <w:tcPr>
            <w:tcW w:w="499" w:type="dxa"/>
            <w:tcBorders>
              <w:bottom w:val="single" w:color="000000" w:sz="4" w:space="0"/>
            </w:tcBorders>
          </w:tcPr>
          <w:p w14:paraId="10DFB00F">
            <w:pPr>
              <w:spacing w:line="328" w:lineRule="auto"/>
            </w:pPr>
          </w:p>
          <w:p w14:paraId="7071DA28">
            <w:pPr>
              <w:spacing w:line="31" w:lineRule="exact"/>
              <w:ind w:firstLine="80"/>
            </w:pPr>
            <w:r>
              <w:rPr>
                <w:position w:val="-3"/>
              </w:rPr>
              <mc:AlternateContent>
                <mc:Choice Requires="wps">
                  <w:drawing>
                    <wp:inline distT="0" distB="0" distL="114300" distR="114300">
                      <wp:extent cx="260985" cy="38100"/>
                      <wp:effectExtent l="0" t="0" r="5715" b="0"/>
                      <wp:docPr id="55" name="任意多边形 55"/>
                      <wp:cNvGraphicFramePr/>
                      <a:graphic xmlns:a="http://schemas.openxmlformats.org/drawingml/2006/main">
                        <a:graphicData uri="http://schemas.microsoft.com/office/word/2010/wordprocessingShape">
                          <wps:wsp>
                            <wps:cNvSpPr/>
                            <wps:spPr>
                              <a:xfrm>
                                <a:off x="0" y="0"/>
                                <a:ext cx="260985" cy="38100"/>
                              </a:xfrm>
                              <a:custGeom>
                                <a:avLst/>
                                <a:gdLst/>
                                <a:ahLst/>
                                <a:cxnLst/>
                                <a:rect l="0" t="0" r="0" b="0"/>
                                <a:pathLst>
                                  <a:path w="410" h="60">
                                    <a:moveTo>
                                      <a:pt x="0" y="60"/>
                                    </a:moveTo>
                                    <a:lnTo>
                                      <a:pt x="410" y="60"/>
                                    </a:lnTo>
                                    <a:lnTo>
                                      <a:pt x="410"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55pt;" fillcolor="#000000" filled="t" stroked="f" coordsize="410,60" o:gfxdata="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Im17tIAAAACAQAADwAA&#10;AAAAAAABACAAAAAiAAAAZHJzL2Rvd25yZXYueG1sUEsBAhQAFAAAAAgAh07iQL6t8GocAgAAnAQA&#10;AA4AAAAAAAAAAQAgAAAAIQEAAGRycy9lMm9Eb2MueG1sUEsFBgAAAAAGAAYAWQEAAK8FAAAAAA==&#10;" path="m0,60l410,60,410,0,0,0,0,60xe">
                      <v:fill on="t" focussize="0,0"/>
                      <v:stroke on="f"/>
                      <v:imagedata o:title=""/>
                      <o:lock v:ext="edit" aspectratio="f"/>
                      <w10:wrap type="none"/>
                      <w10:anchorlock/>
                    </v:shape>
                  </w:pict>
                </mc:Fallback>
              </mc:AlternateContent>
            </w:r>
          </w:p>
        </w:tc>
        <w:tc>
          <w:tcPr>
            <w:tcW w:w="497" w:type="dxa"/>
            <w:tcBorders>
              <w:bottom w:val="single" w:color="000000" w:sz="4" w:space="0"/>
            </w:tcBorders>
          </w:tcPr>
          <w:p w14:paraId="5ACB1EE6">
            <w:pPr>
              <w:spacing w:line="328" w:lineRule="auto"/>
            </w:pPr>
            <w:r>
              <mc:AlternateContent>
                <mc:Choice Requires="wps">
                  <w:drawing>
                    <wp:anchor distT="0" distB="0" distL="114300" distR="114300" simplePos="0" relativeHeight="251675648" behindDoc="0" locked="0" layoutInCell="1" allowOverlap="1">
                      <wp:simplePos x="0" y="0"/>
                      <wp:positionH relativeFrom="page">
                        <wp:posOffset>-70485</wp:posOffset>
                      </wp:positionH>
                      <wp:positionV relativeFrom="page">
                        <wp:posOffset>212725</wp:posOffset>
                      </wp:positionV>
                      <wp:extent cx="56515" cy="38100"/>
                      <wp:effectExtent l="0" t="0" r="635" b="0"/>
                      <wp:wrapNone/>
                      <wp:docPr id="57" name="任意多边形 57"/>
                      <wp:cNvGraphicFramePr/>
                      <a:graphic xmlns:a="http://schemas.openxmlformats.org/drawingml/2006/main">
                        <a:graphicData uri="http://schemas.microsoft.com/office/word/2010/wordprocessingShape">
                          <wps:wsp>
                            <wps:cNvSpPr/>
                            <wps:spPr>
                              <a:xfrm>
                                <a:off x="0" y="0"/>
                                <a:ext cx="56515" cy="38100"/>
                              </a:xfrm>
                              <a:custGeom>
                                <a:avLst/>
                                <a:gdLst/>
                                <a:ahLst/>
                                <a:cxnLst/>
                                <a:rect l="0" t="0" r="0" b="0"/>
                                <a:pathLst>
                                  <a:path w="88" h="60">
                                    <a:moveTo>
                                      <a:pt x="0" y="60"/>
                                    </a:moveTo>
                                    <a:lnTo>
                                      <a:pt x="88" y="60"/>
                                    </a:lnTo>
                                    <a:lnTo>
                                      <a:pt x="88"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5pt;margin-top:16.75pt;height:3pt;width:4.45pt;mso-position-horizontal-relative:page;mso-position-vertical-relative:page;z-index:251675648;mso-width-relative:page;mso-height-relative:page;" fillcolor="#000000" filled="t" stroked="f" coordsize="88,60" o:gfxdata="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dLFDVAAAACAEAAA8A&#10;AAAAAAAAAQAgAAAAIgAAAGRycy9kb3ducmV2LnhtbFBLAQIUABQAAAAIAIdO4kAVsH6CGgIAAJgE&#10;AAAOAAAAAAAAAAEAIAAAACQBAABkcnMvZTJvRG9jLnhtbFBLBQYAAAAABgAGAFkBAACwBQAAAAA=&#10;" path="m0,60l88,60,88,0,0,0,0,60xe">
                      <v:fill on="t" focussize="0,0"/>
                      <v:stroke on="f"/>
                      <v:imagedata o:title=""/>
                      <o:lock v:ext="edit" aspectratio="f"/>
                    </v:shape>
                  </w:pict>
                </mc:Fallback>
              </mc:AlternateContent>
            </w:r>
          </w:p>
          <w:p w14:paraId="3D6D4CD3">
            <w:pPr>
              <w:spacing w:line="31" w:lineRule="exact"/>
              <w:ind w:firstLine="80"/>
            </w:pPr>
            <w:r>
              <w:rPr>
                <w:position w:val="-3"/>
              </w:rPr>
              <mc:AlternateContent>
                <mc:Choice Requires="wps">
                  <w:drawing>
                    <wp:inline distT="0" distB="0" distL="114300" distR="114300">
                      <wp:extent cx="259080" cy="38100"/>
                      <wp:effectExtent l="0" t="0" r="7620" b="0"/>
                      <wp:docPr id="48" name="任意多边形 48"/>
                      <wp:cNvGraphicFramePr/>
                      <a:graphic xmlns:a="http://schemas.openxmlformats.org/drawingml/2006/main">
                        <a:graphicData uri="http://schemas.microsoft.com/office/word/2010/wordprocessingShape">
                          <wps:wsp>
                            <wps:cNvSpPr/>
                            <wps:spPr>
                              <a:xfrm>
                                <a:off x="0" y="0"/>
                                <a:ext cx="259080" cy="38100"/>
                              </a:xfrm>
                              <a:custGeom>
                                <a:avLst/>
                                <a:gdLst/>
                                <a:ahLst/>
                                <a:cxnLst/>
                                <a:rect l="0" t="0" r="0" b="0"/>
                                <a:pathLst>
                                  <a:path w="407" h="60">
                                    <a:moveTo>
                                      <a:pt x="0" y="60"/>
                                    </a:moveTo>
                                    <a:lnTo>
                                      <a:pt x="407" y="60"/>
                                    </a:lnTo>
                                    <a:lnTo>
                                      <a:pt x="407"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4pt;" fillcolor="#000000" filled="t" stroked="f" coordsize="407,60" o:gfxdata="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cRjdnRAAAAAgEAAA8AAAAA&#10;AAAAAQAgAAAAIgAAAGRycy9kb3ducmV2LnhtbFBLAQIUABQAAAAIAIdO4kAJxgnHGwIAAJwEAAAO&#10;AAAAAAAAAAEAIAAAACABAABkcnMvZTJvRG9jLnhtbFBLBQYAAAAABgAGAFkBAACtBQAAAAA=&#10;" path="m0,60l407,60,407,0,0,0,0,60xe">
                      <v:fill on="t" focussize="0,0"/>
                      <v:stroke on="f"/>
                      <v:imagedata o:title=""/>
                      <o:lock v:ext="edit" aspectratio="f"/>
                      <w10:wrap type="none"/>
                      <w10:anchorlock/>
                    </v:shape>
                  </w:pict>
                </mc:Fallback>
              </mc:AlternateContent>
            </w:r>
          </w:p>
        </w:tc>
        <w:tc>
          <w:tcPr>
            <w:tcW w:w="499" w:type="dxa"/>
            <w:vMerge w:val="restart"/>
            <w:tcBorders>
              <w:bottom w:val="nil"/>
            </w:tcBorders>
          </w:tcPr>
          <w:p w14:paraId="25290A61"/>
        </w:tc>
        <w:tc>
          <w:tcPr>
            <w:tcW w:w="501" w:type="dxa"/>
            <w:vMerge w:val="restart"/>
            <w:tcBorders>
              <w:bottom w:val="nil"/>
            </w:tcBorders>
          </w:tcPr>
          <w:p w14:paraId="327FE8E8"/>
        </w:tc>
        <w:tc>
          <w:tcPr>
            <w:tcW w:w="496" w:type="dxa"/>
            <w:vMerge w:val="restart"/>
            <w:tcBorders>
              <w:bottom w:val="nil"/>
            </w:tcBorders>
          </w:tcPr>
          <w:p w14:paraId="7016D290"/>
        </w:tc>
        <w:tc>
          <w:tcPr>
            <w:tcW w:w="458" w:type="dxa"/>
            <w:vMerge w:val="restart"/>
            <w:tcBorders>
              <w:bottom w:val="nil"/>
            </w:tcBorders>
          </w:tcPr>
          <w:p w14:paraId="3698C6B0"/>
        </w:tc>
        <w:tc>
          <w:tcPr>
            <w:tcW w:w="478" w:type="dxa"/>
            <w:vMerge w:val="restart"/>
            <w:tcBorders>
              <w:bottom w:val="nil"/>
            </w:tcBorders>
          </w:tcPr>
          <w:p w14:paraId="1E0B28D4"/>
        </w:tc>
        <w:tc>
          <w:tcPr>
            <w:tcW w:w="499" w:type="dxa"/>
            <w:vMerge w:val="restart"/>
            <w:tcBorders>
              <w:bottom w:val="nil"/>
            </w:tcBorders>
          </w:tcPr>
          <w:p w14:paraId="2D2A0D28"/>
        </w:tc>
        <w:tc>
          <w:tcPr>
            <w:tcW w:w="501" w:type="dxa"/>
            <w:vMerge w:val="restart"/>
            <w:tcBorders>
              <w:bottom w:val="nil"/>
            </w:tcBorders>
          </w:tcPr>
          <w:p w14:paraId="41477D97"/>
        </w:tc>
        <w:tc>
          <w:tcPr>
            <w:tcW w:w="501" w:type="dxa"/>
            <w:vMerge w:val="restart"/>
            <w:tcBorders>
              <w:bottom w:val="nil"/>
            </w:tcBorders>
          </w:tcPr>
          <w:p w14:paraId="6EA9DD53"/>
        </w:tc>
        <w:tc>
          <w:tcPr>
            <w:tcW w:w="501" w:type="dxa"/>
            <w:vMerge w:val="restart"/>
            <w:tcBorders>
              <w:bottom w:val="nil"/>
            </w:tcBorders>
          </w:tcPr>
          <w:p w14:paraId="059CA055"/>
        </w:tc>
        <w:tc>
          <w:tcPr>
            <w:tcW w:w="499" w:type="dxa"/>
            <w:vMerge w:val="restart"/>
            <w:tcBorders>
              <w:bottom w:val="nil"/>
            </w:tcBorders>
          </w:tcPr>
          <w:p w14:paraId="64BF9500"/>
        </w:tc>
        <w:tc>
          <w:tcPr>
            <w:tcW w:w="502" w:type="dxa"/>
            <w:vMerge w:val="restart"/>
            <w:tcBorders>
              <w:bottom w:val="nil"/>
            </w:tcBorders>
          </w:tcPr>
          <w:p w14:paraId="24C3FCB7"/>
        </w:tc>
        <w:tc>
          <w:tcPr>
            <w:tcW w:w="516" w:type="dxa"/>
            <w:vMerge w:val="restart"/>
            <w:tcBorders>
              <w:bottom w:val="nil"/>
            </w:tcBorders>
          </w:tcPr>
          <w:p w14:paraId="0DC2B88C"/>
        </w:tc>
      </w:tr>
      <w:tr w14:paraId="4497FE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6" w:hRule="atLeast"/>
        </w:trPr>
        <w:tc>
          <w:tcPr>
            <w:tcW w:w="775" w:type="dxa"/>
            <w:vMerge w:val="continue"/>
            <w:tcBorders>
              <w:top w:val="nil"/>
            </w:tcBorders>
          </w:tcPr>
          <w:p w14:paraId="4FA1EEDE"/>
        </w:tc>
        <w:tc>
          <w:tcPr>
            <w:tcW w:w="2664" w:type="dxa"/>
            <w:vMerge w:val="continue"/>
            <w:tcBorders>
              <w:top w:val="nil"/>
            </w:tcBorders>
          </w:tcPr>
          <w:p w14:paraId="1255A175"/>
        </w:tc>
        <w:tc>
          <w:tcPr>
            <w:tcW w:w="523" w:type="dxa"/>
            <w:tcBorders>
              <w:top w:val="single" w:color="000000" w:sz="4" w:space="0"/>
            </w:tcBorders>
          </w:tcPr>
          <w:p w14:paraId="7A1FB1B5"/>
        </w:tc>
        <w:tc>
          <w:tcPr>
            <w:tcW w:w="499" w:type="dxa"/>
            <w:tcBorders>
              <w:top w:val="single" w:color="000000" w:sz="4" w:space="0"/>
            </w:tcBorders>
          </w:tcPr>
          <w:p w14:paraId="2CF17367"/>
        </w:tc>
        <w:tc>
          <w:tcPr>
            <w:tcW w:w="475" w:type="dxa"/>
            <w:tcBorders>
              <w:top w:val="single" w:color="000000" w:sz="4" w:space="0"/>
            </w:tcBorders>
          </w:tcPr>
          <w:p w14:paraId="45E4F9A1"/>
        </w:tc>
        <w:tc>
          <w:tcPr>
            <w:tcW w:w="478" w:type="dxa"/>
            <w:tcBorders>
              <w:top w:val="single" w:color="000000" w:sz="4" w:space="0"/>
            </w:tcBorders>
          </w:tcPr>
          <w:p w14:paraId="7C496CB4"/>
        </w:tc>
        <w:tc>
          <w:tcPr>
            <w:tcW w:w="475" w:type="dxa"/>
            <w:tcBorders>
              <w:top w:val="single" w:color="000000" w:sz="4" w:space="0"/>
            </w:tcBorders>
          </w:tcPr>
          <w:p w14:paraId="27DC1FB7"/>
        </w:tc>
        <w:tc>
          <w:tcPr>
            <w:tcW w:w="478" w:type="dxa"/>
            <w:tcBorders>
              <w:top w:val="single" w:color="000000" w:sz="4" w:space="0"/>
            </w:tcBorders>
          </w:tcPr>
          <w:p w14:paraId="42B97FBB"/>
        </w:tc>
        <w:tc>
          <w:tcPr>
            <w:tcW w:w="478" w:type="dxa"/>
            <w:tcBorders>
              <w:top w:val="single" w:color="000000" w:sz="4" w:space="0"/>
            </w:tcBorders>
          </w:tcPr>
          <w:p w14:paraId="6165F103"/>
        </w:tc>
        <w:tc>
          <w:tcPr>
            <w:tcW w:w="499" w:type="dxa"/>
            <w:tcBorders>
              <w:top w:val="single" w:color="000000" w:sz="4" w:space="0"/>
            </w:tcBorders>
          </w:tcPr>
          <w:p w14:paraId="1EDBF641"/>
        </w:tc>
        <w:tc>
          <w:tcPr>
            <w:tcW w:w="497" w:type="dxa"/>
            <w:tcBorders>
              <w:top w:val="single" w:color="000000" w:sz="4" w:space="0"/>
            </w:tcBorders>
          </w:tcPr>
          <w:p w14:paraId="7782E03F"/>
        </w:tc>
        <w:tc>
          <w:tcPr>
            <w:tcW w:w="499" w:type="dxa"/>
            <w:vMerge w:val="continue"/>
            <w:tcBorders>
              <w:top w:val="nil"/>
            </w:tcBorders>
          </w:tcPr>
          <w:p w14:paraId="72E1B969"/>
        </w:tc>
        <w:tc>
          <w:tcPr>
            <w:tcW w:w="501" w:type="dxa"/>
            <w:vMerge w:val="continue"/>
            <w:tcBorders>
              <w:top w:val="nil"/>
            </w:tcBorders>
          </w:tcPr>
          <w:p w14:paraId="5892D9F8"/>
        </w:tc>
        <w:tc>
          <w:tcPr>
            <w:tcW w:w="496" w:type="dxa"/>
            <w:vMerge w:val="continue"/>
            <w:tcBorders>
              <w:top w:val="nil"/>
            </w:tcBorders>
          </w:tcPr>
          <w:p w14:paraId="14C0DD6E"/>
        </w:tc>
        <w:tc>
          <w:tcPr>
            <w:tcW w:w="458" w:type="dxa"/>
            <w:vMerge w:val="continue"/>
            <w:tcBorders>
              <w:top w:val="nil"/>
            </w:tcBorders>
          </w:tcPr>
          <w:p w14:paraId="45FB92BD"/>
        </w:tc>
        <w:tc>
          <w:tcPr>
            <w:tcW w:w="478" w:type="dxa"/>
            <w:vMerge w:val="continue"/>
            <w:tcBorders>
              <w:top w:val="nil"/>
            </w:tcBorders>
          </w:tcPr>
          <w:p w14:paraId="5F3924F7"/>
        </w:tc>
        <w:tc>
          <w:tcPr>
            <w:tcW w:w="499" w:type="dxa"/>
            <w:vMerge w:val="continue"/>
            <w:tcBorders>
              <w:top w:val="nil"/>
            </w:tcBorders>
          </w:tcPr>
          <w:p w14:paraId="2E4BFC6F"/>
        </w:tc>
        <w:tc>
          <w:tcPr>
            <w:tcW w:w="501" w:type="dxa"/>
            <w:vMerge w:val="continue"/>
            <w:tcBorders>
              <w:top w:val="nil"/>
            </w:tcBorders>
          </w:tcPr>
          <w:p w14:paraId="34200CF6"/>
        </w:tc>
        <w:tc>
          <w:tcPr>
            <w:tcW w:w="501" w:type="dxa"/>
            <w:vMerge w:val="continue"/>
            <w:tcBorders>
              <w:top w:val="nil"/>
            </w:tcBorders>
          </w:tcPr>
          <w:p w14:paraId="4C9DFCA7"/>
        </w:tc>
        <w:tc>
          <w:tcPr>
            <w:tcW w:w="501" w:type="dxa"/>
            <w:vMerge w:val="continue"/>
            <w:tcBorders>
              <w:top w:val="nil"/>
            </w:tcBorders>
          </w:tcPr>
          <w:p w14:paraId="63F270DA"/>
        </w:tc>
        <w:tc>
          <w:tcPr>
            <w:tcW w:w="499" w:type="dxa"/>
            <w:vMerge w:val="continue"/>
            <w:tcBorders>
              <w:top w:val="nil"/>
            </w:tcBorders>
          </w:tcPr>
          <w:p w14:paraId="66E04165"/>
        </w:tc>
        <w:tc>
          <w:tcPr>
            <w:tcW w:w="502" w:type="dxa"/>
            <w:vMerge w:val="continue"/>
            <w:tcBorders>
              <w:top w:val="nil"/>
            </w:tcBorders>
          </w:tcPr>
          <w:p w14:paraId="4439B69A"/>
        </w:tc>
        <w:tc>
          <w:tcPr>
            <w:tcW w:w="516" w:type="dxa"/>
            <w:vMerge w:val="continue"/>
            <w:tcBorders>
              <w:top w:val="nil"/>
            </w:tcBorders>
          </w:tcPr>
          <w:p w14:paraId="751F15E6"/>
        </w:tc>
      </w:tr>
      <w:tr w14:paraId="667F20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2" w:hRule="atLeast"/>
        </w:trPr>
        <w:tc>
          <w:tcPr>
            <w:tcW w:w="775" w:type="dxa"/>
            <w:vMerge w:val="restart"/>
            <w:tcBorders>
              <w:bottom w:val="nil"/>
            </w:tcBorders>
          </w:tcPr>
          <w:p w14:paraId="16010A02">
            <w:pPr>
              <w:spacing w:line="298" w:lineRule="auto"/>
            </w:pPr>
          </w:p>
          <w:p w14:paraId="40E9A9C5">
            <w:pPr>
              <w:spacing w:before="69" w:line="183" w:lineRule="auto"/>
              <w:ind w:left="340"/>
              <w:rPr>
                <w:sz w:val="24"/>
              </w:rPr>
            </w:pPr>
            <w:r>
              <w:rPr>
                <w:sz w:val="24"/>
              </w:rPr>
              <w:t>5</w:t>
            </w:r>
          </w:p>
        </w:tc>
        <w:tc>
          <w:tcPr>
            <w:tcW w:w="2664" w:type="dxa"/>
            <w:vMerge w:val="restart"/>
            <w:tcBorders>
              <w:bottom w:val="nil"/>
            </w:tcBorders>
          </w:tcPr>
          <w:p w14:paraId="5F22C980">
            <w:pPr>
              <w:spacing w:line="274" w:lineRule="auto"/>
            </w:pPr>
          </w:p>
          <w:p w14:paraId="549912A8">
            <w:pPr>
              <w:pStyle w:val="10"/>
              <w:spacing w:before="68" w:line="221" w:lineRule="auto"/>
              <w:ind w:left="115"/>
              <w:rPr>
                <w:rFonts w:ascii="Arial" w:hAnsi="Arial" w:cs="Arial"/>
              </w:rPr>
            </w:pPr>
            <w:r>
              <w:rPr>
                <w:rFonts w:ascii="Arial" w:hAnsi="Arial" w:cs="Arial"/>
                <w:spacing w:val="-1"/>
              </w:rPr>
              <w:t>设备安装指导（设备安装）</w:t>
            </w:r>
          </w:p>
        </w:tc>
        <w:tc>
          <w:tcPr>
            <w:tcW w:w="523" w:type="dxa"/>
            <w:vMerge w:val="restart"/>
            <w:tcBorders>
              <w:bottom w:val="nil"/>
            </w:tcBorders>
          </w:tcPr>
          <w:p w14:paraId="0F6DAB19"/>
        </w:tc>
        <w:tc>
          <w:tcPr>
            <w:tcW w:w="499" w:type="dxa"/>
          </w:tcPr>
          <w:p w14:paraId="7D499F6B"/>
        </w:tc>
        <w:tc>
          <w:tcPr>
            <w:tcW w:w="475" w:type="dxa"/>
          </w:tcPr>
          <w:p w14:paraId="0C75B4B3"/>
        </w:tc>
        <w:tc>
          <w:tcPr>
            <w:tcW w:w="478" w:type="dxa"/>
          </w:tcPr>
          <w:p w14:paraId="1AA1EF00"/>
        </w:tc>
        <w:tc>
          <w:tcPr>
            <w:tcW w:w="475" w:type="dxa"/>
          </w:tcPr>
          <w:p w14:paraId="515AA0C6"/>
        </w:tc>
        <w:tc>
          <w:tcPr>
            <w:tcW w:w="478" w:type="dxa"/>
            <w:tcBorders>
              <w:bottom w:val="single" w:color="000000" w:sz="10" w:space="0"/>
            </w:tcBorders>
          </w:tcPr>
          <w:p w14:paraId="1CD6BA9A"/>
        </w:tc>
        <w:tc>
          <w:tcPr>
            <w:tcW w:w="478" w:type="dxa"/>
            <w:tcBorders>
              <w:bottom w:val="single" w:color="000000" w:sz="4" w:space="0"/>
            </w:tcBorders>
          </w:tcPr>
          <w:p w14:paraId="74C16448"/>
        </w:tc>
        <w:tc>
          <w:tcPr>
            <w:tcW w:w="499" w:type="dxa"/>
            <w:tcBorders>
              <w:bottom w:val="single" w:color="000000" w:sz="4" w:space="0"/>
            </w:tcBorders>
          </w:tcPr>
          <w:p w14:paraId="3A312328"/>
        </w:tc>
        <w:tc>
          <w:tcPr>
            <w:tcW w:w="497" w:type="dxa"/>
            <w:tcBorders>
              <w:bottom w:val="single" w:color="000000" w:sz="4" w:space="0"/>
            </w:tcBorders>
          </w:tcPr>
          <w:p w14:paraId="0A1E78E5">
            <w:r>
              <mc:AlternateContent>
                <mc:Choice Requires="wps">
                  <w:drawing>
                    <wp:anchor distT="0" distB="0" distL="114300" distR="114300" simplePos="0" relativeHeight="251670528" behindDoc="0" locked="0" layoutInCell="1" allowOverlap="1">
                      <wp:simplePos x="0" y="0"/>
                      <wp:positionH relativeFrom="page">
                        <wp:posOffset>-70485</wp:posOffset>
                      </wp:positionH>
                      <wp:positionV relativeFrom="page">
                        <wp:posOffset>262255</wp:posOffset>
                      </wp:positionV>
                      <wp:extent cx="56515" cy="38100"/>
                      <wp:effectExtent l="0" t="0" r="635" b="0"/>
                      <wp:wrapNone/>
                      <wp:docPr id="58" name="任意多边形 58"/>
                      <wp:cNvGraphicFramePr/>
                      <a:graphic xmlns:a="http://schemas.openxmlformats.org/drawingml/2006/main">
                        <a:graphicData uri="http://schemas.microsoft.com/office/word/2010/wordprocessingShape">
                          <wps:wsp>
                            <wps:cNvSpPr/>
                            <wps:spPr>
                              <a:xfrm>
                                <a:off x="0" y="0"/>
                                <a:ext cx="56515" cy="38100"/>
                              </a:xfrm>
                              <a:custGeom>
                                <a:avLst/>
                                <a:gdLst/>
                                <a:ahLst/>
                                <a:cxnLst/>
                                <a:rect l="0" t="0" r="0" b="0"/>
                                <a:pathLst>
                                  <a:path w="88" h="60">
                                    <a:moveTo>
                                      <a:pt x="0" y="60"/>
                                    </a:moveTo>
                                    <a:lnTo>
                                      <a:pt x="88" y="60"/>
                                    </a:lnTo>
                                    <a:lnTo>
                                      <a:pt x="88"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5pt;margin-top:20.65pt;height:3pt;width:4.45pt;mso-position-horizontal-relative:page;mso-position-vertical-relative:page;z-index:251670528;mso-width-relative:page;mso-height-relative:page;" fillcolor="#000000" filled="t" stroked="f" coordsize="88,60" o:gfxdata="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yeatNUAAAAIAQAADwAA&#10;AAAAAAABACAAAAAiAAAAZHJzL2Rvd25yZXYueG1sUEsBAhQAFAAAAAgAh07iQHCSLS4ZAgAAmAQA&#10;AA4AAAAAAAAAAQAgAAAAJAEAAGRycy9lMm9Eb2MueG1sUEsFBgAAAAAGAAYAWQEAAK8FAAAAAA==&#10;" path="m0,60l88,60,88,0,0,0,0,60xe">
                      <v:fill on="t" focussize="0,0"/>
                      <v:stroke on="f"/>
                      <v:imagedata o:title=""/>
                      <o:lock v:ext="edit" aspectratio="f"/>
                    </v:shape>
                  </w:pict>
                </mc:Fallback>
              </mc:AlternateContent>
            </w:r>
          </w:p>
        </w:tc>
        <w:tc>
          <w:tcPr>
            <w:tcW w:w="499" w:type="dxa"/>
            <w:tcBorders>
              <w:bottom w:val="single" w:color="000000" w:sz="4" w:space="0"/>
            </w:tcBorders>
          </w:tcPr>
          <w:p w14:paraId="4E10A7FB"/>
        </w:tc>
        <w:tc>
          <w:tcPr>
            <w:tcW w:w="501" w:type="dxa"/>
            <w:tcBorders>
              <w:bottom w:val="single" w:color="000000" w:sz="4" w:space="0"/>
            </w:tcBorders>
          </w:tcPr>
          <w:p w14:paraId="70092A43"/>
        </w:tc>
        <w:tc>
          <w:tcPr>
            <w:tcW w:w="496" w:type="dxa"/>
            <w:tcBorders>
              <w:bottom w:val="single" w:color="000000" w:sz="4" w:space="0"/>
            </w:tcBorders>
          </w:tcPr>
          <w:p w14:paraId="2AA743A1"/>
        </w:tc>
        <w:tc>
          <w:tcPr>
            <w:tcW w:w="458" w:type="dxa"/>
            <w:tcBorders>
              <w:bottom w:val="single" w:color="000000" w:sz="4" w:space="0"/>
            </w:tcBorders>
          </w:tcPr>
          <w:p w14:paraId="6DDA318E">
            <w:r>
              <mc:AlternateContent>
                <mc:Choice Requires="wps">
                  <w:drawing>
                    <wp:anchor distT="0" distB="0" distL="114300" distR="114300" simplePos="0" relativeHeight="251671552" behindDoc="0" locked="0" layoutInCell="1" allowOverlap="1">
                      <wp:simplePos x="0" y="0"/>
                      <wp:positionH relativeFrom="page">
                        <wp:posOffset>-69850</wp:posOffset>
                      </wp:positionH>
                      <wp:positionV relativeFrom="page">
                        <wp:posOffset>262255</wp:posOffset>
                      </wp:positionV>
                      <wp:extent cx="56515" cy="38100"/>
                      <wp:effectExtent l="0" t="0" r="635" b="0"/>
                      <wp:wrapNone/>
                      <wp:docPr id="45" name="任意多边形 45"/>
                      <wp:cNvGraphicFramePr/>
                      <a:graphic xmlns:a="http://schemas.openxmlformats.org/drawingml/2006/main">
                        <a:graphicData uri="http://schemas.microsoft.com/office/word/2010/wordprocessingShape">
                          <wps:wsp>
                            <wps:cNvSpPr/>
                            <wps:spPr>
                              <a:xfrm>
                                <a:off x="0" y="0"/>
                                <a:ext cx="56515" cy="38100"/>
                              </a:xfrm>
                              <a:custGeom>
                                <a:avLst/>
                                <a:gdLst/>
                                <a:ahLst/>
                                <a:cxnLst/>
                                <a:rect l="0" t="0" r="0" b="0"/>
                                <a:pathLst>
                                  <a:path w="88" h="60">
                                    <a:moveTo>
                                      <a:pt x="0" y="60"/>
                                    </a:moveTo>
                                    <a:lnTo>
                                      <a:pt x="88" y="60"/>
                                    </a:lnTo>
                                    <a:lnTo>
                                      <a:pt x="88"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pt;margin-top:20.65pt;height:3pt;width:4.45pt;mso-position-horizontal-relative:page;mso-position-vertical-relative:page;z-index:251671552;mso-width-relative:page;mso-height-relative:page;" fillcolor="#000000" filled="t" stroked="f" coordsize="88,60" o:gfxdata="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wdQNQAAAAIAQAADwAA&#10;AAAAAAABACAAAAAiAAAAZHJzL2Rvd25yZXYueG1sUEsBAhQAFAAAAAgAh07iQKKoLvIaAgAAmAQA&#10;AA4AAAAAAAAAAQAgAAAAIwEAAGRycy9lMm9Eb2MueG1sUEsFBgAAAAAGAAYAWQEAAK8FAAAAAA==&#10;" path="m0,60l88,60,88,0,0,0,0,60xe">
                      <v:fill on="t" focussize="0,0"/>
                      <v:stroke on="f"/>
                      <v:imagedata o:title=""/>
                      <o:lock v:ext="edit" aspectratio="f"/>
                    </v:shape>
                  </w:pict>
                </mc:Fallback>
              </mc:AlternateContent>
            </w:r>
          </w:p>
        </w:tc>
        <w:tc>
          <w:tcPr>
            <w:tcW w:w="478" w:type="dxa"/>
            <w:tcBorders>
              <w:bottom w:val="single" w:color="000000" w:sz="4" w:space="0"/>
            </w:tcBorders>
          </w:tcPr>
          <w:p w14:paraId="66AC0C05">
            <w:r>
              <mc:AlternateContent>
                <mc:Choice Requires="wps">
                  <w:drawing>
                    <wp:anchor distT="0" distB="0" distL="114300" distR="114300" simplePos="0" relativeHeight="251668480" behindDoc="0" locked="0" layoutInCell="1" allowOverlap="1">
                      <wp:simplePos x="0" y="0"/>
                      <wp:positionH relativeFrom="page">
                        <wp:posOffset>-69850</wp:posOffset>
                      </wp:positionH>
                      <wp:positionV relativeFrom="page">
                        <wp:posOffset>262255</wp:posOffset>
                      </wp:positionV>
                      <wp:extent cx="57150" cy="38100"/>
                      <wp:effectExtent l="0" t="0" r="0" b="0"/>
                      <wp:wrapNone/>
                      <wp:docPr id="50" name="任意多边形 50"/>
                      <wp:cNvGraphicFramePr/>
                      <a:graphic xmlns:a="http://schemas.openxmlformats.org/drawingml/2006/main">
                        <a:graphicData uri="http://schemas.microsoft.com/office/word/2010/wordprocessingShape">
                          <wps:wsp>
                            <wps:cNvSpPr/>
                            <wps:spPr>
                              <a:xfrm>
                                <a:off x="0" y="0"/>
                                <a:ext cx="57150" cy="38100"/>
                              </a:xfrm>
                              <a:custGeom>
                                <a:avLst/>
                                <a:gdLst/>
                                <a:ahLst/>
                                <a:cxnLst/>
                                <a:rect l="0" t="0" r="0" b="0"/>
                                <a:pathLst>
                                  <a:path w="90" h="60">
                                    <a:moveTo>
                                      <a:pt x="0" y="60"/>
                                    </a:moveTo>
                                    <a:lnTo>
                                      <a:pt x="89" y="60"/>
                                    </a:lnTo>
                                    <a:lnTo>
                                      <a:pt x="89" y="0"/>
                                    </a:lnTo>
                                    <a:lnTo>
                                      <a:pt x="0" y="0"/>
                                    </a:lnTo>
                                    <a:lnTo>
                                      <a:pt x="0" y="6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5pt;margin-top:20.65pt;height:3pt;width:4.5pt;mso-position-horizontal-relative:page;mso-position-vertical-relative:page;z-index:251668480;mso-width-relative:page;mso-height-relative:page;" fillcolor="#000000" filled="t" stroked="f" coordsize="90,60" o:gfxdata="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liMQl0wAAAAgBAAAPAAAA&#10;AAAAAAEAIAAAACIAAABkcnMvZG93bnJldi54bWxQSwECFAAUAAAACACHTuJAEOljrBoCAACYBAAA&#10;DgAAAAAAAAABACAAAAAiAQAAZHJzL2Uyb0RvYy54bWxQSwUGAAAAAAYABgBZAQAArgUAAAAA&#10;" path="m0,60l89,60,89,0,0,0,0,60xe">
                      <v:fill on="t" focussize="0,0"/>
                      <v:stroke on="f"/>
                      <v:imagedata o:title=""/>
                      <o:lock v:ext="edit" aspectratio="f"/>
                    </v:shape>
                  </w:pict>
                </mc:Fallback>
              </mc:AlternateContent>
            </w:r>
          </w:p>
        </w:tc>
        <w:tc>
          <w:tcPr>
            <w:tcW w:w="499" w:type="dxa"/>
            <w:tcBorders>
              <w:bottom w:val="single" w:color="000000" w:sz="4" w:space="0"/>
            </w:tcBorders>
          </w:tcPr>
          <w:p w14:paraId="71560A55"/>
        </w:tc>
        <w:tc>
          <w:tcPr>
            <w:tcW w:w="501" w:type="dxa"/>
          </w:tcPr>
          <w:p w14:paraId="0CD75C03"/>
        </w:tc>
        <w:tc>
          <w:tcPr>
            <w:tcW w:w="501" w:type="dxa"/>
          </w:tcPr>
          <w:p w14:paraId="3CF19FC1"/>
        </w:tc>
        <w:tc>
          <w:tcPr>
            <w:tcW w:w="501" w:type="dxa"/>
          </w:tcPr>
          <w:p w14:paraId="1C8A7F97"/>
        </w:tc>
        <w:tc>
          <w:tcPr>
            <w:tcW w:w="499" w:type="dxa"/>
          </w:tcPr>
          <w:p w14:paraId="084D7A7B"/>
        </w:tc>
        <w:tc>
          <w:tcPr>
            <w:tcW w:w="502" w:type="dxa"/>
          </w:tcPr>
          <w:p w14:paraId="1F60841F"/>
        </w:tc>
        <w:tc>
          <w:tcPr>
            <w:tcW w:w="516" w:type="dxa"/>
          </w:tcPr>
          <w:p w14:paraId="54B95F05"/>
        </w:tc>
      </w:tr>
      <w:tr w14:paraId="7056A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8" w:hRule="atLeast"/>
        </w:trPr>
        <w:tc>
          <w:tcPr>
            <w:tcW w:w="775" w:type="dxa"/>
            <w:vMerge w:val="continue"/>
            <w:tcBorders>
              <w:top w:val="nil"/>
            </w:tcBorders>
          </w:tcPr>
          <w:p w14:paraId="36194397"/>
        </w:tc>
        <w:tc>
          <w:tcPr>
            <w:tcW w:w="2664" w:type="dxa"/>
            <w:vMerge w:val="continue"/>
            <w:tcBorders>
              <w:top w:val="nil"/>
            </w:tcBorders>
          </w:tcPr>
          <w:p w14:paraId="0242D4C5"/>
        </w:tc>
        <w:tc>
          <w:tcPr>
            <w:tcW w:w="523" w:type="dxa"/>
            <w:vMerge w:val="continue"/>
            <w:tcBorders>
              <w:top w:val="nil"/>
            </w:tcBorders>
          </w:tcPr>
          <w:p w14:paraId="58E94608"/>
        </w:tc>
        <w:tc>
          <w:tcPr>
            <w:tcW w:w="499" w:type="dxa"/>
          </w:tcPr>
          <w:p w14:paraId="08309128"/>
        </w:tc>
        <w:tc>
          <w:tcPr>
            <w:tcW w:w="475" w:type="dxa"/>
          </w:tcPr>
          <w:p w14:paraId="4A3D5365"/>
        </w:tc>
        <w:tc>
          <w:tcPr>
            <w:tcW w:w="478" w:type="dxa"/>
          </w:tcPr>
          <w:p w14:paraId="2DB51572"/>
        </w:tc>
        <w:tc>
          <w:tcPr>
            <w:tcW w:w="475" w:type="dxa"/>
          </w:tcPr>
          <w:p w14:paraId="17048265"/>
        </w:tc>
        <w:tc>
          <w:tcPr>
            <w:tcW w:w="478" w:type="dxa"/>
            <w:tcBorders>
              <w:top w:val="single" w:color="000000" w:sz="10" w:space="0"/>
              <w:bottom w:val="single" w:color="000000" w:sz="4" w:space="0"/>
            </w:tcBorders>
          </w:tcPr>
          <w:p w14:paraId="230B1736"/>
        </w:tc>
        <w:tc>
          <w:tcPr>
            <w:tcW w:w="478" w:type="dxa"/>
            <w:tcBorders>
              <w:top w:val="single" w:color="000000" w:sz="4" w:space="0"/>
              <w:bottom w:val="single" w:color="000000" w:sz="4" w:space="0"/>
            </w:tcBorders>
          </w:tcPr>
          <w:p w14:paraId="7B864722"/>
        </w:tc>
        <w:tc>
          <w:tcPr>
            <w:tcW w:w="499" w:type="dxa"/>
            <w:tcBorders>
              <w:top w:val="single" w:color="000000" w:sz="4" w:space="0"/>
              <w:bottom w:val="single" w:color="000000" w:sz="4" w:space="0"/>
            </w:tcBorders>
          </w:tcPr>
          <w:p w14:paraId="6963DF5B"/>
        </w:tc>
        <w:tc>
          <w:tcPr>
            <w:tcW w:w="497" w:type="dxa"/>
            <w:tcBorders>
              <w:top w:val="single" w:color="000000" w:sz="4" w:space="0"/>
            </w:tcBorders>
          </w:tcPr>
          <w:p w14:paraId="377C9793"/>
        </w:tc>
        <w:tc>
          <w:tcPr>
            <w:tcW w:w="499" w:type="dxa"/>
            <w:tcBorders>
              <w:top w:val="single" w:color="000000" w:sz="4" w:space="0"/>
            </w:tcBorders>
          </w:tcPr>
          <w:p w14:paraId="41CFC35C"/>
        </w:tc>
        <w:tc>
          <w:tcPr>
            <w:tcW w:w="501" w:type="dxa"/>
            <w:tcBorders>
              <w:top w:val="single" w:color="000000" w:sz="4" w:space="0"/>
              <w:bottom w:val="single" w:color="000000" w:sz="4" w:space="0"/>
            </w:tcBorders>
          </w:tcPr>
          <w:p w14:paraId="5A867BE8"/>
        </w:tc>
        <w:tc>
          <w:tcPr>
            <w:tcW w:w="496" w:type="dxa"/>
            <w:tcBorders>
              <w:top w:val="single" w:color="000000" w:sz="4" w:space="0"/>
              <w:bottom w:val="single" w:color="000000" w:sz="4" w:space="0"/>
            </w:tcBorders>
          </w:tcPr>
          <w:p w14:paraId="744C6B2A"/>
        </w:tc>
        <w:tc>
          <w:tcPr>
            <w:tcW w:w="458" w:type="dxa"/>
            <w:tcBorders>
              <w:top w:val="single" w:color="000000" w:sz="4" w:space="0"/>
              <w:bottom w:val="single" w:color="000000" w:sz="4" w:space="0"/>
            </w:tcBorders>
          </w:tcPr>
          <w:p w14:paraId="32B81C13"/>
        </w:tc>
        <w:tc>
          <w:tcPr>
            <w:tcW w:w="478" w:type="dxa"/>
            <w:tcBorders>
              <w:top w:val="single" w:color="000000" w:sz="4" w:space="0"/>
              <w:bottom w:val="single" w:color="000000" w:sz="4" w:space="0"/>
            </w:tcBorders>
          </w:tcPr>
          <w:p w14:paraId="5C19DB71"/>
        </w:tc>
        <w:tc>
          <w:tcPr>
            <w:tcW w:w="499" w:type="dxa"/>
            <w:tcBorders>
              <w:top w:val="single" w:color="000000" w:sz="4" w:space="0"/>
              <w:bottom w:val="single" w:color="000000" w:sz="4" w:space="0"/>
            </w:tcBorders>
          </w:tcPr>
          <w:p w14:paraId="67047662"/>
        </w:tc>
        <w:tc>
          <w:tcPr>
            <w:tcW w:w="501" w:type="dxa"/>
            <w:tcBorders>
              <w:bottom w:val="single" w:color="000000" w:sz="4" w:space="0"/>
            </w:tcBorders>
          </w:tcPr>
          <w:p w14:paraId="313E82DE"/>
        </w:tc>
        <w:tc>
          <w:tcPr>
            <w:tcW w:w="501" w:type="dxa"/>
            <w:tcBorders>
              <w:bottom w:val="single" w:color="000000" w:sz="4" w:space="0"/>
            </w:tcBorders>
          </w:tcPr>
          <w:p w14:paraId="462F3C64"/>
        </w:tc>
        <w:tc>
          <w:tcPr>
            <w:tcW w:w="501" w:type="dxa"/>
            <w:tcBorders>
              <w:bottom w:val="single" w:color="000000" w:sz="4" w:space="0"/>
            </w:tcBorders>
          </w:tcPr>
          <w:p w14:paraId="1D2C9595"/>
        </w:tc>
        <w:tc>
          <w:tcPr>
            <w:tcW w:w="499" w:type="dxa"/>
          </w:tcPr>
          <w:p w14:paraId="52733305"/>
        </w:tc>
        <w:tc>
          <w:tcPr>
            <w:tcW w:w="502" w:type="dxa"/>
          </w:tcPr>
          <w:p w14:paraId="28792202"/>
        </w:tc>
        <w:tc>
          <w:tcPr>
            <w:tcW w:w="516" w:type="dxa"/>
          </w:tcPr>
          <w:p w14:paraId="4A1A5C60"/>
        </w:tc>
      </w:tr>
      <w:tr w14:paraId="50A7B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7" w:hRule="atLeast"/>
        </w:trPr>
        <w:tc>
          <w:tcPr>
            <w:tcW w:w="775" w:type="dxa"/>
            <w:vMerge w:val="restart"/>
            <w:tcBorders>
              <w:bottom w:val="nil"/>
            </w:tcBorders>
          </w:tcPr>
          <w:p w14:paraId="47E3C288">
            <w:pPr>
              <w:spacing w:line="253" w:lineRule="auto"/>
            </w:pPr>
          </w:p>
          <w:p w14:paraId="07AAB4A6">
            <w:pPr>
              <w:spacing w:before="69" w:line="186" w:lineRule="auto"/>
              <w:ind w:left="339"/>
              <w:rPr>
                <w:sz w:val="24"/>
              </w:rPr>
            </w:pPr>
            <w:r>
              <w:rPr>
                <w:sz w:val="24"/>
              </w:rPr>
              <w:t>6</w:t>
            </w:r>
          </w:p>
        </w:tc>
        <w:tc>
          <w:tcPr>
            <w:tcW w:w="2664" w:type="dxa"/>
            <w:vMerge w:val="restart"/>
            <w:tcBorders>
              <w:bottom w:val="nil"/>
            </w:tcBorders>
          </w:tcPr>
          <w:p w14:paraId="3AE10498">
            <w:pPr>
              <w:pStyle w:val="10"/>
              <w:spacing w:before="164" w:line="231" w:lineRule="auto"/>
              <w:ind w:left="112" w:right="104"/>
              <w:rPr>
                <w:rFonts w:ascii="Arial" w:hAnsi="Arial" w:cs="Arial"/>
              </w:rPr>
            </w:pPr>
            <w:r>
              <w:rPr>
                <w:rFonts w:ascii="Arial" w:hAnsi="Arial" w:cs="Arial"/>
                <w:spacing w:val="-7"/>
              </w:rPr>
              <w:t>调试及试运行（至清水调试</w:t>
            </w:r>
            <w:r>
              <w:rPr>
                <w:rFonts w:ascii="Arial" w:hAnsi="Arial" w:cs="Arial"/>
                <w:spacing w:val="3"/>
              </w:rPr>
              <w:t xml:space="preserve"> </w:t>
            </w:r>
            <w:r>
              <w:rPr>
                <w:rFonts w:ascii="Arial" w:hAnsi="Arial" w:cs="Arial"/>
                <w:spacing w:val="-5"/>
              </w:rPr>
              <w:t>合格）</w:t>
            </w:r>
          </w:p>
        </w:tc>
        <w:tc>
          <w:tcPr>
            <w:tcW w:w="523" w:type="dxa"/>
            <w:vMerge w:val="restart"/>
            <w:tcBorders>
              <w:bottom w:val="nil"/>
            </w:tcBorders>
          </w:tcPr>
          <w:p w14:paraId="657A0F36"/>
        </w:tc>
        <w:tc>
          <w:tcPr>
            <w:tcW w:w="499" w:type="dxa"/>
          </w:tcPr>
          <w:p w14:paraId="16A67C36"/>
        </w:tc>
        <w:tc>
          <w:tcPr>
            <w:tcW w:w="475" w:type="dxa"/>
          </w:tcPr>
          <w:p w14:paraId="0BF7E52F"/>
        </w:tc>
        <w:tc>
          <w:tcPr>
            <w:tcW w:w="478" w:type="dxa"/>
          </w:tcPr>
          <w:p w14:paraId="401FED14"/>
        </w:tc>
        <w:tc>
          <w:tcPr>
            <w:tcW w:w="475" w:type="dxa"/>
          </w:tcPr>
          <w:p w14:paraId="23D6EA2A"/>
        </w:tc>
        <w:tc>
          <w:tcPr>
            <w:tcW w:w="478" w:type="dxa"/>
            <w:tcBorders>
              <w:top w:val="single" w:color="000000" w:sz="4" w:space="0"/>
            </w:tcBorders>
          </w:tcPr>
          <w:p w14:paraId="06E21531"/>
        </w:tc>
        <w:tc>
          <w:tcPr>
            <w:tcW w:w="478" w:type="dxa"/>
            <w:tcBorders>
              <w:top w:val="single" w:color="000000" w:sz="4" w:space="0"/>
            </w:tcBorders>
          </w:tcPr>
          <w:p w14:paraId="2A53BAAA"/>
        </w:tc>
        <w:tc>
          <w:tcPr>
            <w:tcW w:w="499" w:type="dxa"/>
            <w:tcBorders>
              <w:top w:val="single" w:color="000000" w:sz="4" w:space="0"/>
            </w:tcBorders>
          </w:tcPr>
          <w:p w14:paraId="692CD8A2"/>
        </w:tc>
        <w:tc>
          <w:tcPr>
            <w:tcW w:w="497" w:type="dxa"/>
          </w:tcPr>
          <w:p w14:paraId="787FA6A0"/>
        </w:tc>
        <w:tc>
          <w:tcPr>
            <w:tcW w:w="499" w:type="dxa"/>
          </w:tcPr>
          <w:p w14:paraId="542837EB"/>
        </w:tc>
        <w:tc>
          <w:tcPr>
            <w:tcW w:w="501" w:type="dxa"/>
            <w:tcBorders>
              <w:top w:val="single" w:color="000000" w:sz="4" w:space="0"/>
            </w:tcBorders>
          </w:tcPr>
          <w:p w14:paraId="25F60C83"/>
        </w:tc>
        <w:tc>
          <w:tcPr>
            <w:tcW w:w="496" w:type="dxa"/>
            <w:tcBorders>
              <w:top w:val="single" w:color="000000" w:sz="4" w:space="0"/>
            </w:tcBorders>
          </w:tcPr>
          <w:p w14:paraId="6B4AC4C5"/>
        </w:tc>
        <w:tc>
          <w:tcPr>
            <w:tcW w:w="458" w:type="dxa"/>
            <w:tcBorders>
              <w:top w:val="single" w:color="000000" w:sz="4" w:space="0"/>
            </w:tcBorders>
          </w:tcPr>
          <w:p w14:paraId="2E6BA8D6"/>
        </w:tc>
        <w:tc>
          <w:tcPr>
            <w:tcW w:w="478" w:type="dxa"/>
            <w:tcBorders>
              <w:top w:val="single" w:color="000000" w:sz="4" w:space="0"/>
            </w:tcBorders>
          </w:tcPr>
          <w:p w14:paraId="7338E98A"/>
        </w:tc>
        <w:tc>
          <w:tcPr>
            <w:tcW w:w="499" w:type="dxa"/>
            <w:tcBorders>
              <w:top w:val="single" w:color="000000" w:sz="4" w:space="0"/>
            </w:tcBorders>
          </w:tcPr>
          <w:p w14:paraId="69643E21"/>
        </w:tc>
        <w:tc>
          <w:tcPr>
            <w:tcW w:w="501" w:type="dxa"/>
            <w:vMerge w:val="restart"/>
            <w:tcBorders>
              <w:top w:val="single" w:color="000000" w:sz="4" w:space="0"/>
              <w:bottom w:val="nil"/>
            </w:tcBorders>
          </w:tcPr>
          <w:p w14:paraId="45B06083">
            <w:pPr>
              <w:spacing w:line="323" w:lineRule="auto"/>
            </w:pPr>
          </w:p>
          <w:p w14:paraId="1A736A58">
            <w:pPr>
              <w:spacing w:line="60" w:lineRule="exact"/>
              <w:ind w:firstLine="3"/>
            </w:pPr>
            <w:r>
              <w:rPr>
                <w:position w:val="-1"/>
              </w:rPr>
              <mc:AlternateContent>
                <mc:Choice Requires="wps">
                  <w:drawing>
                    <wp:inline distT="0" distB="0" distL="114300" distR="114300">
                      <wp:extent cx="312420" cy="38100"/>
                      <wp:effectExtent l="0" t="0" r="1905" b="0"/>
                      <wp:docPr id="46" name="任意多边形 46"/>
                      <wp:cNvGraphicFramePr/>
                      <a:graphic xmlns:a="http://schemas.openxmlformats.org/drawingml/2006/main">
                        <a:graphicData uri="http://schemas.microsoft.com/office/word/2010/wordprocessingShape">
                          <wps:wsp>
                            <wps:cNvSpPr/>
                            <wps:spPr>
                              <a:xfrm>
                                <a:off x="0" y="0"/>
                                <a:ext cx="312420" cy="38100"/>
                              </a:xfrm>
                              <a:custGeom>
                                <a:avLst/>
                                <a:gdLst/>
                                <a:ahLst/>
                                <a:cxnLst/>
                                <a:rect l="0" t="0" r="0" b="0"/>
                                <a:pathLst>
                                  <a:path w="492" h="60">
                                    <a:moveTo>
                                      <a:pt x="0" y="60"/>
                                    </a:moveTo>
                                    <a:lnTo>
                                      <a:pt x="491" y="60"/>
                                    </a:lnTo>
                                    <a:lnTo>
                                      <a:pt x="491"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4.6pt;" fillcolor="#000000" filled="t" stroked="f" coordsize="492,60" o:gfxdata="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g7BTLSAAAAAgEAAA8A&#10;AAAAAAAAAQAgAAAAIgAAAGRycy9kb3ducmV2LnhtbFBLAQIUABQAAAAIAIdO4kDRj6DsHQIAAJwE&#10;AAAOAAAAAAAAAAEAIAAAACEBAABkcnMvZTJvRG9jLnhtbFBLBQYAAAAABgAGAFkBAACwBQAAAAA=&#10;" path="m0,60l491,60,491,0,0,0,0,60xe">
                      <v:fill on="t" focussize="0,0"/>
                      <v:stroke on="f"/>
                      <v:imagedata o:title=""/>
                      <o:lock v:ext="edit" aspectratio="f"/>
                      <w10:wrap type="none"/>
                      <w10:anchorlock/>
                    </v:shape>
                  </w:pict>
                </mc:Fallback>
              </mc:AlternateContent>
            </w:r>
          </w:p>
        </w:tc>
        <w:tc>
          <w:tcPr>
            <w:tcW w:w="501" w:type="dxa"/>
            <w:vMerge w:val="restart"/>
            <w:tcBorders>
              <w:top w:val="single" w:color="000000" w:sz="4" w:space="0"/>
              <w:bottom w:val="nil"/>
            </w:tcBorders>
          </w:tcPr>
          <w:p w14:paraId="58C362E5"/>
        </w:tc>
        <w:tc>
          <w:tcPr>
            <w:tcW w:w="501" w:type="dxa"/>
            <w:vMerge w:val="restart"/>
            <w:tcBorders>
              <w:top w:val="single" w:color="000000" w:sz="4" w:space="0"/>
              <w:bottom w:val="nil"/>
            </w:tcBorders>
          </w:tcPr>
          <w:p w14:paraId="5AB5DC7B"/>
        </w:tc>
        <w:tc>
          <w:tcPr>
            <w:tcW w:w="499" w:type="dxa"/>
          </w:tcPr>
          <w:p w14:paraId="0DD84D1A"/>
        </w:tc>
        <w:tc>
          <w:tcPr>
            <w:tcW w:w="502" w:type="dxa"/>
          </w:tcPr>
          <w:p w14:paraId="3E129FEF"/>
        </w:tc>
        <w:tc>
          <w:tcPr>
            <w:tcW w:w="516" w:type="dxa"/>
          </w:tcPr>
          <w:p w14:paraId="6B8E6438"/>
        </w:tc>
      </w:tr>
      <w:tr w14:paraId="5B2CF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trPr>
        <w:tc>
          <w:tcPr>
            <w:tcW w:w="775" w:type="dxa"/>
            <w:vMerge w:val="continue"/>
            <w:tcBorders>
              <w:top w:val="nil"/>
              <w:bottom w:val="nil"/>
            </w:tcBorders>
          </w:tcPr>
          <w:p w14:paraId="4CCD0B20"/>
        </w:tc>
        <w:tc>
          <w:tcPr>
            <w:tcW w:w="2664" w:type="dxa"/>
            <w:vMerge w:val="continue"/>
            <w:tcBorders>
              <w:top w:val="nil"/>
              <w:bottom w:val="nil"/>
            </w:tcBorders>
          </w:tcPr>
          <w:p w14:paraId="7130B65F"/>
        </w:tc>
        <w:tc>
          <w:tcPr>
            <w:tcW w:w="523" w:type="dxa"/>
            <w:vMerge w:val="continue"/>
            <w:tcBorders>
              <w:top w:val="nil"/>
              <w:bottom w:val="nil"/>
            </w:tcBorders>
          </w:tcPr>
          <w:p w14:paraId="74D13BFE"/>
        </w:tc>
        <w:tc>
          <w:tcPr>
            <w:tcW w:w="499" w:type="dxa"/>
            <w:vMerge w:val="restart"/>
            <w:tcBorders>
              <w:bottom w:val="nil"/>
            </w:tcBorders>
          </w:tcPr>
          <w:p w14:paraId="19F76541"/>
        </w:tc>
        <w:tc>
          <w:tcPr>
            <w:tcW w:w="475" w:type="dxa"/>
            <w:vMerge w:val="restart"/>
            <w:tcBorders>
              <w:bottom w:val="nil"/>
            </w:tcBorders>
          </w:tcPr>
          <w:p w14:paraId="42F42A55"/>
        </w:tc>
        <w:tc>
          <w:tcPr>
            <w:tcW w:w="478" w:type="dxa"/>
            <w:vMerge w:val="restart"/>
            <w:tcBorders>
              <w:bottom w:val="nil"/>
            </w:tcBorders>
          </w:tcPr>
          <w:p w14:paraId="2C08CFCE"/>
        </w:tc>
        <w:tc>
          <w:tcPr>
            <w:tcW w:w="475" w:type="dxa"/>
            <w:vMerge w:val="restart"/>
            <w:tcBorders>
              <w:bottom w:val="nil"/>
            </w:tcBorders>
          </w:tcPr>
          <w:p w14:paraId="6918CBE7"/>
        </w:tc>
        <w:tc>
          <w:tcPr>
            <w:tcW w:w="478" w:type="dxa"/>
            <w:vMerge w:val="restart"/>
            <w:tcBorders>
              <w:bottom w:val="nil"/>
            </w:tcBorders>
          </w:tcPr>
          <w:p w14:paraId="7753545A"/>
        </w:tc>
        <w:tc>
          <w:tcPr>
            <w:tcW w:w="478" w:type="dxa"/>
            <w:vMerge w:val="restart"/>
            <w:tcBorders>
              <w:bottom w:val="nil"/>
            </w:tcBorders>
          </w:tcPr>
          <w:p w14:paraId="52D7EF10"/>
        </w:tc>
        <w:tc>
          <w:tcPr>
            <w:tcW w:w="499" w:type="dxa"/>
            <w:vMerge w:val="restart"/>
            <w:tcBorders>
              <w:bottom w:val="nil"/>
            </w:tcBorders>
          </w:tcPr>
          <w:p w14:paraId="40FB2815"/>
        </w:tc>
        <w:tc>
          <w:tcPr>
            <w:tcW w:w="497" w:type="dxa"/>
            <w:vMerge w:val="restart"/>
            <w:tcBorders>
              <w:bottom w:val="nil"/>
            </w:tcBorders>
          </w:tcPr>
          <w:p w14:paraId="7E3D7D59"/>
        </w:tc>
        <w:tc>
          <w:tcPr>
            <w:tcW w:w="499" w:type="dxa"/>
            <w:vMerge w:val="restart"/>
            <w:tcBorders>
              <w:bottom w:val="nil"/>
            </w:tcBorders>
          </w:tcPr>
          <w:p w14:paraId="17FEC9BA"/>
        </w:tc>
        <w:tc>
          <w:tcPr>
            <w:tcW w:w="501" w:type="dxa"/>
            <w:vMerge w:val="restart"/>
            <w:tcBorders>
              <w:bottom w:val="nil"/>
            </w:tcBorders>
          </w:tcPr>
          <w:p w14:paraId="248DAAEE"/>
        </w:tc>
        <w:tc>
          <w:tcPr>
            <w:tcW w:w="496" w:type="dxa"/>
            <w:vMerge w:val="restart"/>
            <w:tcBorders>
              <w:bottom w:val="nil"/>
            </w:tcBorders>
          </w:tcPr>
          <w:p w14:paraId="69E33570"/>
        </w:tc>
        <w:tc>
          <w:tcPr>
            <w:tcW w:w="458" w:type="dxa"/>
            <w:vMerge w:val="restart"/>
            <w:tcBorders>
              <w:bottom w:val="nil"/>
            </w:tcBorders>
          </w:tcPr>
          <w:p w14:paraId="4C8606BE"/>
        </w:tc>
        <w:tc>
          <w:tcPr>
            <w:tcW w:w="478" w:type="dxa"/>
            <w:vMerge w:val="restart"/>
            <w:tcBorders>
              <w:bottom w:val="nil"/>
            </w:tcBorders>
          </w:tcPr>
          <w:p w14:paraId="4CBD86EE"/>
        </w:tc>
        <w:tc>
          <w:tcPr>
            <w:tcW w:w="499" w:type="dxa"/>
            <w:vMerge w:val="restart"/>
            <w:tcBorders>
              <w:bottom w:val="nil"/>
            </w:tcBorders>
          </w:tcPr>
          <w:p w14:paraId="1DEE457C"/>
        </w:tc>
        <w:tc>
          <w:tcPr>
            <w:tcW w:w="501" w:type="dxa"/>
            <w:vMerge w:val="continue"/>
            <w:tcBorders>
              <w:top w:val="nil"/>
              <w:bottom w:val="single" w:color="000000" w:sz="10" w:space="0"/>
            </w:tcBorders>
          </w:tcPr>
          <w:p w14:paraId="58EC6489"/>
        </w:tc>
        <w:tc>
          <w:tcPr>
            <w:tcW w:w="501" w:type="dxa"/>
            <w:vMerge w:val="continue"/>
            <w:tcBorders>
              <w:top w:val="nil"/>
              <w:bottom w:val="nil"/>
            </w:tcBorders>
          </w:tcPr>
          <w:p w14:paraId="7FD9C856"/>
        </w:tc>
        <w:tc>
          <w:tcPr>
            <w:tcW w:w="501" w:type="dxa"/>
            <w:vMerge w:val="continue"/>
            <w:tcBorders>
              <w:top w:val="nil"/>
              <w:bottom w:val="nil"/>
            </w:tcBorders>
          </w:tcPr>
          <w:p w14:paraId="60E79303"/>
        </w:tc>
        <w:tc>
          <w:tcPr>
            <w:tcW w:w="499" w:type="dxa"/>
            <w:vMerge w:val="restart"/>
            <w:tcBorders>
              <w:bottom w:val="nil"/>
            </w:tcBorders>
          </w:tcPr>
          <w:p w14:paraId="2EFFB906"/>
        </w:tc>
        <w:tc>
          <w:tcPr>
            <w:tcW w:w="502" w:type="dxa"/>
            <w:vMerge w:val="restart"/>
            <w:tcBorders>
              <w:bottom w:val="nil"/>
            </w:tcBorders>
          </w:tcPr>
          <w:p w14:paraId="2369FA57"/>
        </w:tc>
        <w:tc>
          <w:tcPr>
            <w:tcW w:w="516" w:type="dxa"/>
            <w:vMerge w:val="restart"/>
            <w:tcBorders>
              <w:bottom w:val="nil"/>
            </w:tcBorders>
          </w:tcPr>
          <w:p w14:paraId="33B5A94F"/>
        </w:tc>
      </w:tr>
      <w:tr w14:paraId="59E0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22" w:hRule="atLeast"/>
        </w:trPr>
        <w:tc>
          <w:tcPr>
            <w:tcW w:w="775" w:type="dxa"/>
            <w:vMerge w:val="continue"/>
            <w:tcBorders>
              <w:top w:val="nil"/>
            </w:tcBorders>
          </w:tcPr>
          <w:p w14:paraId="67F42B18"/>
        </w:tc>
        <w:tc>
          <w:tcPr>
            <w:tcW w:w="2664" w:type="dxa"/>
            <w:vMerge w:val="continue"/>
            <w:tcBorders>
              <w:top w:val="nil"/>
            </w:tcBorders>
          </w:tcPr>
          <w:p w14:paraId="1D2615FB"/>
        </w:tc>
        <w:tc>
          <w:tcPr>
            <w:tcW w:w="523" w:type="dxa"/>
            <w:vMerge w:val="continue"/>
            <w:tcBorders>
              <w:top w:val="nil"/>
            </w:tcBorders>
          </w:tcPr>
          <w:p w14:paraId="592604FD"/>
        </w:tc>
        <w:tc>
          <w:tcPr>
            <w:tcW w:w="499" w:type="dxa"/>
            <w:vMerge w:val="continue"/>
            <w:tcBorders>
              <w:top w:val="nil"/>
            </w:tcBorders>
          </w:tcPr>
          <w:p w14:paraId="229A50B4"/>
        </w:tc>
        <w:tc>
          <w:tcPr>
            <w:tcW w:w="475" w:type="dxa"/>
            <w:vMerge w:val="continue"/>
            <w:tcBorders>
              <w:top w:val="nil"/>
            </w:tcBorders>
          </w:tcPr>
          <w:p w14:paraId="1516C75C"/>
        </w:tc>
        <w:tc>
          <w:tcPr>
            <w:tcW w:w="478" w:type="dxa"/>
            <w:vMerge w:val="continue"/>
            <w:tcBorders>
              <w:top w:val="nil"/>
            </w:tcBorders>
          </w:tcPr>
          <w:p w14:paraId="25EAD037"/>
        </w:tc>
        <w:tc>
          <w:tcPr>
            <w:tcW w:w="475" w:type="dxa"/>
            <w:vMerge w:val="continue"/>
            <w:tcBorders>
              <w:top w:val="nil"/>
            </w:tcBorders>
          </w:tcPr>
          <w:p w14:paraId="3C42A5DF"/>
        </w:tc>
        <w:tc>
          <w:tcPr>
            <w:tcW w:w="478" w:type="dxa"/>
            <w:vMerge w:val="continue"/>
            <w:tcBorders>
              <w:top w:val="nil"/>
            </w:tcBorders>
          </w:tcPr>
          <w:p w14:paraId="63E23852"/>
        </w:tc>
        <w:tc>
          <w:tcPr>
            <w:tcW w:w="478" w:type="dxa"/>
            <w:vMerge w:val="continue"/>
            <w:tcBorders>
              <w:top w:val="nil"/>
            </w:tcBorders>
          </w:tcPr>
          <w:p w14:paraId="78979999"/>
        </w:tc>
        <w:tc>
          <w:tcPr>
            <w:tcW w:w="499" w:type="dxa"/>
            <w:vMerge w:val="continue"/>
            <w:tcBorders>
              <w:top w:val="nil"/>
            </w:tcBorders>
          </w:tcPr>
          <w:p w14:paraId="6AEC6D6D"/>
        </w:tc>
        <w:tc>
          <w:tcPr>
            <w:tcW w:w="497" w:type="dxa"/>
            <w:vMerge w:val="continue"/>
            <w:tcBorders>
              <w:top w:val="nil"/>
            </w:tcBorders>
          </w:tcPr>
          <w:p w14:paraId="0B2EEFB4"/>
        </w:tc>
        <w:tc>
          <w:tcPr>
            <w:tcW w:w="499" w:type="dxa"/>
            <w:vMerge w:val="continue"/>
            <w:tcBorders>
              <w:top w:val="nil"/>
            </w:tcBorders>
          </w:tcPr>
          <w:p w14:paraId="22AE7EAB"/>
        </w:tc>
        <w:tc>
          <w:tcPr>
            <w:tcW w:w="501" w:type="dxa"/>
            <w:vMerge w:val="continue"/>
            <w:tcBorders>
              <w:top w:val="nil"/>
            </w:tcBorders>
          </w:tcPr>
          <w:p w14:paraId="1B3E3B64"/>
        </w:tc>
        <w:tc>
          <w:tcPr>
            <w:tcW w:w="496" w:type="dxa"/>
            <w:vMerge w:val="continue"/>
            <w:tcBorders>
              <w:top w:val="nil"/>
            </w:tcBorders>
          </w:tcPr>
          <w:p w14:paraId="3D7939EE"/>
        </w:tc>
        <w:tc>
          <w:tcPr>
            <w:tcW w:w="458" w:type="dxa"/>
            <w:vMerge w:val="continue"/>
            <w:tcBorders>
              <w:top w:val="nil"/>
            </w:tcBorders>
          </w:tcPr>
          <w:p w14:paraId="6EB027B0"/>
        </w:tc>
        <w:tc>
          <w:tcPr>
            <w:tcW w:w="478" w:type="dxa"/>
            <w:vMerge w:val="continue"/>
            <w:tcBorders>
              <w:top w:val="nil"/>
            </w:tcBorders>
          </w:tcPr>
          <w:p w14:paraId="76EF8F08"/>
        </w:tc>
        <w:tc>
          <w:tcPr>
            <w:tcW w:w="499" w:type="dxa"/>
            <w:vMerge w:val="continue"/>
            <w:tcBorders>
              <w:top w:val="nil"/>
            </w:tcBorders>
          </w:tcPr>
          <w:p w14:paraId="5F4F2F19"/>
        </w:tc>
        <w:tc>
          <w:tcPr>
            <w:tcW w:w="501" w:type="dxa"/>
            <w:tcBorders>
              <w:top w:val="single" w:color="000000" w:sz="10" w:space="0"/>
            </w:tcBorders>
          </w:tcPr>
          <w:p w14:paraId="7BCEC265"/>
        </w:tc>
        <w:tc>
          <w:tcPr>
            <w:tcW w:w="501" w:type="dxa"/>
            <w:vMerge w:val="continue"/>
            <w:tcBorders>
              <w:top w:val="nil"/>
            </w:tcBorders>
          </w:tcPr>
          <w:p w14:paraId="4604A79C"/>
        </w:tc>
        <w:tc>
          <w:tcPr>
            <w:tcW w:w="501" w:type="dxa"/>
            <w:vMerge w:val="continue"/>
            <w:tcBorders>
              <w:top w:val="nil"/>
            </w:tcBorders>
          </w:tcPr>
          <w:p w14:paraId="3B9EDC85"/>
        </w:tc>
        <w:tc>
          <w:tcPr>
            <w:tcW w:w="499" w:type="dxa"/>
            <w:vMerge w:val="continue"/>
            <w:tcBorders>
              <w:top w:val="nil"/>
            </w:tcBorders>
          </w:tcPr>
          <w:p w14:paraId="587EB3C8"/>
        </w:tc>
        <w:tc>
          <w:tcPr>
            <w:tcW w:w="502" w:type="dxa"/>
            <w:vMerge w:val="continue"/>
            <w:tcBorders>
              <w:top w:val="nil"/>
            </w:tcBorders>
          </w:tcPr>
          <w:p w14:paraId="0FC3D4DA"/>
        </w:tc>
        <w:tc>
          <w:tcPr>
            <w:tcW w:w="516" w:type="dxa"/>
            <w:vMerge w:val="continue"/>
            <w:tcBorders>
              <w:top w:val="nil"/>
            </w:tcBorders>
          </w:tcPr>
          <w:p w14:paraId="66C976D3"/>
        </w:tc>
      </w:tr>
      <w:tr w14:paraId="67EF54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1" w:hRule="atLeast"/>
        </w:trPr>
        <w:tc>
          <w:tcPr>
            <w:tcW w:w="775" w:type="dxa"/>
            <w:vMerge w:val="restart"/>
            <w:tcBorders>
              <w:bottom w:val="nil"/>
            </w:tcBorders>
          </w:tcPr>
          <w:p w14:paraId="121D4683">
            <w:pPr>
              <w:spacing w:line="242" w:lineRule="auto"/>
            </w:pPr>
          </w:p>
          <w:p w14:paraId="0826CF82">
            <w:pPr>
              <w:spacing w:before="69" w:line="183" w:lineRule="auto"/>
              <w:ind w:left="337"/>
              <w:rPr>
                <w:sz w:val="24"/>
              </w:rPr>
            </w:pPr>
            <w:r>
              <w:rPr>
                <w:sz w:val="24"/>
              </w:rPr>
              <w:t>7</w:t>
            </w:r>
          </w:p>
        </w:tc>
        <w:tc>
          <w:tcPr>
            <w:tcW w:w="2664" w:type="dxa"/>
            <w:vMerge w:val="restart"/>
            <w:tcBorders>
              <w:bottom w:val="nil"/>
            </w:tcBorders>
          </w:tcPr>
          <w:p w14:paraId="53F35F61">
            <w:pPr>
              <w:pStyle w:val="10"/>
              <w:spacing w:before="149" w:line="231" w:lineRule="auto"/>
              <w:ind w:left="115" w:right="105" w:hanging="2"/>
              <w:rPr>
                <w:rFonts w:ascii="Arial" w:hAnsi="Arial" w:cs="Arial"/>
              </w:rPr>
            </w:pPr>
            <w:r>
              <w:rPr>
                <w:rFonts w:ascii="Arial" w:hAnsi="Arial" w:cs="Arial"/>
                <w:spacing w:val="-7"/>
              </w:rPr>
              <w:t>污水试运行、</w:t>
            </w:r>
            <w:r>
              <w:rPr>
                <w:rFonts w:hint="eastAsia" w:ascii="Arial" w:hAnsi="Arial" w:cs="Arial"/>
                <w:spacing w:val="-7"/>
              </w:rPr>
              <w:t>稳定运行30天含</w:t>
            </w:r>
            <w:r>
              <w:rPr>
                <w:rFonts w:ascii="Arial" w:hAnsi="Arial" w:cs="Arial"/>
                <w:spacing w:val="-7"/>
              </w:rPr>
              <w:t>性能测试（</w:t>
            </w:r>
            <w:r>
              <w:rPr>
                <w:rFonts w:hint="eastAsia" w:ascii="Arial" w:hAnsi="Arial" w:cs="Arial"/>
                <w:spacing w:val="-7"/>
              </w:rPr>
              <w:t>7</w:t>
            </w:r>
            <w:r>
              <w:rPr>
                <w:rFonts w:ascii="Arial" w:hAnsi="Arial" w:cs="Arial"/>
                <w:spacing w:val="10"/>
              </w:rPr>
              <w:t xml:space="preserve"> </w:t>
            </w:r>
            <w:r>
              <w:rPr>
                <w:rFonts w:ascii="Arial" w:hAnsi="Arial" w:cs="Arial"/>
                <w:spacing w:val="-2"/>
              </w:rPr>
              <w:t>天）及验收</w:t>
            </w:r>
          </w:p>
        </w:tc>
        <w:tc>
          <w:tcPr>
            <w:tcW w:w="523" w:type="dxa"/>
            <w:vMerge w:val="restart"/>
            <w:tcBorders>
              <w:bottom w:val="nil"/>
            </w:tcBorders>
          </w:tcPr>
          <w:p w14:paraId="3A9EEC12"/>
        </w:tc>
        <w:tc>
          <w:tcPr>
            <w:tcW w:w="499" w:type="dxa"/>
            <w:vMerge w:val="restart"/>
            <w:tcBorders>
              <w:bottom w:val="nil"/>
            </w:tcBorders>
          </w:tcPr>
          <w:p w14:paraId="7DD35497"/>
        </w:tc>
        <w:tc>
          <w:tcPr>
            <w:tcW w:w="475" w:type="dxa"/>
            <w:vMerge w:val="restart"/>
            <w:tcBorders>
              <w:bottom w:val="nil"/>
            </w:tcBorders>
          </w:tcPr>
          <w:p w14:paraId="2F610DD5"/>
        </w:tc>
        <w:tc>
          <w:tcPr>
            <w:tcW w:w="478" w:type="dxa"/>
            <w:vMerge w:val="restart"/>
            <w:tcBorders>
              <w:bottom w:val="nil"/>
            </w:tcBorders>
          </w:tcPr>
          <w:p w14:paraId="395C6A4A"/>
        </w:tc>
        <w:tc>
          <w:tcPr>
            <w:tcW w:w="475" w:type="dxa"/>
            <w:vMerge w:val="restart"/>
            <w:tcBorders>
              <w:bottom w:val="nil"/>
            </w:tcBorders>
          </w:tcPr>
          <w:p w14:paraId="29665E6B"/>
        </w:tc>
        <w:tc>
          <w:tcPr>
            <w:tcW w:w="478" w:type="dxa"/>
            <w:vMerge w:val="restart"/>
            <w:tcBorders>
              <w:bottom w:val="nil"/>
            </w:tcBorders>
          </w:tcPr>
          <w:p w14:paraId="5740F7ED"/>
        </w:tc>
        <w:tc>
          <w:tcPr>
            <w:tcW w:w="478" w:type="dxa"/>
            <w:vMerge w:val="restart"/>
            <w:tcBorders>
              <w:bottom w:val="nil"/>
            </w:tcBorders>
          </w:tcPr>
          <w:p w14:paraId="72741CC1"/>
        </w:tc>
        <w:tc>
          <w:tcPr>
            <w:tcW w:w="499" w:type="dxa"/>
            <w:vMerge w:val="restart"/>
            <w:tcBorders>
              <w:bottom w:val="nil"/>
            </w:tcBorders>
          </w:tcPr>
          <w:p w14:paraId="6B801A43"/>
        </w:tc>
        <w:tc>
          <w:tcPr>
            <w:tcW w:w="497" w:type="dxa"/>
            <w:vMerge w:val="restart"/>
            <w:tcBorders>
              <w:bottom w:val="nil"/>
            </w:tcBorders>
          </w:tcPr>
          <w:p w14:paraId="2C7C69D0"/>
        </w:tc>
        <w:tc>
          <w:tcPr>
            <w:tcW w:w="499" w:type="dxa"/>
            <w:vMerge w:val="restart"/>
            <w:tcBorders>
              <w:bottom w:val="nil"/>
            </w:tcBorders>
          </w:tcPr>
          <w:p w14:paraId="3BF41293"/>
        </w:tc>
        <w:tc>
          <w:tcPr>
            <w:tcW w:w="501" w:type="dxa"/>
            <w:vMerge w:val="restart"/>
            <w:tcBorders>
              <w:bottom w:val="nil"/>
            </w:tcBorders>
          </w:tcPr>
          <w:p w14:paraId="1D796C38"/>
        </w:tc>
        <w:tc>
          <w:tcPr>
            <w:tcW w:w="496" w:type="dxa"/>
            <w:vMerge w:val="restart"/>
            <w:tcBorders>
              <w:bottom w:val="nil"/>
            </w:tcBorders>
          </w:tcPr>
          <w:p w14:paraId="56395983"/>
        </w:tc>
        <w:tc>
          <w:tcPr>
            <w:tcW w:w="458" w:type="dxa"/>
            <w:vMerge w:val="restart"/>
            <w:tcBorders>
              <w:bottom w:val="nil"/>
            </w:tcBorders>
          </w:tcPr>
          <w:p w14:paraId="712BE721"/>
        </w:tc>
        <w:tc>
          <w:tcPr>
            <w:tcW w:w="478" w:type="dxa"/>
            <w:vMerge w:val="restart"/>
            <w:tcBorders>
              <w:bottom w:val="nil"/>
            </w:tcBorders>
          </w:tcPr>
          <w:p w14:paraId="3C4ED673"/>
        </w:tc>
        <w:tc>
          <w:tcPr>
            <w:tcW w:w="499" w:type="dxa"/>
            <w:vMerge w:val="restart"/>
            <w:tcBorders>
              <w:bottom w:val="nil"/>
            </w:tcBorders>
          </w:tcPr>
          <w:p w14:paraId="3785BE30"/>
        </w:tc>
        <w:tc>
          <w:tcPr>
            <w:tcW w:w="501" w:type="dxa"/>
            <w:vMerge w:val="restart"/>
            <w:tcBorders>
              <w:bottom w:val="nil"/>
            </w:tcBorders>
          </w:tcPr>
          <w:p w14:paraId="20DE0B0F"/>
        </w:tc>
        <w:tc>
          <w:tcPr>
            <w:tcW w:w="501" w:type="dxa"/>
            <w:tcBorders>
              <w:bottom w:val="single" w:color="000000" w:sz="4" w:space="0"/>
            </w:tcBorders>
          </w:tcPr>
          <w:p w14:paraId="015B0D34">
            <w:pPr>
              <w:spacing w:line="323" w:lineRule="auto"/>
            </w:pPr>
          </w:p>
          <w:p w14:paraId="1D1633B3">
            <w:pPr>
              <w:spacing w:line="46" w:lineRule="exact"/>
              <w:ind w:firstLine="3"/>
            </w:pPr>
            <w:r>
              <w:rPr>
                <w:position w:val="-2"/>
              </w:rPr>
              <mc:AlternateContent>
                <mc:Choice Requires="wps">
                  <w:drawing>
                    <wp:inline distT="0" distB="0" distL="114300" distR="114300">
                      <wp:extent cx="312420" cy="38100"/>
                      <wp:effectExtent l="0" t="0" r="1905" b="0"/>
                      <wp:docPr id="95" name="任意多边形 95"/>
                      <wp:cNvGraphicFramePr/>
                      <a:graphic xmlns:a="http://schemas.openxmlformats.org/drawingml/2006/main">
                        <a:graphicData uri="http://schemas.microsoft.com/office/word/2010/wordprocessingShape">
                          <wps:wsp>
                            <wps:cNvSpPr/>
                            <wps:spPr>
                              <a:xfrm>
                                <a:off x="0" y="0"/>
                                <a:ext cx="312420" cy="38100"/>
                              </a:xfrm>
                              <a:custGeom>
                                <a:avLst/>
                                <a:gdLst/>
                                <a:ahLst/>
                                <a:cxnLst/>
                                <a:rect l="0" t="0" r="0" b="0"/>
                                <a:pathLst>
                                  <a:path w="492" h="60">
                                    <a:moveTo>
                                      <a:pt x="0" y="60"/>
                                    </a:moveTo>
                                    <a:lnTo>
                                      <a:pt x="491" y="60"/>
                                    </a:lnTo>
                                    <a:lnTo>
                                      <a:pt x="491"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4.6pt;" fillcolor="#000000" filled="t" stroked="f" coordsize="492,60" o:gfxdata="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DsFMtIAAAACAQAA&#10;DwAAAAAAAAABACAAAAAiAAAAZHJzL2Rvd25yZXYueG1sUEsBAhQAFAAAAAgAh07iQMW3HH4fAgAA&#10;nAQAAA4AAAAAAAAAAQAgAAAAIQEAAGRycy9lMm9Eb2MueG1sUEsFBgAAAAAGAAYAWQEAALIFAAAA&#10;AA==&#10;" path="m0,60l491,60,491,0,0,0,0,60xe">
                      <v:fill on="t" focussize="0,0"/>
                      <v:stroke on="f"/>
                      <v:imagedata o:title=""/>
                      <o:lock v:ext="edit" aspectratio="f"/>
                      <w10:wrap type="none"/>
                      <w10:anchorlock/>
                    </v:shape>
                  </w:pict>
                </mc:Fallback>
              </mc:AlternateContent>
            </w:r>
          </w:p>
        </w:tc>
        <w:tc>
          <w:tcPr>
            <w:tcW w:w="501" w:type="dxa"/>
            <w:tcBorders>
              <w:bottom w:val="single" w:color="000000" w:sz="4" w:space="0"/>
            </w:tcBorders>
          </w:tcPr>
          <w:p w14:paraId="77CA0928">
            <w:pPr>
              <w:spacing w:line="323" w:lineRule="auto"/>
            </w:pPr>
          </w:p>
          <w:p w14:paraId="1CCE328A">
            <w:pPr>
              <w:spacing w:line="46" w:lineRule="exact"/>
              <w:ind w:firstLine="83"/>
            </w:pPr>
            <w:r>
              <w:rPr>
                <w:position w:val="-2"/>
              </w:rPr>
              <mc:AlternateContent>
                <mc:Choice Requires="wps">
                  <w:drawing>
                    <wp:inline distT="0" distB="0" distL="114300" distR="114300">
                      <wp:extent cx="262255" cy="38100"/>
                      <wp:effectExtent l="0" t="0" r="4445" b="0"/>
                      <wp:docPr id="102" name="任意多边形 102"/>
                      <wp:cNvGraphicFramePr/>
                      <a:graphic xmlns:a="http://schemas.openxmlformats.org/drawingml/2006/main">
                        <a:graphicData uri="http://schemas.microsoft.com/office/word/2010/wordprocessingShape">
                          <wps:wsp>
                            <wps:cNvSpPr/>
                            <wps:spPr>
                              <a:xfrm>
                                <a:off x="0" y="0"/>
                                <a:ext cx="262255" cy="38100"/>
                              </a:xfrm>
                              <a:custGeom>
                                <a:avLst/>
                                <a:gdLst/>
                                <a:ahLst/>
                                <a:cxnLst/>
                                <a:rect l="0" t="0" r="0" b="0"/>
                                <a:pathLst>
                                  <a:path w="412" h="60">
                                    <a:moveTo>
                                      <a:pt x="0" y="60"/>
                                    </a:moveTo>
                                    <a:lnTo>
                                      <a:pt x="412" y="60"/>
                                    </a:lnTo>
                                    <a:lnTo>
                                      <a:pt x="412"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65pt;" fillcolor="#000000" filled="t" stroked="f" coordsize="412,60" o:gfxdata="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pqQrtIAAAACAQAADwAA&#10;AAAAAAABACAAAAAiAAAAZHJzL2Rvd25yZXYueG1sUEsBAhQAFAAAAAgAh07iQDuLZoscAgAAngQA&#10;AA4AAAAAAAAAAQAgAAAAIQEAAGRycy9lMm9Eb2MueG1sUEsFBgAAAAAGAAYAWQEAAK8FAAAAAA==&#10;" path="m0,60l412,60,412,0,0,0,0,60xe">
                      <v:fill on="t" focussize="0,0"/>
                      <v:stroke on="f"/>
                      <v:imagedata o:title=""/>
                      <o:lock v:ext="edit" aspectratio="f"/>
                      <w10:wrap type="none"/>
                      <w10:anchorlock/>
                    </v:shape>
                  </w:pict>
                </mc:Fallback>
              </mc:AlternateContent>
            </w:r>
          </w:p>
        </w:tc>
        <w:tc>
          <w:tcPr>
            <w:tcW w:w="499" w:type="dxa"/>
            <w:vMerge w:val="restart"/>
            <w:tcBorders>
              <w:bottom w:val="nil"/>
            </w:tcBorders>
          </w:tcPr>
          <w:p w14:paraId="2D75A2B0"/>
        </w:tc>
        <w:tc>
          <w:tcPr>
            <w:tcW w:w="502" w:type="dxa"/>
            <w:vMerge w:val="restart"/>
            <w:tcBorders>
              <w:bottom w:val="nil"/>
            </w:tcBorders>
          </w:tcPr>
          <w:p w14:paraId="14EF0984"/>
        </w:tc>
        <w:tc>
          <w:tcPr>
            <w:tcW w:w="516" w:type="dxa"/>
            <w:vMerge w:val="restart"/>
            <w:tcBorders>
              <w:bottom w:val="nil"/>
            </w:tcBorders>
          </w:tcPr>
          <w:p w14:paraId="314CBCAF"/>
        </w:tc>
      </w:tr>
      <w:tr w14:paraId="4D1B5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1" w:hRule="atLeast"/>
        </w:trPr>
        <w:tc>
          <w:tcPr>
            <w:tcW w:w="775" w:type="dxa"/>
            <w:vMerge w:val="continue"/>
            <w:tcBorders>
              <w:top w:val="nil"/>
            </w:tcBorders>
          </w:tcPr>
          <w:p w14:paraId="637A2AB5"/>
        </w:tc>
        <w:tc>
          <w:tcPr>
            <w:tcW w:w="2664" w:type="dxa"/>
            <w:vMerge w:val="continue"/>
            <w:tcBorders>
              <w:top w:val="nil"/>
            </w:tcBorders>
          </w:tcPr>
          <w:p w14:paraId="60C5439C"/>
        </w:tc>
        <w:tc>
          <w:tcPr>
            <w:tcW w:w="523" w:type="dxa"/>
            <w:vMerge w:val="continue"/>
            <w:tcBorders>
              <w:top w:val="nil"/>
            </w:tcBorders>
          </w:tcPr>
          <w:p w14:paraId="0ABF9A0E"/>
        </w:tc>
        <w:tc>
          <w:tcPr>
            <w:tcW w:w="499" w:type="dxa"/>
            <w:vMerge w:val="continue"/>
            <w:tcBorders>
              <w:top w:val="nil"/>
            </w:tcBorders>
          </w:tcPr>
          <w:p w14:paraId="7385D184"/>
        </w:tc>
        <w:tc>
          <w:tcPr>
            <w:tcW w:w="475" w:type="dxa"/>
            <w:vMerge w:val="continue"/>
            <w:tcBorders>
              <w:top w:val="nil"/>
            </w:tcBorders>
          </w:tcPr>
          <w:p w14:paraId="6FC3AB43"/>
        </w:tc>
        <w:tc>
          <w:tcPr>
            <w:tcW w:w="478" w:type="dxa"/>
            <w:vMerge w:val="continue"/>
            <w:tcBorders>
              <w:top w:val="nil"/>
            </w:tcBorders>
          </w:tcPr>
          <w:p w14:paraId="408E2259"/>
        </w:tc>
        <w:tc>
          <w:tcPr>
            <w:tcW w:w="475" w:type="dxa"/>
            <w:vMerge w:val="continue"/>
            <w:tcBorders>
              <w:top w:val="nil"/>
            </w:tcBorders>
          </w:tcPr>
          <w:p w14:paraId="27C897A9"/>
        </w:tc>
        <w:tc>
          <w:tcPr>
            <w:tcW w:w="478" w:type="dxa"/>
            <w:vMerge w:val="continue"/>
            <w:tcBorders>
              <w:top w:val="nil"/>
            </w:tcBorders>
          </w:tcPr>
          <w:p w14:paraId="556EF460"/>
        </w:tc>
        <w:tc>
          <w:tcPr>
            <w:tcW w:w="478" w:type="dxa"/>
            <w:vMerge w:val="continue"/>
            <w:tcBorders>
              <w:top w:val="nil"/>
            </w:tcBorders>
          </w:tcPr>
          <w:p w14:paraId="1CA1F9BE"/>
        </w:tc>
        <w:tc>
          <w:tcPr>
            <w:tcW w:w="499" w:type="dxa"/>
            <w:vMerge w:val="continue"/>
            <w:tcBorders>
              <w:top w:val="nil"/>
            </w:tcBorders>
          </w:tcPr>
          <w:p w14:paraId="0CF6B2F6"/>
        </w:tc>
        <w:tc>
          <w:tcPr>
            <w:tcW w:w="497" w:type="dxa"/>
            <w:vMerge w:val="continue"/>
            <w:tcBorders>
              <w:top w:val="nil"/>
            </w:tcBorders>
          </w:tcPr>
          <w:p w14:paraId="6F3C3F09"/>
        </w:tc>
        <w:tc>
          <w:tcPr>
            <w:tcW w:w="499" w:type="dxa"/>
            <w:vMerge w:val="continue"/>
            <w:tcBorders>
              <w:top w:val="nil"/>
            </w:tcBorders>
          </w:tcPr>
          <w:p w14:paraId="754B3AE5"/>
        </w:tc>
        <w:tc>
          <w:tcPr>
            <w:tcW w:w="501" w:type="dxa"/>
            <w:vMerge w:val="continue"/>
            <w:tcBorders>
              <w:top w:val="nil"/>
            </w:tcBorders>
          </w:tcPr>
          <w:p w14:paraId="621F627E"/>
        </w:tc>
        <w:tc>
          <w:tcPr>
            <w:tcW w:w="496" w:type="dxa"/>
            <w:vMerge w:val="continue"/>
            <w:tcBorders>
              <w:top w:val="nil"/>
            </w:tcBorders>
          </w:tcPr>
          <w:p w14:paraId="69126CFD"/>
        </w:tc>
        <w:tc>
          <w:tcPr>
            <w:tcW w:w="458" w:type="dxa"/>
            <w:vMerge w:val="continue"/>
            <w:tcBorders>
              <w:top w:val="nil"/>
            </w:tcBorders>
          </w:tcPr>
          <w:p w14:paraId="02EC115D"/>
        </w:tc>
        <w:tc>
          <w:tcPr>
            <w:tcW w:w="478" w:type="dxa"/>
            <w:vMerge w:val="continue"/>
            <w:tcBorders>
              <w:top w:val="nil"/>
            </w:tcBorders>
          </w:tcPr>
          <w:p w14:paraId="3562BC08"/>
        </w:tc>
        <w:tc>
          <w:tcPr>
            <w:tcW w:w="499" w:type="dxa"/>
            <w:vMerge w:val="continue"/>
            <w:tcBorders>
              <w:top w:val="nil"/>
            </w:tcBorders>
          </w:tcPr>
          <w:p w14:paraId="27D44EEF"/>
        </w:tc>
        <w:tc>
          <w:tcPr>
            <w:tcW w:w="501" w:type="dxa"/>
            <w:vMerge w:val="continue"/>
            <w:tcBorders>
              <w:top w:val="nil"/>
            </w:tcBorders>
          </w:tcPr>
          <w:p w14:paraId="16E4F102"/>
        </w:tc>
        <w:tc>
          <w:tcPr>
            <w:tcW w:w="501" w:type="dxa"/>
            <w:tcBorders>
              <w:top w:val="single" w:color="000000" w:sz="4" w:space="0"/>
            </w:tcBorders>
          </w:tcPr>
          <w:p w14:paraId="67FE8675"/>
        </w:tc>
        <w:tc>
          <w:tcPr>
            <w:tcW w:w="501" w:type="dxa"/>
            <w:tcBorders>
              <w:top w:val="single" w:color="000000" w:sz="4" w:space="0"/>
            </w:tcBorders>
          </w:tcPr>
          <w:p w14:paraId="2A792134"/>
        </w:tc>
        <w:tc>
          <w:tcPr>
            <w:tcW w:w="499" w:type="dxa"/>
            <w:vMerge w:val="continue"/>
            <w:tcBorders>
              <w:top w:val="nil"/>
            </w:tcBorders>
          </w:tcPr>
          <w:p w14:paraId="03FB948C"/>
        </w:tc>
        <w:tc>
          <w:tcPr>
            <w:tcW w:w="502" w:type="dxa"/>
            <w:vMerge w:val="continue"/>
            <w:tcBorders>
              <w:top w:val="nil"/>
            </w:tcBorders>
          </w:tcPr>
          <w:p w14:paraId="657E6B5D"/>
        </w:tc>
        <w:tc>
          <w:tcPr>
            <w:tcW w:w="516" w:type="dxa"/>
            <w:vMerge w:val="continue"/>
            <w:tcBorders>
              <w:top w:val="nil"/>
            </w:tcBorders>
          </w:tcPr>
          <w:p w14:paraId="3DE9CAF1"/>
        </w:tc>
      </w:tr>
      <w:tr w14:paraId="39FDD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9" w:hRule="atLeast"/>
        </w:trPr>
        <w:tc>
          <w:tcPr>
            <w:tcW w:w="775" w:type="dxa"/>
            <w:vMerge w:val="restart"/>
            <w:tcBorders>
              <w:bottom w:val="nil"/>
            </w:tcBorders>
          </w:tcPr>
          <w:p w14:paraId="2D21846D">
            <w:pPr>
              <w:spacing w:line="254" w:lineRule="auto"/>
            </w:pPr>
          </w:p>
          <w:p w14:paraId="79E20397">
            <w:pPr>
              <w:spacing w:before="69" w:line="186" w:lineRule="auto"/>
              <w:ind w:left="339"/>
              <w:rPr>
                <w:sz w:val="24"/>
              </w:rPr>
            </w:pPr>
            <w:r>
              <w:rPr>
                <w:sz w:val="24"/>
              </w:rPr>
              <w:t>6</w:t>
            </w:r>
          </w:p>
        </w:tc>
        <w:tc>
          <w:tcPr>
            <w:tcW w:w="2664" w:type="dxa"/>
            <w:vMerge w:val="restart"/>
            <w:tcBorders>
              <w:bottom w:val="nil"/>
            </w:tcBorders>
          </w:tcPr>
          <w:p w14:paraId="6EB0A852">
            <w:pPr>
              <w:pStyle w:val="10"/>
              <w:spacing w:before="304" w:line="221" w:lineRule="auto"/>
              <w:ind w:left="112"/>
              <w:rPr>
                <w:rFonts w:ascii="Arial" w:hAnsi="Arial" w:cs="Arial"/>
              </w:rPr>
            </w:pPr>
            <w:r>
              <w:rPr>
                <w:rFonts w:ascii="Arial" w:hAnsi="Arial" w:cs="Arial"/>
                <w:spacing w:val="-2"/>
              </w:rPr>
              <w:t>培训</w:t>
            </w:r>
          </w:p>
        </w:tc>
        <w:tc>
          <w:tcPr>
            <w:tcW w:w="523" w:type="dxa"/>
            <w:vMerge w:val="restart"/>
            <w:tcBorders>
              <w:bottom w:val="nil"/>
            </w:tcBorders>
          </w:tcPr>
          <w:p w14:paraId="0A36445C"/>
        </w:tc>
        <w:tc>
          <w:tcPr>
            <w:tcW w:w="499" w:type="dxa"/>
            <w:vMerge w:val="restart"/>
            <w:tcBorders>
              <w:bottom w:val="nil"/>
            </w:tcBorders>
          </w:tcPr>
          <w:p w14:paraId="5EE9268E"/>
        </w:tc>
        <w:tc>
          <w:tcPr>
            <w:tcW w:w="475" w:type="dxa"/>
            <w:vMerge w:val="restart"/>
            <w:tcBorders>
              <w:bottom w:val="nil"/>
            </w:tcBorders>
          </w:tcPr>
          <w:p w14:paraId="31790B13"/>
        </w:tc>
        <w:tc>
          <w:tcPr>
            <w:tcW w:w="478" w:type="dxa"/>
            <w:vMerge w:val="restart"/>
            <w:tcBorders>
              <w:bottom w:val="nil"/>
            </w:tcBorders>
          </w:tcPr>
          <w:p w14:paraId="0BAAAA8D"/>
        </w:tc>
        <w:tc>
          <w:tcPr>
            <w:tcW w:w="475" w:type="dxa"/>
            <w:vMerge w:val="restart"/>
            <w:tcBorders>
              <w:bottom w:val="nil"/>
            </w:tcBorders>
          </w:tcPr>
          <w:p w14:paraId="2D5DA41D"/>
        </w:tc>
        <w:tc>
          <w:tcPr>
            <w:tcW w:w="478" w:type="dxa"/>
            <w:vMerge w:val="restart"/>
            <w:tcBorders>
              <w:bottom w:val="nil"/>
            </w:tcBorders>
          </w:tcPr>
          <w:p w14:paraId="7C6DAB8C"/>
        </w:tc>
        <w:tc>
          <w:tcPr>
            <w:tcW w:w="478" w:type="dxa"/>
            <w:vMerge w:val="restart"/>
            <w:tcBorders>
              <w:bottom w:val="nil"/>
            </w:tcBorders>
          </w:tcPr>
          <w:p w14:paraId="165B10D9"/>
        </w:tc>
        <w:tc>
          <w:tcPr>
            <w:tcW w:w="499" w:type="dxa"/>
            <w:vMerge w:val="restart"/>
            <w:tcBorders>
              <w:bottom w:val="nil"/>
            </w:tcBorders>
          </w:tcPr>
          <w:p w14:paraId="3EA21964"/>
        </w:tc>
        <w:tc>
          <w:tcPr>
            <w:tcW w:w="497" w:type="dxa"/>
            <w:vMerge w:val="restart"/>
            <w:tcBorders>
              <w:bottom w:val="nil"/>
            </w:tcBorders>
          </w:tcPr>
          <w:p w14:paraId="6BB4F2E2"/>
        </w:tc>
        <w:tc>
          <w:tcPr>
            <w:tcW w:w="499" w:type="dxa"/>
            <w:vMerge w:val="restart"/>
            <w:tcBorders>
              <w:bottom w:val="nil"/>
            </w:tcBorders>
          </w:tcPr>
          <w:p w14:paraId="17D6B4FA"/>
        </w:tc>
        <w:tc>
          <w:tcPr>
            <w:tcW w:w="501" w:type="dxa"/>
            <w:vMerge w:val="restart"/>
            <w:tcBorders>
              <w:bottom w:val="nil"/>
            </w:tcBorders>
          </w:tcPr>
          <w:p w14:paraId="22E98B73"/>
        </w:tc>
        <w:tc>
          <w:tcPr>
            <w:tcW w:w="496" w:type="dxa"/>
            <w:vMerge w:val="restart"/>
            <w:tcBorders>
              <w:bottom w:val="nil"/>
            </w:tcBorders>
          </w:tcPr>
          <w:p w14:paraId="74979031"/>
        </w:tc>
        <w:tc>
          <w:tcPr>
            <w:tcW w:w="458" w:type="dxa"/>
            <w:tcBorders>
              <w:bottom w:val="single" w:color="000000" w:sz="10" w:space="0"/>
            </w:tcBorders>
          </w:tcPr>
          <w:p w14:paraId="7583AAB3">
            <w:pPr>
              <w:spacing w:line="324" w:lineRule="auto"/>
            </w:pPr>
          </w:p>
          <w:p w14:paraId="57387B74">
            <w:pPr>
              <w:spacing w:line="53" w:lineRule="exact"/>
              <w:ind w:firstLine="2"/>
            </w:pPr>
            <w:r>
              <w:rPr>
                <w:position w:val="-1"/>
              </w:rPr>
              <mc:AlternateContent>
                <mc:Choice Requires="wps">
                  <w:drawing>
                    <wp:inline distT="0" distB="0" distL="114300" distR="114300">
                      <wp:extent cx="285115" cy="38100"/>
                      <wp:effectExtent l="0" t="0" r="635" b="0"/>
                      <wp:docPr id="96" name="任意多边形 96"/>
                      <wp:cNvGraphicFramePr/>
                      <a:graphic xmlns:a="http://schemas.openxmlformats.org/drawingml/2006/main">
                        <a:graphicData uri="http://schemas.microsoft.com/office/word/2010/wordprocessingShape">
                          <wps:wsp>
                            <wps:cNvSpPr/>
                            <wps:spPr>
                              <a:xfrm>
                                <a:off x="0" y="0"/>
                                <a:ext cx="285115" cy="38100"/>
                              </a:xfrm>
                              <a:custGeom>
                                <a:avLst/>
                                <a:gdLst/>
                                <a:ahLst/>
                                <a:cxnLst/>
                                <a:rect l="0" t="0" r="0" b="0"/>
                                <a:pathLst>
                                  <a:path w="449" h="60">
                                    <a:moveTo>
                                      <a:pt x="0" y="60"/>
                                    </a:moveTo>
                                    <a:lnTo>
                                      <a:pt x="448" y="60"/>
                                    </a:lnTo>
                                    <a:lnTo>
                                      <a:pt x="448"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2.45pt;" fillcolor="#000000" filled="t" stroked="f" coordsize="449,60" o:gfxdata="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7FBGTSAAAAAgEA&#10;AA8AAAAAAAAAAQAgAAAAIgAAAGRycy9kb3ducmV2LnhtbFBLAQIUABQAAAAIAIdO4kDFG+KIIAIA&#10;AJwEAAAOAAAAAAAAAAEAIAAAACEBAABkcnMvZTJvRG9jLnhtbFBLBQYAAAAABgAGAFkBAACzBQAA&#10;AAA=&#10;" path="m0,60l448,60,448,0,0,0,0,60xe">
                      <v:fill on="t" focussize="0,0"/>
                      <v:stroke on="f"/>
                      <v:imagedata o:title=""/>
                      <o:lock v:ext="edit" aspectratio="f"/>
                      <w10:wrap type="none"/>
                      <w10:anchorlock/>
                    </v:shape>
                  </w:pict>
                </mc:Fallback>
              </mc:AlternateContent>
            </w:r>
          </w:p>
        </w:tc>
        <w:tc>
          <w:tcPr>
            <w:tcW w:w="478" w:type="dxa"/>
            <w:vMerge w:val="restart"/>
            <w:tcBorders>
              <w:bottom w:val="nil"/>
            </w:tcBorders>
          </w:tcPr>
          <w:p w14:paraId="2CE4F6AC">
            <w:pPr>
              <w:spacing w:line="324" w:lineRule="auto"/>
            </w:pPr>
          </w:p>
          <w:p w14:paraId="66D7DCAE">
            <w:pPr>
              <w:spacing w:line="118" w:lineRule="exact"/>
            </w:pPr>
            <w:r>
              <w:rPr>
                <w:position w:val="-2"/>
              </w:rPr>
              <mc:AlternateContent>
                <mc:Choice Requires="wps">
                  <w:drawing>
                    <wp:inline distT="0" distB="0" distL="114300" distR="114300">
                      <wp:extent cx="304165" cy="74930"/>
                      <wp:effectExtent l="0" t="0" r="635" b="1270"/>
                      <wp:docPr id="107" name="任意多边形 107"/>
                      <wp:cNvGraphicFramePr/>
                      <a:graphic xmlns:a="http://schemas.openxmlformats.org/drawingml/2006/main">
                        <a:graphicData uri="http://schemas.microsoft.com/office/word/2010/wordprocessingShape">
                          <wps:wsp>
                            <wps:cNvSpPr/>
                            <wps:spPr>
                              <a:xfrm>
                                <a:off x="0" y="0"/>
                                <a:ext cx="304165" cy="74930"/>
                              </a:xfrm>
                              <a:custGeom>
                                <a:avLst/>
                                <a:gdLst/>
                                <a:ahLst/>
                                <a:cxnLst/>
                                <a:rect l="0" t="0" r="0" b="0"/>
                                <a:pathLst>
                                  <a:path w="479" h="118">
                                    <a:moveTo>
                                      <a:pt x="0" y="60"/>
                                    </a:moveTo>
                                    <a:lnTo>
                                      <a:pt x="118" y="60"/>
                                    </a:lnTo>
                                    <a:lnTo>
                                      <a:pt x="118" y="0"/>
                                    </a:lnTo>
                                    <a:lnTo>
                                      <a:pt x="0" y="0"/>
                                    </a:lnTo>
                                    <a:lnTo>
                                      <a:pt x="0" y="60"/>
                                    </a:lnTo>
                                    <a:close/>
                                  </a:path>
                                  <a:path w="479" h="118">
                                    <a:moveTo>
                                      <a:pt x="0" y="117"/>
                                    </a:moveTo>
                                    <a:lnTo>
                                      <a:pt x="118" y="117"/>
                                    </a:lnTo>
                                    <a:lnTo>
                                      <a:pt x="118" y="88"/>
                                    </a:lnTo>
                                    <a:lnTo>
                                      <a:pt x="0" y="88"/>
                                    </a:lnTo>
                                    <a:lnTo>
                                      <a:pt x="0" y="117"/>
                                    </a:lnTo>
                                    <a:close/>
                                  </a:path>
                                  <a:path w="479" h="118">
                                    <a:moveTo>
                                      <a:pt x="118" y="60"/>
                                    </a:moveTo>
                                    <a:lnTo>
                                      <a:pt x="478" y="60"/>
                                    </a:lnTo>
                                    <a:lnTo>
                                      <a:pt x="478" y="0"/>
                                    </a:lnTo>
                                    <a:lnTo>
                                      <a:pt x="118" y="0"/>
                                    </a:lnTo>
                                    <a:lnTo>
                                      <a:pt x="118" y="60"/>
                                    </a:lnTo>
                                    <a:close/>
                                  </a:path>
                                  <a:path w="479" h="118">
                                    <a:moveTo>
                                      <a:pt x="118" y="117"/>
                                    </a:moveTo>
                                    <a:lnTo>
                                      <a:pt x="478" y="117"/>
                                    </a:lnTo>
                                    <a:lnTo>
                                      <a:pt x="478" y="88"/>
                                    </a:lnTo>
                                    <a:lnTo>
                                      <a:pt x="118" y="88"/>
                                    </a:lnTo>
                                    <a:lnTo>
                                      <a:pt x="118" y="117"/>
                                    </a:lnTo>
                                    <a:close/>
                                  </a:path>
                                </a:pathLst>
                              </a:custGeom>
                              <a:solidFill>
                                <a:srgbClr val="000000"/>
                              </a:solidFill>
                              <a:ln>
                                <a:noFill/>
                              </a:ln>
                            </wps:spPr>
                            <wps:bodyPr upright="1"/>
                          </wps:wsp>
                        </a:graphicData>
                      </a:graphic>
                    </wp:inline>
                  </w:drawing>
                </mc:Choice>
                <mc:Fallback>
                  <w:pict>
                    <v:shape id="_x0000_s1026" o:spid="_x0000_s1026" o:spt="100" style="height:5.9pt;width:23.95pt;" fillcolor="#000000" filled="t" stroked="f" coordsize="479,118" o:gfxdata="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A/VY3TAAAAAwEAAA8AAAAAAAAAAQAgAAAAIgAAAGRycy9kb3du&#10;cmV2LnhtbFBLAQIUABQAAAAIAIdO4kBTjXWSdgIAAHMHAAAOAAAAAAAAAAEAIAAAACIBAABkcnMv&#10;ZTJvRG9jLnhtbFBLBQYAAAAABgAGAFkBAAAKBgAAAAA=&#10;" path="m0,60l118,60,118,0,0,0,0,60xem0,117l118,117,118,88,0,88,0,117xem118,60l478,60,478,0,118,0,118,60xem118,117l478,117,478,88,118,88,118,117xe">
                      <v:fill on="t" focussize="0,0"/>
                      <v:stroke on="f"/>
                      <v:imagedata o:title=""/>
                      <o:lock v:ext="edit" aspectratio="f"/>
                      <w10:wrap type="none"/>
                      <w10:anchorlock/>
                    </v:shape>
                  </w:pict>
                </mc:Fallback>
              </mc:AlternateContent>
            </w:r>
          </w:p>
        </w:tc>
        <w:tc>
          <w:tcPr>
            <w:tcW w:w="499" w:type="dxa"/>
            <w:vMerge w:val="restart"/>
            <w:tcBorders>
              <w:bottom w:val="nil"/>
            </w:tcBorders>
          </w:tcPr>
          <w:p w14:paraId="0239E1E5">
            <w:pPr>
              <w:spacing w:line="324" w:lineRule="auto"/>
            </w:pPr>
          </w:p>
          <w:p w14:paraId="019BCA23">
            <w:pPr>
              <w:spacing w:line="118" w:lineRule="exact"/>
            </w:pPr>
            <w:r>
              <w:rPr>
                <w:position w:val="-2"/>
              </w:rPr>
              <mc:AlternateContent>
                <mc:Choice Requires="wps">
                  <w:drawing>
                    <wp:inline distT="0" distB="0" distL="114300" distR="114300">
                      <wp:extent cx="317500" cy="74930"/>
                      <wp:effectExtent l="0" t="0" r="6350" b="1270"/>
                      <wp:docPr id="108" name="任意多边形 108"/>
                      <wp:cNvGraphicFramePr/>
                      <a:graphic xmlns:a="http://schemas.openxmlformats.org/drawingml/2006/main">
                        <a:graphicData uri="http://schemas.microsoft.com/office/word/2010/wordprocessingShape">
                          <wps:wsp>
                            <wps:cNvSpPr/>
                            <wps:spPr>
                              <a:xfrm>
                                <a:off x="0" y="0"/>
                                <a:ext cx="317500" cy="74930"/>
                              </a:xfrm>
                              <a:custGeom>
                                <a:avLst/>
                                <a:gdLst/>
                                <a:ahLst/>
                                <a:cxnLst/>
                                <a:rect l="0" t="0" r="0" b="0"/>
                                <a:pathLst>
                                  <a:path w="500" h="118">
                                    <a:moveTo>
                                      <a:pt x="0" y="60"/>
                                    </a:moveTo>
                                    <a:lnTo>
                                      <a:pt x="117" y="60"/>
                                    </a:lnTo>
                                    <a:lnTo>
                                      <a:pt x="117" y="0"/>
                                    </a:lnTo>
                                    <a:lnTo>
                                      <a:pt x="0" y="0"/>
                                    </a:lnTo>
                                    <a:lnTo>
                                      <a:pt x="0" y="60"/>
                                    </a:lnTo>
                                    <a:close/>
                                  </a:path>
                                  <a:path w="500" h="118">
                                    <a:moveTo>
                                      <a:pt x="0" y="117"/>
                                    </a:moveTo>
                                    <a:lnTo>
                                      <a:pt x="117" y="117"/>
                                    </a:lnTo>
                                    <a:lnTo>
                                      <a:pt x="117" y="88"/>
                                    </a:lnTo>
                                    <a:lnTo>
                                      <a:pt x="0" y="88"/>
                                    </a:lnTo>
                                    <a:lnTo>
                                      <a:pt x="0" y="117"/>
                                    </a:lnTo>
                                    <a:close/>
                                  </a:path>
                                  <a:path w="500" h="118">
                                    <a:moveTo>
                                      <a:pt x="117" y="60"/>
                                    </a:moveTo>
                                    <a:lnTo>
                                      <a:pt x="499" y="60"/>
                                    </a:lnTo>
                                    <a:lnTo>
                                      <a:pt x="499" y="0"/>
                                    </a:lnTo>
                                    <a:lnTo>
                                      <a:pt x="117" y="0"/>
                                    </a:lnTo>
                                    <a:lnTo>
                                      <a:pt x="117" y="60"/>
                                    </a:lnTo>
                                    <a:close/>
                                  </a:path>
                                  <a:path w="500" h="118">
                                    <a:moveTo>
                                      <a:pt x="117" y="117"/>
                                    </a:moveTo>
                                    <a:lnTo>
                                      <a:pt x="499" y="117"/>
                                    </a:lnTo>
                                    <a:lnTo>
                                      <a:pt x="499" y="88"/>
                                    </a:lnTo>
                                    <a:lnTo>
                                      <a:pt x="117" y="88"/>
                                    </a:lnTo>
                                    <a:lnTo>
                                      <a:pt x="117" y="117"/>
                                    </a:lnTo>
                                    <a:close/>
                                  </a:path>
                                </a:pathLst>
                              </a:custGeom>
                              <a:solidFill>
                                <a:srgbClr val="000000"/>
                              </a:solidFill>
                              <a:ln>
                                <a:noFill/>
                              </a:ln>
                            </wps:spPr>
                            <wps:bodyPr upright="1"/>
                          </wps:wsp>
                        </a:graphicData>
                      </a:graphic>
                    </wp:inline>
                  </w:drawing>
                </mc:Choice>
                <mc:Fallback>
                  <w:pict>
                    <v:shape id="_x0000_s1026" o:spid="_x0000_s1026" o:spt="100" style="height:5.9pt;width:25pt;" fillcolor="#000000" filled="t" stroked="f" coordsize="500,118" o:gfxdata="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IDAavtEAAAADAQAADwAAAAAAAAABACAAAAAiAAAAZHJzL2Rvd25yZXYu&#10;eG1sUEsBAhQAFAAAAAgAh07iQOKST4l0AgAAcwcAAA4AAAAAAAAAAQAgAAAAIAEAAGRycy9lMm9E&#10;b2MueG1sUEsFBgAAAAAGAAYAWQEAAAYGAAAAAA==&#10;" path="m0,60l117,60,117,0,0,0,0,60xem0,117l117,117,117,88,0,88,0,117xem117,60l499,60,499,0,117,0,117,60xem117,117l499,117,499,88,117,88,117,117xe">
                      <v:fill on="t" focussize="0,0"/>
                      <v:stroke on="f"/>
                      <v:imagedata o:title=""/>
                      <o:lock v:ext="edit" aspectratio="f"/>
                      <w10:wrap type="none"/>
                      <w10:anchorlock/>
                    </v:shape>
                  </w:pict>
                </mc:Fallback>
              </mc:AlternateContent>
            </w:r>
          </w:p>
        </w:tc>
        <w:tc>
          <w:tcPr>
            <w:tcW w:w="501" w:type="dxa"/>
            <w:tcBorders>
              <w:bottom w:val="single" w:color="000000" w:sz="4" w:space="0"/>
            </w:tcBorders>
          </w:tcPr>
          <w:p w14:paraId="50A6602E">
            <w:pPr>
              <w:spacing w:line="324" w:lineRule="auto"/>
            </w:pPr>
          </w:p>
          <w:p w14:paraId="19C4AFC8">
            <w:pPr>
              <w:spacing w:line="53" w:lineRule="exact"/>
              <w:ind w:firstLine="3"/>
            </w:pPr>
            <w:r>
              <w:rPr>
                <w:position w:val="-1"/>
              </w:rPr>
              <mc:AlternateContent>
                <mc:Choice Requires="wps">
                  <w:drawing>
                    <wp:inline distT="0" distB="0" distL="114300" distR="114300">
                      <wp:extent cx="312420" cy="38100"/>
                      <wp:effectExtent l="0" t="0" r="1905" b="0"/>
                      <wp:docPr id="98" name="任意多边形 98"/>
                      <wp:cNvGraphicFramePr/>
                      <a:graphic xmlns:a="http://schemas.openxmlformats.org/drawingml/2006/main">
                        <a:graphicData uri="http://schemas.microsoft.com/office/word/2010/wordprocessingShape">
                          <wps:wsp>
                            <wps:cNvSpPr/>
                            <wps:spPr>
                              <a:xfrm>
                                <a:off x="0" y="0"/>
                                <a:ext cx="312420" cy="38100"/>
                              </a:xfrm>
                              <a:custGeom>
                                <a:avLst/>
                                <a:gdLst/>
                                <a:ahLst/>
                                <a:cxnLst/>
                                <a:rect l="0" t="0" r="0" b="0"/>
                                <a:pathLst>
                                  <a:path w="492" h="60">
                                    <a:moveTo>
                                      <a:pt x="0" y="60"/>
                                    </a:moveTo>
                                    <a:lnTo>
                                      <a:pt x="491" y="60"/>
                                    </a:lnTo>
                                    <a:lnTo>
                                      <a:pt x="491"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4.6pt;" fillcolor="#000000" filled="t" stroked="f" coordsize="492,60" o:gfxdata="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OwUy0gAAAAIBAAAP&#10;AAAAAAAAAAEAIAAAACIAAABkcnMvZG93bnJldi54bWxQSwECFAAUAAAACACHTuJA4Xomeh4CAACc&#10;BAAADgAAAAAAAAABACAAAAAhAQAAZHJzL2Uyb0RvYy54bWxQSwUGAAAAAAYABgBZAQAAsQUAAAAA&#10;" path="m0,60l491,60,491,0,0,0,0,60xe">
                      <v:fill on="t" focussize="0,0"/>
                      <v:stroke on="f"/>
                      <v:imagedata o:title=""/>
                      <o:lock v:ext="edit" aspectratio="f"/>
                      <w10:wrap type="none"/>
                      <w10:anchorlock/>
                    </v:shape>
                  </w:pict>
                </mc:Fallback>
              </mc:AlternateContent>
            </w:r>
          </w:p>
        </w:tc>
        <w:tc>
          <w:tcPr>
            <w:tcW w:w="501" w:type="dxa"/>
            <w:tcBorders>
              <w:bottom w:val="single" w:color="000000" w:sz="4" w:space="0"/>
            </w:tcBorders>
          </w:tcPr>
          <w:p w14:paraId="299841AE">
            <w:pPr>
              <w:spacing w:line="324" w:lineRule="auto"/>
            </w:pPr>
          </w:p>
          <w:p w14:paraId="511C88A0">
            <w:pPr>
              <w:spacing w:line="53" w:lineRule="exact"/>
              <w:ind w:firstLine="83"/>
            </w:pPr>
            <w:r>
              <w:rPr>
                <w:position w:val="-1"/>
              </w:rPr>
              <mc:AlternateContent>
                <mc:Choice Requires="wps">
                  <w:drawing>
                    <wp:inline distT="0" distB="0" distL="114300" distR="114300">
                      <wp:extent cx="262255" cy="38100"/>
                      <wp:effectExtent l="0" t="0" r="4445" b="0"/>
                      <wp:docPr id="99" name="任意多边形 99"/>
                      <wp:cNvGraphicFramePr/>
                      <a:graphic xmlns:a="http://schemas.openxmlformats.org/drawingml/2006/main">
                        <a:graphicData uri="http://schemas.microsoft.com/office/word/2010/wordprocessingShape">
                          <wps:wsp>
                            <wps:cNvSpPr/>
                            <wps:spPr>
                              <a:xfrm>
                                <a:off x="0" y="0"/>
                                <a:ext cx="262255" cy="38100"/>
                              </a:xfrm>
                              <a:custGeom>
                                <a:avLst/>
                                <a:gdLst/>
                                <a:ahLst/>
                                <a:cxnLst/>
                                <a:rect l="0" t="0" r="0" b="0"/>
                                <a:pathLst>
                                  <a:path w="412" h="60">
                                    <a:moveTo>
                                      <a:pt x="0" y="60"/>
                                    </a:moveTo>
                                    <a:lnTo>
                                      <a:pt x="412" y="60"/>
                                    </a:lnTo>
                                    <a:lnTo>
                                      <a:pt x="412"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65pt;" fillcolor="#000000" filled="t" stroked="f" coordsize="412,60" o:gfxdata="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pqQrtIAAAACAQAADwAA&#10;AAAAAAABACAAAAAiAAAAZHJzL2Rvd25yZXYueG1sUEsBAhQAFAAAAAgAh07iQANyq9AcAgAAnAQA&#10;AA4AAAAAAAAAAQAgAAAAIQEAAGRycy9lMm9Eb2MueG1sUEsFBgAAAAAGAAYAWQEAAK8FAAAAAA==&#10;" path="m0,60l412,60,412,0,0,0,0,60xe">
                      <v:fill on="t" focussize="0,0"/>
                      <v:stroke on="f"/>
                      <v:imagedata o:title=""/>
                      <o:lock v:ext="edit" aspectratio="f"/>
                      <w10:wrap type="none"/>
                      <w10:anchorlock/>
                    </v:shape>
                  </w:pict>
                </mc:Fallback>
              </mc:AlternateContent>
            </w:r>
          </w:p>
        </w:tc>
        <w:tc>
          <w:tcPr>
            <w:tcW w:w="501" w:type="dxa"/>
            <w:tcBorders>
              <w:bottom w:val="single" w:color="000000" w:sz="4" w:space="0"/>
            </w:tcBorders>
          </w:tcPr>
          <w:p w14:paraId="4EB248DA">
            <w:pPr>
              <w:spacing w:line="324" w:lineRule="auto"/>
            </w:pPr>
          </w:p>
          <w:p w14:paraId="28A1AE29">
            <w:pPr>
              <w:spacing w:line="53" w:lineRule="exact"/>
              <w:ind w:firstLine="83"/>
            </w:pPr>
            <w:r>
              <w:rPr>
                <w:position w:val="-1"/>
              </w:rPr>
              <mc:AlternateContent>
                <mc:Choice Requires="wps">
                  <w:drawing>
                    <wp:inline distT="0" distB="0" distL="114300" distR="114300">
                      <wp:extent cx="262255" cy="38100"/>
                      <wp:effectExtent l="0" t="0" r="4445" b="0"/>
                      <wp:docPr id="109" name="任意多边形 109"/>
                      <wp:cNvGraphicFramePr/>
                      <a:graphic xmlns:a="http://schemas.openxmlformats.org/drawingml/2006/main">
                        <a:graphicData uri="http://schemas.microsoft.com/office/word/2010/wordprocessingShape">
                          <wps:wsp>
                            <wps:cNvSpPr/>
                            <wps:spPr>
                              <a:xfrm>
                                <a:off x="0" y="0"/>
                                <a:ext cx="262255" cy="38100"/>
                              </a:xfrm>
                              <a:custGeom>
                                <a:avLst/>
                                <a:gdLst/>
                                <a:ahLst/>
                                <a:cxnLst/>
                                <a:rect l="0" t="0" r="0" b="0"/>
                                <a:pathLst>
                                  <a:path w="412" h="60">
                                    <a:moveTo>
                                      <a:pt x="0" y="60"/>
                                    </a:moveTo>
                                    <a:lnTo>
                                      <a:pt x="412" y="60"/>
                                    </a:lnTo>
                                    <a:lnTo>
                                      <a:pt x="412"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65pt;" fillcolor="#000000" filled="t" stroked="f" coordsize="412,60" o:gfxdata="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KakK7SAAAAAgEAAA8A&#10;AAAAAAAAAQAgAAAAIgAAAGRycy9kb3ducmV2LnhtbFBLAQIUABQAAAAIAIdO4kDIL4MJHQIAAJ4E&#10;AAAOAAAAAAAAAAEAIAAAACEBAABkcnMvZTJvRG9jLnhtbFBLBQYAAAAABgAGAFkBAACwBQAAAAA=&#10;" path="m0,60l412,60,412,0,0,0,0,60xe">
                      <v:fill on="t" focussize="0,0"/>
                      <v:stroke on="f"/>
                      <v:imagedata o:title=""/>
                      <o:lock v:ext="edit" aspectratio="f"/>
                      <w10:wrap type="none"/>
                      <w10:anchorlock/>
                    </v:shape>
                  </w:pict>
                </mc:Fallback>
              </mc:AlternateContent>
            </w:r>
          </w:p>
        </w:tc>
        <w:tc>
          <w:tcPr>
            <w:tcW w:w="499" w:type="dxa"/>
            <w:vMerge w:val="restart"/>
            <w:tcBorders>
              <w:bottom w:val="nil"/>
            </w:tcBorders>
          </w:tcPr>
          <w:p w14:paraId="5DA32200"/>
        </w:tc>
        <w:tc>
          <w:tcPr>
            <w:tcW w:w="502" w:type="dxa"/>
            <w:vMerge w:val="restart"/>
            <w:tcBorders>
              <w:bottom w:val="nil"/>
            </w:tcBorders>
          </w:tcPr>
          <w:p w14:paraId="565C424D"/>
        </w:tc>
        <w:tc>
          <w:tcPr>
            <w:tcW w:w="516" w:type="dxa"/>
            <w:vMerge w:val="restart"/>
            <w:tcBorders>
              <w:bottom w:val="nil"/>
            </w:tcBorders>
          </w:tcPr>
          <w:p w14:paraId="2C6857D2"/>
        </w:tc>
      </w:tr>
      <w:tr w14:paraId="37EE3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0" w:hRule="atLeast"/>
        </w:trPr>
        <w:tc>
          <w:tcPr>
            <w:tcW w:w="775" w:type="dxa"/>
            <w:vMerge w:val="continue"/>
            <w:tcBorders>
              <w:top w:val="nil"/>
            </w:tcBorders>
          </w:tcPr>
          <w:p w14:paraId="5937ADEF"/>
        </w:tc>
        <w:tc>
          <w:tcPr>
            <w:tcW w:w="2664" w:type="dxa"/>
            <w:vMerge w:val="continue"/>
            <w:tcBorders>
              <w:top w:val="nil"/>
            </w:tcBorders>
          </w:tcPr>
          <w:p w14:paraId="48188071"/>
        </w:tc>
        <w:tc>
          <w:tcPr>
            <w:tcW w:w="523" w:type="dxa"/>
            <w:vMerge w:val="continue"/>
            <w:tcBorders>
              <w:top w:val="nil"/>
            </w:tcBorders>
          </w:tcPr>
          <w:p w14:paraId="6F0447FD"/>
        </w:tc>
        <w:tc>
          <w:tcPr>
            <w:tcW w:w="499" w:type="dxa"/>
            <w:vMerge w:val="continue"/>
            <w:tcBorders>
              <w:top w:val="nil"/>
            </w:tcBorders>
          </w:tcPr>
          <w:p w14:paraId="124AA60E"/>
        </w:tc>
        <w:tc>
          <w:tcPr>
            <w:tcW w:w="475" w:type="dxa"/>
            <w:vMerge w:val="continue"/>
            <w:tcBorders>
              <w:top w:val="nil"/>
            </w:tcBorders>
          </w:tcPr>
          <w:p w14:paraId="54D1255A"/>
        </w:tc>
        <w:tc>
          <w:tcPr>
            <w:tcW w:w="478" w:type="dxa"/>
            <w:vMerge w:val="continue"/>
            <w:tcBorders>
              <w:top w:val="nil"/>
            </w:tcBorders>
          </w:tcPr>
          <w:p w14:paraId="7692C55C"/>
        </w:tc>
        <w:tc>
          <w:tcPr>
            <w:tcW w:w="475" w:type="dxa"/>
            <w:vMerge w:val="continue"/>
            <w:tcBorders>
              <w:top w:val="nil"/>
            </w:tcBorders>
          </w:tcPr>
          <w:p w14:paraId="77AA4830"/>
        </w:tc>
        <w:tc>
          <w:tcPr>
            <w:tcW w:w="478" w:type="dxa"/>
            <w:vMerge w:val="continue"/>
            <w:tcBorders>
              <w:top w:val="nil"/>
            </w:tcBorders>
          </w:tcPr>
          <w:p w14:paraId="5AA05DAF"/>
        </w:tc>
        <w:tc>
          <w:tcPr>
            <w:tcW w:w="478" w:type="dxa"/>
            <w:vMerge w:val="continue"/>
            <w:tcBorders>
              <w:top w:val="nil"/>
            </w:tcBorders>
          </w:tcPr>
          <w:p w14:paraId="5536F357"/>
        </w:tc>
        <w:tc>
          <w:tcPr>
            <w:tcW w:w="499" w:type="dxa"/>
            <w:vMerge w:val="continue"/>
            <w:tcBorders>
              <w:top w:val="nil"/>
            </w:tcBorders>
          </w:tcPr>
          <w:p w14:paraId="3822389B"/>
        </w:tc>
        <w:tc>
          <w:tcPr>
            <w:tcW w:w="497" w:type="dxa"/>
            <w:vMerge w:val="continue"/>
            <w:tcBorders>
              <w:top w:val="nil"/>
            </w:tcBorders>
          </w:tcPr>
          <w:p w14:paraId="13E270A5"/>
        </w:tc>
        <w:tc>
          <w:tcPr>
            <w:tcW w:w="499" w:type="dxa"/>
            <w:vMerge w:val="continue"/>
            <w:tcBorders>
              <w:top w:val="nil"/>
            </w:tcBorders>
          </w:tcPr>
          <w:p w14:paraId="710837B7"/>
        </w:tc>
        <w:tc>
          <w:tcPr>
            <w:tcW w:w="501" w:type="dxa"/>
            <w:vMerge w:val="continue"/>
            <w:tcBorders>
              <w:top w:val="nil"/>
            </w:tcBorders>
          </w:tcPr>
          <w:p w14:paraId="634E5626"/>
        </w:tc>
        <w:tc>
          <w:tcPr>
            <w:tcW w:w="496" w:type="dxa"/>
            <w:vMerge w:val="continue"/>
            <w:tcBorders>
              <w:top w:val="nil"/>
            </w:tcBorders>
          </w:tcPr>
          <w:p w14:paraId="4F4BD495"/>
        </w:tc>
        <w:tc>
          <w:tcPr>
            <w:tcW w:w="458" w:type="dxa"/>
            <w:tcBorders>
              <w:top w:val="single" w:color="000000" w:sz="10" w:space="0"/>
            </w:tcBorders>
          </w:tcPr>
          <w:p w14:paraId="2B273DBC"/>
        </w:tc>
        <w:tc>
          <w:tcPr>
            <w:tcW w:w="478" w:type="dxa"/>
            <w:vMerge w:val="continue"/>
            <w:tcBorders>
              <w:top w:val="nil"/>
            </w:tcBorders>
          </w:tcPr>
          <w:p w14:paraId="1B781477"/>
        </w:tc>
        <w:tc>
          <w:tcPr>
            <w:tcW w:w="499" w:type="dxa"/>
            <w:vMerge w:val="continue"/>
            <w:tcBorders>
              <w:top w:val="nil"/>
            </w:tcBorders>
          </w:tcPr>
          <w:p w14:paraId="68B5D16D"/>
        </w:tc>
        <w:tc>
          <w:tcPr>
            <w:tcW w:w="501" w:type="dxa"/>
            <w:tcBorders>
              <w:top w:val="single" w:color="000000" w:sz="4" w:space="0"/>
            </w:tcBorders>
          </w:tcPr>
          <w:p w14:paraId="22302548"/>
        </w:tc>
        <w:tc>
          <w:tcPr>
            <w:tcW w:w="501" w:type="dxa"/>
            <w:tcBorders>
              <w:top w:val="single" w:color="000000" w:sz="4" w:space="0"/>
            </w:tcBorders>
          </w:tcPr>
          <w:p w14:paraId="2C12F71A"/>
        </w:tc>
        <w:tc>
          <w:tcPr>
            <w:tcW w:w="501" w:type="dxa"/>
            <w:tcBorders>
              <w:top w:val="single" w:color="000000" w:sz="4" w:space="0"/>
            </w:tcBorders>
          </w:tcPr>
          <w:p w14:paraId="6E9E5FE8"/>
        </w:tc>
        <w:tc>
          <w:tcPr>
            <w:tcW w:w="499" w:type="dxa"/>
            <w:vMerge w:val="continue"/>
            <w:tcBorders>
              <w:top w:val="nil"/>
            </w:tcBorders>
          </w:tcPr>
          <w:p w14:paraId="4CD241B7"/>
        </w:tc>
        <w:tc>
          <w:tcPr>
            <w:tcW w:w="502" w:type="dxa"/>
            <w:vMerge w:val="continue"/>
            <w:tcBorders>
              <w:top w:val="nil"/>
            </w:tcBorders>
          </w:tcPr>
          <w:p w14:paraId="392FDBD4"/>
        </w:tc>
        <w:tc>
          <w:tcPr>
            <w:tcW w:w="516" w:type="dxa"/>
            <w:vMerge w:val="continue"/>
            <w:tcBorders>
              <w:top w:val="nil"/>
            </w:tcBorders>
          </w:tcPr>
          <w:p w14:paraId="7C111F64"/>
        </w:tc>
      </w:tr>
      <w:tr w14:paraId="7F03C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5" w:hRule="atLeast"/>
        </w:trPr>
        <w:tc>
          <w:tcPr>
            <w:tcW w:w="775" w:type="dxa"/>
            <w:vMerge w:val="restart"/>
            <w:tcBorders>
              <w:bottom w:val="nil"/>
            </w:tcBorders>
          </w:tcPr>
          <w:p w14:paraId="487B6800">
            <w:pPr>
              <w:spacing w:line="264" w:lineRule="auto"/>
            </w:pPr>
          </w:p>
          <w:p w14:paraId="4151A19D">
            <w:pPr>
              <w:spacing w:before="69" w:line="183" w:lineRule="auto"/>
              <w:ind w:left="337"/>
              <w:rPr>
                <w:sz w:val="24"/>
              </w:rPr>
            </w:pPr>
            <w:r>
              <w:rPr>
                <w:sz w:val="24"/>
              </w:rPr>
              <w:t>7</w:t>
            </w:r>
          </w:p>
        </w:tc>
        <w:tc>
          <w:tcPr>
            <w:tcW w:w="2664" w:type="dxa"/>
            <w:vMerge w:val="restart"/>
            <w:tcBorders>
              <w:bottom w:val="nil"/>
            </w:tcBorders>
          </w:tcPr>
          <w:p w14:paraId="73B1E72A"/>
          <w:p w14:paraId="0AFE1C04">
            <w:pPr>
              <w:pStyle w:val="10"/>
              <w:spacing w:before="69" w:line="221" w:lineRule="auto"/>
              <w:ind w:left="115"/>
              <w:rPr>
                <w:rFonts w:ascii="Arial" w:hAnsi="Arial" w:cs="Arial"/>
              </w:rPr>
            </w:pPr>
            <w:r>
              <w:rPr>
                <w:rFonts w:ascii="Arial" w:hAnsi="Arial" w:cs="Arial"/>
                <w:spacing w:val="-2"/>
              </w:rPr>
              <w:t>设备质保期</w:t>
            </w:r>
          </w:p>
        </w:tc>
        <w:tc>
          <w:tcPr>
            <w:tcW w:w="523" w:type="dxa"/>
            <w:vMerge w:val="restart"/>
            <w:tcBorders>
              <w:bottom w:val="nil"/>
            </w:tcBorders>
          </w:tcPr>
          <w:p w14:paraId="51856C57"/>
        </w:tc>
        <w:tc>
          <w:tcPr>
            <w:tcW w:w="499" w:type="dxa"/>
            <w:vMerge w:val="restart"/>
            <w:tcBorders>
              <w:bottom w:val="nil"/>
            </w:tcBorders>
          </w:tcPr>
          <w:p w14:paraId="069A29DD"/>
        </w:tc>
        <w:tc>
          <w:tcPr>
            <w:tcW w:w="475" w:type="dxa"/>
            <w:vMerge w:val="restart"/>
            <w:tcBorders>
              <w:bottom w:val="nil"/>
            </w:tcBorders>
          </w:tcPr>
          <w:p w14:paraId="6344B81C"/>
        </w:tc>
        <w:tc>
          <w:tcPr>
            <w:tcW w:w="478" w:type="dxa"/>
            <w:vMerge w:val="restart"/>
            <w:tcBorders>
              <w:bottom w:val="nil"/>
            </w:tcBorders>
          </w:tcPr>
          <w:p w14:paraId="5E57E62F"/>
        </w:tc>
        <w:tc>
          <w:tcPr>
            <w:tcW w:w="475" w:type="dxa"/>
            <w:vMerge w:val="restart"/>
            <w:tcBorders>
              <w:bottom w:val="nil"/>
            </w:tcBorders>
          </w:tcPr>
          <w:p w14:paraId="6D267502"/>
        </w:tc>
        <w:tc>
          <w:tcPr>
            <w:tcW w:w="478" w:type="dxa"/>
            <w:vMerge w:val="restart"/>
            <w:tcBorders>
              <w:bottom w:val="nil"/>
            </w:tcBorders>
          </w:tcPr>
          <w:p w14:paraId="7763C90E"/>
        </w:tc>
        <w:tc>
          <w:tcPr>
            <w:tcW w:w="478" w:type="dxa"/>
            <w:vMerge w:val="restart"/>
            <w:tcBorders>
              <w:bottom w:val="nil"/>
            </w:tcBorders>
          </w:tcPr>
          <w:p w14:paraId="4A251DB0"/>
        </w:tc>
        <w:tc>
          <w:tcPr>
            <w:tcW w:w="499" w:type="dxa"/>
            <w:vMerge w:val="restart"/>
            <w:tcBorders>
              <w:bottom w:val="nil"/>
            </w:tcBorders>
          </w:tcPr>
          <w:p w14:paraId="0CF0CFAB"/>
        </w:tc>
        <w:tc>
          <w:tcPr>
            <w:tcW w:w="497" w:type="dxa"/>
            <w:vMerge w:val="restart"/>
            <w:tcBorders>
              <w:bottom w:val="nil"/>
            </w:tcBorders>
          </w:tcPr>
          <w:p w14:paraId="0D5B87B9"/>
        </w:tc>
        <w:tc>
          <w:tcPr>
            <w:tcW w:w="499" w:type="dxa"/>
            <w:vMerge w:val="restart"/>
            <w:tcBorders>
              <w:bottom w:val="nil"/>
            </w:tcBorders>
          </w:tcPr>
          <w:p w14:paraId="0B728B51"/>
        </w:tc>
        <w:tc>
          <w:tcPr>
            <w:tcW w:w="501" w:type="dxa"/>
            <w:vMerge w:val="restart"/>
            <w:tcBorders>
              <w:bottom w:val="nil"/>
            </w:tcBorders>
          </w:tcPr>
          <w:p w14:paraId="4457645D"/>
        </w:tc>
        <w:tc>
          <w:tcPr>
            <w:tcW w:w="496" w:type="dxa"/>
            <w:vMerge w:val="restart"/>
            <w:tcBorders>
              <w:bottom w:val="nil"/>
            </w:tcBorders>
          </w:tcPr>
          <w:p w14:paraId="67B217A1"/>
        </w:tc>
        <w:tc>
          <w:tcPr>
            <w:tcW w:w="458" w:type="dxa"/>
            <w:vMerge w:val="restart"/>
            <w:tcBorders>
              <w:bottom w:val="nil"/>
            </w:tcBorders>
          </w:tcPr>
          <w:p w14:paraId="36415F25"/>
        </w:tc>
        <w:tc>
          <w:tcPr>
            <w:tcW w:w="478" w:type="dxa"/>
            <w:vMerge w:val="restart"/>
            <w:tcBorders>
              <w:bottom w:val="nil"/>
            </w:tcBorders>
          </w:tcPr>
          <w:p w14:paraId="04EBD840"/>
        </w:tc>
        <w:tc>
          <w:tcPr>
            <w:tcW w:w="499" w:type="dxa"/>
            <w:vMerge w:val="restart"/>
            <w:tcBorders>
              <w:bottom w:val="nil"/>
            </w:tcBorders>
          </w:tcPr>
          <w:p w14:paraId="66D3BF80"/>
        </w:tc>
        <w:tc>
          <w:tcPr>
            <w:tcW w:w="501" w:type="dxa"/>
            <w:vMerge w:val="restart"/>
            <w:tcBorders>
              <w:bottom w:val="nil"/>
            </w:tcBorders>
          </w:tcPr>
          <w:p w14:paraId="646690CD"/>
        </w:tc>
        <w:tc>
          <w:tcPr>
            <w:tcW w:w="501" w:type="dxa"/>
            <w:vMerge w:val="restart"/>
            <w:tcBorders>
              <w:bottom w:val="nil"/>
            </w:tcBorders>
          </w:tcPr>
          <w:p w14:paraId="4DCDF99D"/>
        </w:tc>
        <w:tc>
          <w:tcPr>
            <w:tcW w:w="501" w:type="dxa"/>
            <w:vMerge w:val="restart"/>
            <w:tcBorders>
              <w:bottom w:val="nil"/>
            </w:tcBorders>
          </w:tcPr>
          <w:p w14:paraId="71EDE083"/>
        </w:tc>
        <w:tc>
          <w:tcPr>
            <w:tcW w:w="499" w:type="dxa"/>
            <w:tcBorders>
              <w:bottom w:val="single" w:color="000000" w:sz="4" w:space="0"/>
            </w:tcBorders>
          </w:tcPr>
          <w:p w14:paraId="4DCAF1AF">
            <w:pPr>
              <w:spacing w:line="366" w:lineRule="auto"/>
            </w:pPr>
          </w:p>
          <w:p w14:paraId="7DA69638">
            <w:pPr>
              <w:spacing w:line="36" w:lineRule="exact"/>
              <w:ind w:firstLine="5"/>
            </w:pPr>
            <w:r>
              <w:rPr>
                <w:position w:val="-3"/>
              </w:rPr>
              <mc:AlternateContent>
                <mc:Choice Requires="wps">
                  <w:drawing>
                    <wp:inline distT="0" distB="0" distL="114300" distR="114300">
                      <wp:extent cx="311150" cy="38100"/>
                      <wp:effectExtent l="0" t="0" r="3175" b="0"/>
                      <wp:docPr id="100" name="任意多边形 100"/>
                      <wp:cNvGraphicFramePr/>
                      <a:graphic xmlns:a="http://schemas.openxmlformats.org/drawingml/2006/main">
                        <a:graphicData uri="http://schemas.microsoft.com/office/word/2010/wordprocessingShape">
                          <wps:wsp>
                            <wps:cNvSpPr/>
                            <wps:spPr>
                              <a:xfrm>
                                <a:off x="0" y="0"/>
                                <a:ext cx="311150" cy="38100"/>
                              </a:xfrm>
                              <a:custGeom>
                                <a:avLst/>
                                <a:gdLst/>
                                <a:ahLst/>
                                <a:cxnLst/>
                                <a:rect l="0" t="0" r="0" b="0"/>
                                <a:pathLst>
                                  <a:path w="490" h="60">
                                    <a:moveTo>
                                      <a:pt x="0" y="60"/>
                                    </a:moveTo>
                                    <a:lnTo>
                                      <a:pt x="489" y="60"/>
                                    </a:lnTo>
                                    <a:lnTo>
                                      <a:pt x="489"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4.5pt;" fillcolor="#000000" filled="t" stroked="f" coordsize="490,60" o:gfxdata="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IYHubTAAAAAgEAAA8A&#10;AAAAAAAAAQAgAAAAIgAAAGRycy9kb3ducmV2LnhtbFBLAQIUABQAAAAIAIdO4kAdw6nYHAIAAJ4E&#10;AAAOAAAAAAAAAAEAIAAAACIBAABkcnMvZTJvRG9jLnhtbFBLBQYAAAAABgAGAFkBAACwBQAAAAA=&#10;" path="m0,60l489,60,489,0,0,0,0,60xe">
                      <v:fill on="t" focussize="0,0"/>
                      <v:stroke on="f"/>
                      <v:imagedata o:title=""/>
                      <o:lock v:ext="edit" aspectratio="f"/>
                      <w10:wrap type="none"/>
                      <w10:anchorlock/>
                    </v:shape>
                  </w:pict>
                </mc:Fallback>
              </mc:AlternateContent>
            </w:r>
          </w:p>
        </w:tc>
        <w:tc>
          <w:tcPr>
            <w:tcW w:w="502" w:type="dxa"/>
            <w:tcBorders>
              <w:bottom w:val="single" w:color="000000" w:sz="4" w:space="0"/>
            </w:tcBorders>
          </w:tcPr>
          <w:p w14:paraId="7ADDE5C4">
            <w:pPr>
              <w:spacing w:line="366" w:lineRule="auto"/>
            </w:pPr>
          </w:p>
          <w:p w14:paraId="2DC4811F">
            <w:pPr>
              <w:spacing w:line="36" w:lineRule="exact"/>
              <w:ind w:firstLine="84"/>
            </w:pPr>
            <w:r>
              <w:rPr>
                <w:position w:val="-3"/>
              </w:rPr>
              <mc:AlternateContent>
                <mc:Choice Requires="wps">
                  <w:drawing>
                    <wp:inline distT="0" distB="0" distL="114300" distR="114300">
                      <wp:extent cx="262890" cy="38100"/>
                      <wp:effectExtent l="0" t="0" r="3810" b="0"/>
                      <wp:docPr id="106" name="任意多边形 106"/>
                      <wp:cNvGraphicFramePr/>
                      <a:graphic xmlns:a="http://schemas.openxmlformats.org/drawingml/2006/main">
                        <a:graphicData uri="http://schemas.microsoft.com/office/word/2010/wordprocessingShape">
                          <wps:wsp>
                            <wps:cNvSpPr/>
                            <wps:spPr>
                              <a:xfrm>
                                <a:off x="0" y="0"/>
                                <a:ext cx="262890" cy="38100"/>
                              </a:xfrm>
                              <a:custGeom>
                                <a:avLst/>
                                <a:gdLst/>
                                <a:ahLst/>
                                <a:cxnLst/>
                                <a:rect l="0" t="0" r="0" b="0"/>
                                <a:pathLst>
                                  <a:path w="414" h="60">
                                    <a:moveTo>
                                      <a:pt x="0" y="60"/>
                                    </a:moveTo>
                                    <a:lnTo>
                                      <a:pt x="413" y="60"/>
                                    </a:lnTo>
                                    <a:lnTo>
                                      <a:pt x="413"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7pt;" fillcolor="#000000" filled="t" stroked="f" coordsize="414,60" o:gfxdata="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iVA9IAAAACAQAA&#10;DwAAAAAAAAABACAAAAAiAAAAZHJzL2Rvd25yZXYueG1sUEsBAhQAFAAAAAgAh07iQOy+yesfAgAA&#10;ngQAAA4AAAAAAAAAAQAgAAAAIQEAAGRycy9lMm9Eb2MueG1sUEsFBgAAAAAGAAYAWQEAALIFAAAA&#10;AA==&#10;" path="m0,60l413,60,413,0,0,0,0,60xe">
                      <v:fill on="t" focussize="0,0"/>
                      <v:stroke on="f"/>
                      <v:imagedata o:title=""/>
                      <o:lock v:ext="edit" aspectratio="f"/>
                      <w10:wrap type="none"/>
                      <w10:anchorlock/>
                    </v:shape>
                  </w:pict>
                </mc:Fallback>
              </mc:AlternateContent>
            </w:r>
          </w:p>
        </w:tc>
        <w:tc>
          <w:tcPr>
            <w:tcW w:w="516" w:type="dxa"/>
            <w:tcBorders>
              <w:bottom w:val="single" w:color="000000" w:sz="4" w:space="0"/>
            </w:tcBorders>
          </w:tcPr>
          <w:p w14:paraId="669A51E9">
            <w:pPr>
              <w:spacing w:line="366" w:lineRule="auto"/>
            </w:pPr>
          </w:p>
          <w:p w14:paraId="494534B5">
            <w:pPr>
              <w:spacing w:line="36" w:lineRule="exact"/>
              <w:ind w:firstLine="84"/>
            </w:pPr>
            <w:r>
              <w:rPr>
                <w:position w:val="-3"/>
              </w:rPr>
              <mc:AlternateContent>
                <mc:Choice Requires="wps">
                  <w:drawing>
                    <wp:inline distT="0" distB="0" distL="114300" distR="114300">
                      <wp:extent cx="256540" cy="38100"/>
                      <wp:effectExtent l="0" t="0" r="635" b="0"/>
                      <wp:docPr id="110" name="任意多边形 110"/>
                      <wp:cNvGraphicFramePr/>
                      <a:graphic xmlns:a="http://schemas.openxmlformats.org/drawingml/2006/main">
                        <a:graphicData uri="http://schemas.microsoft.com/office/word/2010/wordprocessingShape">
                          <wps:wsp>
                            <wps:cNvSpPr/>
                            <wps:spPr>
                              <a:xfrm>
                                <a:off x="0" y="0"/>
                                <a:ext cx="256540" cy="38100"/>
                              </a:xfrm>
                              <a:custGeom>
                                <a:avLst/>
                                <a:gdLst/>
                                <a:ahLst/>
                                <a:cxnLst/>
                                <a:rect l="0" t="0" r="0" b="0"/>
                                <a:pathLst>
                                  <a:path w="404" h="60">
                                    <a:moveTo>
                                      <a:pt x="0" y="60"/>
                                    </a:moveTo>
                                    <a:lnTo>
                                      <a:pt x="403" y="60"/>
                                    </a:lnTo>
                                    <a:lnTo>
                                      <a:pt x="403" y="0"/>
                                    </a:lnTo>
                                    <a:lnTo>
                                      <a:pt x="0" y="0"/>
                                    </a:lnTo>
                                    <a:lnTo>
                                      <a:pt x="0" y="60"/>
                                    </a:lnTo>
                                    <a:close/>
                                  </a:path>
                                </a:pathLst>
                              </a:custGeom>
                              <a:solidFill>
                                <a:srgbClr val="000000"/>
                              </a:solidFill>
                              <a:ln>
                                <a:noFill/>
                              </a:ln>
                            </wps:spPr>
                            <wps:bodyPr upright="1"/>
                          </wps:wsp>
                        </a:graphicData>
                      </a:graphic>
                    </wp:inline>
                  </w:drawing>
                </mc:Choice>
                <mc:Fallback>
                  <w:pict>
                    <v:shape id="_x0000_s1026" o:spid="_x0000_s1026" o:spt="100" style="height:3pt;width:20.2pt;" fillcolor="#000000" filled="t" stroked="f" coordsize="404,60" o:gfxdata="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ag1a9AAAAACAQAADwAA&#10;AAAAAAABACAAAAAiAAAAZHJzL2Rvd25yZXYueG1sUEsBAhQAFAAAAAgAh07iQH6qTJIeAgAAngQA&#10;AA4AAAAAAAAAAQAgAAAAHwEAAGRycy9lMm9Eb2MueG1sUEsFBgAAAAAGAAYAWQEAAK8FAAAAAA==&#10;" path="m0,60l403,60,403,0,0,0,0,60xe">
                      <v:fill on="t" focussize="0,0"/>
                      <v:stroke on="f"/>
                      <v:imagedata o:title=""/>
                      <o:lock v:ext="edit" aspectratio="f"/>
                      <w10:wrap type="none"/>
                      <w10:anchorlock/>
                    </v:shape>
                  </w:pict>
                </mc:Fallback>
              </mc:AlternateContent>
            </w:r>
          </w:p>
        </w:tc>
      </w:tr>
      <w:tr w14:paraId="20C2F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3" w:hRule="atLeast"/>
        </w:trPr>
        <w:tc>
          <w:tcPr>
            <w:tcW w:w="775" w:type="dxa"/>
            <w:vMerge w:val="continue"/>
            <w:tcBorders>
              <w:top w:val="nil"/>
            </w:tcBorders>
          </w:tcPr>
          <w:p w14:paraId="5008BC88"/>
        </w:tc>
        <w:tc>
          <w:tcPr>
            <w:tcW w:w="2664" w:type="dxa"/>
            <w:vMerge w:val="continue"/>
            <w:tcBorders>
              <w:top w:val="nil"/>
            </w:tcBorders>
          </w:tcPr>
          <w:p w14:paraId="7A358BBD"/>
        </w:tc>
        <w:tc>
          <w:tcPr>
            <w:tcW w:w="523" w:type="dxa"/>
            <w:vMerge w:val="continue"/>
            <w:tcBorders>
              <w:top w:val="nil"/>
            </w:tcBorders>
          </w:tcPr>
          <w:p w14:paraId="733EC5CC"/>
        </w:tc>
        <w:tc>
          <w:tcPr>
            <w:tcW w:w="499" w:type="dxa"/>
            <w:vMerge w:val="continue"/>
            <w:tcBorders>
              <w:top w:val="nil"/>
            </w:tcBorders>
          </w:tcPr>
          <w:p w14:paraId="4A3711EE"/>
        </w:tc>
        <w:tc>
          <w:tcPr>
            <w:tcW w:w="475" w:type="dxa"/>
            <w:vMerge w:val="continue"/>
            <w:tcBorders>
              <w:top w:val="nil"/>
            </w:tcBorders>
          </w:tcPr>
          <w:p w14:paraId="3DB7A3D0"/>
        </w:tc>
        <w:tc>
          <w:tcPr>
            <w:tcW w:w="478" w:type="dxa"/>
            <w:vMerge w:val="continue"/>
            <w:tcBorders>
              <w:top w:val="nil"/>
            </w:tcBorders>
          </w:tcPr>
          <w:p w14:paraId="49143FEC"/>
        </w:tc>
        <w:tc>
          <w:tcPr>
            <w:tcW w:w="475" w:type="dxa"/>
            <w:vMerge w:val="continue"/>
            <w:tcBorders>
              <w:top w:val="nil"/>
            </w:tcBorders>
          </w:tcPr>
          <w:p w14:paraId="28E52703"/>
        </w:tc>
        <w:tc>
          <w:tcPr>
            <w:tcW w:w="478" w:type="dxa"/>
            <w:vMerge w:val="continue"/>
            <w:tcBorders>
              <w:top w:val="nil"/>
            </w:tcBorders>
          </w:tcPr>
          <w:p w14:paraId="7A16759A"/>
        </w:tc>
        <w:tc>
          <w:tcPr>
            <w:tcW w:w="478" w:type="dxa"/>
            <w:vMerge w:val="continue"/>
            <w:tcBorders>
              <w:top w:val="nil"/>
            </w:tcBorders>
          </w:tcPr>
          <w:p w14:paraId="4AAA9B24"/>
        </w:tc>
        <w:tc>
          <w:tcPr>
            <w:tcW w:w="499" w:type="dxa"/>
            <w:vMerge w:val="continue"/>
            <w:tcBorders>
              <w:top w:val="nil"/>
            </w:tcBorders>
          </w:tcPr>
          <w:p w14:paraId="0E0E9A35"/>
        </w:tc>
        <w:tc>
          <w:tcPr>
            <w:tcW w:w="497" w:type="dxa"/>
            <w:vMerge w:val="continue"/>
            <w:tcBorders>
              <w:top w:val="nil"/>
            </w:tcBorders>
          </w:tcPr>
          <w:p w14:paraId="613EACD5"/>
        </w:tc>
        <w:tc>
          <w:tcPr>
            <w:tcW w:w="499" w:type="dxa"/>
            <w:vMerge w:val="continue"/>
            <w:tcBorders>
              <w:top w:val="nil"/>
            </w:tcBorders>
          </w:tcPr>
          <w:p w14:paraId="3C794F74"/>
        </w:tc>
        <w:tc>
          <w:tcPr>
            <w:tcW w:w="501" w:type="dxa"/>
            <w:vMerge w:val="continue"/>
            <w:tcBorders>
              <w:top w:val="nil"/>
            </w:tcBorders>
          </w:tcPr>
          <w:p w14:paraId="14E9FA72"/>
        </w:tc>
        <w:tc>
          <w:tcPr>
            <w:tcW w:w="496" w:type="dxa"/>
            <w:vMerge w:val="continue"/>
            <w:tcBorders>
              <w:top w:val="nil"/>
            </w:tcBorders>
          </w:tcPr>
          <w:p w14:paraId="6F39B111"/>
        </w:tc>
        <w:tc>
          <w:tcPr>
            <w:tcW w:w="458" w:type="dxa"/>
            <w:vMerge w:val="continue"/>
            <w:tcBorders>
              <w:top w:val="nil"/>
            </w:tcBorders>
          </w:tcPr>
          <w:p w14:paraId="134AC839"/>
        </w:tc>
        <w:tc>
          <w:tcPr>
            <w:tcW w:w="478" w:type="dxa"/>
            <w:vMerge w:val="continue"/>
            <w:tcBorders>
              <w:top w:val="nil"/>
            </w:tcBorders>
          </w:tcPr>
          <w:p w14:paraId="36EFEDAD"/>
        </w:tc>
        <w:tc>
          <w:tcPr>
            <w:tcW w:w="499" w:type="dxa"/>
            <w:vMerge w:val="continue"/>
            <w:tcBorders>
              <w:top w:val="nil"/>
            </w:tcBorders>
          </w:tcPr>
          <w:p w14:paraId="2D7DDDD1"/>
        </w:tc>
        <w:tc>
          <w:tcPr>
            <w:tcW w:w="501" w:type="dxa"/>
            <w:vMerge w:val="continue"/>
            <w:tcBorders>
              <w:top w:val="nil"/>
            </w:tcBorders>
          </w:tcPr>
          <w:p w14:paraId="50B357D7"/>
        </w:tc>
        <w:tc>
          <w:tcPr>
            <w:tcW w:w="501" w:type="dxa"/>
            <w:vMerge w:val="continue"/>
            <w:tcBorders>
              <w:top w:val="nil"/>
            </w:tcBorders>
          </w:tcPr>
          <w:p w14:paraId="0B3DC6CC"/>
        </w:tc>
        <w:tc>
          <w:tcPr>
            <w:tcW w:w="501" w:type="dxa"/>
            <w:vMerge w:val="continue"/>
            <w:tcBorders>
              <w:top w:val="nil"/>
            </w:tcBorders>
          </w:tcPr>
          <w:p w14:paraId="5C0044F8"/>
        </w:tc>
        <w:tc>
          <w:tcPr>
            <w:tcW w:w="499" w:type="dxa"/>
            <w:tcBorders>
              <w:top w:val="single" w:color="000000" w:sz="4" w:space="0"/>
            </w:tcBorders>
          </w:tcPr>
          <w:p w14:paraId="1162B52A"/>
        </w:tc>
        <w:tc>
          <w:tcPr>
            <w:tcW w:w="502" w:type="dxa"/>
            <w:tcBorders>
              <w:top w:val="single" w:color="000000" w:sz="4" w:space="0"/>
            </w:tcBorders>
          </w:tcPr>
          <w:p w14:paraId="12CCC249"/>
        </w:tc>
        <w:tc>
          <w:tcPr>
            <w:tcW w:w="516" w:type="dxa"/>
            <w:tcBorders>
              <w:top w:val="single" w:color="000000" w:sz="4" w:space="0"/>
            </w:tcBorders>
          </w:tcPr>
          <w:p w14:paraId="54461C92"/>
        </w:tc>
      </w:tr>
    </w:tbl>
    <w:p w14:paraId="720E812A">
      <w:pPr>
        <w:pStyle w:val="5"/>
        <w:rPr>
          <w:rFonts w:eastAsia="宋体"/>
        </w:rPr>
      </w:pPr>
    </w:p>
    <w:p w14:paraId="0615F716">
      <w:pPr>
        <w:sectPr>
          <w:footerReference r:id="rId18" w:type="first"/>
          <w:headerReference r:id="rId15" w:type="default"/>
          <w:footerReference r:id="rId16" w:type="default"/>
          <w:footerReference r:id="rId17" w:type="even"/>
          <w:pgSz w:w="16839" w:h="11907"/>
          <w:pgMar w:top="1430" w:right="1464" w:bottom="1579" w:left="1576" w:header="928" w:footer="1200" w:gutter="0"/>
          <w:cols w:space="720" w:num="1"/>
        </w:sectPr>
      </w:pPr>
    </w:p>
    <w:p w14:paraId="4D1468F2">
      <w:pPr>
        <w:pStyle w:val="5"/>
        <w:spacing w:line="389" w:lineRule="auto"/>
        <w:rPr>
          <w:rFonts w:eastAsia="宋体"/>
        </w:rPr>
      </w:pPr>
    </w:p>
    <w:p w14:paraId="230AE6BB">
      <w:pPr>
        <w:spacing w:before="91" w:line="219" w:lineRule="auto"/>
        <w:ind w:left="112"/>
        <w:rPr>
          <w:b/>
          <w:bCs/>
          <w:spacing w:val="-6"/>
          <w:sz w:val="28"/>
          <w:szCs w:val="28"/>
        </w:rPr>
      </w:pPr>
      <w:r>
        <w:rPr>
          <w:b/>
          <w:bCs/>
          <w:spacing w:val="-6"/>
          <w:sz w:val="28"/>
          <w:szCs w:val="28"/>
        </w:rPr>
        <w:t>附录：参考标准</w:t>
      </w:r>
    </w:p>
    <w:tbl>
      <w:tblPr>
        <w:tblStyle w:val="8"/>
        <w:tblW w:w="8130" w:type="dxa"/>
        <w:tblInd w:w="643" w:type="dxa"/>
        <w:tblLayout w:type="autofit"/>
        <w:tblCellMar>
          <w:top w:w="0" w:type="dxa"/>
          <w:left w:w="108" w:type="dxa"/>
          <w:bottom w:w="0" w:type="dxa"/>
          <w:right w:w="108" w:type="dxa"/>
        </w:tblCellMar>
      </w:tblPr>
      <w:tblGrid>
        <w:gridCol w:w="4193"/>
        <w:gridCol w:w="3937"/>
      </w:tblGrid>
      <w:tr w14:paraId="1DD59328">
        <w:tblPrEx>
          <w:tblCellMar>
            <w:top w:w="0" w:type="dxa"/>
            <w:left w:w="108" w:type="dxa"/>
            <w:bottom w:w="0" w:type="dxa"/>
            <w:right w:w="108" w:type="dxa"/>
          </w:tblCellMar>
        </w:tblPrEx>
        <w:trPr>
          <w:trHeight w:val="500" w:hRule="atLeast"/>
        </w:trPr>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4D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机械设备参考标准</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CEFD">
            <w:pPr>
              <w:jc w:val="center"/>
              <w:rPr>
                <w:rFonts w:ascii="Calibri" w:hAnsi="Calibri" w:eastAsia="宋体" w:cs="Calibri"/>
                <w:color w:val="000000"/>
                <w:sz w:val="18"/>
                <w:szCs w:val="18"/>
              </w:rPr>
            </w:pPr>
          </w:p>
        </w:tc>
      </w:tr>
      <w:tr w14:paraId="627BAA81">
        <w:tblPrEx>
          <w:tblCellMar>
            <w:top w:w="0" w:type="dxa"/>
            <w:left w:w="108" w:type="dxa"/>
            <w:bottom w:w="0" w:type="dxa"/>
            <w:right w:w="108" w:type="dxa"/>
          </w:tblCellMar>
        </w:tblPrEx>
        <w:trPr>
          <w:trHeight w:val="500" w:hRule="atLeast"/>
        </w:trPr>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B37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材料标准</w:t>
            </w:r>
            <w:r>
              <w:rPr>
                <w:rFonts w:ascii="Arial" w:hAnsi="Arial" w:eastAsia="宋体" w:cs="Arial"/>
                <w:color w:val="000000"/>
                <w:kern w:val="0"/>
                <w:sz w:val="18"/>
                <w:szCs w:val="18"/>
                <w:lang w:bidi="ar"/>
              </w:rPr>
              <w:t xml:space="preserve"> GB/T 1220</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89E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不锈钢棒</w:t>
            </w:r>
          </w:p>
        </w:tc>
      </w:tr>
      <w:tr w14:paraId="37AB76B3">
        <w:tblPrEx>
          <w:tblCellMar>
            <w:top w:w="0" w:type="dxa"/>
            <w:left w:w="108" w:type="dxa"/>
            <w:bottom w:w="0" w:type="dxa"/>
            <w:right w:w="108" w:type="dxa"/>
          </w:tblCellMar>
        </w:tblPrEx>
        <w:trPr>
          <w:trHeight w:val="500" w:hRule="atLeast"/>
        </w:trPr>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0BF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GB/T 700</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62F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碳素结构钢</w:t>
            </w:r>
            <w:r>
              <w:rPr>
                <w:rFonts w:ascii="Calibri" w:hAnsi="Calibri" w:eastAsia="宋体" w:cs="Calibri"/>
                <w:color w:val="000000"/>
                <w:kern w:val="0"/>
                <w:sz w:val="18"/>
                <w:szCs w:val="18"/>
                <w:lang w:bidi="ar"/>
              </w:rPr>
              <w:t xml:space="preserve"> </w:t>
            </w:r>
          </w:p>
        </w:tc>
      </w:tr>
      <w:tr w14:paraId="5D4863DF">
        <w:tblPrEx>
          <w:tblCellMar>
            <w:top w:w="0" w:type="dxa"/>
            <w:left w:w="108" w:type="dxa"/>
            <w:bottom w:w="0" w:type="dxa"/>
            <w:right w:w="108" w:type="dxa"/>
          </w:tblCellMar>
        </w:tblPrEx>
        <w:trPr>
          <w:trHeight w:val="500" w:hRule="atLeast"/>
        </w:trPr>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955B">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GB/T 699</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FA63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优质碳素钢 </w:t>
            </w:r>
          </w:p>
        </w:tc>
      </w:tr>
      <w:tr w14:paraId="2679236F">
        <w:tblPrEx>
          <w:tblCellMar>
            <w:top w:w="0" w:type="dxa"/>
            <w:left w:w="108" w:type="dxa"/>
            <w:bottom w:w="0" w:type="dxa"/>
            <w:right w:w="108" w:type="dxa"/>
          </w:tblCellMar>
        </w:tblPrEx>
        <w:trPr>
          <w:trHeight w:val="500" w:hRule="atLeast"/>
        </w:trPr>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C3E53">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GB/T 9439</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FC7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灰铸铁件</w:t>
            </w:r>
          </w:p>
        </w:tc>
      </w:tr>
      <w:tr w14:paraId="589E15BC">
        <w:tblPrEx>
          <w:tblCellMar>
            <w:top w:w="0" w:type="dxa"/>
            <w:left w:w="108" w:type="dxa"/>
            <w:bottom w:w="0" w:type="dxa"/>
            <w:right w:w="108" w:type="dxa"/>
          </w:tblCellMar>
        </w:tblPrEx>
        <w:trPr>
          <w:trHeight w:val="500" w:hRule="atLeast"/>
        </w:trPr>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0D8D">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GB/T 1348</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A4D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球墨铸铁件</w:t>
            </w:r>
          </w:p>
        </w:tc>
      </w:tr>
      <w:tr w14:paraId="121FF7DB">
        <w:tblPrEx>
          <w:tblCellMar>
            <w:top w:w="0" w:type="dxa"/>
            <w:left w:w="108" w:type="dxa"/>
            <w:bottom w:w="0" w:type="dxa"/>
            <w:right w:w="108" w:type="dxa"/>
          </w:tblCellMar>
        </w:tblPrEx>
        <w:trPr>
          <w:trHeight w:val="500" w:hRule="atLeast"/>
        </w:trPr>
        <w:tc>
          <w:tcPr>
            <w:tcW w:w="4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C5A2">
            <w:pPr>
              <w:widowControl/>
              <w:jc w:val="center"/>
              <w:textAlignment w:val="center"/>
              <w:rPr>
                <w:rFonts w:ascii="Calibri" w:hAnsi="Calibri" w:eastAsia="宋体" w:cs="Calibri"/>
                <w:color w:val="000000"/>
                <w:sz w:val="18"/>
                <w:szCs w:val="18"/>
              </w:rPr>
            </w:pPr>
            <w:r>
              <w:rPr>
                <w:rFonts w:ascii="Calibri" w:hAnsi="Calibri" w:eastAsia="宋体" w:cs="Calibri"/>
                <w:color w:val="000000"/>
                <w:kern w:val="0"/>
                <w:sz w:val="18"/>
                <w:szCs w:val="18"/>
                <w:lang w:bidi="ar"/>
              </w:rPr>
              <w:t>GB/T/T 4237</w:t>
            </w:r>
          </w:p>
        </w:tc>
        <w:tc>
          <w:tcPr>
            <w:tcW w:w="39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A6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不锈钢热轧钢板</w:t>
            </w:r>
          </w:p>
        </w:tc>
      </w:tr>
    </w:tbl>
    <w:p w14:paraId="6F7459CF">
      <w:pPr>
        <w:spacing w:line="360" w:lineRule="auto"/>
        <w:rPr>
          <w:rFonts w:ascii="宋体" w:hAnsi="宋体" w:eastAsia="宋体" w:cs="宋体"/>
          <w:b/>
          <w:bCs/>
          <w:sz w:val="24"/>
          <w:szCs w:val="32"/>
        </w:rPr>
      </w:pPr>
      <w:r>
        <w:rPr>
          <w:rFonts w:hint="eastAsia" w:ascii="宋体" w:hAnsi="宋体" w:eastAsia="宋体" w:cs="宋体"/>
          <w:b/>
          <w:bCs/>
          <w:sz w:val="24"/>
          <w:szCs w:val="32"/>
        </w:rPr>
        <w:t>2. 设备制造、设计和验收标准</w:t>
      </w:r>
    </w:p>
    <w:p w14:paraId="5DA63E7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AWWAC540                   阀门和闸门动力驱动装置</w:t>
      </w:r>
    </w:p>
    <w:p w14:paraId="4DB6C37A">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ISO1940/1                  刚性转子的机械平衡质量</w:t>
      </w:r>
    </w:p>
    <w:p w14:paraId="7776094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ISO 8011                   工业流程透平式鼓风机技术规范和数据表</w:t>
      </w:r>
    </w:p>
    <w:p w14:paraId="064E6FC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 3811                  起重机设计规范</w:t>
      </w:r>
    </w:p>
    <w:p w14:paraId="0A2261A3">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 14405                 通用桥式起重机</w:t>
      </w:r>
    </w:p>
    <w:p w14:paraId="64085CD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 2888                  风机和罗茨鼓风机噪声测量方法</w:t>
      </w:r>
    </w:p>
    <w:p w14:paraId="2FDF826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 12238                 通用阀门法兰和对夹连接蝶阀</w:t>
      </w:r>
    </w:p>
    <w:p w14:paraId="2C9A3D0D">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 13927                 通用阀门压力试验</w:t>
      </w:r>
    </w:p>
    <w:p w14:paraId="3424E5D4">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 14173                 平板钢闸门技术规范</w:t>
      </w:r>
    </w:p>
    <w:p w14:paraId="0691C22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GB/T985                    气焊、手工电弧焊及气体保护焊焊缝坡口的基本</w:t>
      </w:r>
    </w:p>
    <w:p w14:paraId="20D1CDE6">
      <w:pPr>
        <w:spacing w:line="360" w:lineRule="auto"/>
        <w:ind w:firstLine="241" w:firstLineChars="100"/>
        <w:rPr>
          <w:rFonts w:ascii="宋体" w:hAnsi="宋体" w:eastAsia="宋体" w:cs="宋体"/>
          <w:b/>
          <w:bCs/>
          <w:sz w:val="24"/>
          <w:szCs w:val="32"/>
        </w:rPr>
      </w:pPr>
      <w:r>
        <w:rPr>
          <w:rFonts w:hint="eastAsia" w:ascii="宋体" w:hAnsi="宋体" w:eastAsia="宋体" w:cs="宋体"/>
          <w:b/>
          <w:bCs/>
          <w:sz w:val="24"/>
          <w:szCs w:val="32"/>
        </w:rPr>
        <w:t>形式与尺寸</w:t>
      </w:r>
    </w:p>
    <w:p w14:paraId="2BD4BCD5">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GB/T986                    埋弧焊焊缝坡口的基本形式和尺寸</w:t>
      </w:r>
    </w:p>
    <w:p w14:paraId="1B5D0DC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GB9112                     一般用途管法兰连接尺寸</w:t>
      </w:r>
    </w:p>
    <w:p w14:paraId="5BE628F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GB2515                     普通螺纹术语</w:t>
      </w:r>
    </w:p>
    <w:p w14:paraId="27BE62E0">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GB2516                     普通螺纹偏差表（1~355mm）</w:t>
      </w:r>
    </w:p>
    <w:p w14:paraId="4DE3E85E">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GB/T3323                   钢溶化焊对接接头射线照相和质量分级</w:t>
      </w:r>
    </w:p>
    <w:p w14:paraId="3B563272">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JB/T8938                   污水处理设备通用技术条件</w:t>
      </w:r>
    </w:p>
    <w:p w14:paraId="74DA0026">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ISO2548                    离心,混流,轴流泵验收试验规程 C 级</w:t>
      </w:r>
    </w:p>
    <w:p w14:paraId="6A44AF9B">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JB/T8531                   阀门手动装置技术条件</w:t>
      </w:r>
    </w:p>
    <w:p w14:paraId="6811CC9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JB/T2603                    电动单梁悬挂式起重机</w:t>
      </w:r>
    </w:p>
    <w:p w14:paraId="0DE36DD1">
      <w:pPr>
        <w:spacing w:before="114"/>
      </w:pPr>
    </w:p>
    <w:tbl>
      <w:tblPr>
        <w:tblStyle w:val="8"/>
        <w:tblW w:w="8296" w:type="dxa"/>
        <w:tblInd w:w="3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756"/>
        <w:gridCol w:w="5540"/>
      </w:tblGrid>
      <w:tr w14:paraId="2AE2B33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35" w:hRule="atLeast"/>
        </w:trPr>
        <w:tc>
          <w:tcPr>
            <w:tcW w:w="2756" w:type="dxa"/>
          </w:tcPr>
          <w:p w14:paraId="68F8A90A">
            <w:pPr>
              <w:spacing w:before="19" w:line="186" w:lineRule="auto"/>
              <w:ind w:left="719"/>
              <w:rPr>
                <w:sz w:val="24"/>
              </w:rPr>
            </w:pPr>
            <w:r>
              <w:rPr>
                <w:spacing w:val="-2"/>
                <w:sz w:val="24"/>
              </w:rPr>
              <w:t>GB50231</w:t>
            </w:r>
          </w:p>
        </w:tc>
        <w:tc>
          <w:tcPr>
            <w:tcW w:w="5540" w:type="dxa"/>
          </w:tcPr>
          <w:p w14:paraId="2679D4BA">
            <w:pPr>
              <w:pStyle w:val="10"/>
              <w:spacing w:before="1" w:line="218" w:lineRule="auto"/>
              <w:ind w:left="409"/>
              <w:rPr>
                <w:rFonts w:ascii="Arial" w:hAnsi="Arial" w:cs="Arial"/>
                <w:sz w:val="24"/>
              </w:rPr>
            </w:pPr>
            <w:r>
              <w:rPr>
                <w:rFonts w:ascii="Arial" w:hAnsi="Arial" w:cs="Arial"/>
                <w:spacing w:val="-1"/>
                <w:sz w:val="24"/>
              </w:rPr>
              <w:t>机械设备安装工程施工及验收通用规范</w:t>
            </w:r>
          </w:p>
        </w:tc>
      </w:tr>
      <w:tr w14:paraId="19955B1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4" w:hRule="atLeast"/>
        </w:trPr>
        <w:tc>
          <w:tcPr>
            <w:tcW w:w="2756" w:type="dxa"/>
          </w:tcPr>
          <w:p w14:paraId="56024867">
            <w:pPr>
              <w:spacing w:before="114" w:line="186" w:lineRule="auto"/>
              <w:ind w:left="717"/>
              <w:rPr>
                <w:sz w:val="24"/>
              </w:rPr>
            </w:pPr>
            <w:r>
              <w:rPr>
                <w:spacing w:val="-1"/>
                <w:sz w:val="24"/>
              </w:rPr>
              <w:t>ISO 2548</w:t>
            </w:r>
          </w:p>
        </w:tc>
        <w:tc>
          <w:tcPr>
            <w:tcW w:w="5540" w:type="dxa"/>
          </w:tcPr>
          <w:p w14:paraId="30A08830">
            <w:pPr>
              <w:pStyle w:val="10"/>
              <w:spacing w:before="94" w:line="212" w:lineRule="auto"/>
              <w:ind w:left="414"/>
              <w:rPr>
                <w:rFonts w:ascii="Arial" w:hAnsi="Arial" w:cs="Arial"/>
                <w:sz w:val="24"/>
              </w:rPr>
            </w:pPr>
            <w:r>
              <w:rPr>
                <w:rFonts w:ascii="Arial" w:hAnsi="Arial" w:cs="Arial"/>
                <w:spacing w:val="-1"/>
                <w:sz w:val="24"/>
              </w:rPr>
              <w:t>离心,混流,轴流泵验收试验规程</w:t>
            </w:r>
            <w:r>
              <w:rPr>
                <w:rFonts w:ascii="Arial" w:hAnsi="Arial" w:cs="Arial"/>
                <w:spacing w:val="-42"/>
                <w:sz w:val="24"/>
              </w:rPr>
              <w:t xml:space="preserve"> </w:t>
            </w:r>
            <w:r>
              <w:rPr>
                <w:rFonts w:ascii="Arial" w:hAnsi="Arial" w:cs="Arial"/>
                <w:spacing w:val="-1"/>
                <w:sz w:val="24"/>
              </w:rPr>
              <w:t>C 级</w:t>
            </w:r>
          </w:p>
        </w:tc>
      </w:tr>
      <w:tr w14:paraId="4663C27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29" w:hRule="atLeast"/>
        </w:trPr>
        <w:tc>
          <w:tcPr>
            <w:tcW w:w="2756" w:type="dxa"/>
          </w:tcPr>
          <w:p w14:paraId="11D3C63D">
            <w:pPr>
              <w:spacing w:before="107" w:line="190" w:lineRule="auto"/>
              <w:ind w:left="719"/>
              <w:rPr>
                <w:sz w:val="24"/>
              </w:rPr>
            </w:pPr>
            <w:r>
              <w:rPr>
                <w:spacing w:val="-5"/>
                <w:sz w:val="24"/>
              </w:rPr>
              <w:t>GB/T</w:t>
            </w:r>
            <w:r>
              <w:rPr>
                <w:spacing w:val="28"/>
                <w:w w:val="101"/>
                <w:sz w:val="24"/>
              </w:rPr>
              <w:t xml:space="preserve"> </w:t>
            </w:r>
            <w:r>
              <w:rPr>
                <w:spacing w:val="-5"/>
                <w:sz w:val="24"/>
              </w:rPr>
              <w:t>10183</w:t>
            </w:r>
          </w:p>
        </w:tc>
        <w:tc>
          <w:tcPr>
            <w:tcW w:w="5540" w:type="dxa"/>
          </w:tcPr>
          <w:p w14:paraId="0468DFF1">
            <w:pPr>
              <w:pStyle w:val="10"/>
              <w:spacing w:before="92" w:line="219" w:lineRule="auto"/>
              <w:ind w:left="410"/>
              <w:rPr>
                <w:rFonts w:ascii="Arial" w:hAnsi="Arial" w:cs="Arial"/>
                <w:sz w:val="24"/>
              </w:rPr>
            </w:pPr>
            <w:r>
              <w:rPr>
                <w:rFonts w:ascii="Arial" w:hAnsi="Arial" w:cs="Arial"/>
                <w:spacing w:val="-1"/>
                <w:sz w:val="24"/>
              </w:rPr>
              <w:t>桥式和门式起重机制造及轨道安装公差</w:t>
            </w:r>
          </w:p>
        </w:tc>
      </w:tr>
      <w:tr w14:paraId="45C9885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0" w:hRule="atLeast"/>
        </w:trPr>
        <w:tc>
          <w:tcPr>
            <w:tcW w:w="2756" w:type="dxa"/>
          </w:tcPr>
          <w:p w14:paraId="7C294079">
            <w:pPr>
              <w:spacing w:before="115" w:line="186" w:lineRule="auto"/>
              <w:ind w:left="719"/>
              <w:rPr>
                <w:sz w:val="24"/>
              </w:rPr>
            </w:pPr>
            <w:r>
              <w:rPr>
                <w:spacing w:val="-1"/>
                <w:sz w:val="24"/>
              </w:rPr>
              <w:t>GB 50270-98</w:t>
            </w:r>
          </w:p>
        </w:tc>
        <w:tc>
          <w:tcPr>
            <w:tcW w:w="5540" w:type="dxa"/>
          </w:tcPr>
          <w:p w14:paraId="559B66F4">
            <w:pPr>
              <w:pStyle w:val="10"/>
              <w:spacing w:before="94" w:line="220" w:lineRule="auto"/>
              <w:ind w:left="411"/>
              <w:rPr>
                <w:rFonts w:ascii="Arial" w:hAnsi="Arial" w:cs="Arial"/>
                <w:sz w:val="24"/>
              </w:rPr>
            </w:pPr>
            <w:r>
              <w:rPr>
                <w:rFonts w:ascii="Arial" w:hAnsi="Arial" w:cs="Arial"/>
                <w:spacing w:val="-1"/>
                <w:sz w:val="24"/>
              </w:rPr>
              <w:t>连续输送设备安装工程施工及验收规范</w:t>
            </w:r>
          </w:p>
        </w:tc>
      </w:tr>
      <w:tr w14:paraId="65D018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5F813CF0">
            <w:pPr>
              <w:spacing w:before="115" w:line="186" w:lineRule="auto"/>
              <w:ind w:left="719"/>
              <w:rPr>
                <w:sz w:val="24"/>
              </w:rPr>
            </w:pPr>
            <w:r>
              <w:rPr>
                <w:spacing w:val="-1"/>
                <w:sz w:val="24"/>
              </w:rPr>
              <w:t>GB 50275-98</w:t>
            </w:r>
          </w:p>
        </w:tc>
        <w:tc>
          <w:tcPr>
            <w:tcW w:w="5540" w:type="dxa"/>
          </w:tcPr>
          <w:p w14:paraId="7C0BA544">
            <w:pPr>
              <w:pStyle w:val="10"/>
              <w:spacing w:before="94" w:line="219" w:lineRule="auto"/>
              <w:ind w:left="411"/>
              <w:rPr>
                <w:rFonts w:ascii="Arial" w:hAnsi="Arial" w:cs="Arial"/>
                <w:sz w:val="24"/>
              </w:rPr>
            </w:pPr>
            <w:r>
              <w:rPr>
                <w:rFonts w:ascii="Arial" w:hAnsi="Arial" w:cs="Arial"/>
                <w:spacing w:val="-1"/>
                <w:sz w:val="24"/>
              </w:rPr>
              <w:t>压缩机、风机、泵安装工程施工及验收规范</w:t>
            </w:r>
          </w:p>
        </w:tc>
      </w:tr>
      <w:tr w14:paraId="3779DD2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756" w:type="dxa"/>
          </w:tcPr>
          <w:p w14:paraId="7B5B8257">
            <w:pPr>
              <w:spacing w:before="116" w:line="186" w:lineRule="auto"/>
              <w:ind w:left="719"/>
              <w:rPr>
                <w:sz w:val="24"/>
              </w:rPr>
            </w:pPr>
            <w:r>
              <w:rPr>
                <w:spacing w:val="-1"/>
                <w:sz w:val="24"/>
              </w:rPr>
              <w:t>GB 50278-98</w:t>
            </w:r>
          </w:p>
        </w:tc>
        <w:tc>
          <w:tcPr>
            <w:tcW w:w="5540" w:type="dxa"/>
          </w:tcPr>
          <w:p w14:paraId="00A43B0C">
            <w:pPr>
              <w:pStyle w:val="10"/>
              <w:spacing w:before="95" w:line="220" w:lineRule="auto"/>
              <w:ind w:left="411"/>
              <w:rPr>
                <w:rFonts w:ascii="Arial" w:hAnsi="Arial" w:cs="Arial"/>
                <w:sz w:val="24"/>
              </w:rPr>
            </w:pPr>
            <w:r>
              <w:rPr>
                <w:rFonts w:ascii="Arial" w:hAnsi="Arial" w:cs="Arial"/>
                <w:spacing w:val="-1"/>
                <w:sz w:val="24"/>
              </w:rPr>
              <w:t>起重设备安装工程施工及验收规范</w:t>
            </w:r>
          </w:p>
        </w:tc>
      </w:tr>
      <w:tr w14:paraId="07E5F22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5925F7EF">
            <w:pPr>
              <w:spacing w:before="116" w:line="186" w:lineRule="auto"/>
              <w:ind w:left="719"/>
              <w:rPr>
                <w:sz w:val="24"/>
              </w:rPr>
            </w:pPr>
            <w:r>
              <w:rPr>
                <w:spacing w:val="-2"/>
                <w:sz w:val="24"/>
              </w:rPr>
              <w:t>GBJ</w:t>
            </w:r>
            <w:r>
              <w:rPr>
                <w:spacing w:val="13"/>
                <w:sz w:val="24"/>
              </w:rPr>
              <w:t xml:space="preserve"> </w:t>
            </w:r>
            <w:r>
              <w:rPr>
                <w:spacing w:val="-2"/>
                <w:sz w:val="24"/>
              </w:rPr>
              <w:t>50236-98</w:t>
            </w:r>
          </w:p>
        </w:tc>
        <w:tc>
          <w:tcPr>
            <w:tcW w:w="5540" w:type="dxa"/>
          </w:tcPr>
          <w:p w14:paraId="20A57E2B">
            <w:pPr>
              <w:pStyle w:val="10"/>
              <w:spacing w:before="95" w:line="220" w:lineRule="auto"/>
              <w:ind w:left="412"/>
              <w:rPr>
                <w:rFonts w:ascii="Arial" w:hAnsi="Arial" w:cs="Arial"/>
                <w:sz w:val="24"/>
              </w:rPr>
            </w:pPr>
            <w:r>
              <w:rPr>
                <w:rFonts w:ascii="Arial" w:hAnsi="Arial" w:cs="Arial"/>
                <w:spacing w:val="-1"/>
                <w:sz w:val="24"/>
              </w:rPr>
              <w:t>现场设备、工业管道焊接施工及验收规范</w:t>
            </w:r>
          </w:p>
        </w:tc>
      </w:tr>
      <w:tr w14:paraId="44F6CE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1B87239A">
            <w:pPr>
              <w:spacing w:before="110" w:line="190" w:lineRule="auto"/>
              <w:ind w:left="719"/>
              <w:rPr>
                <w:sz w:val="24"/>
              </w:rPr>
            </w:pPr>
            <w:r>
              <w:rPr>
                <w:spacing w:val="-2"/>
                <w:sz w:val="24"/>
              </w:rPr>
              <w:t>GB/T 5905</w:t>
            </w:r>
          </w:p>
        </w:tc>
        <w:tc>
          <w:tcPr>
            <w:tcW w:w="5540" w:type="dxa"/>
          </w:tcPr>
          <w:p w14:paraId="2A6D7A3A">
            <w:pPr>
              <w:pStyle w:val="10"/>
              <w:spacing w:before="95" w:line="219" w:lineRule="auto"/>
              <w:ind w:left="411"/>
              <w:rPr>
                <w:rFonts w:ascii="Arial" w:hAnsi="Arial" w:cs="Arial"/>
                <w:sz w:val="24"/>
              </w:rPr>
            </w:pPr>
            <w:r>
              <w:rPr>
                <w:rFonts w:ascii="Arial" w:hAnsi="Arial" w:cs="Arial"/>
                <w:spacing w:val="-1"/>
                <w:sz w:val="24"/>
              </w:rPr>
              <w:t>起重机试验规范和程序</w:t>
            </w:r>
          </w:p>
        </w:tc>
      </w:tr>
      <w:tr w14:paraId="01E6DC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92" w:hRule="atLeast"/>
        </w:trPr>
        <w:tc>
          <w:tcPr>
            <w:tcW w:w="2756" w:type="dxa"/>
          </w:tcPr>
          <w:p w14:paraId="4B4F61CB">
            <w:pPr>
              <w:spacing w:before="111" w:line="190" w:lineRule="auto"/>
              <w:ind w:left="719"/>
              <w:rPr>
                <w:sz w:val="24"/>
              </w:rPr>
            </w:pPr>
            <w:r>
              <w:rPr>
                <w:spacing w:val="-4"/>
                <w:sz w:val="24"/>
              </w:rPr>
              <w:t>GB/T</w:t>
            </w:r>
            <w:r>
              <w:rPr>
                <w:spacing w:val="25"/>
                <w:sz w:val="24"/>
              </w:rPr>
              <w:t xml:space="preserve"> </w:t>
            </w:r>
            <w:r>
              <w:rPr>
                <w:spacing w:val="-4"/>
                <w:sz w:val="24"/>
              </w:rPr>
              <w:t>13927</w:t>
            </w:r>
          </w:p>
        </w:tc>
        <w:tc>
          <w:tcPr>
            <w:tcW w:w="5540" w:type="dxa"/>
          </w:tcPr>
          <w:p w14:paraId="3F67885B">
            <w:pPr>
              <w:pStyle w:val="10"/>
              <w:spacing w:before="95" w:line="220" w:lineRule="auto"/>
              <w:ind w:left="410"/>
              <w:rPr>
                <w:rFonts w:ascii="Arial" w:hAnsi="Arial" w:cs="Arial"/>
                <w:sz w:val="24"/>
              </w:rPr>
            </w:pPr>
            <w:r>
              <w:rPr>
                <w:rFonts w:ascii="Arial" w:hAnsi="Arial" w:cs="Arial"/>
                <w:spacing w:val="-2"/>
                <w:sz w:val="24"/>
              </w:rPr>
              <w:t>通用阀门压力试验</w:t>
            </w:r>
          </w:p>
        </w:tc>
      </w:tr>
      <w:tr w14:paraId="3581239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92" w:hRule="atLeast"/>
        </w:trPr>
        <w:tc>
          <w:tcPr>
            <w:tcW w:w="2756" w:type="dxa"/>
          </w:tcPr>
          <w:p w14:paraId="109AAC3B">
            <w:pPr>
              <w:pStyle w:val="10"/>
              <w:spacing w:before="155" w:line="220" w:lineRule="auto"/>
              <w:rPr>
                <w:rFonts w:ascii="Arial" w:hAnsi="Arial" w:cs="Arial"/>
                <w:sz w:val="24"/>
              </w:rPr>
            </w:pPr>
            <w:r>
              <w:rPr>
                <w:rFonts w:ascii="Arial" w:hAnsi="Arial" w:cs="Arial"/>
                <w:spacing w:val="-5"/>
                <w:sz w:val="24"/>
              </w:rPr>
              <w:t>C.</w:t>
            </w:r>
            <w:r>
              <w:rPr>
                <w:rFonts w:ascii="Arial" w:hAnsi="Arial" w:cs="Arial"/>
                <w:spacing w:val="9"/>
                <w:sz w:val="24"/>
              </w:rPr>
              <w:t xml:space="preserve">    </w:t>
            </w:r>
            <w:r>
              <w:rPr>
                <w:rFonts w:ascii="Arial" w:hAnsi="Arial" w:cs="Arial"/>
                <w:spacing w:val="-5"/>
                <w:sz w:val="24"/>
              </w:rPr>
              <w:t>电气设备参考标准</w:t>
            </w:r>
          </w:p>
        </w:tc>
        <w:tc>
          <w:tcPr>
            <w:tcW w:w="5540" w:type="dxa"/>
          </w:tcPr>
          <w:p w14:paraId="18CE1826"/>
        </w:tc>
      </w:tr>
      <w:tr w14:paraId="57F55F0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0" w:hRule="atLeast"/>
        </w:trPr>
        <w:tc>
          <w:tcPr>
            <w:tcW w:w="2756" w:type="dxa"/>
          </w:tcPr>
          <w:p w14:paraId="363E99F7">
            <w:pPr>
              <w:spacing w:before="116" w:line="186" w:lineRule="auto"/>
              <w:ind w:left="717"/>
              <w:rPr>
                <w:sz w:val="24"/>
              </w:rPr>
            </w:pPr>
            <w:r>
              <w:rPr>
                <w:spacing w:val="-2"/>
                <w:sz w:val="24"/>
              </w:rPr>
              <w:t>IEC439</w:t>
            </w:r>
          </w:p>
        </w:tc>
        <w:tc>
          <w:tcPr>
            <w:tcW w:w="5540" w:type="dxa"/>
          </w:tcPr>
          <w:p w14:paraId="1AA57139">
            <w:pPr>
              <w:pStyle w:val="10"/>
              <w:spacing w:before="96" w:line="220" w:lineRule="auto"/>
              <w:ind w:left="393"/>
              <w:rPr>
                <w:rFonts w:ascii="Arial" w:hAnsi="Arial" w:cs="Arial"/>
                <w:sz w:val="24"/>
              </w:rPr>
            </w:pPr>
            <w:r>
              <w:rPr>
                <w:rFonts w:ascii="Arial" w:hAnsi="Arial" w:cs="Arial"/>
                <w:spacing w:val="-1"/>
                <w:sz w:val="24"/>
              </w:rPr>
              <w:t>低压开关设备和控制设备成套装置</w:t>
            </w:r>
          </w:p>
        </w:tc>
      </w:tr>
      <w:tr w14:paraId="467071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7B4BD979">
            <w:pPr>
              <w:spacing w:before="115" w:line="186" w:lineRule="auto"/>
              <w:ind w:left="717"/>
              <w:rPr>
                <w:sz w:val="24"/>
              </w:rPr>
            </w:pPr>
            <w:r>
              <w:rPr>
                <w:spacing w:val="-1"/>
                <w:sz w:val="24"/>
              </w:rPr>
              <w:t>IEC144-63</w:t>
            </w:r>
          </w:p>
        </w:tc>
        <w:tc>
          <w:tcPr>
            <w:tcW w:w="5540" w:type="dxa"/>
          </w:tcPr>
          <w:p w14:paraId="27E2E4CE">
            <w:pPr>
              <w:pStyle w:val="10"/>
              <w:spacing w:before="95" w:line="220" w:lineRule="auto"/>
              <w:ind w:left="393"/>
              <w:rPr>
                <w:rFonts w:ascii="Arial" w:hAnsi="Arial" w:cs="Arial"/>
                <w:sz w:val="24"/>
              </w:rPr>
            </w:pPr>
            <w:r>
              <w:rPr>
                <w:rFonts w:ascii="Arial" w:hAnsi="Arial" w:cs="Arial"/>
                <w:spacing w:val="-1"/>
                <w:sz w:val="24"/>
              </w:rPr>
              <w:t>低压开关柜和控制设备外壳的防护等级</w:t>
            </w:r>
          </w:p>
        </w:tc>
      </w:tr>
      <w:tr w14:paraId="025C19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756" w:type="dxa"/>
          </w:tcPr>
          <w:p w14:paraId="62BB4998">
            <w:pPr>
              <w:spacing w:before="112" w:line="190" w:lineRule="auto"/>
              <w:ind w:left="717"/>
              <w:rPr>
                <w:sz w:val="24"/>
              </w:rPr>
            </w:pPr>
            <w:r>
              <w:rPr>
                <w:spacing w:val="-2"/>
                <w:sz w:val="24"/>
              </w:rPr>
              <w:t>IEC157/1</w:t>
            </w:r>
          </w:p>
        </w:tc>
        <w:tc>
          <w:tcPr>
            <w:tcW w:w="5540" w:type="dxa"/>
          </w:tcPr>
          <w:p w14:paraId="46032981">
            <w:pPr>
              <w:pStyle w:val="10"/>
              <w:spacing w:before="96" w:line="220" w:lineRule="auto"/>
              <w:ind w:left="393"/>
              <w:rPr>
                <w:rFonts w:ascii="Arial" w:hAnsi="Arial" w:cs="Arial"/>
                <w:sz w:val="24"/>
              </w:rPr>
            </w:pPr>
            <w:r>
              <w:rPr>
                <w:rFonts w:ascii="Arial" w:hAnsi="Arial" w:cs="Arial"/>
                <w:spacing w:val="-2"/>
                <w:sz w:val="24"/>
              </w:rPr>
              <w:t>低压断路器</w:t>
            </w:r>
          </w:p>
        </w:tc>
      </w:tr>
      <w:tr w14:paraId="6F7D33E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223E88A0">
            <w:pPr>
              <w:spacing w:before="116" w:line="186" w:lineRule="auto"/>
              <w:ind w:left="717"/>
              <w:rPr>
                <w:sz w:val="24"/>
              </w:rPr>
            </w:pPr>
            <w:r>
              <w:rPr>
                <w:spacing w:val="-2"/>
                <w:sz w:val="24"/>
              </w:rPr>
              <w:t>IEC144</w:t>
            </w:r>
          </w:p>
        </w:tc>
        <w:tc>
          <w:tcPr>
            <w:tcW w:w="5540" w:type="dxa"/>
          </w:tcPr>
          <w:p w14:paraId="540C1B39">
            <w:pPr>
              <w:pStyle w:val="10"/>
              <w:spacing w:before="96" w:line="219" w:lineRule="auto"/>
              <w:ind w:left="393"/>
              <w:rPr>
                <w:rFonts w:ascii="Arial" w:hAnsi="Arial" w:cs="Arial"/>
                <w:sz w:val="24"/>
              </w:rPr>
            </w:pPr>
            <w:r>
              <w:rPr>
                <w:rFonts w:ascii="Arial" w:hAnsi="Arial" w:cs="Arial"/>
                <w:spacing w:val="-1"/>
                <w:sz w:val="24"/>
              </w:rPr>
              <w:t>低压开关传动装置和控制传动回路的保护范围</w:t>
            </w:r>
          </w:p>
        </w:tc>
      </w:tr>
      <w:tr w14:paraId="70C90E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313DB2E3">
            <w:pPr>
              <w:spacing w:before="115" w:line="186" w:lineRule="auto"/>
              <w:ind w:left="717"/>
              <w:rPr>
                <w:sz w:val="24"/>
              </w:rPr>
            </w:pPr>
            <w:r>
              <w:rPr>
                <w:spacing w:val="-2"/>
                <w:sz w:val="24"/>
              </w:rPr>
              <w:t>IEC157.1</w:t>
            </w:r>
          </w:p>
        </w:tc>
        <w:tc>
          <w:tcPr>
            <w:tcW w:w="5540" w:type="dxa"/>
          </w:tcPr>
          <w:p w14:paraId="27047353">
            <w:pPr>
              <w:pStyle w:val="10"/>
              <w:spacing w:before="95" w:line="219" w:lineRule="auto"/>
              <w:ind w:left="393"/>
              <w:rPr>
                <w:rFonts w:ascii="Arial" w:hAnsi="Arial" w:cs="Arial"/>
                <w:sz w:val="24"/>
              </w:rPr>
            </w:pPr>
            <w:r>
              <w:rPr>
                <w:rFonts w:ascii="Arial" w:hAnsi="Arial" w:cs="Arial"/>
                <w:spacing w:val="-3"/>
                <w:sz w:val="24"/>
              </w:rPr>
              <w:t>低压配电开关传动装置部分</w:t>
            </w:r>
            <w:r>
              <w:rPr>
                <w:rFonts w:ascii="Arial" w:hAnsi="Arial" w:cs="Arial"/>
                <w:spacing w:val="-21"/>
                <w:sz w:val="24"/>
              </w:rPr>
              <w:t xml:space="preserve"> </w:t>
            </w:r>
            <w:r>
              <w:rPr>
                <w:rFonts w:ascii="Arial" w:hAnsi="Arial" w:cs="Arial"/>
                <w:spacing w:val="-3"/>
                <w:sz w:val="24"/>
              </w:rPr>
              <w:t>1：电流断路器</w:t>
            </w:r>
          </w:p>
        </w:tc>
      </w:tr>
      <w:tr w14:paraId="0EB6490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756" w:type="dxa"/>
          </w:tcPr>
          <w:p w14:paraId="6C3356BA">
            <w:pPr>
              <w:spacing w:before="116" w:line="186" w:lineRule="auto"/>
              <w:ind w:left="717"/>
              <w:rPr>
                <w:sz w:val="24"/>
              </w:rPr>
            </w:pPr>
            <w:r>
              <w:rPr>
                <w:spacing w:val="-2"/>
                <w:sz w:val="24"/>
              </w:rPr>
              <w:t>IEC269</w:t>
            </w:r>
          </w:p>
        </w:tc>
        <w:tc>
          <w:tcPr>
            <w:tcW w:w="5540" w:type="dxa"/>
          </w:tcPr>
          <w:p w14:paraId="08931C6D">
            <w:pPr>
              <w:pStyle w:val="10"/>
              <w:spacing w:before="96" w:line="220" w:lineRule="auto"/>
              <w:ind w:left="393"/>
              <w:rPr>
                <w:rFonts w:ascii="Arial" w:hAnsi="Arial" w:cs="Arial"/>
                <w:sz w:val="24"/>
              </w:rPr>
            </w:pPr>
            <w:r>
              <w:rPr>
                <w:rFonts w:ascii="Arial" w:hAnsi="Arial" w:cs="Arial"/>
                <w:spacing w:val="-2"/>
                <w:sz w:val="24"/>
              </w:rPr>
              <w:t>低压熔断器</w:t>
            </w:r>
          </w:p>
        </w:tc>
      </w:tr>
      <w:tr w14:paraId="092772E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021B892D">
            <w:pPr>
              <w:spacing w:before="112" w:line="190" w:lineRule="auto"/>
              <w:ind w:left="717"/>
              <w:rPr>
                <w:sz w:val="24"/>
              </w:rPr>
            </w:pPr>
            <w:r>
              <w:rPr>
                <w:spacing w:val="-2"/>
                <w:sz w:val="24"/>
              </w:rPr>
              <w:t>IEC282/1</w:t>
            </w:r>
          </w:p>
        </w:tc>
        <w:tc>
          <w:tcPr>
            <w:tcW w:w="5540" w:type="dxa"/>
          </w:tcPr>
          <w:p w14:paraId="756A46B5">
            <w:pPr>
              <w:pStyle w:val="10"/>
              <w:spacing w:before="96" w:line="220" w:lineRule="auto"/>
              <w:ind w:left="410"/>
              <w:rPr>
                <w:rFonts w:ascii="Arial" w:hAnsi="Arial" w:cs="Arial"/>
                <w:sz w:val="24"/>
              </w:rPr>
            </w:pPr>
            <w:r>
              <w:rPr>
                <w:rFonts w:ascii="Arial" w:hAnsi="Arial" w:cs="Arial"/>
                <w:spacing w:val="-5"/>
                <w:sz w:val="24"/>
              </w:rPr>
              <w:t>限流熔断器</w:t>
            </w:r>
          </w:p>
        </w:tc>
      </w:tr>
      <w:tr w14:paraId="6DE3B68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43" w:hRule="atLeast"/>
        </w:trPr>
        <w:tc>
          <w:tcPr>
            <w:tcW w:w="2756" w:type="dxa"/>
          </w:tcPr>
          <w:p w14:paraId="49702771">
            <w:pPr>
              <w:spacing w:before="115" w:line="186" w:lineRule="auto"/>
              <w:ind w:left="717"/>
              <w:rPr>
                <w:sz w:val="24"/>
              </w:rPr>
            </w:pPr>
            <w:r>
              <w:rPr>
                <w:spacing w:val="-1"/>
                <w:sz w:val="24"/>
              </w:rPr>
              <w:t>IEC364.3.1</w:t>
            </w:r>
          </w:p>
        </w:tc>
        <w:tc>
          <w:tcPr>
            <w:tcW w:w="5540" w:type="dxa"/>
          </w:tcPr>
          <w:p w14:paraId="6EA5E8DF">
            <w:pPr>
              <w:pStyle w:val="10"/>
              <w:spacing w:before="96" w:line="229" w:lineRule="auto"/>
              <w:ind w:left="394" w:firstLine="2"/>
              <w:rPr>
                <w:rFonts w:ascii="Arial" w:hAnsi="Arial" w:cs="Arial"/>
                <w:sz w:val="24"/>
              </w:rPr>
            </w:pPr>
            <w:r>
              <w:rPr>
                <w:rFonts w:ascii="Arial" w:hAnsi="Arial" w:cs="Arial"/>
                <w:spacing w:val="-6"/>
                <w:sz w:val="24"/>
              </w:rPr>
              <w:t>建筑的电气设备部分 3：“安装设备的一般要求”</w:t>
            </w:r>
            <w:r>
              <w:rPr>
                <w:rFonts w:ascii="Arial" w:hAnsi="Arial" w:cs="Arial"/>
                <w:sz w:val="24"/>
              </w:rPr>
              <w:t xml:space="preserve"> </w:t>
            </w:r>
            <w:r>
              <w:rPr>
                <w:rFonts w:ascii="Arial" w:hAnsi="Arial" w:cs="Arial"/>
                <w:spacing w:val="-6"/>
                <w:sz w:val="24"/>
              </w:rPr>
              <w:t>第一章安全保护的测量</w:t>
            </w:r>
          </w:p>
        </w:tc>
      </w:tr>
      <w:tr w14:paraId="295EC65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41" w:hRule="atLeast"/>
        </w:trPr>
        <w:tc>
          <w:tcPr>
            <w:tcW w:w="2756" w:type="dxa"/>
          </w:tcPr>
          <w:p w14:paraId="53DD9109">
            <w:pPr>
              <w:spacing w:before="116" w:line="186" w:lineRule="auto"/>
              <w:ind w:left="717"/>
              <w:rPr>
                <w:sz w:val="24"/>
              </w:rPr>
            </w:pPr>
            <w:r>
              <w:rPr>
                <w:spacing w:val="-1"/>
                <w:sz w:val="24"/>
              </w:rPr>
              <w:t>IEC298-81</w:t>
            </w:r>
          </w:p>
        </w:tc>
        <w:tc>
          <w:tcPr>
            <w:tcW w:w="5540" w:type="dxa"/>
          </w:tcPr>
          <w:p w14:paraId="7611F130">
            <w:pPr>
              <w:pStyle w:val="10"/>
              <w:spacing w:before="97" w:line="229" w:lineRule="auto"/>
              <w:ind w:left="393"/>
              <w:rPr>
                <w:rFonts w:ascii="Arial" w:hAnsi="Arial" w:cs="Arial"/>
                <w:sz w:val="24"/>
              </w:rPr>
            </w:pPr>
            <w:r>
              <w:rPr>
                <w:rFonts w:ascii="Arial" w:hAnsi="Arial" w:cs="Arial"/>
                <w:spacing w:val="-3"/>
                <w:sz w:val="24"/>
              </w:rPr>
              <w:t>额定电压 1-72.5kV</w:t>
            </w:r>
            <w:r>
              <w:rPr>
                <w:rFonts w:ascii="Arial" w:hAnsi="Arial" w:cs="Arial"/>
                <w:spacing w:val="50"/>
                <w:sz w:val="24"/>
              </w:rPr>
              <w:t xml:space="preserve"> </w:t>
            </w:r>
            <w:r>
              <w:rPr>
                <w:rFonts w:ascii="Arial" w:hAnsi="Arial" w:cs="Arial"/>
                <w:spacing w:val="-3"/>
                <w:sz w:val="24"/>
              </w:rPr>
              <w:t>的交流金属全封闭开关设备的</w:t>
            </w:r>
            <w:r>
              <w:rPr>
                <w:rFonts w:ascii="Arial" w:hAnsi="Arial" w:cs="Arial"/>
                <w:sz w:val="24"/>
              </w:rPr>
              <w:t xml:space="preserve"> </w:t>
            </w:r>
            <w:r>
              <w:rPr>
                <w:rFonts w:ascii="Arial" w:hAnsi="Arial" w:cs="Arial"/>
                <w:spacing w:val="-2"/>
                <w:sz w:val="24"/>
              </w:rPr>
              <w:t>控制设备</w:t>
            </w:r>
          </w:p>
        </w:tc>
      </w:tr>
      <w:tr w14:paraId="2B642D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43" w:hRule="atLeast"/>
        </w:trPr>
        <w:tc>
          <w:tcPr>
            <w:tcW w:w="2756" w:type="dxa"/>
          </w:tcPr>
          <w:p w14:paraId="33EC7E15">
            <w:pPr>
              <w:spacing w:before="117" w:line="186" w:lineRule="auto"/>
              <w:ind w:left="717"/>
              <w:rPr>
                <w:sz w:val="24"/>
              </w:rPr>
            </w:pPr>
            <w:r>
              <w:rPr>
                <w:spacing w:val="-2"/>
                <w:sz w:val="24"/>
              </w:rPr>
              <w:t>IEC34</w:t>
            </w:r>
          </w:p>
        </w:tc>
        <w:tc>
          <w:tcPr>
            <w:tcW w:w="5540" w:type="dxa"/>
          </w:tcPr>
          <w:p w14:paraId="12ADAA1F">
            <w:pPr>
              <w:pStyle w:val="10"/>
              <w:spacing w:before="96" w:line="230" w:lineRule="auto"/>
              <w:ind w:left="412" w:hanging="16"/>
              <w:rPr>
                <w:rFonts w:ascii="Arial" w:hAnsi="Arial" w:cs="Arial"/>
                <w:sz w:val="24"/>
              </w:rPr>
            </w:pPr>
            <w:r>
              <w:rPr>
                <w:rFonts w:ascii="Arial" w:hAnsi="Arial" w:cs="Arial"/>
                <w:spacing w:val="-8"/>
                <w:sz w:val="24"/>
              </w:rPr>
              <w:t>旋转电机（全部）1-83，7-72</w:t>
            </w:r>
            <w:r>
              <w:rPr>
                <w:rFonts w:ascii="Arial" w:hAnsi="Arial" w:cs="Arial"/>
                <w:spacing w:val="-25"/>
                <w:sz w:val="24"/>
              </w:rPr>
              <w:t xml:space="preserve"> </w:t>
            </w:r>
            <w:r>
              <w:rPr>
                <w:rFonts w:ascii="Arial" w:hAnsi="Arial" w:cs="Arial"/>
                <w:spacing w:val="-8"/>
                <w:sz w:val="24"/>
              </w:rPr>
              <w:t>，6-69</w:t>
            </w:r>
            <w:r>
              <w:rPr>
                <w:rFonts w:ascii="Arial" w:hAnsi="Arial" w:cs="Arial"/>
                <w:spacing w:val="-34"/>
                <w:sz w:val="24"/>
              </w:rPr>
              <w:t xml:space="preserve"> </w:t>
            </w:r>
            <w:r>
              <w:rPr>
                <w:rFonts w:ascii="Arial" w:hAnsi="Arial" w:cs="Arial"/>
                <w:spacing w:val="-8"/>
                <w:sz w:val="24"/>
              </w:rPr>
              <w:t>，9-72</w:t>
            </w:r>
            <w:r>
              <w:rPr>
                <w:rFonts w:ascii="Arial" w:hAnsi="Arial" w:cs="Arial"/>
                <w:spacing w:val="-34"/>
                <w:sz w:val="24"/>
              </w:rPr>
              <w:t xml:space="preserve"> </w:t>
            </w:r>
            <w:r>
              <w:rPr>
                <w:rFonts w:ascii="Arial" w:hAnsi="Arial" w:cs="Arial"/>
                <w:spacing w:val="-8"/>
                <w:sz w:val="24"/>
              </w:rPr>
              <w:t>，11-2，</w:t>
            </w:r>
            <w:r>
              <w:rPr>
                <w:rFonts w:ascii="Arial" w:hAnsi="Arial" w:cs="Arial"/>
                <w:sz w:val="24"/>
              </w:rPr>
              <w:t xml:space="preserve"> </w:t>
            </w:r>
            <w:r>
              <w:rPr>
                <w:rFonts w:ascii="Arial" w:hAnsi="Arial" w:cs="Arial"/>
                <w:spacing w:val="-7"/>
                <w:sz w:val="24"/>
              </w:rPr>
              <w:t>12-80</w:t>
            </w:r>
            <w:r>
              <w:rPr>
                <w:rFonts w:ascii="Arial" w:hAnsi="Arial" w:cs="Arial"/>
                <w:spacing w:val="-24"/>
                <w:sz w:val="24"/>
              </w:rPr>
              <w:t xml:space="preserve"> </w:t>
            </w:r>
            <w:r>
              <w:rPr>
                <w:rFonts w:ascii="Arial" w:hAnsi="Arial" w:cs="Arial"/>
                <w:spacing w:val="-7"/>
                <w:sz w:val="24"/>
              </w:rPr>
              <w:t>，2-72</w:t>
            </w:r>
            <w:r>
              <w:rPr>
                <w:rFonts w:ascii="Arial" w:hAnsi="Arial" w:cs="Arial"/>
                <w:spacing w:val="-34"/>
                <w:sz w:val="24"/>
              </w:rPr>
              <w:t xml:space="preserve"> </w:t>
            </w:r>
            <w:r>
              <w:rPr>
                <w:rFonts w:ascii="Arial" w:hAnsi="Arial" w:cs="Arial"/>
                <w:spacing w:val="-7"/>
                <w:sz w:val="24"/>
              </w:rPr>
              <w:t>，5-68</w:t>
            </w:r>
            <w:r>
              <w:rPr>
                <w:rFonts w:ascii="Arial" w:hAnsi="Arial" w:cs="Arial"/>
                <w:spacing w:val="-34"/>
                <w:sz w:val="24"/>
              </w:rPr>
              <w:t xml:space="preserve"> </w:t>
            </w:r>
            <w:r>
              <w:rPr>
                <w:rFonts w:ascii="Arial" w:hAnsi="Arial" w:cs="Arial"/>
                <w:spacing w:val="-7"/>
                <w:sz w:val="24"/>
              </w:rPr>
              <w:t>，8-72</w:t>
            </w:r>
            <w:r>
              <w:rPr>
                <w:rFonts w:ascii="Arial" w:hAnsi="Arial" w:cs="Arial"/>
                <w:spacing w:val="-34"/>
                <w:sz w:val="24"/>
              </w:rPr>
              <w:t xml:space="preserve"> </w:t>
            </w:r>
            <w:r>
              <w:rPr>
                <w:rFonts w:ascii="Arial" w:hAnsi="Arial" w:cs="Arial"/>
                <w:spacing w:val="-7"/>
                <w:sz w:val="24"/>
              </w:rPr>
              <w:t>，11-78</w:t>
            </w:r>
            <w:r>
              <w:rPr>
                <w:rFonts w:ascii="Arial" w:hAnsi="Arial" w:cs="Arial"/>
                <w:spacing w:val="-34"/>
                <w:sz w:val="24"/>
              </w:rPr>
              <w:t xml:space="preserve"> </w:t>
            </w:r>
            <w:r>
              <w:rPr>
                <w:rFonts w:ascii="Arial" w:hAnsi="Arial" w:cs="Arial"/>
                <w:spacing w:val="-7"/>
                <w:sz w:val="24"/>
              </w:rPr>
              <w:t>，11-3 等</w:t>
            </w:r>
          </w:p>
        </w:tc>
      </w:tr>
      <w:tr w14:paraId="0252BBF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3D313600">
            <w:pPr>
              <w:spacing w:before="116" w:line="186" w:lineRule="auto"/>
              <w:ind w:left="717"/>
              <w:rPr>
                <w:sz w:val="24"/>
              </w:rPr>
            </w:pPr>
            <w:r>
              <w:rPr>
                <w:spacing w:val="-2"/>
                <w:sz w:val="24"/>
              </w:rPr>
              <w:t>IEC73-84</w:t>
            </w:r>
          </w:p>
        </w:tc>
        <w:tc>
          <w:tcPr>
            <w:tcW w:w="5540" w:type="dxa"/>
          </w:tcPr>
          <w:p w14:paraId="23F17CF0">
            <w:pPr>
              <w:pStyle w:val="10"/>
              <w:spacing w:before="95" w:line="220" w:lineRule="auto"/>
              <w:ind w:left="397"/>
              <w:rPr>
                <w:rFonts w:ascii="Arial" w:hAnsi="Arial" w:cs="Arial"/>
                <w:sz w:val="24"/>
              </w:rPr>
            </w:pPr>
            <w:r>
              <w:rPr>
                <w:rFonts w:ascii="Arial" w:hAnsi="Arial" w:cs="Arial"/>
                <w:spacing w:val="-2"/>
                <w:sz w:val="24"/>
              </w:rPr>
              <w:t>指示灯和按钮颜色</w:t>
            </w:r>
          </w:p>
        </w:tc>
      </w:tr>
      <w:tr w14:paraId="70C7F25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756" w:type="dxa"/>
          </w:tcPr>
          <w:p w14:paraId="3B028040">
            <w:pPr>
              <w:spacing w:before="117" w:line="186" w:lineRule="auto"/>
              <w:ind w:left="717"/>
              <w:rPr>
                <w:sz w:val="24"/>
              </w:rPr>
            </w:pPr>
            <w:r>
              <w:rPr>
                <w:spacing w:val="-1"/>
                <w:sz w:val="24"/>
              </w:rPr>
              <w:t>IEC391-72</w:t>
            </w:r>
          </w:p>
        </w:tc>
        <w:tc>
          <w:tcPr>
            <w:tcW w:w="5540" w:type="dxa"/>
          </w:tcPr>
          <w:p w14:paraId="69FED896">
            <w:pPr>
              <w:pStyle w:val="10"/>
              <w:spacing w:before="97" w:line="220" w:lineRule="auto"/>
              <w:ind w:left="396"/>
              <w:rPr>
                <w:rFonts w:ascii="Arial" w:hAnsi="Arial" w:cs="Arial"/>
                <w:sz w:val="24"/>
              </w:rPr>
            </w:pPr>
            <w:r>
              <w:rPr>
                <w:rFonts w:ascii="Arial" w:hAnsi="Arial" w:cs="Arial"/>
                <w:spacing w:val="-2"/>
                <w:sz w:val="24"/>
              </w:rPr>
              <w:t>绝缘导线标志</w:t>
            </w:r>
          </w:p>
        </w:tc>
      </w:tr>
      <w:tr w14:paraId="0FEB57F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743" w:hRule="atLeast"/>
        </w:trPr>
        <w:tc>
          <w:tcPr>
            <w:tcW w:w="2756" w:type="dxa"/>
          </w:tcPr>
          <w:p w14:paraId="41A808FC">
            <w:pPr>
              <w:spacing w:before="117" w:line="186" w:lineRule="auto"/>
              <w:ind w:left="717"/>
              <w:rPr>
                <w:sz w:val="24"/>
              </w:rPr>
            </w:pPr>
            <w:r>
              <w:rPr>
                <w:spacing w:val="-1"/>
                <w:sz w:val="24"/>
              </w:rPr>
              <w:t>IEC445-73</w:t>
            </w:r>
          </w:p>
        </w:tc>
        <w:tc>
          <w:tcPr>
            <w:tcW w:w="5540" w:type="dxa"/>
          </w:tcPr>
          <w:p w14:paraId="666D7340">
            <w:pPr>
              <w:pStyle w:val="10"/>
              <w:spacing w:before="97" w:line="230" w:lineRule="auto"/>
              <w:ind w:left="397" w:right="4" w:hanging="1"/>
              <w:rPr>
                <w:rFonts w:ascii="Arial" w:hAnsi="Arial" w:cs="Arial"/>
                <w:sz w:val="24"/>
              </w:rPr>
            </w:pPr>
            <w:r>
              <w:rPr>
                <w:rFonts w:ascii="Arial" w:hAnsi="Arial" w:cs="Arial"/>
                <w:spacing w:val="4"/>
                <w:sz w:val="24"/>
              </w:rPr>
              <w:t>用字母数字符号识别电气接线端子和接线标记统</w:t>
            </w:r>
            <w:r>
              <w:rPr>
                <w:rFonts w:ascii="Arial" w:hAnsi="Arial" w:cs="Arial"/>
                <w:spacing w:val="14"/>
                <w:sz w:val="24"/>
              </w:rPr>
              <w:t xml:space="preserve"> </w:t>
            </w:r>
            <w:r>
              <w:rPr>
                <w:rFonts w:ascii="Arial" w:hAnsi="Arial" w:cs="Arial"/>
                <w:spacing w:val="-2"/>
                <w:sz w:val="24"/>
              </w:rPr>
              <w:t>一系统的通用原则</w:t>
            </w:r>
          </w:p>
        </w:tc>
      </w:tr>
      <w:tr w14:paraId="323D723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52994510">
            <w:pPr>
              <w:spacing w:before="115" w:line="186" w:lineRule="auto"/>
              <w:ind w:left="717"/>
              <w:rPr>
                <w:sz w:val="24"/>
              </w:rPr>
            </w:pPr>
            <w:r>
              <w:rPr>
                <w:spacing w:val="-1"/>
                <w:sz w:val="24"/>
              </w:rPr>
              <w:t>IEC446-73</w:t>
            </w:r>
          </w:p>
        </w:tc>
        <w:tc>
          <w:tcPr>
            <w:tcW w:w="5540" w:type="dxa"/>
          </w:tcPr>
          <w:p w14:paraId="5CFB5D76">
            <w:pPr>
              <w:pStyle w:val="10"/>
              <w:spacing w:before="96" w:line="220" w:lineRule="auto"/>
              <w:ind w:left="396"/>
              <w:rPr>
                <w:rFonts w:ascii="Arial" w:hAnsi="Arial" w:cs="Arial"/>
                <w:sz w:val="24"/>
              </w:rPr>
            </w:pPr>
            <w:r>
              <w:rPr>
                <w:rFonts w:ascii="Arial" w:hAnsi="Arial" w:cs="Arial"/>
                <w:spacing w:val="-1"/>
                <w:sz w:val="24"/>
              </w:rPr>
              <w:t>用颜色鉴别绝缘导线和裸导线</w:t>
            </w:r>
          </w:p>
        </w:tc>
      </w:tr>
      <w:tr w14:paraId="24C434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756" w:type="dxa"/>
          </w:tcPr>
          <w:p w14:paraId="7A53E64C">
            <w:pPr>
              <w:spacing w:before="116" w:line="186" w:lineRule="auto"/>
              <w:ind w:left="717"/>
              <w:rPr>
                <w:sz w:val="24"/>
              </w:rPr>
            </w:pPr>
            <w:r>
              <w:rPr>
                <w:spacing w:val="-1"/>
                <w:sz w:val="24"/>
              </w:rPr>
              <w:t>IEC757-83</w:t>
            </w:r>
          </w:p>
        </w:tc>
        <w:tc>
          <w:tcPr>
            <w:tcW w:w="5540" w:type="dxa"/>
          </w:tcPr>
          <w:p w14:paraId="7FB6D988">
            <w:pPr>
              <w:pStyle w:val="10"/>
              <w:spacing w:before="96" w:line="220" w:lineRule="auto"/>
              <w:ind w:left="393"/>
              <w:rPr>
                <w:rFonts w:ascii="Arial" w:hAnsi="Arial" w:cs="Arial"/>
                <w:sz w:val="24"/>
              </w:rPr>
            </w:pPr>
            <w:r>
              <w:rPr>
                <w:rFonts w:ascii="Arial" w:hAnsi="Arial" w:cs="Arial"/>
                <w:spacing w:val="-2"/>
                <w:sz w:val="24"/>
              </w:rPr>
              <w:t>颜色标示符号</w:t>
            </w:r>
          </w:p>
        </w:tc>
      </w:tr>
      <w:tr w14:paraId="2FFC90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756" w:type="dxa"/>
          </w:tcPr>
          <w:p w14:paraId="1613D48F">
            <w:pPr>
              <w:spacing w:before="116" w:line="186" w:lineRule="auto"/>
              <w:ind w:left="717"/>
              <w:rPr>
                <w:sz w:val="24"/>
              </w:rPr>
            </w:pPr>
            <w:r>
              <w:rPr>
                <w:spacing w:val="-2"/>
                <w:sz w:val="24"/>
              </w:rPr>
              <w:t>IEC86</w:t>
            </w:r>
          </w:p>
        </w:tc>
        <w:tc>
          <w:tcPr>
            <w:tcW w:w="5540" w:type="dxa"/>
          </w:tcPr>
          <w:p w14:paraId="11CE3CBB">
            <w:pPr>
              <w:pStyle w:val="10"/>
              <w:spacing w:before="96" w:line="219" w:lineRule="auto"/>
              <w:ind w:left="394"/>
              <w:rPr>
                <w:rFonts w:ascii="Arial" w:hAnsi="Arial" w:cs="Arial"/>
                <w:sz w:val="24"/>
              </w:rPr>
            </w:pPr>
            <w:r>
              <w:rPr>
                <w:rFonts w:ascii="Arial" w:hAnsi="Arial" w:cs="Arial"/>
                <w:spacing w:val="-2"/>
                <w:sz w:val="24"/>
              </w:rPr>
              <w:t>基本环境试验</w:t>
            </w:r>
          </w:p>
        </w:tc>
      </w:tr>
      <w:tr w14:paraId="44355B7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35" w:hRule="atLeast"/>
        </w:trPr>
        <w:tc>
          <w:tcPr>
            <w:tcW w:w="2756" w:type="dxa"/>
          </w:tcPr>
          <w:p w14:paraId="072F0C75">
            <w:pPr>
              <w:spacing w:before="111" w:line="186" w:lineRule="auto"/>
              <w:ind w:left="719"/>
              <w:rPr>
                <w:sz w:val="24"/>
              </w:rPr>
            </w:pPr>
            <w:r>
              <w:rPr>
                <w:spacing w:val="-1"/>
                <w:sz w:val="24"/>
              </w:rPr>
              <w:t>GB/T997-1981</w:t>
            </w:r>
          </w:p>
        </w:tc>
        <w:tc>
          <w:tcPr>
            <w:tcW w:w="5540" w:type="dxa"/>
          </w:tcPr>
          <w:p w14:paraId="32FD8DCA">
            <w:pPr>
              <w:pStyle w:val="10"/>
              <w:spacing w:before="96" w:line="176" w:lineRule="auto"/>
              <w:ind w:left="422"/>
              <w:rPr>
                <w:rFonts w:ascii="Arial" w:hAnsi="Arial" w:cs="Arial"/>
                <w:sz w:val="24"/>
              </w:rPr>
            </w:pPr>
            <w:r>
              <w:rPr>
                <w:rFonts w:ascii="Arial" w:hAnsi="Arial" w:cs="Arial"/>
                <w:spacing w:val="-4"/>
                <w:sz w:val="24"/>
              </w:rPr>
              <w:t>电机结构及安装型式代号</w:t>
            </w:r>
          </w:p>
        </w:tc>
      </w:tr>
    </w:tbl>
    <w:p w14:paraId="4E01EED1">
      <w:pPr>
        <w:numPr>
          <w:ilvl w:val="0"/>
          <w:numId w:val="4"/>
        </w:numPr>
        <w:spacing w:before="311" w:line="220" w:lineRule="auto"/>
        <w:ind w:firstLine="472" w:firstLineChars="200"/>
        <w:rPr>
          <w:spacing w:val="-2"/>
          <w:sz w:val="24"/>
        </w:rPr>
      </w:pPr>
      <w:r>
        <w:rPr>
          <w:spacing w:val="-2"/>
          <w:sz w:val="24"/>
        </w:rPr>
        <w:t xml:space="preserve">   自动化仪表及自动控制系统标准</w:t>
      </w:r>
    </w:p>
    <w:p w14:paraId="3B33AFED">
      <w:pPr>
        <w:spacing w:before="311" w:line="220" w:lineRule="auto"/>
        <w:rPr>
          <w:spacing w:val="-2"/>
          <w:sz w:val="24"/>
        </w:rPr>
      </w:pPr>
    </w:p>
    <w:tbl>
      <w:tblPr>
        <w:tblStyle w:val="8"/>
        <w:tblW w:w="7704" w:type="dxa"/>
        <w:tblInd w:w="31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2818"/>
        <w:gridCol w:w="4886"/>
      </w:tblGrid>
      <w:tr w14:paraId="4873BA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35" w:hRule="atLeast"/>
        </w:trPr>
        <w:tc>
          <w:tcPr>
            <w:tcW w:w="2818" w:type="dxa"/>
          </w:tcPr>
          <w:p w14:paraId="48F0F56F">
            <w:pPr>
              <w:spacing w:before="19" w:line="186" w:lineRule="auto"/>
              <w:ind w:left="732"/>
              <w:rPr>
                <w:sz w:val="24"/>
              </w:rPr>
            </w:pPr>
            <w:r>
              <w:rPr>
                <w:spacing w:val="-2"/>
                <w:sz w:val="24"/>
              </w:rPr>
              <w:t>GB700-88</w:t>
            </w:r>
          </w:p>
        </w:tc>
        <w:tc>
          <w:tcPr>
            <w:tcW w:w="4886" w:type="dxa"/>
          </w:tcPr>
          <w:p w14:paraId="5F047119">
            <w:pPr>
              <w:pStyle w:val="10"/>
              <w:spacing w:before="1" w:line="218" w:lineRule="auto"/>
              <w:ind w:left="340"/>
              <w:rPr>
                <w:rFonts w:ascii="Arial" w:hAnsi="Arial" w:cs="Arial"/>
                <w:sz w:val="24"/>
              </w:rPr>
            </w:pPr>
            <w:r>
              <w:rPr>
                <w:rFonts w:ascii="Arial" w:hAnsi="Arial" w:cs="Arial"/>
                <w:spacing w:val="-3"/>
                <w:sz w:val="24"/>
              </w:rPr>
              <w:t>热镀锌标准</w:t>
            </w:r>
          </w:p>
        </w:tc>
      </w:tr>
      <w:tr w14:paraId="0072F1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0" w:hRule="atLeast"/>
        </w:trPr>
        <w:tc>
          <w:tcPr>
            <w:tcW w:w="2818" w:type="dxa"/>
          </w:tcPr>
          <w:p w14:paraId="1AD03C75">
            <w:pPr>
              <w:spacing w:before="114" w:line="186" w:lineRule="auto"/>
              <w:ind w:left="732"/>
              <w:rPr>
                <w:sz w:val="24"/>
              </w:rPr>
            </w:pPr>
            <w:r>
              <w:rPr>
                <w:spacing w:val="-2"/>
                <w:sz w:val="24"/>
              </w:rPr>
              <w:t>GB3368-82</w:t>
            </w:r>
          </w:p>
        </w:tc>
        <w:tc>
          <w:tcPr>
            <w:tcW w:w="4886" w:type="dxa"/>
          </w:tcPr>
          <w:p w14:paraId="41AC0CC6">
            <w:pPr>
              <w:pStyle w:val="10"/>
              <w:spacing w:before="93" w:line="220" w:lineRule="auto"/>
              <w:ind w:left="338"/>
              <w:rPr>
                <w:rFonts w:ascii="Arial" w:hAnsi="Arial" w:cs="Arial"/>
                <w:sz w:val="24"/>
              </w:rPr>
            </w:pPr>
            <w:r>
              <w:rPr>
                <w:rFonts w:ascii="Arial" w:hAnsi="Arial" w:cs="Arial"/>
                <w:spacing w:val="-1"/>
                <w:sz w:val="24"/>
              </w:rPr>
              <w:t>工业自动化仪表用电源电压</w:t>
            </w:r>
          </w:p>
        </w:tc>
      </w:tr>
      <w:tr w14:paraId="2212B2B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54AA98F3">
            <w:pPr>
              <w:spacing w:before="116" w:line="186" w:lineRule="auto"/>
              <w:ind w:left="732"/>
              <w:rPr>
                <w:sz w:val="24"/>
              </w:rPr>
            </w:pPr>
            <w:r>
              <w:rPr>
                <w:spacing w:val="-2"/>
                <w:sz w:val="24"/>
              </w:rPr>
              <w:t>GB4028</w:t>
            </w:r>
          </w:p>
        </w:tc>
        <w:tc>
          <w:tcPr>
            <w:tcW w:w="4886" w:type="dxa"/>
          </w:tcPr>
          <w:p w14:paraId="2FBA887B">
            <w:pPr>
              <w:pStyle w:val="10"/>
              <w:spacing w:before="95" w:line="220" w:lineRule="auto"/>
              <w:ind w:left="340"/>
              <w:rPr>
                <w:rFonts w:ascii="Arial" w:hAnsi="Arial" w:cs="Arial"/>
                <w:sz w:val="24"/>
              </w:rPr>
            </w:pPr>
            <w:r>
              <w:rPr>
                <w:rFonts w:ascii="Arial" w:hAnsi="Arial" w:cs="Arial"/>
                <w:spacing w:val="-2"/>
                <w:sz w:val="24"/>
              </w:rPr>
              <w:t>外壳防护等级的分类</w:t>
            </w:r>
          </w:p>
        </w:tc>
      </w:tr>
      <w:tr w14:paraId="408A741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0" w:hRule="atLeast"/>
        </w:trPr>
        <w:tc>
          <w:tcPr>
            <w:tcW w:w="2818" w:type="dxa"/>
          </w:tcPr>
          <w:p w14:paraId="425E329A">
            <w:pPr>
              <w:spacing w:before="116" w:line="186" w:lineRule="auto"/>
              <w:ind w:left="732"/>
              <w:rPr>
                <w:sz w:val="24"/>
              </w:rPr>
            </w:pPr>
            <w:r>
              <w:rPr>
                <w:spacing w:val="-2"/>
                <w:sz w:val="24"/>
              </w:rPr>
              <w:t>GB12706</w:t>
            </w:r>
          </w:p>
        </w:tc>
        <w:tc>
          <w:tcPr>
            <w:tcW w:w="4886" w:type="dxa"/>
          </w:tcPr>
          <w:p w14:paraId="32C812EA">
            <w:pPr>
              <w:pStyle w:val="10"/>
              <w:spacing w:before="95" w:line="220" w:lineRule="auto"/>
              <w:ind w:left="363"/>
              <w:rPr>
                <w:rFonts w:ascii="Arial" w:hAnsi="Arial" w:cs="Arial"/>
                <w:sz w:val="24"/>
              </w:rPr>
            </w:pPr>
            <w:r>
              <w:rPr>
                <w:rFonts w:ascii="Arial" w:hAnsi="Arial" w:cs="Arial"/>
                <w:spacing w:val="-8"/>
                <w:sz w:val="24"/>
              </w:rPr>
              <w:t>电力电缆</w:t>
            </w:r>
          </w:p>
        </w:tc>
      </w:tr>
      <w:tr w14:paraId="1E0AE9D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1A94BBCD">
            <w:pPr>
              <w:spacing w:before="116" w:line="186" w:lineRule="auto"/>
              <w:ind w:left="732"/>
              <w:rPr>
                <w:sz w:val="24"/>
              </w:rPr>
            </w:pPr>
            <w:r>
              <w:rPr>
                <w:spacing w:val="-1"/>
                <w:sz w:val="24"/>
              </w:rPr>
              <w:t>GB15972.5-1998</w:t>
            </w:r>
          </w:p>
        </w:tc>
        <w:tc>
          <w:tcPr>
            <w:tcW w:w="4886" w:type="dxa"/>
          </w:tcPr>
          <w:p w14:paraId="56F55D58">
            <w:pPr>
              <w:pStyle w:val="10"/>
              <w:spacing w:before="95" w:line="220" w:lineRule="auto"/>
              <w:ind w:left="337"/>
              <w:rPr>
                <w:rFonts w:ascii="Arial" w:hAnsi="Arial" w:cs="Arial"/>
                <w:sz w:val="24"/>
              </w:rPr>
            </w:pPr>
            <w:r>
              <w:rPr>
                <w:rFonts w:ascii="Arial" w:hAnsi="Arial" w:cs="Arial"/>
                <w:spacing w:val="-2"/>
                <w:sz w:val="24"/>
              </w:rPr>
              <w:t>光纤总规范</w:t>
            </w:r>
          </w:p>
        </w:tc>
      </w:tr>
      <w:tr w14:paraId="4A363FE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23B8992C">
            <w:pPr>
              <w:spacing w:before="112" w:line="190" w:lineRule="auto"/>
              <w:ind w:left="732"/>
              <w:rPr>
                <w:sz w:val="24"/>
              </w:rPr>
            </w:pPr>
            <w:r>
              <w:rPr>
                <w:spacing w:val="-1"/>
                <w:sz w:val="24"/>
              </w:rPr>
              <w:t>GB-/T3091-93</w:t>
            </w:r>
          </w:p>
        </w:tc>
        <w:tc>
          <w:tcPr>
            <w:tcW w:w="4886" w:type="dxa"/>
          </w:tcPr>
          <w:p w14:paraId="7BD8E0D5">
            <w:pPr>
              <w:pStyle w:val="10"/>
              <w:spacing w:before="96" w:line="219" w:lineRule="auto"/>
              <w:ind w:left="334"/>
              <w:rPr>
                <w:rFonts w:ascii="Arial" w:hAnsi="Arial" w:cs="Arial"/>
                <w:sz w:val="24"/>
              </w:rPr>
            </w:pPr>
            <w:r>
              <w:rPr>
                <w:rFonts w:ascii="Arial" w:hAnsi="Arial" w:cs="Arial"/>
                <w:spacing w:val="-2"/>
                <w:sz w:val="24"/>
              </w:rPr>
              <w:t>镀锌焊接钢管</w:t>
            </w:r>
          </w:p>
        </w:tc>
      </w:tr>
      <w:tr w14:paraId="67DDA7C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1E3DF90E">
            <w:pPr>
              <w:spacing w:before="117" w:line="186" w:lineRule="auto"/>
              <w:ind w:left="732"/>
              <w:rPr>
                <w:sz w:val="24"/>
              </w:rPr>
            </w:pPr>
            <w:r>
              <w:rPr>
                <w:spacing w:val="-2"/>
                <w:sz w:val="24"/>
              </w:rPr>
              <w:t>GB75353-87</w:t>
            </w:r>
          </w:p>
        </w:tc>
        <w:tc>
          <w:tcPr>
            <w:tcW w:w="4886" w:type="dxa"/>
          </w:tcPr>
          <w:p w14:paraId="4A883ECA">
            <w:pPr>
              <w:pStyle w:val="10"/>
              <w:spacing w:before="96" w:line="219" w:lineRule="auto"/>
              <w:ind w:left="338"/>
              <w:rPr>
                <w:rFonts w:ascii="Arial" w:hAnsi="Arial" w:cs="Arial"/>
                <w:sz w:val="24"/>
              </w:rPr>
            </w:pPr>
            <w:r>
              <w:rPr>
                <w:rFonts w:ascii="Arial" w:hAnsi="Arial" w:cs="Arial"/>
                <w:spacing w:val="-1"/>
                <w:sz w:val="24"/>
              </w:rPr>
              <w:t>工业自动化仪表盘基本尺寸及型式</w:t>
            </w:r>
          </w:p>
        </w:tc>
      </w:tr>
      <w:tr w14:paraId="50B3A49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3D7A08FB">
            <w:pPr>
              <w:spacing w:before="116" w:line="186" w:lineRule="auto"/>
              <w:ind w:left="733"/>
              <w:rPr>
                <w:sz w:val="24"/>
              </w:rPr>
            </w:pPr>
            <w:r>
              <w:rPr>
                <w:spacing w:val="-2"/>
                <w:sz w:val="24"/>
              </w:rPr>
              <w:t>CISPR22</w:t>
            </w:r>
          </w:p>
        </w:tc>
        <w:tc>
          <w:tcPr>
            <w:tcW w:w="4886" w:type="dxa"/>
          </w:tcPr>
          <w:p w14:paraId="0DB76BEA">
            <w:pPr>
              <w:pStyle w:val="10"/>
              <w:spacing w:before="96" w:line="219" w:lineRule="auto"/>
              <w:rPr>
                <w:rFonts w:ascii="Arial" w:hAnsi="Arial" w:cs="Arial"/>
                <w:sz w:val="24"/>
              </w:rPr>
            </w:pPr>
            <w:r>
              <w:rPr>
                <w:rFonts w:ascii="Arial" w:hAnsi="Arial" w:cs="Arial"/>
                <w:spacing w:val="-1"/>
                <w:sz w:val="24"/>
              </w:rPr>
              <w:t>信息技术设备无线电干扰特性的限值和测量</w:t>
            </w:r>
          </w:p>
        </w:tc>
      </w:tr>
      <w:tr w14:paraId="021500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16BEBBC8">
            <w:pPr>
              <w:spacing w:before="117" w:line="186" w:lineRule="auto"/>
              <w:ind w:left="729"/>
              <w:rPr>
                <w:sz w:val="24"/>
              </w:rPr>
            </w:pPr>
            <w:r>
              <w:rPr>
                <w:spacing w:val="-1"/>
                <w:sz w:val="24"/>
              </w:rPr>
              <w:t>EN50082</w:t>
            </w:r>
          </w:p>
        </w:tc>
        <w:tc>
          <w:tcPr>
            <w:tcW w:w="4886" w:type="dxa"/>
          </w:tcPr>
          <w:p w14:paraId="2E36A998">
            <w:pPr>
              <w:pStyle w:val="10"/>
              <w:spacing w:before="97" w:line="219" w:lineRule="auto"/>
              <w:ind w:left="335"/>
              <w:rPr>
                <w:rFonts w:ascii="Arial" w:hAnsi="Arial" w:cs="Arial"/>
                <w:sz w:val="24"/>
              </w:rPr>
            </w:pPr>
            <w:r>
              <w:rPr>
                <w:rFonts w:ascii="Arial" w:hAnsi="Arial" w:cs="Arial"/>
                <w:spacing w:val="-2"/>
                <w:sz w:val="24"/>
              </w:rPr>
              <w:t>通用抗干扰标准</w:t>
            </w:r>
          </w:p>
        </w:tc>
      </w:tr>
      <w:tr w14:paraId="77D618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7AB04977">
            <w:pPr>
              <w:spacing w:before="117" w:line="186" w:lineRule="auto"/>
              <w:ind w:left="730"/>
              <w:rPr>
                <w:sz w:val="24"/>
              </w:rPr>
            </w:pPr>
            <w:r>
              <w:rPr>
                <w:spacing w:val="-2"/>
                <w:sz w:val="24"/>
              </w:rPr>
              <w:t>IEC60068</w:t>
            </w:r>
          </w:p>
        </w:tc>
        <w:tc>
          <w:tcPr>
            <w:tcW w:w="4886" w:type="dxa"/>
          </w:tcPr>
          <w:p w14:paraId="57FF4A66">
            <w:pPr>
              <w:pStyle w:val="10"/>
              <w:spacing w:before="97" w:line="220" w:lineRule="auto"/>
              <w:ind w:left="335"/>
              <w:rPr>
                <w:rFonts w:ascii="Arial" w:hAnsi="Arial" w:cs="Arial"/>
                <w:sz w:val="24"/>
              </w:rPr>
            </w:pPr>
            <w:r>
              <w:rPr>
                <w:rFonts w:ascii="Arial" w:hAnsi="Arial" w:cs="Arial"/>
                <w:spacing w:val="-2"/>
                <w:sz w:val="24"/>
              </w:rPr>
              <w:t>环境测试</w:t>
            </w:r>
          </w:p>
        </w:tc>
      </w:tr>
      <w:tr w14:paraId="0CA5B1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6B7D74B8">
            <w:pPr>
              <w:spacing w:before="117" w:line="186" w:lineRule="auto"/>
              <w:ind w:left="732"/>
              <w:rPr>
                <w:sz w:val="24"/>
              </w:rPr>
            </w:pPr>
            <w:r>
              <w:rPr>
                <w:spacing w:val="-2"/>
                <w:sz w:val="24"/>
              </w:rPr>
              <w:t>GB75353-87</w:t>
            </w:r>
          </w:p>
        </w:tc>
        <w:tc>
          <w:tcPr>
            <w:tcW w:w="4886" w:type="dxa"/>
          </w:tcPr>
          <w:p w14:paraId="46F3A8F6">
            <w:pPr>
              <w:pStyle w:val="10"/>
              <w:spacing w:before="97" w:line="219" w:lineRule="auto"/>
              <w:ind w:left="338"/>
              <w:rPr>
                <w:rFonts w:ascii="Arial" w:hAnsi="Arial" w:cs="Arial"/>
                <w:sz w:val="24"/>
              </w:rPr>
            </w:pPr>
            <w:r>
              <w:rPr>
                <w:rFonts w:ascii="Arial" w:hAnsi="Arial" w:cs="Arial"/>
                <w:spacing w:val="-1"/>
                <w:sz w:val="24"/>
              </w:rPr>
              <w:t>工业自动化仪表盘基本尺寸及型式</w:t>
            </w:r>
          </w:p>
        </w:tc>
      </w:tr>
      <w:tr w14:paraId="48A0BA5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4B943DB9">
            <w:pPr>
              <w:spacing w:before="115" w:line="186" w:lineRule="auto"/>
              <w:ind w:left="730"/>
              <w:rPr>
                <w:sz w:val="24"/>
              </w:rPr>
            </w:pPr>
            <w:r>
              <w:rPr>
                <w:spacing w:val="-2"/>
                <w:sz w:val="24"/>
              </w:rPr>
              <w:t>IEC60127</w:t>
            </w:r>
          </w:p>
        </w:tc>
        <w:tc>
          <w:tcPr>
            <w:tcW w:w="4886" w:type="dxa"/>
          </w:tcPr>
          <w:p w14:paraId="1110B29C">
            <w:pPr>
              <w:pStyle w:val="10"/>
              <w:spacing w:before="95" w:line="220" w:lineRule="auto"/>
              <w:ind w:left="342"/>
              <w:rPr>
                <w:rFonts w:ascii="Arial" w:hAnsi="Arial" w:cs="Arial"/>
                <w:sz w:val="24"/>
              </w:rPr>
            </w:pPr>
            <w:r>
              <w:rPr>
                <w:rFonts w:ascii="Arial" w:hAnsi="Arial" w:cs="Arial"/>
                <w:spacing w:val="-3"/>
                <w:sz w:val="24"/>
              </w:rPr>
              <w:t>小型熔断器</w:t>
            </w:r>
          </w:p>
        </w:tc>
      </w:tr>
      <w:tr w14:paraId="2EFCA80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5918F012">
            <w:pPr>
              <w:spacing w:before="116" w:line="186" w:lineRule="auto"/>
              <w:ind w:left="730"/>
              <w:rPr>
                <w:sz w:val="24"/>
              </w:rPr>
            </w:pPr>
            <w:r>
              <w:rPr>
                <w:spacing w:val="-2"/>
                <w:sz w:val="24"/>
              </w:rPr>
              <w:t>IEC60255</w:t>
            </w:r>
          </w:p>
        </w:tc>
        <w:tc>
          <w:tcPr>
            <w:tcW w:w="4886" w:type="dxa"/>
          </w:tcPr>
          <w:p w14:paraId="2CBECE4A">
            <w:pPr>
              <w:pStyle w:val="10"/>
              <w:spacing w:before="96" w:line="221" w:lineRule="auto"/>
              <w:ind w:left="363"/>
              <w:rPr>
                <w:rFonts w:ascii="Arial" w:hAnsi="Arial" w:cs="Arial"/>
                <w:sz w:val="24"/>
              </w:rPr>
            </w:pPr>
            <w:r>
              <w:rPr>
                <w:rFonts w:ascii="Arial" w:hAnsi="Arial" w:cs="Arial"/>
                <w:spacing w:val="-6"/>
                <w:sz w:val="24"/>
              </w:rPr>
              <w:t>电气继电器</w:t>
            </w:r>
          </w:p>
        </w:tc>
      </w:tr>
      <w:tr w14:paraId="6AA0321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2DC5EDE7">
            <w:pPr>
              <w:spacing w:before="116" w:line="186" w:lineRule="auto"/>
              <w:ind w:left="730"/>
              <w:rPr>
                <w:sz w:val="24"/>
              </w:rPr>
            </w:pPr>
            <w:r>
              <w:rPr>
                <w:spacing w:val="-2"/>
                <w:sz w:val="24"/>
              </w:rPr>
              <w:t>IEC60381</w:t>
            </w:r>
          </w:p>
        </w:tc>
        <w:tc>
          <w:tcPr>
            <w:tcW w:w="4886" w:type="dxa"/>
          </w:tcPr>
          <w:p w14:paraId="1D4491F5">
            <w:pPr>
              <w:pStyle w:val="10"/>
              <w:spacing w:before="96" w:line="219" w:lineRule="auto"/>
              <w:ind w:left="337"/>
              <w:rPr>
                <w:rFonts w:ascii="Arial" w:hAnsi="Arial" w:cs="Arial"/>
                <w:sz w:val="24"/>
              </w:rPr>
            </w:pPr>
            <w:r>
              <w:rPr>
                <w:rFonts w:ascii="Arial" w:hAnsi="Arial" w:cs="Arial"/>
                <w:spacing w:val="-1"/>
                <w:sz w:val="24"/>
              </w:rPr>
              <w:t>用于过程控制系统的模拟信号</w:t>
            </w:r>
          </w:p>
        </w:tc>
      </w:tr>
      <w:tr w14:paraId="2EDA00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1EAE0D72">
            <w:pPr>
              <w:spacing w:before="115" w:line="186" w:lineRule="auto"/>
              <w:ind w:left="730"/>
              <w:rPr>
                <w:sz w:val="24"/>
              </w:rPr>
            </w:pPr>
            <w:r>
              <w:rPr>
                <w:spacing w:val="-2"/>
                <w:sz w:val="24"/>
              </w:rPr>
              <w:t>IEC60605</w:t>
            </w:r>
          </w:p>
        </w:tc>
        <w:tc>
          <w:tcPr>
            <w:tcW w:w="4886" w:type="dxa"/>
          </w:tcPr>
          <w:p w14:paraId="1646A2A3">
            <w:pPr>
              <w:pStyle w:val="10"/>
              <w:spacing w:before="95" w:line="221" w:lineRule="auto"/>
              <w:ind w:left="339"/>
              <w:rPr>
                <w:rFonts w:ascii="Arial" w:hAnsi="Arial" w:cs="Arial"/>
                <w:sz w:val="24"/>
              </w:rPr>
            </w:pPr>
            <w:r>
              <w:rPr>
                <w:rFonts w:ascii="Arial" w:hAnsi="Arial" w:cs="Arial"/>
                <w:spacing w:val="-2"/>
                <w:sz w:val="24"/>
              </w:rPr>
              <w:t>设备可靠性测试</w:t>
            </w:r>
          </w:p>
        </w:tc>
      </w:tr>
      <w:tr w14:paraId="0D36BA2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7C649F1B">
            <w:pPr>
              <w:spacing w:before="116" w:line="186" w:lineRule="auto"/>
              <w:ind w:left="730"/>
              <w:rPr>
                <w:sz w:val="24"/>
              </w:rPr>
            </w:pPr>
            <w:r>
              <w:rPr>
                <w:spacing w:val="-2"/>
                <w:sz w:val="24"/>
              </w:rPr>
              <w:t>IEC60625</w:t>
            </w:r>
          </w:p>
        </w:tc>
        <w:tc>
          <w:tcPr>
            <w:tcW w:w="4886" w:type="dxa"/>
          </w:tcPr>
          <w:p w14:paraId="3B38CDAA">
            <w:pPr>
              <w:pStyle w:val="10"/>
              <w:spacing w:before="96" w:line="220" w:lineRule="auto"/>
              <w:ind w:left="337"/>
              <w:rPr>
                <w:rFonts w:ascii="Arial" w:hAnsi="Arial" w:cs="Arial"/>
                <w:sz w:val="24"/>
              </w:rPr>
            </w:pPr>
            <w:r>
              <w:rPr>
                <w:rFonts w:ascii="Arial" w:hAnsi="Arial" w:cs="Arial"/>
                <w:spacing w:val="-2"/>
                <w:sz w:val="24"/>
              </w:rPr>
              <w:t>可编程测量仪表</w:t>
            </w:r>
          </w:p>
        </w:tc>
      </w:tr>
      <w:tr w14:paraId="0ADCB0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0790BB12">
            <w:pPr>
              <w:spacing w:before="116" w:line="186" w:lineRule="auto"/>
              <w:ind w:left="730"/>
              <w:rPr>
                <w:sz w:val="24"/>
              </w:rPr>
            </w:pPr>
            <w:r>
              <w:rPr>
                <w:spacing w:val="-2"/>
                <w:sz w:val="24"/>
              </w:rPr>
              <w:t>IEC60793</w:t>
            </w:r>
          </w:p>
        </w:tc>
        <w:tc>
          <w:tcPr>
            <w:tcW w:w="4886" w:type="dxa"/>
          </w:tcPr>
          <w:p w14:paraId="566564E6">
            <w:pPr>
              <w:pStyle w:val="10"/>
              <w:spacing w:before="96" w:line="220" w:lineRule="auto"/>
              <w:ind w:left="337"/>
              <w:rPr>
                <w:rFonts w:ascii="Arial" w:hAnsi="Arial" w:cs="Arial"/>
                <w:sz w:val="24"/>
              </w:rPr>
            </w:pPr>
            <w:r>
              <w:rPr>
                <w:rFonts w:ascii="Arial" w:hAnsi="Arial" w:cs="Arial"/>
                <w:spacing w:val="-3"/>
                <w:sz w:val="24"/>
              </w:rPr>
              <w:t>光导纤维</w:t>
            </w:r>
          </w:p>
        </w:tc>
      </w:tr>
      <w:tr w14:paraId="6DF5AD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4F73F1D6">
            <w:pPr>
              <w:spacing w:before="115" w:line="186" w:lineRule="auto"/>
              <w:ind w:left="730"/>
              <w:rPr>
                <w:sz w:val="24"/>
              </w:rPr>
            </w:pPr>
            <w:r>
              <w:rPr>
                <w:spacing w:val="-2"/>
                <w:sz w:val="24"/>
              </w:rPr>
              <w:t>IEC61000</w:t>
            </w:r>
          </w:p>
        </w:tc>
        <w:tc>
          <w:tcPr>
            <w:tcW w:w="4886" w:type="dxa"/>
          </w:tcPr>
          <w:p w14:paraId="2E116FAB">
            <w:pPr>
              <w:pStyle w:val="10"/>
              <w:spacing w:before="94" w:line="220" w:lineRule="auto"/>
              <w:ind w:left="363"/>
              <w:rPr>
                <w:rFonts w:ascii="Arial" w:hAnsi="Arial" w:cs="Arial"/>
                <w:sz w:val="24"/>
              </w:rPr>
            </w:pPr>
            <w:r>
              <w:rPr>
                <w:rFonts w:ascii="Arial" w:hAnsi="Arial" w:cs="Arial"/>
                <w:spacing w:val="-5"/>
                <w:sz w:val="24"/>
              </w:rPr>
              <w:t>电磁兼容（EMC）</w:t>
            </w:r>
          </w:p>
        </w:tc>
      </w:tr>
      <w:tr w14:paraId="047D56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050201E1">
            <w:pPr>
              <w:spacing w:before="116" w:line="186" w:lineRule="auto"/>
              <w:ind w:left="730"/>
              <w:rPr>
                <w:sz w:val="24"/>
              </w:rPr>
            </w:pPr>
            <w:r>
              <w:rPr>
                <w:spacing w:val="-2"/>
                <w:sz w:val="24"/>
              </w:rPr>
              <w:t>IEC61131</w:t>
            </w:r>
          </w:p>
        </w:tc>
        <w:tc>
          <w:tcPr>
            <w:tcW w:w="4886" w:type="dxa"/>
          </w:tcPr>
          <w:p w14:paraId="390EB688">
            <w:pPr>
              <w:pStyle w:val="10"/>
              <w:spacing w:before="95" w:line="220" w:lineRule="auto"/>
              <w:ind w:left="337"/>
              <w:rPr>
                <w:rFonts w:ascii="Arial" w:hAnsi="Arial" w:cs="Arial"/>
                <w:sz w:val="24"/>
              </w:rPr>
            </w:pPr>
            <w:r>
              <w:rPr>
                <w:rFonts w:ascii="Arial" w:hAnsi="Arial" w:cs="Arial"/>
                <w:spacing w:val="-2"/>
                <w:sz w:val="24"/>
              </w:rPr>
              <w:t>可编程控制器</w:t>
            </w:r>
          </w:p>
        </w:tc>
      </w:tr>
      <w:tr w14:paraId="560D598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575FBCDC">
            <w:pPr>
              <w:spacing w:before="116" w:line="186" w:lineRule="auto"/>
              <w:ind w:left="730"/>
              <w:rPr>
                <w:sz w:val="24"/>
              </w:rPr>
            </w:pPr>
            <w:r>
              <w:rPr>
                <w:spacing w:val="-2"/>
                <w:sz w:val="24"/>
              </w:rPr>
              <w:t>IEC61158</w:t>
            </w:r>
          </w:p>
        </w:tc>
        <w:tc>
          <w:tcPr>
            <w:tcW w:w="4886" w:type="dxa"/>
          </w:tcPr>
          <w:p w14:paraId="0EDD2CD3">
            <w:pPr>
              <w:pStyle w:val="10"/>
              <w:spacing w:before="96" w:line="220" w:lineRule="auto"/>
              <w:ind w:left="337"/>
              <w:rPr>
                <w:rFonts w:ascii="Arial" w:hAnsi="Arial" w:cs="Arial"/>
                <w:sz w:val="24"/>
              </w:rPr>
            </w:pPr>
            <w:r>
              <w:rPr>
                <w:rFonts w:ascii="Arial" w:hAnsi="Arial" w:cs="Arial"/>
                <w:spacing w:val="-1"/>
                <w:sz w:val="24"/>
              </w:rPr>
              <w:t>用于工业控制系统的现场总线标准</w:t>
            </w:r>
          </w:p>
        </w:tc>
      </w:tr>
      <w:tr w14:paraId="4FFC291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59300600">
            <w:pPr>
              <w:spacing w:before="115" w:line="186" w:lineRule="auto"/>
              <w:ind w:left="730"/>
              <w:rPr>
                <w:sz w:val="24"/>
              </w:rPr>
            </w:pPr>
            <w:r>
              <w:rPr>
                <w:spacing w:val="-2"/>
                <w:sz w:val="24"/>
              </w:rPr>
              <w:t>IEC61312</w:t>
            </w:r>
          </w:p>
        </w:tc>
        <w:tc>
          <w:tcPr>
            <w:tcW w:w="4886" w:type="dxa"/>
          </w:tcPr>
          <w:p w14:paraId="2263212B">
            <w:pPr>
              <w:pStyle w:val="10"/>
              <w:spacing w:before="95" w:line="220" w:lineRule="auto"/>
              <w:ind w:left="350"/>
              <w:rPr>
                <w:rFonts w:ascii="Arial" w:hAnsi="Arial" w:cs="Arial"/>
                <w:sz w:val="24"/>
              </w:rPr>
            </w:pPr>
            <w:r>
              <w:rPr>
                <w:rFonts w:ascii="Arial" w:hAnsi="Arial" w:cs="Arial"/>
                <w:spacing w:val="-3"/>
                <w:sz w:val="24"/>
              </w:rPr>
              <w:t>防止雷击电磁脉冲</w:t>
            </w:r>
          </w:p>
        </w:tc>
      </w:tr>
      <w:tr w14:paraId="5A1190F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17C03EBB">
            <w:pPr>
              <w:spacing w:before="116" w:line="186" w:lineRule="auto"/>
              <w:ind w:left="730"/>
              <w:rPr>
                <w:sz w:val="24"/>
              </w:rPr>
            </w:pPr>
            <w:r>
              <w:rPr>
                <w:spacing w:val="-2"/>
                <w:sz w:val="24"/>
              </w:rPr>
              <w:t>IEC61643</w:t>
            </w:r>
          </w:p>
        </w:tc>
        <w:tc>
          <w:tcPr>
            <w:tcW w:w="4886" w:type="dxa"/>
          </w:tcPr>
          <w:p w14:paraId="45333F56">
            <w:pPr>
              <w:pStyle w:val="10"/>
              <w:spacing w:before="96" w:line="220" w:lineRule="auto"/>
              <w:ind w:left="334"/>
              <w:rPr>
                <w:rFonts w:ascii="Arial" w:hAnsi="Arial" w:cs="Arial"/>
                <w:sz w:val="24"/>
              </w:rPr>
            </w:pPr>
            <w:r>
              <w:rPr>
                <w:rFonts w:ascii="Arial" w:hAnsi="Arial" w:cs="Arial"/>
                <w:spacing w:val="-1"/>
                <w:sz w:val="24"/>
              </w:rPr>
              <w:t>低压浪涌保护装置</w:t>
            </w:r>
          </w:p>
        </w:tc>
      </w:tr>
      <w:tr w14:paraId="30AD7B2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6EF2716C">
            <w:pPr>
              <w:spacing w:before="119" w:line="183" w:lineRule="auto"/>
              <w:ind w:left="730"/>
              <w:rPr>
                <w:sz w:val="24"/>
              </w:rPr>
            </w:pPr>
            <w:r>
              <w:rPr>
                <w:spacing w:val="-2"/>
                <w:sz w:val="24"/>
              </w:rPr>
              <w:t>IEEE</w:t>
            </w:r>
          </w:p>
        </w:tc>
        <w:tc>
          <w:tcPr>
            <w:tcW w:w="4886" w:type="dxa"/>
          </w:tcPr>
          <w:p w14:paraId="65F63072">
            <w:pPr>
              <w:pStyle w:val="10"/>
              <w:spacing w:before="96" w:line="219" w:lineRule="auto"/>
              <w:ind w:left="363"/>
              <w:rPr>
                <w:rFonts w:ascii="Arial" w:hAnsi="Arial" w:cs="Arial"/>
                <w:sz w:val="24"/>
              </w:rPr>
            </w:pPr>
            <w:r>
              <w:rPr>
                <w:rFonts w:ascii="Arial" w:hAnsi="Arial" w:cs="Arial"/>
                <w:spacing w:val="-4"/>
                <w:sz w:val="24"/>
              </w:rPr>
              <w:t>电气电子工程研究所</w:t>
            </w:r>
          </w:p>
        </w:tc>
      </w:tr>
      <w:tr w14:paraId="15726B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0A59622E">
            <w:pPr>
              <w:spacing w:before="115" w:line="186" w:lineRule="auto"/>
              <w:ind w:left="730"/>
              <w:rPr>
                <w:sz w:val="24"/>
              </w:rPr>
            </w:pPr>
            <w:r>
              <w:rPr>
                <w:spacing w:val="-1"/>
                <w:sz w:val="24"/>
              </w:rPr>
              <w:t>ITU-T65x</w:t>
            </w:r>
          </w:p>
        </w:tc>
        <w:tc>
          <w:tcPr>
            <w:tcW w:w="4886" w:type="dxa"/>
          </w:tcPr>
          <w:p w14:paraId="2218333D">
            <w:pPr>
              <w:pStyle w:val="10"/>
              <w:spacing w:before="94" w:line="220" w:lineRule="auto"/>
              <w:ind w:left="337"/>
              <w:rPr>
                <w:rFonts w:ascii="Arial" w:hAnsi="Arial" w:cs="Arial"/>
                <w:sz w:val="24"/>
              </w:rPr>
            </w:pPr>
            <w:r>
              <w:rPr>
                <w:rFonts w:ascii="Arial" w:hAnsi="Arial" w:cs="Arial"/>
                <w:spacing w:val="-3"/>
                <w:sz w:val="24"/>
              </w:rPr>
              <w:t>光导纤维</w:t>
            </w:r>
          </w:p>
        </w:tc>
      </w:tr>
      <w:tr w14:paraId="6D125F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618B2F07">
            <w:pPr>
              <w:spacing w:before="119" w:line="183" w:lineRule="auto"/>
              <w:ind w:left="725"/>
              <w:rPr>
                <w:sz w:val="24"/>
              </w:rPr>
            </w:pPr>
            <w:r>
              <w:rPr>
                <w:sz w:val="24"/>
              </w:rPr>
              <w:t>UL</w:t>
            </w:r>
          </w:p>
        </w:tc>
        <w:tc>
          <w:tcPr>
            <w:tcW w:w="4886" w:type="dxa"/>
          </w:tcPr>
          <w:p w14:paraId="33981961">
            <w:pPr>
              <w:pStyle w:val="10"/>
              <w:spacing w:before="96" w:line="220" w:lineRule="auto"/>
              <w:ind w:left="336"/>
              <w:rPr>
                <w:rFonts w:ascii="Arial" w:hAnsi="Arial" w:cs="Arial"/>
                <w:sz w:val="24"/>
              </w:rPr>
            </w:pPr>
            <w:r>
              <w:rPr>
                <w:rFonts w:ascii="Arial" w:hAnsi="Arial" w:cs="Arial"/>
                <w:spacing w:val="-2"/>
                <w:sz w:val="24"/>
              </w:rPr>
              <w:t>保险实验室</w:t>
            </w:r>
          </w:p>
        </w:tc>
      </w:tr>
      <w:tr w14:paraId="0044905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74D55421">
            <w:pPr>
              <w:spacing w:before="116" w:line="186" w:lineRule="auto"/>
              <w:ind w:left="732"/>
              <w:rPr>
                <w:sz w:val="24"/>
              </w:rPr>
            </w:pPr>
            <w:r>
              <w:rPr>
                <w:spacing w:val="-2"/>
                <w:sz w:val="24"/>
              </w:rPr>
              <w:t>GBJ93-86</w:t>
            </w:r>
          </w:p>
        </w:tc>
        <w:tc>
          <w:tcPr>
            <w:tcW w:w="4886" w:type="dxa"/>
          </w:tcPr>
          <w:p w14:paraId="37097119">
            <w:pPr>
              <w:pStyle w:val="10"/>
              <w:spacing w:before="95" w:line="220" w:lineRule="auto"/>
              <w:ind w:left="338"/>
              <w:rPr>
                <w:rFonts w:ascii="Arial" w:hAnsi="Arial" w:cs="Arial"/>
                <w:sz w:val="24"/>
              </w:rPr>
            </w:pPr>
            <w:r>
              <w:rPr>
                <w:rFonts w:ascii="Arial" w:hAnsi="Arial" w:cs="Arial"/>
                <w:spacing w:val="-1"/>
                <w:sz w:val="24"/>
              </w:rPr>
              <w:t>工业自动化仪表工程施工及验收规范</w:t>
            </w:r>
          </w:p>
        </w:tc>
      </w:tr>
      <w:tr w14:paraId="14CEAD3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91" w:hRule="atLeast"/>
        </w:trPr>
        <w:tc>
          <w:tcPr>
            <w:tcW w:w="2818" w:type="dxa"/>
          </w:tcPr>
          <w:p w14:paraId="616245A6">
            <w:pPr>
              <w:spacing w:before="116" w:line="186" w:lineRule="auto"/>
              <w:ind w:left="732"/>
              <w:rPr>
                <w:sz w:val="24"/>
              </w:rPr>
            </w:pPr>
            <w:r>
              <w:rPr>
                <w:spacing w:val="-1"/>
                <w:sz w:val="24"/>
              </w:rPr>
              <w:t>GBJ131-90</w:t>
            </w:r>
          </w:p>
        </w:tc>
        <w:tc>
          <w:tcPr>
            <w:tcW w:w="4886" w:type="dxa"/>
          </w:tcPr>
          <w:p w14:paraId="1216EEAA">
            <w:pPr>
              <w:pStyle w:val="10"/>
              <w:spacing w:before="95" w:line="220" w:lineRule="auto"/>
              <w:ind w:left="375"/>
              <w:rPr>
                <w:rFonts w:ascii="Arial" w:hAnsi="Arial" w:cs="Arial"/>
                <w:sz w:val="24"/>
              </w:rPr>
            </w:pPr>
            <w:r>
              <w:rPr>
                <w:rFonts w:ascii="Arial" w:hAnsi="Arial" w:cs="Arial"/>
                <w:spacing w:val="-3"/>
                <w:sz w:val="24"/>
              </w:rPr>
              <w:t>自动化仪表安装工程质量检验评定标准</w:t>
            </w:r>
          </w:p>
        </w:tc>
      </w:tr>
      <w:tr w14:paraId="3ED6F6B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91" w:hRule="atLeast"/>
        </w:trPr>
        <w:tc>
          <w:tcPr>
            <w:tcW w:w="2818" w:type="dxa"/>
          </w:tcPr>
          <w:p w14:paraId="57D75544">
            <w:pPr>
              <w:pStyle w:val="10"/>
              <w:spacing w:before="155" w:line="220" w:lineRule="auto"/>
              <w:rPr>
                <w:rFonts w:ascii="Arial" w:hAnsi="Arial" w:cs="Arial"/>
                <w:sz w:val="24"/>
              </w:rPr>
            </w:pPr>
            <w:r>
              <w:rPr>
                <w:rFonts w:ascii="Arial" w:hAnsi="Arial" w:cs="Arial"/>
                <w:spacing w:val="-3"/>
                <w:sz w:val="24"/>
              </w:rPr>
              <w:t>E.</w:t>
            </w:r>
            <w:r>
              <w:rPr>
                <w:rFonts w:ascii="Arial" w:hAnsi="Arial" w:cs="Arial"/>
                <w:spacing w:val="4"/>
                <w:sz w:val="24"/>
              </w:rPr>
              <w:t xml:space="preserve">    </w:t>
            </w:r>
            <w:r>
              <w:rPr>
                <w:rFonts w:ascii="Arial" w:hAnsi="Arial" w:cs="Arial"/>
                <w:spacing w:val="-3"/>
                <w:sz w:val="24"/>
              </w:rPr>
              <w:t>环保标准</w:t>
            </w:r>
          </w:p>
        </w:tc>
        <w:tc>
          <w:tcPr>
            <w:tcW w:w="4886" w:type="dxa"/>
          </w:tcPr>
          <w:p w14:paraId="7AEF0670"/>
        </w:tc>
      </w:tr>
      <w:tr w14:paraId="16DBF78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2" w:hRule="atLeast"/>
        </w:trPr>
        <w:tc>
          <w:tcPr>
            <w:tcW w:w="2818" w:type="dxa"/>
          </w:tcPr>
          <w:p w14:paraId="57C49AD5">
            <w:pPr>
              <w:spacing w:before="115" w:line="186" w:lineRule="auto"/>
              <w:ind w:left="723"/>
              <w:rPr>
                <w:sz w:val="24"/>
              </w:rPr>
            </w:pPr>
            <w:r>
              <w:rPr>
                <w:spacing w:val="-2"/>
                <w:sz w:val="24"/>
              </w:rPr>
              <w:t>GB3838</w:t>
            </w:r>
          </w:p>
        </w:tc>
        <w:tc>
          <w:tcPr>
            <w:tcW w:w="4886" w:type="dxa"/>
          </w:tcPr>
          <w:p w14:paraId="2C74C5FB">
            <w:pPr>
              <w:pStyle w:val="10"/>
              <w:spacing w:before="95" w:line="220" w:lineRule="auto"/>
              <w:ind w:left="352"/>
              <w:rPr>
                <w:rFonts w:ascii="Arial" w:hAnsi="Arial" w:cs="Arial"/>
                <w:sz w:val="24"/>
              </w:rPr>
            </w:pPr>
            <w:r>
              <w:rPr>
                <w:rFonts w:ascii="Arial" w:hAnsi="Arial" w:cs="Arial"/>
                <w:spacing w:val="-1"/>
                <w:sz w:val="24"/>
              </w:rPr>
              <w:t>地面水环境质量标准</w:t>
            </w:r>
          </w:p>
        </w:tc>
      </w:tr>
      <w:tr w14:paraId="3E1B271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431" w:hRule="atLeast"/>
        </w:trPr>
        <w:tc>
          <w:tcPr>
            <w:tcW w:w="2818" w:type="dxa"/>
          </w:tcPr>
          <w:p w14:paraId="0FB43C4E">
            <w:pPr>
              <w:spacing w:before="115" w:line="186" w:lineRule="auto"/>
              <w:ind w:left="723"/>
              <w:rPr>
                <w:sz w:val="24"/>
              </w:rPr>
            </w:pPr>
            <w:r>
              <w:rPr>
                <w:spacing w:val="-2"/>
                <w:sz w:val="24"/>
              </w:rPr>
              <w:t>GB18918</w:t>
            </w:r>
          </w:p>
        </w:tc>
        <w:tc>
          <w:tcPr>
            <w:tcW w:w="4886" w:type="dxa"/>
          </w:tcPr>
          <w:p w14:paraId="107A47A4">
            <w:pPr>
              <w:pStyle w:val="10"/>
              <w:spacing w:before="95" w:line="220" w:lineRule="auto"/>
              <w:ind w:left="352"/>
              <w:rPr>
                <w:rFonts w:ascii="Arial" w:hAnsi="Arial" w:cs="Arial"/>
                <w:sz w:val="24"/>
              </w:rPr>
            </w:pPr>
            <w:r>
              <w:rPr>
                <w:rFonts w:ascii="Arial" w:hAnsi="Arial" w:cs="Arial"/>
                <w:spacing w:val="-1"/>
                <w:sz w:val="24"/>
              </w:rPr>
              <w:t>城镇污水处理厂污染物排放标准</w:t>
            </w:r>
          </w:p>
        </w:tc>
      </w:tr>
      <w:tr w14:paraId="5B1D8ED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rPr>
          <w:trHeight w:val="335" w:hRule="atLeast"/>
        </w:trPr>
        <w:tc>
          <w:tcPr>
            <w:tcW w:w="2818" w:type="dxa"/>
          </w:tcPr>
          <w:p w14:paraId="32B8306B">
            <w:pPr>
              <w:pStyle w:val="10"/>
              <w:spacing w:before="134" w:line="191" w:lineRule="exact"/>
              <w:ind w:left="719"/>
              <w:rPr>
                <w:rFonts w:ascii="Arial" w:hAnsi="Arial" w:cs="Arial"/>
                <w:sz w:val="24"/>
              </w:rPr>
            </w:pPr>
            <w:r>
              <w:rPr>
                <w:rFonts w:ascii="Arial" w:hAnsi="Arial" w:cs="Arial"/>
                <w:spacing w:val="-2"/>
                <w:position w:val="-3"/>
                <w:sz w:val="24"/>
              </w:rPr>
              <w:t>DB11/ 501—2007</w:t>
            </w:r>
          </w:p>
        </w:tc>
        <w:tc>
          <w:tcPr>
            <w:tcW w:w="4886" w:type="dxa"/>
          </w:tcPr>
          <w:p w14:paraId="5F264B24">
            <w:pPr>
              <w:pStyle w:val="10"/>
              <w:spacing w:before="94" w:line="177" w:lineRule="auto"/>
              <w:ind w:left="355"/>
              <w:rPr>
                <w:rFonts w:ascii="Arial" w:hAnsi="Arial" w:cs="Arial"/>
                <w:sz w:val="24"/>
              </w:rPr>
            </w:pPr>
            <w:r>
              <w:rPr>
                <w:rFonts w:ascii="Arial" w:hAnsi="Arial" w:cs="Arial"/>
                <w:spacing w:val="-2"/>
                <w:sz w:val="24"/>
              </w:rPr>
              <w:t>大气污染物综合排放标准</w:t>
            </w:r>
          </w:p>
        </w:tc>
      </w:tr>
    </w:tbl>
    <w:p w14:paraId="17FE14D1">
      <w:pPr>
        <w:spacing w:line="360" w:lineRule="auto"/>
        <w:rPr>
          <w:rFonts w:ascii="宋体" w:hAnsi="宋体" w:eastAsia="宋体" w:cs="宋体"/>
          <w:sz w:val="24"/>
          <w:szCs w:val="32"/>
        </w:rPr>
      </w:pPr>
    </w:p>
    <w:p w14:paraId="097164AE">
      <w:pPr>
        <w:spacing w:line="360" w:lineRule="auto"/>
        <w:rPr>
          <w:sz w:val="24"/>
          <w:szCs w:val="32"/>
        </w:rPr>
      </w:pPr>
      <w:r>
        <w:rPr>
          <w:rFonts w:hint="eastAsia" w:ascii="宋体" w:hAnsi="宋体" w:eastAsia="宋体" w:cs="宋体"/>
          <w:sz w:val="24"/>
          <w:szCs w:val="32"/>
        </w:rPr>
        <w:t>说明：上述标准如有新版本和替代版本，则以新版本和替代版本为准。</w:t>
      </w:r>
    </w:p>
    <w:p w14:paraId="5E301704">
      <w:pPr>
        <w:pStyle w:val="2"/>
        <w:numPr>
          <w:ilvl w:val="0"/>
          <w:numId w:val="5"/>
        </w:numPr>
        <w:rPr>
          <w:sz w:val="28"/>
          <w:szCs w:val="22"/>
        </w:rPr>
      </w:pPr>
      <w:r>
        <w:rPr>
          <w:rFonts w:hint="eastAsia"/>
          <w:sz w:val="28"/>
          <w:szCs w:val="22"/>
        </w:rPr>
        <w:t>质保期内备品备件</w:t>
      </w:r>
    </w:p>
    <w:p w14:paraId="75EFC9F1">
      <w:pPr>
        <w:spacing w:line="360" w:lineRule="auto"/>
        <w:ind w:firstLine="482" w:firstLineChars="200"/>
      </w:pPr>
      <w:r>
        <w:rPr>
          <w:rFonts w:hint="eastAsia"/>
          <w:b/>
          <w:bCs/>
          <w:sz w:val="24"/>
        </w:rPr>
        <w:t>投标人应提供以下备品备件，不限于此：</w:t>
      </w:r>
    </w:p>
    <w:tbl>
      <w:tblPr>
        <w:tblStyle w:val="8"/>
        <w:tblW w:w="8957" w:type="dxa"/>
        <w:tblInd w:w="100" w:type="dxa"/>
        <w:tblLayout w:type="fixed"/>
        <w:tblCellMar>
          <w:top w:w="0" w:type="dxa"/>
          <w:left w:w="108" w:type="dxa"/>
          <w:bottom w:w="0" w:type="dxa"/>
          <w:right w:w="108" w:type="dxa"/>
        </w:tblCellMar>
      </w:tblPr>
      <w:tblGrid>
        <w:gridCol w:w="767"/>
        <w:gridCol w:w="1342"/>
        <w:gridCol w:w="1909"/>
        <w:gridCol w:w="1036"/>
        <w:gridCol w:w="1138"/>
        <w:gridCol w:w="1235"/>
        <w:gridCol w:w="1530"/>
      </w:tblGrid>
      <w:tr w14:paraId="37F1D052">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32C6C">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序号</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E71A">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物资名称</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AF4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规格型号</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1B86">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单位</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DBDE">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数量</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949D">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供应厂家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1106">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联系方式</w:t>
            </w:r>
          </w:p>
        </w:tc>
      </w:tr>
      <w:tr w14:paraId="4BEE4000">
        <w:tblPrEx>
          <w:tblCellMar>
            <w:top w:w="0" w:type="dxa"/>
            <w:left w:w="108" w:type="dxa"/>
            <w:bottom w:w="0" w:type="dxa"/>
            <w:right w:w="108" w:type="dxa"/>
          </w:tblCellMar>
        </w:tblPrEx>
        <w:trPr>
          <w:trHeight w:val="41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BC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EAA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浮筒表面搅拌器</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C70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密封圈</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9C7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F57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C294">
            <w:pPr>
              <w:jc w:val="center"/>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7445">
            <w:pPr>
              <w:jc w:val="center"/>
              <w:rPr>
                <w:rFonts w:ascii="宋体" w:hAnsi="宋体" w:eastAsia="宋体" w:cs="宋体"/>
                <w:color w:val="000000"/>
                <w:sz w:val="20"/>
                <w:szCs w:val="20"/>
              </w:rPr>
            </w:pPr>
          </w:p>
        </w:tc>
      </w:tr>
      <w:tr w14:paraId="55FB78BC">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1E0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178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混合液回流泵</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BB8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O型圈/机封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402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04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67D0">
            <w:pPr>
              <w:jc w:val="center"/>
              <w:rPr>
                <w:rFonts w:ascii="宋体" w:hAnsi="宋体" w:eastAsia="宋体" w:cs="宋体"/>
                <w:color w:val="000000"/>
                <w:sz w:val="20"/>
                <w:szCs w:val="20"/>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46E4">
            <w:pPr>
              <w:jc w:val="center"/>
              <w:rPr>
                <w:rFonts w:ascii="宋体" w:hAnsi="宋体" w:eastAsia="宋体" w:cs="宋体"/>
                <w:color w:val="000000"/>
                <w:sz w:val="20"/>
                <w:szCs w:val="20"/>
              </w:rPr>
            </w:pPr>
          </w:p>
        </w:tc>
      </w:tr>
      <w:tr w14:paraId="71C5DF97">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B15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655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污泥回流泵</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715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O型圈/机封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DE3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DCB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F775">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1134">
            <w:pPr>
              <w:jc w:val="center"/>
              <w:rPr>
                <w:rFonts w:ascii="宋体" w:hAnsi="宋体" w:eastAsia="宋体" w:cs="宋体"/>
                <w:color w:val="000000"/>
                <w:sz w:val="22"/>
                <w:szCs w:val="22"/>
              </w:rPr>
            </w:pPr>
          </w:p>
        </w:tc>
      </w:tr>
      <w:tr w14:paraId="09A343F0">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8C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CD8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污泥浓缩提升泵</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41A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O型圈/机封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8D2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D0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2773">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506E">
            <w:pPr>
              <w:jc w:val="center"/>
              <w:rPr>
                <w:rFonts w:ascii="宋体" w:hAnsi="宋体" w:eastAsia="宋体" w:cs="宋体"/>
                <w:color w:val="000000"/>
                <w:sz w:val="22"/>
                <w:szCs w:val="22"/>
              </w:rPr>
            </w:pPr>
          </w:p>
        </w:tc>
      </w:tr>
      <w:tr w14:paraId="0EF205BC">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F59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DD4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补充污泥回流泵</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C4F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O型圈/机封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3A34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B9E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4373">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78FB">
            <w:pPr>
              <w:jc w:val="center"/>
              <w:rPr>
                <w:rFonts w:ascii="宋体" w:hAnsi="宋体" w:eastAsia="宋体" w:cs="宋体"/>
                <w:color w:val="000000"/>
                <w:sz w:val="22"/>
                <w:szCs w:val="22"/>
              </w:rPr>
            </w:pPr>
          </w:p>
        </w:tc>
      </w:tr>
      <w:tr w14:paraId="6DB6A510">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BA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87C2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剩余污泥泵</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5DA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O型圈/机封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8AB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470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9CF5">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37AC">
            <w:pPr>
              <w:jc w:val="center"/>
              <w:rPr>
                <w:rFonts w:ascii="宋体" w:hAnsi="宋体" w:eastAsia="宋体" w:cs="宋体"/>
                <w:color w:val="000000"/>
                <w:sz w:val="22"/>
                <w:szCs w:val="22"/>
              </w:rPr>
            </w:pPr>
          </w:p>
        </w:tc>
      </w:tr>
      <w:tr w14:paraId="6CFB0D36">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400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8DD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碳源分流提升泵</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D6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O型圈/机封</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E06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AE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376F">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584B">
            <w:pPr>
              <w:jc w:val="center"/>
              <w:rPr>
                <w:rFonts w:ascii="宋体" w:hAnsi="宋体" w:eastAsia="宋体" w:cs="宋体"/>
                <w:color w:val="000000"/>
                <w:sz w:val="22"/>
                <w:szCs w:val="22"/>
              </w:rPr>
            </w:pPr>
          </w:p>
        </w:tc>
      </w:tr>
      <w:tr w14:paraId="17B86361">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B3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4BF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电气自控柜</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C1E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塑壳手柄</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BB3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5C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C51B">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6B68">
            <w:pPr>
              <w:jc w:val="center"/>
              <w:rPr>
                <w:rFonts w:ascii="宋体" w:hAnsi="宋体" w:eastAsia="宋体" w:cs="宋体"/>
                <w:color w:val="000000"/>
                <w:sz w:val="22"/>
                <w:szCs w:val="22"/>
              </w:rPr>
            </w:pPr>
          </w:p>
        </w:tc>
      </w:tr>
      <w:tr w14:paraId="4E16047E">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379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3E6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电气自控柜</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C4E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辅助触点</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80B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E74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D08E">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CD26">
            <w:pPr>
              <w:jc w:val="center"/>
              <w:rPr>
                <w:rFonts w:ascii="宋体" w:hAnsi="宋体" w:eastAsia="宋体" w:cs="宋体"/>
                <w:color w:val="000000"/>
                <w:sz w:val="22"/>
                <w:szCs w:val="22"/>
              </w:rPr>
            </w:pPr>
          </w:p>
        </w:tc>
      </w:tr>
      <w:tr w14:paraId="05721C9A">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FD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2FA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电气自控柜</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9A6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接触器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CD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E7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0C0D">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2018">
            <w:pPr>
              <w:jc w:val="center"/>
              <w:rPr>
                <w:rFonts w:ascii="宋体" w:hAnsi="宋体" w:eastAsia="宋体" w:cs="宋体"/>
                <w:color w:val="000000"/>
                <w:sz w:val="22"/>
                <w:szCs w:val="22"/>
              </w:rPr>
            </w:pPr>
          </w:p>
        </w:tc>
      </w:tr>
      <w:tr w14:paraId="1FCB4124">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F84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1F8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电气自控柜</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4B9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浪涌抑制器</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DB9E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2CD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9CE8">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57E7">
            <w:pPr>
              <w:jc w:val="center"/>
              <w:rPr>
                <w:rFonts w:ascii="宋体" w:hAnsi="宋体" w:eastAsia="宋体" w:cs="宋体"/>
                <w:color w:val="000000"/>
                <w:sz w:val="22"/>
                <w:szCs w:val="22"/>
              </w:rPr>
            </w:pPr>
          </w:p>
        </w:tc>
      </w:tr>
      <w:tr w14:paraId="46C63F22">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BE3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4B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电气自控柜</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EA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信号灯</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0E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406F">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A29D">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3509">
            <w:pPr>
              <w:jc w:val="center"/>
              <w:rPr>
                <w:rFonts w:ascii="宋体" w:hAnsi="宋体" w:eastAsia="宋体" w:cs="宋体"/>
                <w:color w:val="000000"/>
                <w:sz w:val="22"/>
                <w:szCs w:val="22"/>
              </w:rPr>
            </w:pPr>
          </w:p>
        </w:tc>
      </w:tr>
      <w:tr w14:paraId="5BFEC6F8">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E34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F22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电气自控柜</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E0C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按钮</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93A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3C1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71C8">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C712">
            <w:pPr>
              <w:jc w:val="center"/>
              <w:rPr>
                <w:rFonts w:ascii="宋体" w:hAnsi="宋体" w:eastAsia="宋体" w:cs="宋体"/>
                <w:color w:val="000000"/>
                <w:sz w:val="22"/>
                <w:szCs w:val="22"/>
              </w:rPr>
            </w:pPr>
          </w:p>
        </w:tc>
      </w:tr>
      <w:tr w14:paraId="2137A247">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F23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AE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电气自控柜</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9C16">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熔芯</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EE2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393E">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只</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C8A8">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934B">
            <w:pPr>
              <w:jc w:val="center"/>
              <w:rPr>
                <w:rFonts w:ascii="宋体" w:hAnsi="宋体" w:eastAsia="宋体" w:cs="宋体"/>
                <w:color w:val="000000"/>
                <w:sz w:val="22"/>
                <w:szCs w:val="22"/>
              </w:rPr>
            </w:pPr>
          </w:p>
        </w:tc>
      </w:tr>
      <w:tr w14:paraId="2558BB6C">
        <w:tblPrEx>
          <w:tblCellMar>
            <w:top w:w="0" w:type="dxa"/>
            <w:left w:w="108" w:type="dxa"/>
            <w:bottom w:w="0" w:type="dxa"/>
            <w:right w:w="108" w:type="dxa"/>
          </w:tblCellMar>
        </w:tblPrEx>
        <w:trPr>
          <w:trHeight w:val="618"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455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5314">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07E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仪表配套刮片，盐桥，荧光帽等（如涉及）</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D01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7593">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5341">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D00F">
            <w:pPr>
              <w:jc w:val="center"/>
              <w:rPr>
                <w:rFonts w:ascii="宋体" w:hAnsi="宋体" w:eastAsia="宋体" w:cs="宋体"/>
                <w:color w:val="000000"/>
                <w:sz w:val="22"/>
                <w:szCs w:val="22"/>
              </w:rPr>
            </w:pPr>
          </w:p>
        </w:tc>
      </w:tr>
      <w:tr w14:paraId="157B373E">
        <w:tblPrEx>
          <w:tblCellMar>
            <w:top w:w="0" w:type="dxa"/>
            <w:left w:w="108" w:type="dxa"/>
            <w:bottom w:w="0" w:type="dxa"/>
            <w:right w:w="108" w:type="dxa"/>
          </w:tblCellMar>
        </w:tblPrEx>
        <w:trPr>
          <w:trHeight w:val="417"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EE4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3338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2B1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仪表配套试剂（如涉及）</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E1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45F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35B9">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C7C2">
            <w:pPr>
              <w:jc w:val="center"/>
              <w:rPr>
                <w:rFonts w:ascii="宋体" w:hAnsi="宋体" w:eastAsia="宋体" w:cs="宋体"/>
                <w:color w:val="000000"/>
                <w:sz w:val="22"/>
                <w:szCs w:val="22"/>
              </w:rPr>
            </w:pPr>
          </w:p>
        </w:tc>
      </w:tr>
      <w:tr w14:paraId="59010091">
        <w:tblPrEx>
          <w:tblCellMar>
            <w:top w:w="0" w:type="dxa"/>
            <w:left w:w="108" w:type="dxa"/>
            <w:bottom w:w="0" w:type="dxa"/>
            <w:right w:w="108" w:type="dxa"/>
          </w:tblCellMar>
        </w:tblPrEx>
        <w:trPr>
          <w:trHeight w:val="436"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3103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13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5E9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47FA">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仪表配套电极（如涉及）</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3775">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6417">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套</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7F01">
            <w:pPr>
              <w:jc w:val="center"/>
              <w:rPr>
                <w:rFonts w:ascii="宋体" w:hAnsi="宋体" w:eastAsia="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0920">
            <w:pPr>
              <w:jc w:val="center"/>
              <w:rPr>
                <w:rFonts w:ascii="宋体" w:hAnsi="宋体" w:eastAsia="宋体" w:cs="宋体"/>
                <w:color w:val="000000"/>
                <w:sz w:val="22"/>
                <w:szCs w:val="22"/>
              </w:rPr>
            </w:pPr>
          </w:p>
        </w:tc>
      </w:tr>
    </w:tbl>
    <w:p w14:paraId="167FA2E7">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注：1）以上备品备件清单及数量为本次招标最低要求，投标人需根据实际供应设备情况进行补充，并填写报价及相关信息。</w:t>
      </w:r>
    </w:p>
    <w:p w14:paraId="399944CC">
      <w:pPr>
        <w:spacing w:line="360" w:lineRule="auto"/>
        <w:ind w:firstLine="480" w:firstLineChars="200"/>
        <w:rPr>
          <w:rFonts w:ascii="宋体" w:hAnsi="宋体" w:eastAsia="宋体" w:cs="宋体"/>
          <w:sz w:val="24"/>
          <w:szCs w:val="32"/>
        </w:rPr>
      </w:pPr>
      <w:r>
        <w:rPr>
          <w:rFonts w:hint="eastAsia" w:ascii="宋体" w:hAnsi="宋体" w:eastAsia="宋体" w:cs="宋体"/>
          <w:sz w:val="24"/>
          <w:szCs w:val="32"/>
        </w:rPr>
        <w:t>2）相关备品备件由投标人提供，价格含在设备总报价中。</w:t>
      </w:r>
    </w:p>
    <w:p w14:paraId="47F10786">
      <w:pPr>
        <w:spacing w:line="360" w:lineRule="auto"/>
        <w:ind w:firstLine="480" w:firstLineChars="200"/>
        <w:rPr>
          <w:rFonts w:ascii="宋体" w:hAnsi="宋体" w:eastAsia="宋体" w:cs="宋体"/>
          <w:b/>
          <w:bCs/>
          <w:sz w:val="24"/>
          <w:szCs w:val="32"/>
        </w:rPr>
      </w:pPr>
      <w:r>
        <w:rPr>
          <w:rFonts w:hint="eastAsia" w:ascii="宋体" w:hAnsi="宋体" w:eastAsia="宋体" w:cs="宋体"/>
          <w:sz w:val="24"/>
          <w:szCs w:val="32"/>
        </w:rPr>
        <w:t>3）投标人必须保证相关备品备件可从国内采购，且自中标签订合同之日起10年内不溢价，以便于招标方及相关运营单位后期采购。</w:t>
      </w:r>
      <w:r>
        <w:rPr>
          <w:rFonts w:hint="eastAsia" w:ascii="宋体" w:hAnsi="宋体" w:eastAsia="宋体" w:cs="宋体"/>
          <w:b/>
          <w:bCs/>
          <w:sz w:val="24"/>
          <w:szCs w:val="32"/>
        </w:rPr>
        <w:t>需在投标文件中提交相关承诺。</w:t>
      </w:r>
    </w:p>
    <w:sectPr>
      <w:footerReference r:id="rId22" w:type="first"/>
      <w:headerReference r:id="rId19" w:type="default"/>
      <w:footerReference r:id="rId20" w:type="default"/>
      <w:footerReference r:id="rId21"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060B">
    <w:pPr>
      <w:spacing w:line="174" w:lineRule="auto"/>
      <w:ind w:left="4717"/>
      <w:rPr>
        <w:rFonts w:ascii="Times New Roman" w:hAnsi="Times New Roman" w:eastAsia="Times New Roman" w:cs="Times New Roman"/>
        <w:sz w:val="18"/>
        <w:szCs w:val="18"/>
      </w:rPr>
    </w:pPr>
    <w:r>
      <w:rPr>
        <w:rFonts w:ascii="Times New Roman" w:hAnsi="Times New Roman" w:eastAsia="Times New Roman" w:cs="Times New Roman"/>
        <w:sz w:val="18"/>
        <w:szCs w:val="18"/>
      </w:rPr>
      <mc:AlternateContent>
        <mc:Choice Requires="wps">
          <w:drawing>
            <wp:anchor distT="0" distB="0" distL="0" distR="0" simplePos="0" relativeHeight="251679744" behindDoc="0" locked="0" layoutInCell="1" allowOverlap="1">
              <wp:simplePos x="0" y="0"/>
              <wp:positionH relativeFrom="page">
                <wp:align>left</wp:align>
              </wp:positionH>
              <wp:positionV relativeFrom="page">
                <wp:align>bottom</wp:align>
              </wp:positionV>
              <wp:extent cx="443865" cy="443865"/>
              <wp:effectExtent l="0" t="0" r="7620" b="0"/>
              <wp:wrapNone/>
              <wp:docPr id="1543430484" name="文本框 3"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9E1CC">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3" o:spid="_x0000_s1026" o:spt="202" alt="General" type="#_x0000_t202" style="position:absolute;left:0pt;height:34.95pt;width:34.95pt;mso-position-horizontal:left;mso-position-horizontal-relative:page;mso-position-vertical:bottom;mso-position-vertical-relative:page;mso-wrap-style:none;z-index:25167974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ASP2t5QgIAAG0EAAAOAAAAAAAAAAEAIAAAACABAABk&#10;cnMvZTJvRG9jLnhtbFBLBQYAAAAABgAGAFkBAADUBQAAAAA=&#10;">
              <v:fill on="f" focussize="0,0"/>
              <v:stroke on="f"/>
              <v:imagedata o:title=""/>
              <o:lock v:ext="edit" aspectratio="f"/>
              <v:textbox inset="20pt,0mm,0mm,15pt" style="mso-fit-shape-to-text:t;">
                <w:txbxContent>
                  <w:p w14:paraId="4009E1CC">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5281A">
    <w:pPr>
      <w:spacing w:before="219" w:line="174" w:lineRule="auto"/>
      <w:ind w:left="6789"/>
      <w:rPr>
        <w:rFonts w:ascii="Times New Roman" w:hAnsi="Times New Roman" w:eastAsia="Times New Roman" w:cs="Times New Roman"/>
        <w:sz w:val="18"/>
        <w:szCs w:val="18"/>
      </w:rPr>
    </w:pPr>
    <w:r>
      <w:rPr>
        <w:rFonts w:eastAsia="Arial"/>
      </w:rPr>
      <mc:AlternateContent>
        <mc:Choice Requires="wps">
          <w:drawing>
            <wp:anchor distT="0" distB="0" distL="0" distR="0" simplePos="0" relativeHeight="251688960" behindDoc="0" locked="0" layoutInCell="1" allowOverlap="1">
              <wp:simplePos x="0" y="0"/>
              <wp:positionH relativeFrom="page">
                <wp:align>left</wp:align>
              </wp:positionH>
              <wp:positionV relativeFrom="page">
                <wp:align>bottom</wp:align>
              </wp:positionV>
              <wp:extent cx="443865" cy="443865"/>
              <wp:effectExtent l="0" t="0" r="7620" b="0"/>
              <wp:wrapNone/>
              <wp:docPr id="1469958984" name="文本框 12"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532F78">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2" o:spid="_x0000_s1026" o:spt="202" alt="General" type="#_x0000_t202" style="position:absolute;left:0pt;height:34.95pt;width:34.95pt;mso-position-horizontal:left;mso-position-horizontal-relative:page;mso-position-vertical:bottom;mso-position-vertical-relative:page;mso-wrap-style:none;z-index:251688960;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CKYyLTQgIAAG4EAAAOAAAAAAAAAAEAIAAAACABAABk&#10;cnMvZTJvRG9jLnhtbFBLBQYAAAAABgAGAFkBAADUBQAAAAA=&#10;">
              <v:fill on="f" focussize="0,0"/>
              <v:stroke on="f"/>
              <v:imagedata o:title=""/>
              <o:lock v:ext="edit" aspectratio="f"/>
              <v:textbox inset="20pt,0mm,0mm,15pt" style="mso-fit-shape-to-text:t;">
                <w:txbxContent>
                  <w:p w14:paraId="5F532F78">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r>
      <w:rPr>
        <w:rFonts w:eastAsia="Arial"/>
      </w:rPr>
      <mc:AlternateContent>
        <mc:Choice Requires="wps">
          <w:drawing>
            <wp:anchor distT="0" distB="0" distL="114300" distR="114300" simplePos="0" relativeHeight="251663360" behindDoc="0" locked="0" layoutInCell="0" allowOverlap="1">
              <wp:simplePos x="0" y="0"/>
              <wp:positionH relativeFrom="page">
                <wp:posOffset>1061085</wp:posOffset>
              </wp:positionH>
              <wp:positionV relativeFrom="page">
                <wp:posOffset>6557645</wp:posOffset>
              </wp:positionV>
              <wp:extent cx="8642350" cy="9525"/>
              <wp:effectExtent l="0" t="0" r="0" b="0"/>
              <wp:wrapNone/>
              <wp:docPr id="111" name="任意多边形 111"/>
              <wp:cNvGraphicFramePr/>
              <a:graphic xmlns:a="http://schemas.openxmlformats.org/drawingml/2006/main">
                <a:graphicData uri="http://schemas.microsoft.com/office/word/2010/wordprocessingShape">
                  <wps:wsp>
                    <wps:cNvSpPr/>
                    <wps:spPr>
                      <a:xfrm>
                        <a:off x="0" y="0"/>
                        <a:ext cx="8642350" cy="9525"/>
                      </a:xfrm>
                      <a:custGeom>
                        <a:avLst/>
                        <a:gdLst/>
                        <a:ahLst/>
                        <a:cxnLst/>
                        <a:rect l="0" t="0" r="0" b="0"/>
                        <a:pathLst>
                          <a:path w="13610" h="15">
                            <a:moveTo>
                              <a:pt x="0" y="14"/>
                            </a:moveTo>
                            <a:lnTo>
                              <a:pt x="13610" y="14"/>
                            </a:lnTo>
                            <a:lnTo>
                              <a:pt x="13610"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3.55pt;margin-top:516.35pt;height:0.75pt;width:680.5pt;mso-position-horizontal-relative:page;mso-position-vertical-relative:page;z-index:251663360;mso-width-relative:page;mso-height-relative:page;" fillcolor="#000000" filled="t" stroked="f" coordsize="13610,15" o:allowincell="f" o:gfxdata="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Oe5CtkAAAAO&#10;AQAADwAAAAAAAAABACAAAAAiAAAAZHJzL2Rvd25yZXYueG1sUEsBAhQAFAAAAAgAh07iQLnsQqMb&#10;AgAApAQAAA4AAAAAAAAAAQAgAAAAKAEAAGRycy9lMm9Eb2MueG1sUEsFBgAAAAAGAAYAWQEAALUF&#10;AAAAAA==&#10;" path="m0,14l13610,14,13610,0,0,0,0,14xe">
              <v:fill on="t" focussize="0,0"/>
              <v:stroke on="f"/>
              <v:imagedata o:title=""/>
              <o:lock v:ext="edit" aspectratio="f"/>
            </v:shape>
          </w:pict>
        </mc:Fallback>
      </mc:AlternateContent>
    </w:r>
    <w:r>
      <w:rPr>
        <w:rFonts w:ascii="Times New Roman" w:hAnsi="Times New Roman" w:eastAsia="Times New Roman" w:cs="Times New Roman"/>
        <w:spacing w:val="-4"/>
        <w:sz w:val="18"/>
        <w:szCs w:val="18"/>
      </w:rPr>
      <w:t>8-1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BEA3">
    <w:pPr>
      <w:pStyle w:val="6"/>
    </w:pPr>
    <w:r>
      <mc:AlternateContent>
        <mc:Choice Requires="wps">
          <w:drawing>
            <wp:anchor distT="0" distB="0" distL="0" distR="0" simplePos="0" relativeHeight="251687936" behindDoc="0" locked="0" layoutInCell="1" allowOverlap="1">
              <wp:simplePos x="0" y="0"/>
              <wp:positionH relativeFrom="page">
                <wp:align>left</wp:align>
              </wp:positionH>
              <wp:positionV relativeFrom="page">
                <wp:align>bottom</wp:align>
              </wp:positionV>
              <wp:extent cx="443865" cy="443865"/>
              <wp:effectExtent l="0" t="0" r="7620" b="0"/>
              <wp:wrapNone/>
              <wp:docPr id="2083900500" name="文本框 11"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9106D">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1" o:spid="_x0000_s1026" o:spt="202" alt="General" type="#_x0000_t202" style="position:absolute;left:0pt;height:34.95pt;width:34.95pt;mso-position-horizontal:left;mso-position-horizontal-relative:page;mso-position-vertical:bottom;mso-position-vertical-relative:page;mso-wrap-style:none;z-index:251687936;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AUOm0QAAAAMBAAAPAAAAAAAAAAEAIAAAACIAAABkcnMvZG93&#10;bnJldi54bWxQSwECFAAUAAAACACHTuJAJ37FTUACAABuBAAADgAAAAAAAAABACAAAAAgAQAAZHJz&#10;L2Uyb0RvYy54bWxQSwUGAAAAAAYABgBZAQAA0gUAAAAA&#10;">
              <v:fill on="f" focussize="0,0"/>
              <v:stroke on="f"/>
              <v:imagedata o:title=""/>
              <o:lock v:ext="edit" aspectratio="f"/>
              <v:textbox inset="20pt,0mm,0mm,15pt" style="mso-fit-shape-to-text:t;">
                <w:txbxContent>
                  <w:p w14:paraId="5E49106D">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BA3E5">
    <w:pPr>
      <w:pStyle w:val="6"/>
    </w:pPr>
    <w:r>
      <mc:AlternateContent>
        <mc:Choice Requires="wps">
          <w:drawing>
            <wp:anchor distT="0" distB="0" distL="0" distR="0" simplePos="0" relativeHeight="251686912" behindDoc="0" locked="0" layoutInCell="1" allowOverlap="1">
              <wp:simplePos x="0" y="0"/>
              <wp:positionH relativeFrom="page">
                <wp:align>left</wp:align>
              </wp:positionH>
              <wp:positionV relativeFrom="page">
                <wp:align>bottom</wp:align>
              </wp:positionV>
              <wp:extent cx="443865" cy="443865"/>
              <wp:effectExtent l="0" t="0" r="7620" b="0"/>
              <wp:wrapNone/>
              <wp:docPr id="735740415" name="文本框 10"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F6C65">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0" o:spid="_x0000_s1026" o:spt="202" alt="General" type="#_x0000_t202" style="position:absolute;left:0pt;height:34.95pt;width:34.95pt;mso-position-horizontal:left;mso-position-horizontal-relative:page;mso-position-vertical:bottom;mso-position-vertical-relative:page;mso-wrap-style:none;z-index:251686912;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DHvwg7QgIAAG0EAAAOAAAAAAAAAAEAIAAAACABAABk&#10;cnMvZTJvRG9jLnhtbFBLBQYAAAAABgAGAFkBAADUBQAAAAA=&#10;">
              <v:fill on="f" focussize="0,0"/>
              <v:stroke on="f"/>
              <v:imagedata o:title=""/>
              <o:lock v:ext="edit" aspectratio="f"/>
              <v:textbox inset="20pt,0mm,0mm,15pt" style="mso-fit-shape-to-text:t;">
                <w:txbxContent>
                  <w:p w14:paraId="2F0F6C65">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9941">
    <w:pPr>
      <w:spacing w:before="219" w:line="174" w:lineRule="auto"/>
      <w:ind w:left="4356"/>
      <w:rPr>
        <w:rFonts w:ascii="Times New Roman" w:hAnsi="Times New Roman" w:eastAsia="Times New Roman" w:cs="Times New Roman"/>
        <w:sz w:val="18"/>
        <w:szCs w:val="18"/>
      </w:rPr>
    </w:pPr>
    <w:r>
      <w:rPr>
        <w:rFonts w:eastAsia="Arial"/>
      </w:rPr>
      <mc:AlternateContent>
        <mc:Choice Requires="wps">
          <w:drawing>
            <wp:anchor distT="0" distB="0" distL="0" distR="0" simplePos="0" relativeHeight="251692032" behindDoc="0" locked="0" layoutInCell="1" allowOverlap="1">
              <wp:simplePos x="0" y="0"/>
              <wp:positionH relativeFrom="page">
                <wp:align>left</wp:align>
              </wp:positionH>
              <wp:positionV relativeFrom="page">
                <wp:align>bottom</wp:align>
              </wp:positionV>
              <wp:extent cx="443865" cy="443865"/>
              <wp:effectExtent l="0" t="0" r="7620" b="0"/>
              <wp:wrapNone/>
              <wp:docPr id="1285955569" name="文本框 15"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B0ED0">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5" o:spid="_x0000_s1026" o:spt="202" alt="General" type="#_x0000_t202" style="position:absolute;left:0pt;height:34.95pt;width:34.95pt;mso-position-horizontal:left;mso-position-horizontal-relative:page;mso-position-vertical:bottom;mso-position-vertical-relative:page;mso-wrap-style:none;z-index:251692032;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BBJbE4QgIAAG4EAAAOAAAAAAAAAAEAIAAAACABAABk&#10;cnMvZTJvRG9jLnhtbFBLBQYAAAAABgAGAFkBAADUBQAAAAA=&#10;">
              <v:fill on="f" focussize="0,0"/>
              <v:stroke on="f"/>
              <v:imagedata o:title=""/>
              <o:lock v:ext="edit" aspectratio="f"/>
              <v:textbox inset="20pt,0mm,0mm,15pt" style="mso-fit-shape-to-text:t;">
                <w:txbxContent>
                  <w:p w14:paraId="00AB0ED0">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r>
      <w:rPr>
        <w:rFonts w:eastAsia="Arial"/>
      </w:rPr>
      <mc:AlternateContent>
        <mc:Choice Requires="wps">
          <w:drawing>
            <wp:anchor distT="0" distB="0" distL="114300" distR="114300" simplePos="0" relativeHeight="251666432" behindDoc="0" locked="0" layoutInCell="0" allowOverlap="1">
              <wp:simplePos x="0" y="0"/>
              <wp:positionH relativeFrom="page">
                <wp:posOffset>1170940</wp:posOffset>
              </wp:positionH>
              <wp:positionV relativeFrom="page">
                <wp:posOffset>9689465</wp:posOffset>
              </wp:positionV>
              <wp:extent cx="5509260" cy="9525"/>
              <wp:effectExtent l="0" t="0" r="0" b="0"/>
              <wp:wrapNone/>
              <wp:docPr id="104" name="任意多边形 104"/>
              <wp:cNvGraphicFramePr/>
              <a:graphic xmlns:a="http://schemas.openxmlformats.org/drawingml/2006/main">
                <a:graphicData uri="http://schemas.microsoft.com/office/word/2010/wordprocessingShape">
                  <wps:wsp>
                    <wps:cNvSpPr/>
                    <wps:spPr>
                      <a:xfrm>
                        <a:off x="0" y="0"/>
                        <a:ext cx="5509260" cy="9525"/>
                      </a:xfrm>
                      <a:custGeom>
                        <a:avLst/>
                        <a:gdLst/>
                        <a:ahLst/>
                        <a:cxnLst/>
                        <a:rect l="0" t="0" r="0" b="0"/>
                        <a:pathLst>
                          <a:path w="8675" h="15">
                            <a:moveTo>
                              <a:pt x="0" y="14"/>
                            </a:moveTo>
                            <a:lnTo>
                              <a:pt x="8675" y="14"/>
                            </a:lnTo>
                            <a:lnTo>
                              <a:pt x="867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2.2pt;margin-top:762.95pt;height:0.75pt;width:433.8pt;mso-position-horizontal-relative:page;mso-position-vertical-relative:page;z-index:251666432;mso-width-relative:page;mso-height-relative:page;" fillcolor="#000000" filled="t" stroked="f" coordsize="8675,15" o:allowincell="f" o:gfxdata="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L80mD2gAA&#10;AA4BAAAPAAAAAAAAAAEAIAAAACIAAABkcnMvZG93bnJldi54bWxQSwECFAAUAAAACACHTuJAed5Y&#10;DhwCAAChBAAADgAAAAAAAAABACAAAAApAQAAZHJzL2Uyb0RvYy54bWxQSwUGAAAAAAYABgBZAQAA&#10;twUAAAAA&#10;" path="m0,14l8675,14,8675,0,0,0,0,14xe">
              <v:fill on="t" focussize="0,0"/>
              <v:stroke on="f"/>
              <v:imagedata o:title=""/>
              <o:lock v:ext="edit" aspectratio="f"/>
            </v:shape>
          </w:pict>
        </mc:Fallback>
      </mc:AlternateContent>
    </w:r>
    <w:r>
      <w:rPr>
        <w:rFonts w:ascii="Times New Roman" w:hAnsi="Times New Roman" w:eastAsia="Times New Roman" w:cs="Times New Roman"/>
        <w:sz w:val="18"/>
        <w:szCs w:val="18"/>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2329">
    <w:pPr>
      <w:pStyle w:val="6"/>
    </w:pPr>
    <w:r>
      <mc:AlternateContent>
        <mc:Choice Requires="wps">
          <w:drawing>
            <wp:anchor distT="0" distB="0" distL="0" distR="0" simplePos="0" relativeHeight="251691008" behindDoc="0" locked="0" layoutInCell="1" allowOverlap="1">
              <wp:simplePos x="0" y="0"/>
              <wp:positionH relativeFrom="page">
                <wp:align>left</wp:align>
              </wp:positionH>
              <wp:positionV relativeFrom="page">
                <wp:align>bottom</wp:align>
              </wp:positionV>
              <wp:extent cx="443865" cy="443865"/>
              <wp:effectExtent l="0" t="0" r="7620" b="0"/>
              <wp:wrapNone/>
              <wp:docPr id="959349185" name="文本框 14"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4AA89">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4" o:spid="_x0000_s1026" o:spt="202" alt="General" type="#_x0000_t202" style="position:absolute;left:0pt;height:34.95pt;width:34.95pt;mso-position-horizontal:left;mso-position-horizontal-relative:page;mso-position-vertical:bottom;mso-position-vertical-relative:page;mso-wrap-style:none;z-index:251691008;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CErT+WQgIAAG0EAAAOAAAAAAAAAAEAIAAAACABAABk&#10;cnMvZTJvRG9jLnhtbFBLBQYAAAAABgAGAFkBAADUBQAAAAA=&#10;">
              <v:fill on="f" focussize="0,0"/>
              <v:stroke on="f"/>
              <v:imagedata o:title=""/>
              <o:lock v:ext="edit" aspectratio="f"/>
              <v:textbox inset="20pt,0mm,0mm,15pt" style="mso-fit-shape-to-text:t;">
                <w:txbxContent>
                  <w:p w14:paraId="2784AA89">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A5DDD">
    <w:pPr>
      <w:pStyle w:val="6"/>
    </w:pPr>
    <w:r>
      <mc:AlternateContent>
        <mc:Choice Requires="wps">
          <w:drawing>
            <wp:anchor distT="0" distB="0" distL="0" distR="0" simplePos="0" relativeHeight="251689984" behindDoc="0" locked="0" layoutInCell="1" allowOverlap="1">
              <wp:simplePos x="0" y="0"/>
              <wp:positionH relativeFrom="page">
                <wp:align>left</wp:align>
              </wp:positionH>
              <wp:positionV relativeFrom="page">
                <wp:align>bottom</wp:align>
              </wp:positionV>
              <wp:extent cx="443865" cy="443865"/>
              <wp:effectExtent l="0" t="0" r="7620" b="0"/>
              <wp:wrapNone/>
              <wp:docPr id="1979704000" name="文本框 13"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ED7B2">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3" o:spid="_x0000_s1026" o:spt="202" alt="General" type="#_x0000_t202" style="position:absolute;left:0pt;height:34.95pt;width:34.95pt;mso-position-horizontal:left;mso-position-horizontal-relative:page;mso-position-vertical:bottom;mso-position-vertical-relative:page;mso-wrap-style:none;z-index:25168998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CylMx9BAgAAbgQAAA4AAAAAAAAAAQAgAAAAIAEAAGRy&#10;cy9lMm9Eb2MueG1sUEsFBgAAAAAGAAYAWQEAANMFAAAAAA==&#10;">
              <v:fill on="f" focussize="0,0"/>
              <v:stroke on="f"/>
              <v:imagedata o:title=""/>
              <o:lock v:ext="edit" aspectratio="f"/>
              <v:textbox inset="20pt,0mm,0mm,15pt" style="mso-fit-shape-to-text:t;">
                <w:txbxContent>
                  <w:p w14:paraId="4BEED7B2">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C4466">
    <w:pPr>
      <w:pStyle w:val="6"/>
    </w:pPr>
    <w:r>
      <mc:AlternateContent>
        <mc:Choice Requires="wps">
          <w:drawing>
            <wp:anchor distT="0" distB="0" distL="0" distR="0" simplePos="0" relativeHeight="251678720" behindDoc="0" locked="0" layoutInCell="1" allowOverlap="1">
              <wp:simplePos x="0" y="0"/>
              <wp:positionH relativeFrom="page">
                <wp:align>left</wp:align>
              </wp:positionH>
              <wp:positionV relativeFrom="page">
                <wp:align>bottom</wp:align>
              </wp:positionV>
              <wp:extent cx="443865" cy="443865"/>
              <wp:effectExtent l="0" t="0" r="7620" b="0"/>
              <wp:wrapNone/>
              <wp:docPr id="1986050981" name="文本框 2"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8E288">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2" o:spid="_x0000_s1026" o:spt="202" alt="General" type="#_x0000_t202" style="position:absolute;left:0pt;height:34.95pt;width:34.95pt;mso-position-horizontal:left;mso-position-horizontal-relative:page;mso-position-vertical:bottom;mso-position-vertical-relative:page;mso-wrap-style:none;z-index:251678720;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PqTj9tBAgAAbQQAAA4AAAAAAAAAAQAgAAAAIAEAAGRy&#10;cy9lMm9Eb2MueG1sUEsFBgAAAAAGAAYAWQEAANMFAAAAAA==&#10;">
              <v:fill on="f" focussize="0,0"/>
              <v:stroke on="f"/>
              <v:imagedata o:title=""/>
              <o:lock v:ext="edit" aspectratio="f"/>
              <v:textbox inset="20pt,0mm,0mm,15pt" style="mso-fit-shape-to-text:t;">
                <w:txbxContent>
                  <w:p w14:paraId="0A98E288">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3A8D">
    <w:pPr>
      <w:pStyle w:val="6"/>
    </w:pPr>
    <w:r>
      <mc:AlternateContent>
        <mc:Choice Requires="wps">
          <w:drawing>
            <wp:anchor distT="0" distB="0" distL="0" distR="0" simplePos="0" relativeHeight="251677696" behindDoc="0" locked="0" layoutInCell="1" allowOverlap="1">
              <wp:simplePos x="0" y="0"/>
              <wp:positionH relativeFrom="page">
                <wp:align>left</wp:align>
              </wp:positionH>
              <wp:positionV relativeFrom="page">
                <wp:align>bottom</wp:align>
              </wp:positionV>
              <wp:extent cx="443865" cy="443865"/>
              <wp:effectExtent l="0" t="0" r="7620" b="0"/>
              <wp:wrapNone/>
              <wp:docPr id="947197503" name="文本框 1"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40ED5C">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1" o:spid="_x0000_s1026" o:spt="202" alt="General" type="#_x0000_t202" style="position:absolute;left:0pt;height:34.95pt;width:34.95pt;mso-position-horizontal:left;mso-position-horizontal-relative:page;mso-position-vertical:bottom;mso-position-vertical-relative:page;mso-wrap-style:none;z-index:251677696;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A226dCQgIAAGwEAAAOAAAAAAAAAAEAIAAAACABAABk&#10;cnMvZTJvRG9jLnhtbFBLBQYAAAAABgAGAFkBAADUBQAAAAA=&#10;">
              <v:fill on="f" focussize="0,0"/>
              <v:stroke on="f"/>
              <v:imagedata o:title=""/>
              <o:lock v:ext="edit" aspectratio="f"/>
              <v:textbox inset="20pt,0mm,0mm,15pt" style="mso-fit-shape-to-text:t;">
                <w:txbxContent>
                  <w:p w14:paraId="2240ED5C">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32F47">
    <w:pPr>
      <w:spacing w:line="174" w:lineRule="auto"/>
      <w:ind w:left="47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mc:AlternateContent>
        <mc:Choice Requires="wps">
          <w:drawing>
            <wp:anchor distT="0" distB="0" distL="0" distR="0" simplePos="0" relativeHeight="251682816" behindDoc="0" locked="0" layoutInCell="1" allowOverlap="1">
              <wp:simplePos x="0" y="0"/>
              <wp:positionH relativeFrom="page">
                <wp:align>left</wp:align>
              </wp:positionH>
              <wp:positionV relativeFrom="page">
                <wp:align>bottom</wp:align>
              </wp:positionV>
              <wp:extent cx="443865" cy="443865"/>
              <wp:effectExtent l="0" t="0" r="7620" b="0"/>
              <wp:wrapNone/>
              <wp:docPr id="255872064" name="文本框 6"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676FC">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6" o:spid="_x0000_s1026" o:spt="202" alt="General" type="#_x0000_t202" style="position:absolute;left:0pt;height:34.95pt;width:34.95pt;mso-position-horizontal:left;mso-position-horizontal-relative:page;mso-position-vertical:bottom;mso-position-vertical-relative:page;mso-wrap-style:none;z-index:251682816;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BzYE/QQgIAAGwEAAAOAAAAAAAAAAEAIAAAACABAABk&#10;cnMvZTJvRG9jLnhtbFBLBQYAAAAABgAGAFkBAADUBQAAAAA=&#10;">
              <v:fill on="f" focussize="0,0"/>
              <v:stroke on="f"/>
              <v:imagedata o:title=""/>
              <o:lock v:ext="edit" aspectratio="f"/>
              <v:textbox inset="20pt,0mm,0mm,15pt" style="mso-fit-shape-to-text:t;">
                <w:txbxContent>
                  <w:p w14:paraId="05F676FC">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r>
      <w:rPr>
        <w:rFonts w:ascii="Times New Roman" w:hAnsi="Times New Roman" w:eastAsia="Times New Roman" w:cs="Times New Roman"/>
        <w:spacing w:val="-2"/>
        <w:sz w:val="18"/>
        <w:szCs w:val="18"/>
      </w:rPr>
      <w:t>3-24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97568">
    <w:pPr>
      <w:pStyle w:val="6"/>
    </w:pPr>
    <w:r>
      <mc:AlternateContent>
        <mc:Choice Requires="wps">
          <w:drawing>
            <wp:anchor distT="0" distB="0" distL="0" distR="0" simplePos="0" relativeHeight="251681792" behindDoc="0" locked="0" layoutInCell="1" allowOverlap="1">
              <wp:simplePos x="0" y="0"/>
              <wp:positionH relativeFrom="page">
                <wp:align>left</wp:align>
              </wp:positionH>
              <wp:positionV relativeFrom="page">
                <wp:align>bottom</wp:align>
              </wp:positionV>
              <wp:extent cx="443865" cy="443865"/>
              <wp:effectExtent l="0" t="0" r="7620" b="0"/>
              <wp:wrapNone/>
              <wp:docPr id="1902775732" name="文本框 5"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A68E4">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5" o:spid="_x0000_s1026" o:spt="202" alt="General" type="#_x0000_t202" style="position:absolute;left:0pt;height:34.95pt;width:34.95pt;mso-position-horizontal:left;mso-position-horizontal-relative:page;mso-position-vertical:bottom;mso-position-vertical-relative:page;mso-wrap-style:none;z-index:251681792;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Kz1QBlBAgAAbQQAAA4AAAAAAAAAAQAgAAAAIAEAAGRy&#10;cy9lMm9Eb2MueG1sUEsFBgAAAAAGAAYAWQEAANMFAAAAAA==&#10;">
              <v:fill on="f" focussize="0,0"/>
              <v:stroke on="f"/>
              <v:imagedata o:title=""/>
              <o:lock v:ext="edit" aspectratio="f"/>
              <v:textbox inset="20pt,0mm,0mm,15pt" style="mso-fit-shape-to-text:t;">
                <w:txbxContent>
                  <w:p w14:paraId="1E4A68E4">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500E">
    <w:pPr>
      <w:pStyle w:val="6"/>
    </w:pPr>
    <w:r>
      <mc:AlternateContent>
        <mc:Choice Requires="wps">
          <w:drawing>
            <wp:anchor distT="0" distB="0" distL="0" distR="0" simplePos="0" relativeHeight="251680768" behindDoc="0" locked="0" layoutInCell="1" allowOverlap="1">
              <wp:simplePos x="0" y="0"/>
              <wp:positionH relativeFrom="page">
                <wp:align>left</wp:align>
              </wp:positionH>
              <wp:positionV relativeFrom="page">
                <wp:align>bottom</wp:align>
              </wp:positionV>
              <wp:extent cx="443865" cy="443865"/>
              <wp:effectExtent l="0" t="0" r="7620" b="0"/>
              <wp:wrapNone/>
              <wp:docPr id="341190515" name="文本框 4"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EEF52">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4" o:spid="_x0000_s1026" o:spt="202" alt="General" type="#_x0000_t202" style="position:absolute;left:0pt;height:34.95pt;width:34.95pt;mso-position-horizontal:left;mso-position-horizontal-relative:page;mso-position-vertical:bottom;mso-position-vertical-relative:page;mso-wrap-style:none;z-index:251680768;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AUOm0QAAAAMBAAAPAAAAAAAAAAEAIAAAACIAAABkcnMvZG93&#10;bnJldi54bWxQSwECFAAUAAAACACHTuJAZZ0PDUACAABsBAAADgAAAAAAAAABACAAAAAgAQAAZHJz&#10;L2Uyb0RvYy54bWxQSwUGAAAAAAYABgBZAQAA0gUAAAAA&#10;">
              <v:fill on="f" focussize="0,0"/>
              <v:stroke on="f"/>
              <v:imagedata o:title=""/>
              <o:lock v:ext="edit" aspectratio="f"/>
              <v:textbox inset="20pt,0mm,0mm,15pt" style="mso-fit-shape-to-text:t;">
                <w:txbxContent>
                  <w:p w14:paraId="413EEF52">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4B797">
    <w:pPr>
      <w:spacing w:before="218" w:line="175" w:lineRule="auto"/>
      <w:ind w:left="4281"/>
      <w:rPr>
        <w:rFonts w:ascii="Times New Roman" w:hAnsi="Times New Roman" w:eastAsia="Times New Roman" w:cs="Times New Roman"/>
        <w:sz w:val="18"/>
        <w:szCs w:val="18"/>
      </w:rPr>
    </w:pPr>
    <w:r>
      <w:rPr>
        <w:rFonts w:eastAsia="Arial"/>
      </w:rPr>
      <mc:AlternateContent>
        <mc:Choice Requires="wps">
          <w:drawing>
            <wp:anchor distT="0" distB="0" distL="0" distR="0" simplePos="0" relativeHeight="251685888" behindDoc="0" locked="0" layoutInCell="1" allowOverlap="1">
              <wp:simplePos x="0" y="0"/>
              <wp:positionH relativeFrom="page">
                <wp:align>left</wp:align>
              </wp:positionH>
              <wp:positionV relativeFrom="page">
                <wp:align>bottom</wp:align>
              </wp:positionV>
              <wp:extent cx="443865" cy="443865"/>
              <wp:effectExtent l="0" t="0" r="7620" b="0"/>
              <wp:wrapNone/>
              <wp:docPr id="947054252" name="文本框 9"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919CB5">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9" o:spid="_x0000_s1026" o:spt="202" alt="General" type="#_x0000_t202" style="position:absolute;left:0pt;height:34.95pt;width:34.95pt;mso-position-horizontal:left;mso-position-horizontal-relative:page;mso-position-vertical:bottom;mso-position-vertical-relative:page;mso-wrap-style:none;z-index:251685888;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BgIFKAQgIAAGwEAAAOAAAAAAAAAAEAIAAAACABAABk&#10;cnMvZTJvRG9jLnhtbFBLBQYAAAAABgAGAFkBAADUBQAAAAA=&#10;">
              <v:fill on="f" focussize="0,0"/>
              <v:stroke on="f"/>
              <v:imagedata o:title=""/>
              <o:lock v:ext="edit" aspectratio="f"/>
              <v:textbox inset="20pt,0mm,0mm,15pt" style="mso-fit-shape-to-text:t;">
                <w:txbxContent>
                  <w:p w14:paraId="74919CB5">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r>
      <w:rPr>
        <w:rFonts w:eastAsia="Arial"/>
      </w:rPr>
      <mc:AlternateContent>
        <mc:Choice Requires="wps">
          <w:drawing>
            <wp:anchor distT="0" distB="0" distL="114300" distR="114300" simplePos="0" relativeHeight="251676672" behindDoc="0" locked="0" layoutInCell="0" allowOverlap="1">
              <wp:simplePos x="0" y="0"/>
              <wp:positionH relativeFrom="page">
                <wp:posOffset>1170940</wp:posOffset>
              </wp:positionH>
              <wp:positionV relativeFrom="page">
                <wp:posOffset>9689465</wp:posOffset>
              </wp:positionV>
              <wp:extent cx="5509260" cy="9525"/>
              <wp:effectExtent l="0" t="0" r="0" b="0"/>
              <wp:wrapNone/>
              <wp:docPr id="112" name="任意多边形 112"/>
              <wp:cNvGraphicFramePr/>
              <a:graphic xmlns:a="http://schemas.openxmlformats.org/drawingml/2006/main">
                <a:graphicData uri="http://schemas.microsoft.com/office/word/2010/wordprocessingShape">
                  <wps:wsp>
                    <wps:cNvSpPr/>
                    <wps:spPr>
                      <a:xfrm>
                        <a:off x="0" y="0"/>
                        <a:ext cx="5509260" cy="9525"/>
                      </a:xfrm>
                      <a:custGeom>
                        <a:avLst/>
                        <a:gdLst/>
                        <a:ahLst/>
                        <a:cxnLst/>
                        <a:rect l="0" t="0" r="0" b="0"/>
                        <a:pathLst>
                          <a:path w="8675" h="15">
                            <a:moveTo>
                              <a:pt x="0" y="14"/>
                            </a:moveTo>
                            <a:lnTo>
                              <a:pt x="8675" y="14"/>
                            </a:lnTo>
                            <a:lnTo>
                              <a:pt x="8675" y="0"/>
                            </a:lnTo>
                            <a:lnTo>
                              <a:pt x="0" y="0"/>
                            </a:lnTo>
                            <a:lnTo>
                              <a:pt x="0" y="14"/>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2.2pt;margin-top:762.95pt;height:0.75pt;width:433.8pt;mso-position-horizontal-relative:page;mso-position-vertical-relative:page;z-index:251676672;mso-width-relative:page;mso-height-relative:page;" fillcolor="#000000" filled="t" stroked="f" coordsize="8675,15" o:allowincell="f" o:gfxdata="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vzSYPaAAAA&#10;DgEAAA8AAAAAAAAAAQAgAAAAIgAAAGRycy9kb3ducmV2LnhtbFBLAQIUABQAAAAIAIdO4kDHNm6v&#10;GwIAAKEEAAAOAAAAAAAAAAEAIAAAACkBAABkcnMvZTJvRG9jLnhtbFBLBQYAAAAABgAGAFkBAAC2&#10;BQAAAAA=&#10;" path="m0,14l8675,14,8675,0,0,0,0,14xe">
              <v:fill on="t" focussize="0,0"/>
              <v:stroke on="f"/>
              <v:imagedata o:title=""/>
              <o:lock v:ext="edit" aspectratio="f"/>
            </v:shape>
          </w:pict>
        </mc:Fallback>
      </mc:AlternateContent>
    </w:r>
    <w:r>
      <w:rPr>
        <w:rFonts w:ascii="Times New Roman" w:hAnsi="Times New Roman" w:eastAsia="Times New Roman" w:cs="Times New Roman"/>
        <w:spacing w:val="-2"/>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E41B5">
    <w:pPr>
      <w:pStyle w:val="6"/>
    </w:pPr>
    <w:r>
      <mc:AlternateContent>
        <mc:Choice Requires="wps">
          <w:drawing>
            <wp:anchor distT="0" distB="0" distL="0" distR="0" simplePos="0" relativeHeight="251684864" behindDoc="0" locked="0" layoutInCell="1" allowOverlap="1">
              <wp:simplePos x="0" y="0"/>
              <wp:positionH relativeFrom="page">
                <wp:align>left</wp:align>
              </wp:positionH>
              <wp:positionV relativeFrom="page">
                <wp:align>bottom</wp:align>
              </wp:positionV>
              <wp:extent cx="443865" cy="443865"/>
              <wp:effectExtent l="0" t="0" r="7620" b="0"/>
              <wp:wrapNone/>
              <wp:docPr id="1516870535" name="文本框 8"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B7360">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8" o:spid="_x0000_s1026" o:spt="202" alt="General" type="#_x0000_t202" style="position:absolute;left:0pt;height:34.95pt;width:34.95pt;mso-position-horizontal:left;mso-position-horizontal-relative:page;mso-position-vertical:bottom;mso-position-vertical-relative:page;mso-wrap-style:none;z-index:25168486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wFDptEAAAADAQAADwAAAAAAAAABACAAAAAiAAAAZHJzL2Rv&#10;d25yZXYueG1sUEsBAhQAFAAAAAgAh07iQJ8ytvpBAgAAbQQAAA4AAAAAAAAAAQAgAAAAIAEAAGRy&#10;cy9lMm9Eb2MueG1sUEsFBgAAAAAGAAYAWQEAANMFAAAAAA==&#10;">
              <v:fill on="f" focussize="0,0"/>
              <v:stroke on="f"/>
              <v:imagedata o:title=""/>
              <o:lock v:ext="edit" aspectratio="f"/>
              <v:textbox inset="20pt,0mm,0mm,15pt" style="mso-fit-shape-to-text:t;">
                <w:txbxContent>
                  <w:p w14:paraId="65AB7360">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9BDB6">
    <w:pPr>
      <w:pStyle w:val="6"/>
    </w:pPr>
    <w:r>
      <mc:AlternateContent>
        <mc:Choice Requires="wps">
          <w:drawing>
            <wp:anchor distT="0" distB="0" distL="0" distR="0" simplePos="0" relativeHeight="251683840" behindDoc="0" locked="0" layoutInCell="1" allowOverlap="1">
              <wp:simplePos x="0" y="0"/>
              <wp:positionH relativeFrom="page">
                <wp:align>left</wp:align>
              </wp:positionH>
              <wp:positionV relativeFrom="page">
                <wp:align>bottom</wp:align>
              </wp:positionV>
              <wp:extent cx="443865" cy="443865"/>
              <wp:effectExtent l="0" t="0" r="7620" b="0"/>
              <wp:wrapNone/>
              <wp:docPr id="211605294" name="文本框 7" descr="Gener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DDDB5">
                          <w:pPr>
                            <w:rPr>
                              <w:rFonts w:ascii="Calibri" w:hAnsi="Calibri" w:eastAsia="Calibri" w:cs="Calibri"/>
                              <w:color w:val="000000"/>
                              <w:sz w:val="20"/>
                              <w:szCs w:val="20"/>
                            </w:rPr>
                          </w:pPr>
                          <w:r>
                            <w:rPr>
                              <w:rFonts w:ascii="Calibri" w:hAnsi="Calibri" w:eastAsia="Calibri" w:cs="Calibri"/>
                              <w:color w:val="000000"/>
                              <w:sz w:val="20"/>
                              <w:szCs w:val="20"/>
                            </w:rPr>
                            <w:t>General</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文本框 7" o:spid="_x0000_s1026" o:spt="202" alt="General" type="#_x0000_t202" style="position:absolute;left:0pt;height:34.95pt;width:34.95pt;mso-position-horizontal:left;mso-position-horizontal-relative:page;mso-position-vertical:bottom;mso-position-vertical-relative:page;mso-wrap-style:none;z-index:251683840;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MBQ6bRAAAAAwEAAA8AAAAAAAAAAQAgAAAAIgAAAGRycy9k&#10;b3ducmV2LnhtbFBLAQIUABQAAAAIAIdO4kA6QyEYQgIAAGwEAAAOAAAAAAAAAAEAIAAAACABAABk&#10;cnMvZTJvRG9jLnhtbFBLBQYAAAAABgAGAFkBAADUBQAAAAA=&#10;">
              <v:fill on="f" focussize="0,0"/>
              <v:stroke on="f"/>
              <v:imagedata o:title=""/>
              <o:lock v:ext="edit" aspectratio="f"/>
              <v:textbox inset="20pt,0mm,0mm,15pt" style="mso-fit-shape-to-text:t;">
                <w:txbxContent>
                  <w:p w14:paraId="6BBDDDB5">
                    <w:pPr>
                      <w:rPr>
                        <w:rFonts w:ascii="Calibri" w:hAnsi="Calibri" w:eastAsia="Calibri" w:cs="Calibri"/>
                        <w:color w:val="000000"/>
                        <w:sz w:val="20"/>
                        <w:szCs w:val="20"/>
                      </w:rPr>
                    </w:pPr>
                    <w:r>
                      <w:rPr>
                        <w:rFonts w:ascii="Calibri" w:hAnsi="Calibri" w:eastAsia="Calibri" w:cs="Calibri"/>
                        <w:color w:val="000000"/>
                        <w:sz w:val="20"/>
                        <w:szCs w:val="20"/>
                      </w:rPr>
                      <w:t>General</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EE27B">
    <w:pPr>
      <w:spacing w:before="26" w:line="174" w:lineRule="auto"/>
      <w:rPr>
        <w:rFonts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0CF09">
    <w:pPr>
      <w:spacing w:before="15" w:line="220" w:lineRule="auto"/>
      <w:ind w:left="115"/>
      <w:rPr>
        <w:rFonts w:ascii="宋体" w:hAnsi="宋体" w:cs="宋体"/>
        <w:sz w:val="18"/>
        <w:szCs w:val="18"/>
      </w:rPr>
    </w:pPr>
    <w:r>
      <w:rPr>
        <w:rFonts w:ascii="宋体" w:hAnsi="宋体" w:cs="宋体"/>
        <w:spacing w:val="-3"/>
        <w:sz w:val="18"/>
        <w:szCs w:val="18"/>
      </w:rPr>
      <w:t>昆明第十五水质净化厂工程</w:t>
    </w:r>
  </w:p>
  <w:p w14:paraId="433377A4">
    <w:pPr>
      <w:spacing w:before="26" w:line="174" w:lineRule="auto"/>
      <w:ind w:left="94"/>
      <w:rPr>
        <w:rFonts w:ascii="宋体" w:hAnsi="宋体" w:cs="宋体"/>
        <w:sz w:val="18"/>
        <w:szCs w:val="18"/>
      </w:rPr>
    </w:pPr>
    <w:r>
      <w:rPr>
        <w:rFonts w:ascii="宋体" w:hAnsi="宋体" w:cs="宋体"/>
        <w:spacing w:val="-1"/>
        <w:sz w:val="18"/>
        <w:szCs w:val="18"/>
        <w:u w:val="single"/>
      </w:rPr>
      <w:t xml:space="preserve">招标编号：                                 </w:t>
    </w:r>
    <w:r>
      <w:rPr>
        <w:rFonts w:ascii="宋体" w:hAnsi="宋体" w:cs="宋体"/>
        <w:spacing w:val="-2"/>
        <w:sz w:val="18"/>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4CBE7">
    <w:pPr>
      <w:spacing w:before="15" w:line="220" w:lineRule="auto"/>
      <w:ind w:left="115"/>
      <w:rPr>
        <w:rFonts w:ascii="宋体" w:hAnsi="宋体" w:cs="宋体"/>
        <w:sz w:val="18"/>
        <w:szCs w:val="18"/>
      </w:rPr>
    </w:pPr>
    <w:r>
      <w:rPr>
        <w:rFonts w:ascii="宋体" w:hAnsi="宋体" w:cs="宋体"/>
        <w:spacing w:val="-3"/>
        <w:sz w:val="18"/>
        <w:szCs w:val="18"/>
      </w:rPr>
      <w:t>昆明第十五水质净化厂工程</w:t>
    </w:r>
  </w:p>
  <w:p w14:paraId="036F350A">
    <w:pPr>
      <w:spacing w:before="25" w:line="191" w:lineRule="auto"/>
      <w:ind w:left="94"/>
      <w:rPr>
        <w:rFonts w:ascii="宋体" w:hAnsi="宋体" w:cs="宋体"/>
        <w:sz w:val="18"/>
        <w:szCs w:val="18"/>
      </w:rPr>
    </w:pPr>
    <w:r>
      <w:rPr>
        <w:rFonts w:ascii="宋体" w:hAnsi="宋体" w:cs="宋体"/>
        <w:spacing w:val="-1"/>
        <w:sz w:val="18"/>
        <w:szCs w:val="18"/>
        <w:u w:val="single"/>
      </w:rPr>
      <w:t xml:space="preserve">招标编号：                                 </w:t>
    </w:r>
    <w:r>
      <w:rPr>
        <w:rFonts w:ascii="宋体" w:hAnsi="宋体" w:cs="宋体"/>
        <w:spacing w:val="-2"/>
        <w:sz w:val="18"/>
        <w:szCs w:val="18"/>
        <w:u w:val="singl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FA8F9">
    <w:pPr>
      <w:spacing w:before="16" w:line="229" w:lineRule="auto"/>
      <w:ind w:left="130" w:right="11514" w:firstLine="21"/>
      <w:rPr>
        <w:rFonts w:ascii="宋体" w:hAnsi="宋体" w:cs="宋体"/>
        <w:sz w:val="18"/>
        <w:szCs w:val="18"/>
      </w:rPr>
    </w:pPr>
    <w:r>
      <w:rPr>
        <w:rFonts w:eastAsia="Arial"/>
      </w:rPr>
      <mc:AlternateContent>
        <mc:Choice Requires="wps">
          <w:drawing>
            <wp:anchor distT="0" distB="0" distL="114300" distR="114300" simplePos="0" relativeHeight="251664384" behindDoc="0" locked="0" layoutInCell="0" allowOverlap="1">
              <wp:simplePos x="0" y="0"/>
              <wp:positionH relativeFrom="page">
                <wp:posOffset>1061085</wp:posOffset>
              </wp:positionH>
              <wp:positionV relativeFrom="page">
                <wp:posOffset>891540</wp:posOffset>
              </wp:positionV>
              <wp:extent cx="8360410" cy="6350"/>
              <wp:effectExtent l="0" t="0" r="0" b="0"/>
              <wp:wrapNone/>
              <wp:docPr id="105" name="任意多边形 105"/>
              <wp:cNvGraphicFramePr/>
              <a:graphic xmlns:a="http://schemas.openxmlformats.org/drawingml/2006/main">
                <a:graphicData uri="http://schemas.microsoft.com/office/word/2010/wordprocessingShape">
                  <wps:wsp>
                    <wps:cNvSpPr/>
                    <wps:spPr>
                      <a:xfrm>
                        <a:off x="0" y="0"/>
                        <a:ext cx="8360410" cy="6350"/>
                      </a:xfrm>
                      <a:custGeom>
                        <a:avLst/>
                        <a:gdLst/>
                        <a:ahLst/>
                        <a:cxnLst/>
                        <a:rect l="0" t="0" r="0" b="0"/>
                        <a:pathLst>
                          <a:path w="13165" h="10">
                            <a:moveTo>
                              <a:pt x="0" y="9"/>
                            </a:moveTo>
                            <a:lnTo>
                              <a:pt x="13165" y="9"/>
                            </a:lnTo>
                            <a:lnTo>
                              <a:pt x="13165"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3.55pt;margin-top:70.2pt;height:0.5pt;width:658.3pt;mso-position-horizontal-relative:page;mso-position-vertical-relative:page;z-index:251664384;mso-width-relative:page;mso-height-relative:page;" fillcolor="#000000" filled="t" stroked="f" coordsize="13165,10" o:allowincell="f" o:gfxdata="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jqMp3ZAAAA&#10;DAEAAA8AAAAAAAAAAQAgAAAAIgAAAGRycy9kb3ducmV2LnhtbFBLAQIUABQAAAAIAIdO4kAEviEG&#10;HAIAAKEEAAAOAAAAAAAAAAEAIAAAACgBAABkcnMvZTJvRG9jLnhtbFBLBQYAAAAABgAGAFkBAAC2&#10;BQAAAAA=&#10;" path="m0,9l13165,9,13165,0,0,0,0,9xe">
              <v:fill on="t" focussize="0,0"/>
              <v:stroke on="f"/>
              <v:imagedata o:title=""/>
              <o:lock v:ext="edit" aspectratio="f"/>
            </v:shape>
          </w:pict>
        </mc:Fallback>
      </mc:AlternateContent>
    </w:r>
    <w:r>
      <w:rPr>
        <w:rFonts w:ascii="宋体" w:hAnsi="宋体" w:cs="宋体"/>
        <w:spacing w:val="-3"/>
        <w:sz w:val="18"/>
        <w:szCs w:val="18"/>
      </w:rPr>
      <w:t>昆明第十五水质净化厂工程</w:t>
    </w:r>
    <w:r>
      <w:rPr>
        <w:rFonts w:ascii="宋体" w:hAnsi="宋体" w:cs="宋体"/>
        <w:spacing w:val="6"/>
        <w:sz w:val="18"/>
        <w:szCs w:val="18"/>
      </w:rPr>
      <w:t xml:space="preserve"> </w:t>
    </w:r>
    <w:r>
      <w:rPr>
        <w:rFonts w:ascii="宋体" w:hAnsi="宋体" w:cs="宋体"/>
        <w:spacing w:val="-8"/>
        <w:sz w:val="18"/>
        <w:szCs w:val="18"/>
      </w:rPr>
      <w:t>招标编号：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22241">
    <w:pPr>
      <w:spacing w:before="15" w:line="220" w:lineRule="auto"/>
      <w:ind w:left="115"/>
      <w:rPr>
        <w:rFonts w:ascii="宋体" w:hAnsi="宋体" w:cs="宋体"/>
        <w:sz w:val="18"/>
        <w:szCs w:val="18"/>
      </w:rPr>
    </w:pPr>
    <w:r>
      <w:rPr>
        <w:rFonts w:ascii="宋体" w:hAnsi="宋体" w:cs="宋体"/>
        <w:spacing w:val="-3"/>
        <w:sz w:val="18"/>
        <w:szCs w:val="18"/>
      </w:rPr>
      <w:t>昆明第十五水质净化厂工程</w:t>
    </w:r>
  </w:p>
  <w:p w14:paraId="72690335">
    <w:pPr>
      <w:spacing w:before="25" w:line="197" w:lineRule="auto"/>
      <w:ind w:left="135"/>
      <w:rPr>
        <w:rFonts w:ascii="宋体" w:hAnsi="宋体" w:cs="宋体"/>
        <w:sz w:val="18"/>
        <w:szCs w:val="18"/>
      </w:rPr>
    </w:pPr>
    <w:r>
      <w:rPr>
        <w:rFonts w:eastAsia="Arial"/>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128270</wp:posOffset>
              </wp:positionV>
              <wp:extent cx="5203825" cy="6350"/>
              <wp:effectExtent l="0" t="0" r="0" b="0"/>
              <wp:wrapNone/>
              <wp:docPr id="97" name="任意多边形 97"/>
              <wp:cNvGraphicFramePr/>
              <a:graphic xmlns:a="http://schemas.openxmlformats.org/drawingml/2006/main">
                <a:graphicData uri="http://schemas.microsoft.com/office/word/2010/wordprocessingShape">
                  <wps:wsp>
                    <wps:cNvSpPr/>
                    <wps:spPr>
                      <a:xfrm>
                        <a:off x="0" y="0"/>
                        <a:ext cx="5203825" cy="6350"/>
                      </a:xfrm>
                      <a:custGeom>
                        <a:avLst/>
                        <a:gdLst/>
                        <a:ahLst/>
                        <a:cxnLst/>
                        <a:rect l="0" t="0" r="0" b="0"/>
                        <a:pathLst>
                          <a:path w="8195" h="10">
                            <a:moveTo>
                              <a:pt x="0" y="9"/>
                            </a:moveTo>
                            <a:lnTo>
                              <a:pt x="8195" y="9"/>
                            </a:lnTo>
                            <a:lnTo>
                              <a:pt x="8195" y="0"/>
                            </a:lnTo>
                            <a:lnTo>
                              <a:pt x="0" y="0"/>
                            </a:lnTo>
                            <a:lnTo>
                              <a:pt x="0" y="9"/>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6.35pt;margin-top:10.1pt;height:0.5pt;width:409.75pt;z-index:251665408;mso-width-relative:page;mso-height-relative:page;" fillcolor="#000000" filled="t" stroked="f" coordsize="8195,10" o:gfxdata="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KKloG1gAAAAgB&#10;AAAPAAAAAAAAAAEAIAAAACIAAABkcnMvZG93bnJldi54bWxQSwECFAAUAAAACACHTuJA5FY82R0C&#10;AACcBAAADgAAAAAAAAABACAAAAAlAQAAZHJzL2Uyb0RvYy54bWxQSwUGAAAAAAYABgBZAQAAtAUA&#10;AAAA&#10;" path="m0,9l8195,9,8195,0,0,0,0,9xe">
              <v:fill on="t" focussize="0,0"/>
              <v:stroke on="f"/>
              <v:imagedata o:title=""/>
              <o:lock v:ext="edit" aspectratio="f"/>
            </v:shape>
          </w:pict>
        </mc:Fallback>
      </mc:AlternateContent>
    </w:r>
    <w:r>
      <w:rPr>
        <w:rFonts w:ascii="宋体" w:hAnsi="宋体" w:cs="宋体"/>
        <w:spacing w:val="-1"/>
        <w:sz w:val="18"/>
        <w:szCs w:val="18"/>
      </w:rPr>
      <w:t xml:space="preserve">招标编号：                                                      </w:t>
    </w:r>
    <w:r>
      <w:rPr>
        <w:rFonts w:ascii="宋体" w:hAnsi="宋体" w:cs="宋体"/>
        <w:spacing w:val="-2"/>
        <w:sz w:val="18"/>
        <w:szCs w:val="18"/>
      </w:rPr>
      <w:t xml:space="preserve">              附录：参考标准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F468C"/>
    <w:multiLevelType w:val="singleLevel"/>
    <w:tmpl w:val="C54F468C"/>
    <w:lvl w:ilvl="0" w:tentative="0">
      <w:start w:val="1"/>
      <w:numFmt w:val="upperRoman"/>
      <w:lvlText w:val="%1."/>
      <w:lvlJc w:val="left"/>
      <w:pPr>
        <w:tabs>
          <w:tab w:val="left" w:pos="312"/>
        </w:tabs>
      </w:pPr>
    </w:lvl>
  </w:abstractNum>
  <w:abstractNum w:abstractNumId="1">
    <w:nsid w:val="E51012E6"/>
    <w:multiLevelType w:val="singleLevel"/>
    <w:tmpl w:val="E51012E6"/>
    <w:lvl w:ilvl="0" w:tentative="0">
      <w:start w:val="1"/>
      <w:numFmt w:val="upperLetter"/>
      <w:lvlText w:val="%1."/>
      <w:lvlJc w:val="left"/>
      <w:pPr>
        <w:tabs>
          <w:tab w:val="left" w:pos="312"/>
        </w:tabs>
      </w:pPr>
    </w:lvl>
  </w:abstractNum>
  <w:abstractNum w:abstractNumId="2">
    <w:nsid w:val="EF967D48"/>
    <w:multiLevelType w:val="singleLevel"/>
    <w:tmpl w:val="EF967D48"/>
    <w:lvl w:ilvl="0" w:tentative="0">
      <w:start w:val="1"/>
      <w:numFmt w:val="upperRoman"/>
      <w:lvlText w:val="%1."/>
      <w:lvlJc w:val="left"/>
      <w:pPr>
        <w:tabs>
          <w:tab w:val="left" w:pos="312"/>
        </w:tabs>
      </w:pPr>
    </w:lvl>
  </w:abstractNum>
  <w:abstractNum w:abstractNumId="3">
    <w:nsid w:val="00C8D9CA"/>
    <w:multiLevelType w:val="singleLevel"/>
    <w:tmpl w:val="00C8D9CA"/>
    <w:lvl w:ilvl="0" w:tentative="0">
      <w:start w:val="8"/>
      <w:numFmt w:val="chineseCounting"/>
      <w:suff w:val="nothing"/>
      <w:lvlText w:val="%1、"/>
      <w:lvlJc w:val="left"/>
      <w:rPr>
        <w:rFonts w:hint="eastAsia"/>
      </w:rPr>
    </w:lvl>
  </w:abstractNum>
  <w:abstractNum w:abstractNumId="4">
    <w:nsid w:val="2704EAE0"/>
    <w:multiLevelType w:val="singleLevel"/>
    <w:tmpl w:val="2704EAE0"/>
    <w:lvl w:ilvl="0" w:tentative="0">
      <w:start w:val="2"/>
      <w:numFmt w:val="upperLetter"/>
      <w:lvlText w:val="%1."/>
      <w:lvlJc w:val="left"/>
      <w:pPr>
        <w:tabs>
          <w:tab w:val="left" w:pos="312"/>
        </w:tabs>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4C5A1D33"/>
    <w:rsid w:val="00172BBC"/>
    <w:rsid w:val="00361A75"/>
    <w:rsid w:val="008861E3"/>
    <w:rsid w:val="00B66A70"/>
    <w:rsid w:val="02E70888"/>
    <w:rsid w:val="05103222"/>
    <w:rsid w:val="17062915"/>
    <w:rsid w:val="3A4B7407"/>
    <w:rsid w:val="3F8247FD"/>
    <w:rsid w:val="4C5A1D33"/>
    <w:rsid w:val="5EF63C9C"/>
    <w:rsid w:val="7EEF6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link w:val="16"/>
    <w:unhideWhenUsed/>
    <w:qFormat/>
    <w:uiPriority w:val="0"/>
    <w:pPr>
      <w:keepNext/>
      <w:keepLines/>
      <w:spacing w:before="280" w:after="290" w:line="372" w:lineRule="auto"/>
      <w:outlineLvl w:val="3"/>
    </w:pPr>
    <w:rPr>
      <w:rFonts w:ascii="Arial" w:hAnsi="Arial" w:eastAsia="黑体"/>
      <w:b/>
      <w:sz w:val="28"/>
    </w:rPr>
  </w:style>
  <w:style w:type="paragraph" w:styleId="4">
    <w:name w:val="heading 5"/>
    <w:basedOn w:val="1"/>
    <w:next w:val="1"/>
    <w:unhideWhenUsed/>
    <w:qFormat/>
    <w:uiPriority w:val="0"/>
    <w:pPr>
      <w:keepNext/>
      <w:keepLines/>
      <w:spacing w:before="280" w:after="290" w:line="372" w:lineRule="auto"/>
      <w:outlineLvl w:val="4"/>
    </w:pPr>
    <w:rPr>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semiHidden/>
    <w:qFormat/>
    <w:uiPriority w:val="0"/>
    <w:rPr>
      <w:rFonts w:eastAsia="Arial"/>
    </w:rPr>
  </w:style>
  <w:style w:type="paragraph" w:styleId="6">
    <w:name w:val="footer"/>
    <w:basedOn w:val="1"/>
    <w:unhideWhenUsed/>
    <w:qFormat/>
    <w:uiPriority w:val="99"/>
    <w:pPr>
      <w:tabs>
        <w:tab w:val="center" w:pos="4320"/>
        <w:tab w:val="right" w:pos="8640"/>
      </w:tabs>
    </w:p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customStyle="1" w:styleId="10">
    <w:name w:val="Table Text"/>
    <w:basedOn w:val="1"/>
    <w:semiHidden/>
    <w:qFormat/>
    <w:uiPriority w:val="0"/>
    <w:rPr>
      <w:rFonts w:ascii="宋体" w:hAnsi="宋体" w:cs="宋体"/>
    </w:rPr>
  </w:style>
  <w:style w:type="paragraph" w:styleId="11">
    <w:name w:val="List Paragraph"/>
    <w:basedOn w:val="1"/>
    <w:qFormat/>
    <w:uiPriority w:val="34"/>
    <w:pPr>
      <w:ind w:left="720"/>
      <w:contextualSpacing/>
    </w:pPr>
  </w:style>
  <w:style w:type="character" w:customStyle="1" w:styleId="12">
    <w:name w:val="font11"/>
    <w:basedOn w:val="9"/>
    <w:qFormat/>
    <w:uiPriority w:val="0"/>
    <w:rPr>
      <w:rFonts w:hint="eastAsia" w:ascii="宋体" w:hAnsi="宋体" w:eastAsia="宋体" w:cs="宋体"/>
      <w:color w:val="000000"/>
      <w:sz w:val="18"/>
      <w:szCs w:val="18"/>
      <w:u w:val="none"/>
    </w:rPr>
  </w:style>
  <w:style w:type="character" w:customStyle="1" w:styleId="13">
    <w:name w:val="font31"/>
    <w:basedOn w:val="9"/>
    <w:qFormat/>
    <w:uiPriority w:val="0"/>
    <w:rPr>
      <w:rFonts w:ascii="Arial" w:hAnsi="Arial" w:cs="Arial"/>
      <w:color w:val="000000"/>
      <w:sz w:val="18"/>
      <w:szCs w:val="18"/>
      <w:u w:val="none"/>
    </w:rPr>
  </w:style>
  <w:style w:type="character" w:customStyle="1" w:styleId="14">
    <w:name w:val="font21"/>
    <w:basedOn w:val="9"/>
    <w:qFormat/>
    <w:uiPriority w:val="0"/>
    <w:rPr>
      <w:rFonts w:ascii="Arial" w:hAnsi="Arial" w:cs="Arial"/>
      <w:color w:val="000000"/>
      <w:sz w:val="18"/>
      <w:szCs w:val="18"/>
      <w:u w:val="none"/>
    </w:rPr>
  </w:style>
  <w:style w:type="character" w:customStyle="1" w:styleId="15">
    <w:name w:val="font41"/>
    <w:basedOn w:val="9"/>
    <w:qFormat/>
    <w:uiPriority w:val="0"/>
    <w:rPr>
      <w:rFonts w:hint="default" w:ascii="Calibri" w:hAnsi="Calibri" w:cs="Calibri"/>
      <w:color w:val="000000"/>
      <w:sz w:val="18"/>
      <w:szCs w:val="18"/>
      <w:u w:val="none"/>
    </w:rPr>
  </w:style>
  <w:style w:type="character" w:customStyle="1" w:styleId="16">
    <w:name w:val="标题 4 字符"/>
    <w:link w:val="3"/>
    <w:qFormat/>
    <w:uiPriority w:val="0"/>
    <w:rPr>
      <w:rFonts w:ascii="Arial" w:hAnsi="Arial" w:eastAsia="黑体"/>
      <w:b/>
      <w:sz w:val="28"/>
    </w:rPr>
  </w:style>
  <w:style w:type="character" w:customStyle="1" w:styleId="17">
    <w:name w:val="页眉 字符"/>
    <w:basedOn w:val="9"/>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142</Pages>
  <Words>29647</Words>
  <Characters>32100</Characters>
  <Lines>681</Lines>
  <Paragraphs>191</Paragraphs>
  <TotalTime>14</TotalTime>
  <ScaleCrop>false</ScaleCrop>
  <LinksUpToDate>false</LinksUpToDate>
  <CharactersWithSpaces>34443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2024-08-18T12:17:00Z</dcterms:created>
  <dc:creator>Demon</dc:creator>
  <cp:lastModifiedBy>耳东折呆可</cp:lastModifiedBy>
  <dcterms:modified xsi:type="dcterms:W3CDTF">2025-02-13T06:57:57Z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358009727F324443A563D1D387D50644_13</vt:lpwstr>
  </property>
  <property fmtid="{D5CDD505-2E9C-101B-9397-08002B2CF9AE}" pid="4" name="ClassificationContentMarkingFooterShapeIds">
    <vt:lpwstr>3875163f,7660bba5,5bfee154,14562773,716a0db4,f404c40,c9cd72e,5a699b87,3872e6ac,2bda81ff,7c35cc54,579dcb48,75ffe2c0,392e81c1,4ca61ff1</vt:lpwstr>
  </property>
  <property fmtid="{D5CDD505-2E9C-101B-9397-08002B2CF9AE}" pid="5" name="ClassificationContentMarkingFooterFontProps">
    <vt:lpwstr>#000000,10,Calibri</vt:lpwstr>
  </property>
  <property fmtid="{D5CDD505-2E9C-101B-9397-08002B2CF9AE}" pid="6" name="ClassificationContentMarkingFooterText">
    <vt:lpwstr>General</vt:lpwstr>
  </property>
  <property fmtid="{D5CDD505-2E9C-101B-9397-08002B2CF9AE}" pid="7" name="KSOTemplateDocerSaveRecord">
    <vt:lpwstr>eyJoZGlkIjoiNjI3YjFlYTRmY2E1ZjRlNmY3ODM1NDQ3MTZhYjYwMjgiLCJ1c2VySWQiOiI0MDcwMTMxMTQifQ==</vt:lpwstr>
  </property>
</Properties>
</file>