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sz w:val="32"/>
          <w:szCs w:val="36"/>
        </w:rPr>
      </w:pPr>
      <w:r>
        <w:rPr>
          <w:rFonts w:hint="eastAsia"/>
          <w:sz w:val="32"/>
          <w:szCs w:val="36"/>
        </w:rPr>
        <w:t>变频器技术要求</w:t>
      </w:r>
    </w:p>
    <w:p>
      <w:pPr>
        <w:rPr>
          <w:rFonts w:hint="eastAsia"/>
        </w:rPr>
      </w:pPr>
    </w:p>
    <w:p>
      <w:pPr>
        <w:pStyle w:val="19"/>
        <w:ind w:firstLine="480"/>
      </w:pPr>
      <w:r>
        <w:rPr>
          <w:rFonts w:hint="eastAsia"/>
        </w:rPr>
        <w:t>试验台为交流母线形式的电功率封闭系统。驱动、加载电机为风力发电机组配套的永磁发电机、异步电机，整流逆变装置为风力发电机组适配的变流器，通过控制系统，实现电机拖动、发电、正转、反转四象限运行。</w:t>
      </w:r>
    </w:p>
    <w:p>
      <w:pPr>
        <w:pStyle w:val="2"/>
      </w:pPr>
      <w:bookmarkStart w:id="0" w:name="_Toc112602294"/>
      <w:bookmarkStart w:id="6" w:name="_GoBack"/>
      <w:bookmarkEnd w:id="6"/>
      <w:r>
        <w:rPr>
          <w:rFonts w:hint="eastAsia"/>
        </w:rPr>
        <w:t>工程条件</w:t>
      </w:r>
      <w:bookmarkEnd w:id="0"/>
    </w:p>
    <w:p>
      <w:pPr>
        <w:pStyle w:val="17"/>
        <w:ind w:firstLine="480"/>
        <w:rPr>
          <w:b/>
          <w:bCs/>
        </w:rPr>
      </w:pPr>
      <w:bookmarkStart w:id="1" w:name="_Hlk110346842"/>
      <w:r>
        <w:rPr>
          <w:rFonts w:hint="eastAsia"/>
        </w:rPr>
        <w:t>用于采购人风电传动链测试台项目的采购。</w:t>
      </w:r>
      <w:bookmarkEnd w:id="1"/>
      <w:r>
        <w:rPr>
          <w:rFonts w:hint="eastAsia"/>
        </w:rPr>
        <w:t>变频器用于试验时的电机驱动及加载。</w:t>
      </w:r>
    </w:p>
    <w:p>
      <w:pPr>
        <w:pStyle w:val="17"/>
        <w:ind w:firstLine="480"/>
      </w:pPr>
      <w:r>
        <w:rPr>
          <w:rFonts w:hint="eastAsia"/>
        </w:rPr>
        <w:t>主动力电源：</w:t>
      </w:r>
      <w:r>
        <w:t>1</w:t>
      </w:r>
      <w:r>
        <w:rPr>
          <w:rFonts w:hint="eastAsia"/>
        </w:rPr>
        <w:t>.1</w:t>
      </w:r>
      <w:r>
        <w:t>4kV AC</w:t>
      </w:r>
      <w:r>
        <w:rPr>
          <w:rFonts w:hint="eastAsia"/>
        </w:rPr>
        <w:t>，供方提供系统运行损耗值。</w:t>
      </w:r>
    </w:p>
    <w:p>
      <w:pPr>
        <w:pStyle w:val="17"/>
        <w:ind w:firstLine="480"/>
      </w:pPr>
      <w:r>
        <w:rPr>
          <w:rFonts w:hint="eastAsia"/>
        </w:rPr>
        <w:t>辅助电源：</w:t>
      </w:r>
      <w:r>
        <w:t xml:space="preserve">380V AC </w:t>
      </w:r>
      <w:r>
        <w:rPr>
          <w:rFonts w:hint="eastAsia"/>
        </w:rPr>
        <w:t>，供方提供系统运行损耗值。</w:t>
      </w:r>
      <w:r>
        <w:t xml:space="preserve"> </w:t>
      </w:r>
    </w:p>
    <w:p>
      <w:pPr>
        <w:pStyle w:val="17"/>
        <w:ind w:firstLine="480"/>
      </w:pPr>
      <w:r>
        <w:rPr>
          <w:rFonts w:hint="eastAsia"/>
        </w:rPr>
        <w:t>运行环境：</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安装地点：户内（湖南省株洲市），无导电粉尘，无易燃、易爆、腐蚀性气体；</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环境温度：</w:t>
      </w:r>
      <w:r>
        <w:rPr>
          <w:rFonts w:hint="eastAsia" w:ascii="Times New Roman" w:eastAsia="宋体" w:cs="Times New Roman"/>
        </w:rPr>
        <w:t>0</w:t>
      </w:r>
      <w:r>
        <w:rPr>
          <w:rFonts w:ascii="Times New Roman" w:eastAsia="宋体" w:cs="Times New Roman"/>
        </w:rPr>
        <w:t>~45</w:t>
      </w:r>
      <w:r>
        <w:rPr>
          <w:rFonts w:hint="eastAsia" w:ascii="宋体" w:hAnsi="宋体" w:eastAsia="宋体" w:cs="Times New Roman"/>
        </w:rPr>
        <w:t>℃；</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日均最高气温：</w:t>
      </w:r>
      <w:r>
        <w:rPr>
          <w:rFonts w:hint="eastAsia" w:ascii="Times New Roman" w:eastAsia="宋体" w:cs="Times New Roman"/>
        </w:rPr>
        <w:t>3</w:t>
      </w:r>
      <w:r>
        <w:rPr>
          <w:rFonts w:ascii="Times New Roman" w:eastAsia="宋体" w:cs="Times New Roman"/>
        </w:rPr>
        <w:t>0</w:t>
      </w:r>
      <w:r>
        <w:rPr>
          <w:rFonts w:hint="eastAsia" w:ascii="宋体" w:hAnsi="宋体" w:eastAsia="宋体" w:cs="Times New Roman"/>
        </w:rPr>
        <w:t>℃；</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极端最高温度：</w:t>
      </w:r>
      <w:r>
        <w:rPr>
          <w:rFonts w:hint="eastAsia" w:ascii="Times New Roman" w:eastAsia="宋体" w:cs="Times New Roman"/>
        </w:rPr>
        <w:t>3</w:t>
      </w:r>
      <w:r>
        <w:rPr>
          <w:rFonts w:ascii="Times New Roman" w:eastAsia="宋体" w:cs="Times New Roman"/>
        </w:rPr>
        <w:t>8.6</w:t>
      </w:r>
      <w:r>
        <w:rPr>
          <w:rFonts w:hint="eastAsia" w:ascii="宋体" w:hAnsi="宋体" w:eastAsia="宋体" w:cs="Times New Roman"/>
        </w:rPr>
        <w:t>℃；</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极端最低温度：</w:t>
      </w:r>
      <w:r>
        <w:rPr>
          <w:rFonts w:hint="eastAsia" w:ascii="Times New Roman" w:eastAsia="宋体" w:cs="Times New Roman"/>
        </w:rPr>
        <w:t>0</w:t>
      </w:r>
      <w:r>
        <w:rPr>
          <w:rFonts w:ascii="Times New Roman" w:eastAsia="宋体" w:cs="Times New Roman"/>
        </w:rPr>
        <w:t>.3</w:t>
      </w:r>
      <w:r>
        <w:rPr>
          <w:rFonts w:hint="eastAsia" w:ascii="宋体" w:hAnsi="宋体" w:eastAsia="宋体" w:cs="Times New Roman"/>
        </w:rPr>
        <w:t>℃；</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最热月平均相对湿度：</w:t>
      </w:r>
      <w:r>
        <w:rPr>
          <w:rFonts w:hint="eastAsia" w:ascii="Times New Roman" w:eastAsia="宋体" w:cs="Times New Roman"/>
        </w:rPr>
        <w:t>8</w:t>
      </w:r>
      <w:r>
        <w:rPr>
          <w:rFonts w:ascii="Times New Roman" w:eastAsia="宋体" w:cs="Times New Roman"/>
        </w:rPr>
        <w:t>4%</w:t>
      </w:r>
      <w:r>
        <w:rPr>
          <w:rFonts w:hint="eastAsia" w:ascii="宋体" w:hAnsi="宋体" w:eastAsia="宋体" w:cs="Times New Roman"/>
        </w:rPr>
        <w:t>；</w:t>
      </w:r>
    </w:p>
    <w:p>
      <w:pPr>
        <w:pStyle w:val="22"/>
        <w:spacing w:line="360" w:lineRule="auto"/>
        <w:ind w:left="420" w:leftChars="200" w:firstLine="480" w:firstLineChars="200"/>
        <w:rPr>
          <w:rFonts w:ascii="Times New Roman" w:eastAsia="宋体" w:cs="Times New Roman"/>
        </w:rPr>
      </w:pPr>
      <w:r>
        <w:rPr>
          <w:rFonts w:hint="eastAsia" w:ascii="宋体" w:hAnsi="宋体" w:eastAsia="宋体" w:cs="Times New Roman"/>
        </w:rPr>
        <w:t>海拔高度：</w:t>
      </w:r>
      <w:r>
        <w:rPr>
          <w:rFonts w:hint="eastAsia" w:ascii="Times New Roman" w:eastAsia="宋体" w:cs="Times New Roman"/>
        </w:rPr>
        <w:t>1</w:t>
      </w:r>
      <w:r>
        <w:rPr>
          <w:rFonts w:ascii="Times New Roman" w:eastAsia="宋体" w:cs="Times New Roman"/>
        </w:rPr>
        <w:t>000</w:t>
      </w:r>
      <w:r>
        <w:rPr>
          <w:rFonts w:hint="eastAsia" w:ascii="Times New Roman" w:eastAsia="宋体" w:cs="Times New Roman"/>
        </w:rPr>
        <w:t>m</w:t>
      </w:r>
      <w:r>
        <w:rPr>
          <w:rFonts w:hint="eastAsia" w:ascii="宋体" w:hAnsi="宋体" w:eastAsia="宋体" w:cs="Times New Roman"/>
        </w:rPr>
        <w:t>以下；</w:t>
      </w:r>
    </w:p>
    <w:p>
      <w:pPr>
        <w:pStyle w:val="22"/>
        <w:spacing w:line="360" w:lineRule="auto"/>
        <w:ind w:left="420" w:leftChars="200" w:firstLine="480" w:firstLineChars="200"/>
      </w:pPr>
      <w:r>
        <w:rPr>
          <w:rFonts w:hint="eastAsia" w:ascii="宋体" w:hAnsi="宋体" w:eastAsia="宋体" w:cs="Times New Roman"/>
        </w:rPr>
        <w:t>抗震要求：</w:t>
      </w:r>
      <w:r>
        <w:rPr>
          <w:rFonts w:hint="eastAsia" w:ascii="Times New Roman" w:eastAsia="宋体" w:cs="Times New Roman"/>
        </w:rPr>
        <w:t>0</w:t>
      </w:r>
      <w:r>
        <w:rPr>
          <w:rFonts w:ascii="Times New Roman" w:eastAsia="宋体" w:cs="Times New Roman"/>
        </w:rPr>
        <w:t>.2</w:t>
      </w:r>
      <w:r>
        <w:rPr>
          <w:rFonts w:hint="eastAsia" w:ascii="Times New Roman" w:eastAsia="宋体" w:cs="Times New Roman"/>
        </w:rPr>
        <w:t>G</w:t>
      </w:r>
      <w:r>
        <w:rPr>
          <w:rFonts w:hint="eastAsia" w:ascii="宋体" w:hAnsi="宋体" w:eastAsia="宋体" w:cs="Times New Roman"/>
        </w:rPr>
        <w:t>。</w:t>
      </w:r>
    </w:p>
    <w:p>
      <w:pPr>
        <w:pStyle w:val="19"/>
        <w:ind w:firstLine="480"/>
        <w:rPr>
          <w:rFonts w:hint="eastAsia"/>
        </w:rPr>
      </w:pPr>
    </w:p>
    <w:p>
      <w:pPr>
        <w:pStyle w:val="2"/>
      </w:pPr>
      <w:r>
        <w:rPr>
          <w:rFonts w:hint="eastAsia"/>
        </w:rPr>
        <w:t>技术标准</w:t>
      </w:r>
    </w:p>
    <w:p>
      <w:pPr>
        <w:pStyle w:val="17"/>
        <w:ind w:firstLine="480"/>
      </w:pPr>
      <w:r>
        <w:rPr>
          <w:rFonts w:hint="eastAsia"/>
        </w:rPr>
        <w:t>变频器设计、制造、安装过程中执行的国家标准和国际标准：</w:t>
      </w:r>
    </w:p>
    <w:tbl>
      <w:tblPr>
        <w:tblStyle w:val="8"/>
        <w:tblW w:w="8767" w:type="dxa"/>
        <w:jc w:val="center"/>
        <w:tblLayout w:type="autofit"/>
        <w:tblCellMar>
          <w:top w:w="0" w:type="dxa"/>
          <w:left w:w="108" w:type="dxa"/>
          <w:bottom w:w="0" w:type="dxa"/>
          <w:right w:w="108" w:type="dxa"/>
        </w:tblCellMar>
      </w:tblPr>
      <w:tblGrid>
        <w:gridCol w:w="647"/>
        <w:gridCol w:w="3544"/>
        <w:gridCol w:w="2200"/>
        <w:gridCol w:w="2376"/>
      </w:tblGrid>
      <w:tr>
        <w:tblPrEx>
          <w:tblCellMar>
            <w:top w:w="0" w:type="dxa"/>
            <w:left w:w="108" w:type="dxa"/>
            <w:bottom w:w="0" w:type="dxa"/>
            <w:right w:w="108" w:type="dxa"/>
          </w:tblCellMar>
        </w:tblPrEx>
        <w:trPr>
          <w:trHeight w:val="439" w:hRule="atLeast"/>
          <w:jc w:val="center"/>
        </w:trPr>
        <w:tc>
          <w:tcPr>
            <w:tcW w:w="6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pStyle w:val="12"/>
              <w:spacing w:before="24" w:after="24"/>
            </w:pPr>
            <w:r>
              <w:rPr>
                <w:rFonts w:hint="eastAsia"/>
              </w:rPr>
              <w:t>标准名称</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pStyle w:val="12"/>
              <w:spacing w:before="24" w:after="24"/>
            </w:pPr>
            <w:r>
              <w:rPr>
                <w:rFonts w:hint="eastAsia"/>
              </w:rPr>
              <w:t>国家标准</w:t>
            </w:r>
          </w:p>
        </w:tc>
        <w:tc>
          <w:tcPr>
            <w:tcW w:w="2376" w:type="dxa"/>
            <w:tcBorders>
              <w:top w:val="single" w:color="auto" w:sz="4" w:space="0"/>
              <w:left w:val="nil"/>
              <w:bottom w:val="single" w:color="auto" w:sz="4" w:space="0"/>
              <w:right w:val="single" w:color="auto" w:sz="4" w:space="0"/>
            </w:tcBorders>
            <w:shd w:val="clear" w:color="auto" w:fill="auto"/>
            <w:noWrap/>
            <w:vAlign w:val="center"/>
          </w:tcPr>
          <w:p>
            <w:pPr>
              <w:pStyle w:val="12"/>
              <w:spacing w:before="24" w:after="24"/>
            </w:pPr>
            <w:r>
              <w:rPr>
                <w:rFonts w:hint="eastAsia"/>
              </w:rPr>
              <w:t>国际标准</w:t>
            </w:r>
          </w:p>
        </w:tc>
      </w:tr>
      <w:tr>
        <w:tblPrEx>
          <w:tblCellMar>
            <w:top w:w="0" w:type="dxa"/>
            <w:left w:w="108" w:type="dxa"/>
            <w:bottom w:w="0" w:type="dxa"/>
            <w:right w:w="108" w:type="dxa"/>
          </w:tblCellMar>
        </w:tblPrEx>
        <w:trPr>
          <w:trHeight w:val="498"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电力变压器 第1部分 总则</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1094.1-1996</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60076-1:1993</w:t>
            </w:r>
          </w:p>
        </w:tc>
      </w:tr>
      <w:tr>
        <w:tblPrEx>
          <w:tblCellMar>
            <w:top w:w="0" w:type="dxa"/>
            <w:left w:w="108" w:type="dxa"/>
            <w:bottom w:w="0" w:type="dxa"/>
            <w:right w:w="108" w:type="dxa"/>
          </w:tblCellMar>
        </w:tblPrEx>
        <w:trPr>
          <w:trHeight w:val="42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电力变压器 第2部分 温升</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1094.2-1996</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60076-2:1993</w:t>
            </w:r>
          </w:p>
        </w:tc>
      </w:tr>
      <w:tr>
        <w:tblPrEx>
          <w:tblCellMar>
            <w:top w:w="0" w:type="dxa"/>
            <w:left w:w="108" w:type="dxa"/>
            <w:bottom w:w="0" w:type="dxa"/>
            <w:right w:w="108" w:type="dxa"/>
          </w:tblCellMar>
        </w:tblPrEx>
        <w:trPr>
          <w:trHeight w:val="70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3</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电力变压器 第3部分 绝缘水平和绝缘试验</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1094.3-1996</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60076-3:1993</w:t>
            </w:r>
          </w:p>
        </w:tc>
      </w:tr>
      <w:tr>
        <w:tblPrEx>
          <w:tblCellMar>
            <w:top w:w="0" w:type="dxa"/>
            <w:left w:w="108" w:type="dxa"/>
            <w:bottom w:w="0" w:type="dxa"/>
            <w:right w:w="108" w:type="dxa"/>
          </w:tblCellMar>
        </w:tblPrEx>
        <w:trPr>
          <w:trHeight w:val="70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4</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电力变压器 第5部分 承受短路的能力</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1094.5-1996</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60076-5:2000</w:t>
            </w:r>
          </w:p>
        </w:tc>
      </w:tr>
      <w:tr>
        <w:tblPrEx>
          <w:tblCellMar>
            <w:top w:w="0" w:type="dxa"/>
            <w:left w:w="108" w:type="dxa"/>
            <w:bottom w:w="0" w:type="dxa"/>
            <w:right w:w="108" w:type="dxa"/>
          </w:tblCellMar>
        </w:tblPrEx>
        <w:trPr>
          <w:trHeight w:val="439"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5</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电抗器</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 xml:space="preserve">GB </w:t>
            </w:r>
            <w:r>
              <w:t>19212</w:t>
            </w:r>
            <w:r>
              <w:rPr>
                <w:rFonts w:hint="eastAsia"/>
              </w:rPr>
              <w:t>-</w:t>
            </w:r>
            <w:r>
              <w:t>2008</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60289:</w:t>
            </w:r>
            <w:r>
              <w:t>2009</w:t>
            </w:r>
          </w:p>
        </w:tc>
      </w:tr>
      <w:tr>
        <w:tblPrEx>
          <w:tblCellMar>
            <w:top w:w="0" w:type="dxa"/>
            <w:left w:w="108" w:type="dxa"/>
            <w:bottom w:w="0" w:type="dxa"/>
            <w:right w:w="108" w:type="dxa"/>
          </w:tblCellMar>
        </w:tblPrEx>
        <w:trPr>
          <w:trHeight w:val="52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6</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半导体变流器  基本要求的规定</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GB/T3859.1-</w:t>
            </w:r>
            <w:r>
              <w:t>201</w:t>
            </w:r>
            <w:r>
              <w:rPr>
                <w:rFonts w:hint="eastAsia"/>
              </w:rPr>
              <w:t>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60146-1-1:</w:t>
            </w:r>
            <w:r>
              <w:t>2009</w:t>
            </w:r>
          </w:p>
        </w:tc>
      </w:tr>
      <w:tr>
        <w:tblPrEx>
          <w:tblCellMar>
            <w:top w:w="0" w:type="dxa"/>
            <w:left w:w="108" w:type="dxa"/>
            <w:bottom w:w="0" w:type="dxa"/>
            <w:right w:w="108" w:type="dxa"/>
          </w:tblCellMar>
        </w:tblPrEx>
        <w:trPr>
          <w:trHeight w:val="439"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7</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半导体变流器  应用导则</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GB/T3859.2-</w:t>
            </w:r>
            <w:r>
              <w:t>201</w:t>
            </w:r>
            <w:r>
              <w:rPr>
                <w:rFonts w:hint="eastAsia"/>
              </w:rPr>
              <w:t>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60146-1-2:</w:t>
            </w:r>
            <w:r>
              <w:t>2010</w:t>
            </w:r>
          </w:p>
        </w:tc>
      </w:tr>
      <w:tr>
        <w:tblPrEx>
          <w:tblCellMar>
            <w:top w:w="0" w:type="dxa"/>
            <w:left w:w="108" w:type="dxa"/>
            <w:bottom w:w="0" w:type="dxa"/>
            <w:right w:w="108" w:type="dxa"/>
          </w:tblCellMar>
        </w:tblPrEx>
        <w:trPr>
          <w:trHeight w:val="58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8</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半导体变流器  变压器和电抗器</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GB/T3859.3-</w:t>
            </w:r>
            <w:r>
              <w:t>2013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60146-1-3:1991</w:t>
            </w:r>
          </w:p>
        </w:tc>
      </w:tr>
      <w:tr>
        <w:tblPrEx>
          <w:tblCellMar>
            <w:top w:w="0" w:type="dxa"/>
            <w:left w:w="108" w:type="dxa"/>
            <w:bottom w:w="0" w:type="dxa"/>
            <w:right w:w="108" w:type="dxa"/>
          </w:tblCellMar>
        </w:tblPrEx>
        <w:trPr>
          <w:trHeight w:val="70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9</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半导体变流器 包括直接直流变流器的半导体自换相变流器</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GB/T3859.4-</w:t>
            </w:r>
            <w:r>
              <w:t>2013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60146-2:1999</w:t>
            </w:r>
          </w:p>
        </w:tc>
      </w:tr>
      <w:tr>
        <w:tblPrEx>
          <w:tblCellMar>
            <w:top w:w="0" w:type="dxa"/>
            <w:left w:w="108" w:type="dxa"/>
            <w:bottom w:w="0" w:type="dxa"/>
            <w:right w:w="108" w:type="dxa"/>
          </w:tblCellMar>
        </w:tblPrEx>
        <w:trPr>
          <w:trHeight w:val="72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10</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低压开关设备和控制设备 第一部分总则</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GB/T14048.1-2000</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60947-1:1999</w:t>
            </w:r>
          </w:p>
        </w:tc>
      </w:tr>
      <w:tr>
        <w:tblPrEx>
          <w:tblCellMar>
            <w:top w:w="0" w:type="dxa"/>
            <w:left w:w="108" w:type="dxa"/>
            <w:bottom w:w="0" w:type="dxa"/>
            <w:right w:w="108" w:type="dxa"/>
          </w:tblCellMar>
        </w:tblPrEx>
        <w:trPr>
          <w:trHeight w:val="88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11</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低压成套开关设备和控制设备 第一部分：型式试验和部分型式试验成套设备</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GB7251.1-2005</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60439-1:1999</w:t>
            </w:r>
          </w:p>
        </w:tc>
      </w:tr>
      <w:tr>
        <w:tblPrEx>
          <w:tblCellMar>
            <w:top w:w="0" w:type="dxa"/>
            <w:left w:w="108" w:type="dxa"/>
            <w:bottom w:w="0" w:type="dxa"/>
            <w:right w:w="108" w:type="dxa"/>
          </w:tblCellMar>
        </w:tblPrEx>
        <w:trPr>
          <w:trHeight w:val="91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12</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调速电气系统 第1部分：一般要求 低压直流调速电气系统额定值的规定</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GB/T12668.1-2002</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61800-1:1997</w:t>
            </w:r>
          </w:p>
        </w:tc>
      </w:tr>
      <w:tr>
        <w:tblPrEx>
          <w:tblCellMar>
            <w:top w:w="0" w:type="dxa"/>
            <w:left w:w="108" w:type="dxa"/>
            <w:bottom w:w="0" w:type="dxa"/>
            <w:right w:w="108" w:type="dxa"/>
          </w:tblCellMar>
        </w:tblPrEx>
        <w:trPr>
          <w:trHeight w:val="91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13</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调速电气系统 第3部分：产品的电磁兼容性标准及其特定的试验方法</w:t>
            </w:r>
          </w:p>
        </w:tc>
        <w:tc>
          <w:tcPr>
            <w:tcW w:w="2200"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GB 12668.3-2003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61800-3:1996</w:t>
            </w:r>
          </w:p>
        </w:tc>
      </w:tr>
      <w:tr>
        <w:tblPrEx>
          <w:tblCellMar>
            <w:top w:w="0" w:type="dxa"/>
            <w:left w:w="108" w:type="dxa"/>
            <w:bottom w:w="0" w:type="dxa"/>
            <w:right w:w="108" w:type="dxa"/>
          </w:tblCellMar>
        </w:tblPrEx>
        <w:trPr>
          <w:trHeight w:val="93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14</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调速电气系统 第4部分：一般要求-大于1KV但不超过35KV的交流电气传动系统额定值的规定</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GB/T12668.4-2006</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61800-4:2002</w:t>
            </w:r>
          </w:p>
        </w:tc>
      </w:tr>
      <w:tr>
        <w:tblPrEx>
          <w:tblCellMar>
            <w:top w:w="0" w:type="dxa"/>
            <w:left w:w="108" w:type="dxa"/>
            <w:bottom w:w="0" w:type="dxa"/>
            <w:right w:w="108" w:type="dxa"/>
          </w:tblCellMar>
        </w:tblPrEx>
        <w:trPr>
          <w:trHeight w:val="105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15</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半导体器件 第6部分 晶闸管</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 15291-1994</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60747-6-1983</w:t>
            </w:r>
          </w:p>
        </w:tc>
      </w:tr>
      <w:tr>
        <w:tblPrEx>
          <w:tblCellMar>
            <w:top w:w="0" w:type="dxa"/>
            <w:left w:w="108" w:type="dxa"/>
            <w:bottom w:w="0" w:type="dxa"/>
            <w:right w:w="108" w:type="dxa"/>
          </w:tblCellMar>
        </w:tblPrEx>
        <w:trPr>
          <w:trHeight w:val="105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16</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电磁兼容 试验和测控技术 静电放电抗扰度试验</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GB/T17626.2-1998</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61000-4-2:1995</w:t>
            </w:r>
          </w:p>
        </w:tc>
      </w:tr>
      <w:tr>
        <w:tblPrEx>
          <w:tblCellMar>
            <w:top w:w="0" w:type="dxa"/>
            <w:left w:w="108" w:type="dxa"/>
            <w:bottom w:w="0" w:type="dxa"/>
            <w:right w:w="108" w:type="dxa"/>
          </w:tblCellMar>
        </w:tblPrEx>
        <w:trPr>
          <w:trHeight w:val="88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17</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电磁兼容 试验和测控技术 电快速瞬变脉冲群抗扰度试验</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GB/T17626.4-1998</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61000-4-4:1995</w:t>
            </w:r>
          </w:p>
        </w:tc>
      </w:tr>
      <w:tr>
        <w:tblPrEx>
          <w:tblCellMar>
            <w:top w:w="0" w:type="dxa"/>
            <w:left w:w="108" w:type="dxa"/>
            <w:bottom w:w="0" w:type="dxa"/>
            <w:right w:w="108" w:type="dxa"/>
          </w:tblCellMar>
        </w:tblPrEx>
        <w:trPr>
          <w:trHeight w:val="82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18</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电磁兼容 试验和测控技术 浪涌（冲击）抗扰度试验</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GB/T17626.5-1998</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61000-4-5:1995</w:t>
            </w:r>
          </w:p>
        </w:tc>
      </w:tr>
      <w:tr>
        <w:tblPrEx>
          <w:tblCellMar>
            <w:top w:w="0" w:type="dxa"/>
            <w:left w:w="108" w:type="dxa"/>
            <w:bottom w:w="0" w:type="dxa"/>
            <w:right w:w="108" w:type="dxa"/>
          </w:tblCellMar>
        </w:tblPrEx>
        <w:trPr>
          <w:trHeight w:val="76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19</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电器简图用图形符号 第一部分 一般要求</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GB/T4728.1-2005</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60617 database</w:t>
            </w:r>
          </w:p>
        </w:tc>
      </w:tr>
      <w:tr>
        <w:tblPrEx>
          <w:tblCellMar>
            <w:top w:w="0" w:type="dxa"/>
            <w:left w:w="108" w:type="dxa"/>
            <w:bottom w:w="0" w:type="dxa"/>
            <w:right w:w="108" w:type="dxa"/>
          </w:tblCellMar>
        </w:tblPrEx>
        <w:trPr>
          <w:trHeight w:val="75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20</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电气技术中的项目代号</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5049-1985</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60750:1983</w:t>
            </w:r>
          </w:p>
        </w:tc>
      </w:tr>
      <w:tr>
        <w:tblPrEx>
          <w:tblCellMar>
            <w:top w:w="0" w:type="dxa"/>
            <w:left w:w="108" w:type="dxa"/>
            <w:bottom w:w="0" w:type="dxa"/>
            <w:right w:w="108" w:type="dxa"/>
          </w:tblCellMar>
        </w:tblPrEx>
        <w:trPr>
          <w:trHeight w:val="73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21</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导线的颜色或数字标识</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7947-1997</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60446:1989</w:t>
            </w:r>
          </w:p>
        </w:tc>
      </w:tr>
      <w:tr>
        <w:tblPrEx>
          <w:tblCellMar>
            <w:top w:w="0" w:type="dxa"/>
            <w:left w:w="108" w:type="dxa"/>
            <w:bottom w:w="0" w:type="dxa"/>
            <w:right w:w="108" w:type="dxa"/>
          </w:tblCellMar>
        </w:tblPrEx>
        <w:trPr>
          <w:trHeight w:val="49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22</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外壳防护等级（IP代码）</w:t>
            </w:r>
          </w:p>
        </w:tc>
        <w:tc>
          <w:tcPr>
            <w:tcW w:w="2200"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GB 4208-1993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60529:1989</w:t>
            </w:r>
          </w:p>
        </w:tc>
      </w:tr>
      <w:tr>
        <w:tblPrEx>
          <w:tblCellMar>
            <w:top w:w="0" w:type="dxa"/>
            <w:left w:w="108" w:type="dxa"/>
            <w:bottom w:w="0" w:type="dxa"/>
            <w:right w:w="108" w:type="dxa"/>
          </w:tblCellMar>
        </w:tblPrEx>
        <w:trPr>
          <w:trHeight w:val="439"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23</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电工术语 电磁兼容</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GB/T4365-2003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IEC60050(161):1997</w:t>
            </w:r>
          </w:p>
        </w:tc>
      </w:tr>
      <w:tr>
        <w:tblPrEx>
          <w:tblCellMar>
            <w:top w:w="0" w:type="dxa"/>
            <w:left w:w="108" w:type="dxa"/>
            <w:bottom w:w="0" w:type="dxa"/>
            <w:right w:w="108" w:type="dxa"/>
          </w:tblCellMar>
        </w:tblPrEx>
        <w:trPr>
          <w:trHeight w:val="66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24</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一般公差 未注公差的线性和角度尺寸的公差</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 1804-2000</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2768-1:1989</w:t>
            </w:r>
          </w:p>
        </w:tc>
      </w:tr>
      <w:tr>
        <w:tblPrEx>
          <w:tblCellMar>
            <w:top w:w="0" w:type="dxa"/>
            <w:left w:w="108" w:type="dxa"/>
            <w:bottom w:w="0" w:type="dxa"/>
            <w:right w:w="108" w:type="dxa"/>
          </w:tblCellMar>
        </w:tblPrEx>
        <w:trPr>
          <w:trHeight w:val="64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25</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旋转电机 定额和性能</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GB/755-2000</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60034-1:1996</w:t>
            </w:r>
          </w:p>
        </w:tc>
      </w:tr>
      <w:tr>
        <w:tblPrEx>
          <w:tblCellMar>
            <w:top w:w="0" w:type="dxa"/>
            <w:left w:w="108" w:type="dxa"/>
            <w:bottom w:w="0" w:type="dxa"/>
            <w:right w:w="108" w:type="dxa"/>
          </w:tblCellMar>
        </w:tblPrEx>
        <w:trPr>
          <w:trHeight w:val="439"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26</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信号与连接线的代号</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GB/T16679-1996</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61175-1993</w:t>
            </w:r>
          </w:p>
        </w:tc>
      </w:tr>
      <w:tr>
        <w:tblPrEx>
          <w:tblCellMar>
            <w:top w:w="0" w:type="dxa"/>
            <w:left w:w="108" w:type="dxa"/>
            <w:bottom w:w="0" w:type="dxa"/>
            <w:right w:w="108" w:type="dxa"/>
          </w:tblCellMar>
        </w:tblPrEx>
        <w:trPr>
          <w:trHeight w:val="64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27</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电磁兼容 试验和测量技术</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17626.7-1998</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61000-4-7:1991</w:t>
            </w:r>
          </w:p>
        </w:tc>
      </w:tr>
      <w:tr>
        <w:tblPrEx>
          <w:tblCellMar>
            <w:top w:w="0" w:type="dxa"/>
            <w:left w:w="108" w:type="dxa"/>
            <w:bottom w:w="0" w:type="dxa"/>
            <w:right w:w="108" w:type="dxa"/>
          </w:tblCellMar>
        </w:tblPrEx>
        <w:trPr>
          <w:trHeight w:val="130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28</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电磁兼容 限值 谐波电流发射限值(设备每相输入电流≤16A)</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 17625.1-2003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IEC 61000-3-2:2001</w:t>
            </w:r>
          </w:p>
        </w:tc>
      </w:tr>
      <w:tr>
        <w:tblPrEx>
          <w:tblCellMar>
            <w:top w:w="0" w:type="dxa"/>
            <w:left w:w="108" w:type="dxa"/>
            <w:bottom w:w="0" w:type="dxa"/>
            <w:right w:w="108" w:type="dxa"/>
          </w:tblCellMar>
        </w:tblPrEx>
        <w:trPr>
          <w:trHeight w:val="855"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29</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电能质量  公用电网谐波</w:t>
            </w:r>
          </w:p>
        </w:tc>
        <w:tc>
          <w:tcPr>
            <w:tcW w:w="2200"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GB/T 14549-1993</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w:t>
            </w:r>
          </w:p>
        </w:tc>
      </w:tr>
      <w:tr>
        <w:tblPrEx>
          <w:tblCellMar>
            <w:top w:w="0" w:type="dxa"/>
            <w:left w:w="108" w:type="dxa"/>
            <w:bottom w:w="0" w:type="dxa"/>
            <w:right w:w="108" w:type="dxa"/>
          </w:tblCellMar>
        </w:tblPrEx>
        <w:trPr>
          <w:trHeight w:val="570" w:hRule="atLeast"/>
          <w:jc w:val="center"/>
        </w:trPr>
        <w:tc>
          <w:tcPr>
            <w:tcW w:w="647" w:type="dxa"/>
            <w:tcBorders>
              <w:top w:val="nil"/>
              <w:left w:val="single" w:color="auto" w:sz="4" w:space="0"/>
              <w:bottom w:val="single" w:color="auto" w:sz="4" w:space="0"/>
              <w:right w:val="single" w:color="auto" w:sz="4" w:space="0"/>
            </w:tcBorders>
            <w:shd w:val="clear" w:color="auto" w:fill="auto"/>
            <w:noWrap/>
            <w:vAlign w:val="center"/>
          </w:tcPr>
          <w:p>
            <w:pPr>
              <w:pStyle w:val="12"/>
              <w:spacing w:before="24" w:after="24"/>
            </w:pPr>
            <w:r>
              <w:rPr>
                <w:rFonts w:hint="eastAsia"/>
              </w:rPr>
              <w:t>30</w:t>
            </w:r>
          </w:p>
        </w:tc>
        <w:tc>
          <w:tcPr>
            <w:tcW w:w="3544"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爆炸和火灾危险环境电力装置设计规范</w:t>
            </w:r>
          </w:p>
        </w:tc>
        <w:tc>
          <w:tcPr>
            <w:tcW w:w="2200" w:type="dxa"/>
            <w:tcBorders>
              <w:top w:val="nil"/>
              <w:left w:val="nil"/>
              <w:bottom w:val="single" w:color="auto" w:sz="4" w:space="0"/>
              <w:right w:val="single" w:color="auto" w:sz="4" w:space="0"/>
            </w:tcBorders>
            <w:shd w:val="clear" w:color="auto" w:fill="auto"/>
            <w:vAlign w:val="center"/>
          </w:tcPr>
          <w:p>
            <w:pPr>
              <w:pStyle w:val="12"/>
              <w:spacing w:before="24" w:after="24"/>
            </w:pPr>
            <w:r>
              <w:rPr>
                <w:rFonts w:hint="eastAsia"/>
              </w:rPr>
              <w:t>GB 50058-1992</w:t>
            </w:r>
          </w:p>
        </w:tc>
        <w:tc>
          <w:tcPr>
            <w:tcW w:w="2376" w:type="dxa"/>
            <w:tcBorders>
              <w:top w:val="nil"/>
              <w:left w:val="nil"/>
              <w:bottom w:val="single" w:color="auto" w:sz="4" w:space="0"/>
              <w:right w:val="single" w:color="auto" w:sz="4" w:space="0"/>
            </w:tcBorders>
            <w:shd w:val="clear" w:color="auto" w:fill="auto"/>
            <w:noWrap/>
            <w:vAlign w:val="center"/>
          </w:tcPr>
          <w:p>
            <w:pPr>
              <w:pStyle w:val="12"/>
              <w:spacing w:before="24" w:after="24"/>
            </w:pPr>
            <w:r>
              <w:rPr>
                <w:rFonts w:hint="eastAsia"/>
              </w:rPr>
              <w:t>/</w:t>
            </w:r>
          </w:p>
        </w:tc>
      </w:tr>
    </w:tbl>
    <w:p>
      <w:pPr>
        <w:rPr>
          <w:rFonts w:hint="eastAsia"/>
        </w:rPr>
      </w:pPr>
    </w:p>
    <w:p>
      <w:pPr>
        <w:pStyle w:val="2"/>
        <w:rPr>
          <w:rFonts w:hint="eastAsia"/>
        </w:rPr>
      </w:pPr>
      <w:r>
        <w:rPr>
          <w:rFonts w:hint="eastAsia"/>
        </w:rPr>
        <w:t>设备名称和数量</w:t>
      </w:r>
    </w:p>
    <w:p>
      <w:pPr>
        <w:pStyle w:val="17"/>
        <w:numPr>
          <w:ilvl w:val="0"/>
          <w:numId w:val="2"/>
        </w:numPr>
        <w:ind w:firstLineChars="0"/>
      </w:pPr>
      <w:bookmarkStart w:id="2" w:name="_Toc13069"/>
      <w:bookmarkStart w:id="3" w:name="_Toc120796745"/>
      <w:r>
        <w:t>设备名称</w:t>
      </w:r>
    </w:p>
    <w:p>
      <w:pPr>
        <w:pStyle w:val="17"/>
        <w:ind w:left="360" w:firstLine="480"/>
      </w:pPr>
      <w:r>
        <w:t>20MVA</w:t>
      </w:r>
      <w:r>
        <w:rPr>
          <w:rFonts w:hint="eastAsia"/>
        </w:rPr>
        <w:t>风电变频器。</w:t>
      </w:r>
    </w:p>
    <w:p>
      <w:pPr>
        <w:pStyle w:val="17"/>
        <w:numPr>
          <w:ilvl w:val="0"/>
          <w:numId w:val="2"/>
        </w:numPr>
        <w:ind w:firstLineChars="0"/>
        <w:rPr>
          <w:rFonts w:hint="eastAsia"/>
        </w:rPr>
      </w:pPr>
      <w:r>
        <w:t>设备</w:t>
      </w:r>
      <w:r>
        <w:rPr>
          <w:rFonts w:hint="eastAsia"/>
        </w:rPr>
        <w:t>数量</w:t>
      </w:r>
    </w:p>
    <w:p>
      <w:pPr>
        <w:pStyle w:val="17"/>
        <w:ind w:left="360" w:firstLine="480"/>
      </w:pPr>
      <w:r>
        <w:rPr>
          <w:rFonts w:hint="eastAsia"/>
        </w:rPr>
        <w:t>2套。</w:t>
      </w:r>
    </w:p>
    <w:p>
      <w:pPr>
        <w:pStyle w:val="2"/>
      </w:pPr>
      <w:r>
        <w:rPr>
          <w:rFonts w:hint="eastAsia"/>
        </w:rPr>
        <w:t>设备配置和性能指标</w:t>
      </w:r>
      <w:bookmarkEnd w:id="2"/>
      <w:bookmarkEnd w:id="3"/>
    </w:p>
    <w:tbl>
      <w:tblPr>
        <w:tblStyle w:val="8"/>
        <w:tblW w:w="5000" w:type="pct"/>
        <w:jc w:val="center"/>
        <w:tblDescription w:val="{&quot;styleId&quot;:2}"/>
        <w:tblLayout w:type="autofit"/>
        <w:tblCellMar>
          <w:top w:w="0" w:type="dxa"/>
          <w:left w:w="108" w:type="dxa"/>
          <w:bottom w:w="0" w:type="dxa"/>
          <w:right w:w="108" w:type="dxa"/>
        </w:tblCellMar>
      </w:tblPr>
      <w:tblGrid>
        <w:gridCol w:w="523"/>
        <w:gridCol w:w="1106"/>
        <w:gridCol w:w="3990"/>
        <w:gridCol w:w="2903"/>
      </w:tblGrid>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序号</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项目名称</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指标要求</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备注</w:t>
            </w:r>
          </w:p>
        </w:tc>
      </w:tr>
      <w:tr>
        <w:tblPrEx>
          <w:tblCellMar>
            <w:top w:w="0" w:type="dxa"/>
            <w:left w:w="108" w:type="dxa"/>
            <w:bottom w:w="0" w:type="dxa"/>
            <w:right w:w="108" w:type="dxa"/>
          </w:tblCellMar>
        </w:tblPrEx>
        <w:trPr>
          <w:jc w:val="center"/>
        </w:trPr>
        <w:tc>
          <w:tcPr>
            <w:tcW w:w="307" w:type="pct"/>
            <w:tcBorders>
              <w:top w:val="nil"/>
              <w:left w:val="single" w:color="auto" w:sz="4" w:space="0"/>
              <w:bottom w:val="single" w:color="auto" w:sz="4" w:space="0"/>
              <w:right w:val="single" w:color="auto" w:sz="4" w:space="0"/>
            </w:tcBorders>
            <w:shd w:val="clear" w:color="auto" w:fill="auto"/>
            <w:vAlign w:val="center"/>
          </w:tcPr>
          <w:p>
            <w:pPr>
              <w:pStyle w:val="12"/>
            </w:pPr>
            <w:r>
              <w:rPr>
                <w:rFonts w:hint="eastAsia"/>
              </w:rPr>
              <w:t>1</w:t>
            </w:r>
          </w:p>
        </w:tc>
        <w:tc>
          <w:tcPr>
            <w:tcW w:w="649" w:type="pct"/>
            <w:tcBorders>
              <w:top w:val="nil"/>
              <w:left w:val="nil"/>
              <w:bottom w:val="single" w:color="auto" w:sz="4" w:space="0"/>
              <w:right w:val="single" w:color="auto" w:sz="4" w:space="0"/>
            </w:tcBorders>
            <w:shd w:val="clear" w:color="auto" w:fill="auto"/>
            <w:vAlign w:val="center"/>
          </w:tcPr>
          <w:p>
            <w:pPr>
              <w:pStyle w:val="12"/>
            </w:pPr>
            <w:r>
              <w:rPr>
                <w:rFonts w:hint="eastAsia"/>
              </w:rPr>
              <w:t>网/机侧额定电压</w:t>
            </w:r>
          </w:p>
        </w:tc>
        <w:tc>
          <w:tcPr>
            <w:tcW w:w="2341" w:type="pct"/>
            <w:tcBorders>
              <w:top w:val="nil"/>
              <w:left w:val="nil"/>
              <w:bottom w:val="single" w:color="auto" w:sz="4" w:space="0"/>
              <w:right w:val="single" w:color="auto" w:sz="4" w:space="0"/>
            </w:tcBorders>
            <w:shd w:val="clear" w:color="auto" w:fill="auto"/>
            <w:vAlign w:val="center"/>
          </w:tcPr>
          <w:p>
            <w:pPr>
              <w:pStyle w:val="12"/>
            </w:pPr>
            <w:r>
              <w:rPr>
                <w:rFonts w:hint="eastAsia"/>
              </w:rPr>
              <w:t>1140VAC</w:t>
            </w:r>
          </w:p>
        </w:tc>
        <w:tc>
          <w:tcPr>
            <w:tcW w:w="1703" w:type="pct"/>
            <w:tcBorders>
              <w:top w:val="nil"/>
              <w:left w:val="nil"/>
              <w:bottom w:val="single" w:color="auto" w:sz="4" w:space="0"/>
              <w:right w:val="single" w:color="auto" w:sz="4" w:space="0"/>
            </w:tcBorders>
            <w:shd w:val="clear" w:color="auto" w:fill="auto"/>
            <w:vAlign w:val="center"/>
          </w:tcPr>
          <w:p>
            <w:pPr>
              <w:pStyle w:val="12"/>
            </w:pPr>
            <w:r>
              <w:rPr>
                <w:rFonts w:hint="eastAsia"/>
              </w:rPr>
              <w:t>机侧适用电压1380V、1140V、950V、750V的永磁同步电机、异步电机</w:t>
            </w:r>
          </w:p>
        </w:tc>
      </w:tr>
      <w:tr>
        <w:tblPrEx>
          <w:tblCellMar>
            <w:top w:w="0" w:type="dxa"/>
            <w:left w:w="108" w:type="dxa"/>
            <w:bottom w:w="0" w:type="dxa"/>
            <w:right w:w="108" w:type="dxa"/>
          </w:tblCellMar>
        </w:tblPrEx>
        <w:trPr>
          <w:jc w:val="center"/>
        </w:trPr>
        <w:tc>
          <w:tcPr>
            <w:tcW w:w="307" w:type="pct"/>
            <w:tcBorders>
              <w:top w:val="nil"/>
              <w:left w:val="single" w:color="auto" w:sz="4" w:space="0"/>
              <w:bottom w:val="single" w:color="auto" w:sz="4" w:space="0"/>
              <w:right w:val="single" w:color="auto" w:sz="4" w:space="0"/>
            </w:tcBorders>
            <w:shd w:val="clear" w:color="auto" w:fill="auto"/>
            <w:vAlign w:val="center"/>
          </w:tcPr>
          <w:p>
            <w:pPr>
              <w:pStyle w:val="12"/>
            </w:pPr>
            <w:r>
              <w:rPr>
                <w:rFonts w:hint="eastAsia"/>
              </w:rPr>
              <w:t>2</w:t>
            </w:r>
          </w:p>
        </w:tc>
        <w:tc>
          <w:tcPr>
            <w:tcW w:w="649" w:type="pct"/>
            <w:tcBorders>
              <w:top w:val="nil"/>
              <w:left w:val="nil"/>
              <w:bottom w:val="single" w:color="auto" w:sz="4" w:space="0"/>
              <w:right w:val="single" w:color="auto" w:sz="4" w:space="0"/>
            </w:tcBorders>
            <w:shd w:val="clear" w:color="auto" w:fill="auto"/>
            <w:vAlign w:val="center"/>
          </w:tcPr>
          <w:p>
            <w:pPr>
              <w:pStyle w:val="12"/>
            </w:pPr>
            <w:r>
              <w:rPr>
                <w:rFonts w:hint="eastAsia"/>
              </w:rPr>
              <w:t>额定容量</w:t>
            </w:r>
          </w:p>
        </w:tc>
        <w:tc>
          <w:tcPr>
            <w:tcW w:w="2341" w:type="pct"/>
            <w:tcBorders>
              <w:top w:val="nil"/>
              <w:left w:val="nil"/>
              <w:bottom w:val="single" w:color="auto" w:sz="4" w:space="0"/>
              <w:right w:val="single" w:color="auto" w:sz="4" w:space="0"/>
            </w:tcBorders>
            <w:shd w:val="clear" w:color="auto" w:fill="auto"/>
            <w:vAlign w:val="center"/>
          </w:tcPr>
          <w:p>
            <w:pPr>
              <w:pStyle w:val="12"/>
            </w:pPr>
            <w:r>
              <w:rPr>
                <w:rFonts w:hint="eastAsia"/>
              </w:rPr>
              <w:t>20MVA</w:t>
            </w:r>
          </w:p>
        </w:tc>
        <w:tc>
          <w:tcPr>
            <w:tcW w:w="1703" w:type="pct"/>
            <w:tcBorders>
              <w:top w:val="nil"/>
              <w:left w:val="nil"/>
              <w:bottom w:val="single" w:color="auto" w:sz="4" w:space="0"/>
              <w:right w:val="single" w:color="auto" w:sz="4" w:space="0"/>
            </w:tcBorders>
            <w:shd w:val="clear" w:color="auto" w:fill="auto"/>
            <w:vAlign w:val="center"/>
          </w:tcPr>
          <w:p>
            <w:pPr>
              <w:pStyle w:val="12"/>
            </w:pPr>
            <w:r>
              <w:rPr>
                <w:rFonts w:hint="eastAsia"/>
              </w:rPr>
              <w:t>额定电压1140VAC，满足电机四象限运行要求</w:t>
            </w:r>
          </w:p>
        </w:tc>
      </w:tr>
      <w:tr>
        <w:tblPrEx>
          <w:tblCellMar>
            <w:top w:w="0" w:type="dxa"/>
            <w:left w:w="108" w:type="dxa"/>
            <w:bottom w:w="0" w:type="dxa"/>
            <w:right w:w="108" w:type="dxa"/>
          </w:tblCellMar>
        </w:tblPrEx>
        <w:trPr>
          <w:jc w:val="center"/>
        </w:trPr>
        <w:tc>
          <w:tcPr>
            <w:tcW w:w="307" w:type="pct"/>
            <w:tcBorders>
              <w:top w:val="nil"/>
              <w:left w:val="single" w:color="auto" w:sz="4" w:space="0"/>
              <w:bottom w:val="single" w:color="auto" w:sz="4" w:space="0"/>
              <w:right w:val="single" w:color="auto" w:sz="4" w:space="0"/>
            </w:tcBorders>
            <w:shd w:val="clear" w:color="auto" w:fill="auto"/>
            <w:vAlign w:val="center"/>
          </w:tcPr>
          <w:p>
            <w:pPr>
              <w:pStyle w:val="12"/>
            </w:pPr>
            <w:r>
              <w:rPr>
                <w:rFonts w:hint="eastAsia"/>
              </w:rPr>
              <w:t>3</w:t>
            </w:r>
          </w:p>
        </w:tc>
        <w:tc>
          <w:tcPr>
            <w:tcW w:w="649" w:type="pct"/>
            <w:tcBorders>
              <w:top w:val="nil"/>
              <w:left w:val="nil"/>
              <w:bottom w:val="single" w:color="auto" w:sz="4" w:space="0"/>
              <w:right w:val="single" w:color="auto" w:sz="4" w:space="0"/>
            </w:tcBorders>
            <w:shd w:val="clear" w:color="auto" w:fill="auto"/>
            <w:vAlign w:val="center"/>
          </w:tcPr>
          <w:p>
            <w:pPr>
              <w:pStyle w:val="12"/>
            </w:pPr>
            <w:r>
              <w:rPr>
                <w:rFonts w:hint="eastAsia"/>
              </w:rPr>
              <w:t>网</w:t>
            </w:r>
            <w:r>
              <w:t>/</w:t>
            </w:r>
            <w:r>
              <w:rPr>
                <w:rFonts w:hint="eastAsia"/>
              </w:rPr>
              <w:t>机侧最大运行电流</w:t>
            </w:r>
          </w:p>
        </w:tc>
        <w:tc>
          <w:tcPr>
            <w:tcW w:w="2341" w:type="pct"/>
            <w:tcBorders>
              <w:top w:val="nil"/>
              <w:left w:val="nil"/>
              <w:bottom w:val="single" w:color="auto" w:sz="4" w:space="0"/>
              <w:right w:val="single" w:color="auto" w:sz="4" w:space="0"/>
            </w:tcBorders>
            <w:shd w:val="clear" w:color="auto" w:fill="auto"/>
            <w:vAlign w:val="center"/>
          </w:tcPr>
          <w:p>
            <w:pPr>
              <w:pStyle w:val="12"/>
            </w:pPr>
            <w:r>
              <w:t>2*</w:t>
            </w:r>
            <w:r>
              <w:rPr>
                <w:rFonts w:hint="eastAsia"/>
              </w:rPr>
              <w:t>56</w:t>
            </w:r>
            <w:r>
              <w:t xml:space="preserve">00A </w:t>
            </w:r>
          </w:p>
        </w:tc>
        <w:tc>
          <w:tcPr>
            <w:tcW w:w="1703" w:type="pct"/>
            <w:tcBorders>
              <w:top w:val="nil"/>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nil"/>
              <w:left w:val="single" w:color="auto" w:sz="4" w:space="0"/>
              <w:bottom w:val="single" w:color="auto" w:sz="4" w:space="0"/>
              <w:right w:val="single" w:color="auto" w:sz="4" w:space="0"/>
            </w:tcBorders>
            <w:shd w:val="clear" w:color="auto" w:fill="auto"/>
            <w:vAlign w:val="center"/>
          </w:tcPr>
          <w:p>
            <w:pPr>
              <w:pStyle w:val="12"/>
            </w:pPr>
            <w:r>
              <w:rPr>
                <w:rFonts w:hint="eastAsia"/>
              </w:rPr>
              <w:t>4</w:t>
            </w:r>
          </w:p>
        </w:tc>
        <w:tc>
          <w:tcPr>
            <w:tcW w:w="649" w:type="pct"/>
            <w:tcBorders>
              <w:top w:val="nil"/>
              <w:left w:val="nil"/>
              <w:bottom w:val="single" w:color="auto" w:sz="4" w:space="0"/>
              <w:right w:val="single" w:color="auto" w:sz="4" w:space="0"/>
            </w:tcBorders>
            <w:shd w:val="clear" w:color="auto" w:fill="auto"/>
            <w:vAlign w:val="center"/>
          </w:tcPr>
          <w:p>
            <w:pPr>
              <w:pStyle w:val="12"/>
            </w:pPr>
            <w:r>
              <w:rPr>
                <w:rFonts w:hint="eastAsia"/>
              </w:rPr>
              <w:t>电网电压不平衡度</w:t>
            </w:r>
          </w:p>
        </w:tc>
        <w:tc>
          <w:tcPr>
            <w:tcW w:w="2341" w:type="pct"/>
            <w:tcBorders>
              <w:top w:val="nil"/>
              <w:left w:val="nil"/>
              <w:bottom w:val="single" w:color="auto" w:sz="4" w:space="0"/>
              <w:right w:val="single" w:color="auto" w:sz="4" w:space="0"/>
            </w:tcBorders>
            <w:shd w:val="clear" w:color="auto" w:fill="auto"/>
            <w:vAlign w:val="center"/>
          </w:tcPr>
          <w:p>
            <w:pPr>
              <w:pStyle w:val="12"/>
            </w:pPr>
            <w:r>
              <w:rPr>
                <w:rFonts w:hint="eastAsia"/>
              </w:rPr>
              <w:t>≤5%</w:t>
            </w:r>
          </w:p>
        </w:tc>
        <w:tc>
          <w:tcPr>
            <w:tcW w:w="1703" w:type="pct"/>
            <w:tcBorders>
              <w:top w:val="nil"/>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nil"/>
              <w:left w:val="single" w:color="auto" w:sz="4" w:space="0"/>
              <w:bottom w:val="single" w:color="auto" w:sz="4" w:space="0"/>
              <w:right w:val="single" w:color="auto" w:sz="4" w:space="0"/>
            </w:tcBorders>
            <w:shd w:val="clear" w:color="auto" w:fill="auto"/>
            <w:vAlign w:val="center"/>
          </w:tcPr>
          <w:p>
            <w:pPr>
              <w:pStyle w:val="12"/>
            </w:pPr>
            <w:r>
              <w:rPr>
                <w:rFonts w:hint="eastAsia"/>
              </w:rPr>
              <w:t>5</w:t>
            </w:r>
          </w:p>
        </w:tc>
        <w:tc>
          <w:tcPr>
            <w:tcW w:w="649" w:type="pct"/>
            <w:tcBorders>
              <w:top w:val="nil"/>
              <w:left w:val="nil"/>
              <w:bottom w:val="single" w:color="auto" w:sz="4" w:space="0"/>
              <w:right w:val="single" w:color="auto" w:sz="4" w:space="0"/>
            </w:tcBorders>
            <w:shd w:val="clear" w:color="auto" w:fill="auto"/>
            <w:vAlign w:val="center"/>
          </w:tcPr>
          <w:p>
            <w:pPr>
              <w:pStyle w:val="12"/>
            </w:pPr>
            <w:r>
              <w:rPr>
                <w:rFonts w:hint="eastAsia"/>
              </w:rPr>
              <w:t>电网电压谐波</w:t>
            </w:r>
          </w:p>
        </w:tc>
        <w:tc>
          <w:tcPr>
            <w:tcW w:w="2341" w:type="pct"/>
            <w:tcBorders>
              <w:top w:val="nil"/>
              <w:left w:val="nil"/>
              <w:bottom w:val="single" w:color="auto" w:sz="4" w:space="0"/>
              <w:right w:val="single" w:color="auto" w:sz="4" w:space="0"/>
            </w:tcBorders>
            <w:shd w:val="clear" w:color="auto" w:fill="auto"/>
            <w:vAlign w:val="center"/>
          </w:tcPr>
          <w:p>
            <w:pPr>
              <w:pStyle w:val="12"/>
            </w:pPr>
            <w:r>
              <w:rPr>
                <w:rFonts w:hint="eastAsia"/>
              </w:rPr>
              <w:t>≤5%</w:t>
            </w:r>
          </w:p>
        </w:tc>
        <w:tc>
          <w:tcPr>
            <w:tcW w:w="1703" w:type="pct"/>
            <w:tcBorders>
              <w:top w:val="nil"/>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6</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网/机侧频率范围</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47.5Hz～52.5Hz</w:t>
            </w:r>
          </w:p>
          <w:p>
            <w:pPr>
              <w:pStyle w:val="12"/>
            </w:pPr>
            <w:r>
              <w:rPr>
                <w:rFonts w:hint="eastAsia"/>
              </w:rPr>
              <w:t>/0～130Hz</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rPr>
                <w:b/>
                <w:bCs/>
              </w:rPr>
            </w:pPr>
            <w:r>
              <w:rPr>
                <w:rFonts w:hint="eastAsia"/>
                <w:b/>
                <w:bCs/>
              </w:rPr>
              <w:t>机侧暂定最大频率1</w:t>
            </w:r>
            <w:r>
              <w:rPr>
                <w:b/>
                <w:bCs/>
              </w:rPr>
              <w:t>30H</w:t>
            </w:r>
            <w:r>
              <w:rPr>
                <w:rFonts w:hint="eastAsia"/>
                <w:b/>
                <w:bCs/>
              </w:rPr>
              <w:t>z，供方提供国内风电电机产品的功率-频率曲线，产品需满足电机产品需求。</w:t>
            </w: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7</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网侧开关</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 xml:space="preserve">并网断路器额定电流 </w:t>
            </w:r>
          </w:p>
          <w:p>
            <w:pPr>
              <w:pStyle w:val="12"/>
            </w:pPr>
            <w:r>
              <w:rPr>
                <w:rFonts w:hint="eastAsia"/>
              </w:rPr>
              <w:t>2*4000A</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8</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功率因数</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±0.95可调</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9</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开关频率</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1.5-3kHz</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10</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 xml:space="preserve">转矩控制精度 </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w:t>
            </w:r>
            <w:r>
              <w:t xml:space="preserve">1.5%Tn </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 xml:space="preserve">给定值与稳态值 </w:t>
            </w:r>
          </w:p>
          <w:p>
            <w:pPr>
              <w:pStyle w:val="12"/>
            </w:pPr>
            <w:r>
              <w:rPr>
                <w:rFonts w:hint="eastAsia"/>
              </w:rPr>
              <w:t>之差，Tn：额定扭矩</w:t>
            </w: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11</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 xml:space="preserve">转速控制精度 </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 xml:space="preserve">≤±0.2% Nn </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 xml:space="preserve">给定值与稳态值 </w:t>
            </w:r>
          </w:p>
          <w:p>
            <w:pPr>
              <w:pStyle w:val="12"/>
            </w:pPr>
            <w:r>
              <w:rPr>
                <w:rFonts w:hint="eastAsia"/>
              </w:rPr>
              <w:t>之差，Nn：额定转速</w:t>
            </w: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12</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机侧du/dt</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&lt;1000V/μs</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13</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运行环境温度</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-10℃～45℃</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14</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运行相对湿度</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10%～95%</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15</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防护等级</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IP54</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16</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冷却方式</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水冷</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水水换热</w:t>
            </w: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17</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运行噪声</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＜80dB(</w:t>
            </w:r>
            <w:r>
              <w:t>A)</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r>
        <w:tblPrEx>
          <w:tblCellMar>
            <w:top w:w="0" w:type="dxa"/>
            <w:left w:w="108" w:type="dxa"/>
            <w:bottom w:w="0" w:type="dxa"/>
            <w:right w:w="108" w:type="dxa"/>
          </w:tblCellMar>
        </w:tblPrEx>
        <w:trPr>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2"/>
            </w:pPr>
            <w:r>
              <w:rPr>
                <w:rFonts w:hint="eastAsia"/>
              </w:rPr>
              <w:t>18</w:t>
            </w:r>
          </w:p>
        </w:tc>
        <w:tc>
          <w:tcPr>
            <w:tcW w:w="649"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EMI电磁干扰</w:t>
            </w:r>
          </w:p>
        </w:tc>
        <w:tc>
          <w:tcPr>
            <w:tcW w:w="2341" w:type="pct"/>
            <w:tcBorders>
              <w:top w:val="single" w:color="auto" w:sz="4" w:space="0"/>
              <w:left w:val="nil"/>
              <w:bottom w:val="single" w:color="auto" w:sz="4" w:space="0"/>
              <w:right w:val="single" w:color="auto" w:sz="4" w:space="0"/>
            </w:tcBorders>
            <w:shd w:val="clear" w:color="auto" w:fill="auto"/>
            <w:vAlign w:val="center"/>
          </w:tcPr>
          <w:p>
            <w:pPr>
              <w:pStyle w:val="12"/>
            </w:pPr>
            <w:r>
              <w:rPr>
                <w:rFonts w:hint="eastAsia"/>
              </w:rPr>
              <w:t>T级GB12668.3-2012《调速电气传动系统第3部分：产品的电磁兼容性标准及其特定的试验方法》</w:t>
            </w:r>
          </w:p>
        </w:tc>
        <w:tc>
          <w:tcPr>
            <w:tcW w:w="1703" w:type="pct"/>
            <w:tcBorders>
              <w:top w:val="single" w:color="auto" w:sz="4" w:space="0"/>
              <w:left w:val="nil"/>
              <w:bottom w:val="single" w:color="auto" w:sz="4" w:space="0"/>
              <w:right w:val="single" w:color="auto" w:sz="4" w:space="0"/>
            </w:tcBorders>
            <w:shd w:val="clear" w:color="auto" w:fill="auto"/>
            <w:vAlign w:val="center"/>
          </w:tcPr>
          <w:p>
            <w:pPr>
              <w:pStyle w:val="12"/>
            </w:pPr>
          </w:p>
        </w:tc>
      </w:tr>
    </w:tbl>
    <w:p/>
    <w:p>
      <w:pPr>
        <w:pStyle w:val="2"/>
        <w:rPr>
          <w:rFonts w:hint="eastAsia"/>
        </w:rPr>
      </w:pPr>
      <w:r>
        <w:rPr>
          <w:rFonts w:hint="eastAsia"/>
        </w:rPr>
        <w:t>基本技术要求</w:t>
      </w:r>
    </w:p>
    <w:p>
      <w:pPr>
        <w:pStyle w:val="19"/>
        <w:numPr>
          <w:ilvl w:val="0"/>
          <w:numId w:val="3"/>
        </w:numPr>
        <w:ind w:firstLineChars="0"/>
      </w:pPr>
      <w:r>
        <w:rPr>
          <w:rFonts w:hint="eastAsia"/>
        </w:rPr>
        <w:t>系统运行有程序（自动）控制和人工（手动）控制二种方式；工况调整时以适当斜率（斜率可调，同时满足稳态试验和冲击试验要求）过渡，做到加、减速或加、减载都运行平顺，无转速、扭矩震荡现象。</w:t>
      </w:r>
    </w:p>
    <w:p>
      <w:pPr>
        <w:pStyle w:val="19"/>
        <w:numPr>
          <w:ilvl w:val="0"/>
          <w:numId w:val="3"/>
        </w:numPr>
        <w:ind w:firstLineChars="0"/>
      </w:pPr>
      <w:r>
        <w:rPr>
          <w:rFonts w:hint="eastAsia"/>
        </w:rPr>
        <w:t>驱动加载系统所有故障信息向用户完全开放，故障指示清晰明了（故障内容清楚、故障位置确定），故障报警连锁保护等功能完善。</w:t>
      </w:r>
    </w:p>
    <w:p>
      <w:pPr>
        <w:pStyle w:val="19"/>
        <w:numPr>
          <w:ilvl w:val="0"/>
          <w:numId w:val="3"/>
        </w:numPr>
        <w:tabs>
          <w:tab w:val="left" w:pos="420"/>
        </w:tabs>
        <w:ind w:firstLineChars="0"/>
        <w:rPr>
          <w:b/>
          <w:bCs/>
        </w:rPr>
      </w:pPr>
      <w:r>
        <w:rPr>
          <w:rFonts w:hint="eastAsia"/>
          <w:b/>
          <w:bCs/>
        </w:rPr>
        <w:t>每套变频器提供软件接口，支持P</w:t>
      </w:r>
      <w:r>
        <w:rPr>
          <w:b/>
          <w:bCs/>
        </w:rPr>
        <w:t>ROFINET</w:t>
      </w:r>
      <w:r>
        <w:rPr>
          <w:rFonts w:hint="eastAsia"/>
          <w:b/>
          <w:bCs/>
        </w:rPr>
        <w:t>通讯协议，支持中控系统远程修改变频器参数，以满足不同电机类型，电压等级的产品试验。</w:t>
      </w:r>
    </w:p>
    <w:p>
      <w:pPr>
        <w:pStyle w:val="19"/>
        <w:numPr>
          <w:ilvl w:val="0"/>
          <w:numId w:val="3"/>
        </w:numPr>
        <w:ind w:firstLineChars="0"/>
        <w:rPr>
          <w:rFonts w:hint="eastAsia"/>
        </w:rPr>
      </w:pPr>
      <w:r>
        <w:rPr>
          <w:rFonts w:hint="eastAsia"/>
        </w:rPr>
        <w:t>变频电源系统采用风电机组配套变流器，共2套，每套容量20MVA。拓扑结构如下图，供货范围见图纸虚线框。</w:t>
      </w:r>
    </w:p>
    <w:p/>
    <w:p/>
    <w:p/>
    <w:p>
      <w:pPr>
        <w:jc w:val="center"/>
      </w:pPr>
      <w: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2481580</wp:posOffset>
                </wp:positionV>
                <wp:extent cx="4649470" cy="439420"/>
                <wp:effectExtent l="0" t="0" r="18415" b="18415"/>
                <wp:wrapNone/>
                <wp:docPr id="1" name="矩形 1"/>
                <wp:cNvGraphicFramePr/>
                <a:graphic xmlns:a="http://schemas.openxmlformats.org/drawingml/2006/main">
                  <a:graphicData uri="http://schemas.microsoft.com/office/word/2010/wordprocessingShape">
                    <wps:wsp>
                      <wps:cNvSpPr/>
                      <wps:spPr>
                        <a:xfrm>
                          <a:off x="0" y="0"/>
                          <a:ext cx="4649189" cy="439387"/>
                        </a:xfrm>
                        <a:prstGeom prst="rect">
                          <a:avLst/>
                        </a:prstGeom>
                        <a:solidFill>
                          <a:schemeClr val="accent1">
                            <a:alpha val="23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5pt;margin-top:195.4pt;height:34.6pt;width:366.1pt;z-index:251659264;v-text-anchor:middle;mso-width-relative:page;mso-height-relative:page;" fillcolor="#4472C4 [3204]" filled="t" stroked="t" coordsize="21600,21600" o:gfxdata="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g7LYK2wAA&#10;AAoBAAAPAAAAAAAAAAEAIAAAACIAAABkcnMvZG93bnJldi54bWxQSwECFAAUAAAACACHTuJAx6/9&#10;rI0CAAA1BQAADgAAAAAAAAABACAAAAAqAQAAZHJzL2Uyb0RvYy54bWxQSwUGAAAAAAYABgBZAQAA&#10;KQYAAAAA&#10;">
                <v:fill on="t" opacity="15073f" focussize="0,0"/>
                <v:stroke weight="1pt" color="#2F528F [3204]" miterlimit="8" joinstyle="miter" dashstyle="dash"/>
                <v:imagedata o:title=""/>
                <o:lock v:ext="edit" aspectratio="f"/>
              </v:rect>
            </w:pict>
          </mc:Fallback>
        </mc:AlternateContent>
      </w:r>
      <w:r>
        <w:drawing>
          <wp:inline distT="0" distB="0" distL="0" distR="0">
            <wp:extent cx="4531360" cy="4596765"/>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a:srcRect t="5030"/>
                    <a:stretch>
                      <a:fillRect/>
                    </a:stretch>
                  </pic:blipFill>
                  <pic:spPr>
                    <a:xfrm>
                      <a:off x="0" y="0"/>
                      <a:ext cx="4539789" cy="4605656"/>
                    </a:xfrm>
                    <a:prstGeom prst="rect">
                      <a:avLst/>
                    </a:prstGeom>
                    <a:ln>
                      <a:noFill/>
                    </a:ln>
                  </pic:spPr>
                </pic:pic>
              </a:graphicData>
            </a:graphic>
          </wp:inline>
        </w:drawing>
      </w:r>
    </w:p>
    <w:p>
      <w:pPr>
        <w:pStyle w:val="19"/>
        <w:numPr>
          <w:ilvl w:val="0"/>
          <w:numId w:val="3"/>
        </w:numPr>
        <w:ind w:firstLineChars="0"/>
      </w:pPr>
      <w:r>
        <w:rPr>
          <w:rFonts w:hint="eastAsia"/>
        </w:rPr>
        <w:t>变频器应具有丰富的状态检测和故障监测能力，可以将待机状态、运行状态、本地</w:t>
      </w:r>
      <w:r>
        <w:t>/远程控制状态、轻故障、重故障等数百种信号根据客户需求通过通信或者干接点进行上传。</w:t>
      </w:r>
    </w:p>
    <w:p>
      <w:pPr>
        <w:pStyle w:val="19"/>
        <w:numPr>
          <w:ilvl w:val="0"/>
          <w:numId w:val="3"/>
        </w:numPr>
        <w:ind w:firstLineChars="0"/>
      </w:pPr>
      <w:r>
        <w:rPr>
          <w:rFonts w:hint="eastAsia"/>
        </w:rPr>
        <w:t>变频器可接收主控下发的各类启动、停机命令以及各类转速、转矩指令，主控指令可通过通信传输，也可通过干接点传输。</w:t>
      </w:r>
    </w:p>
    <w:p>
      <w:pPr>
        <w:pStyle w:val="19"/>
        <w:numPr>
          <w:ilvl w:val="0"/>
          <w:numId w:val="3"/>
        </w:numPr>
        <w:ind w:firstLineChars="0"/>
      </w:pPr>
      <w:r>
        <w:rPr>
          <w:rFonts w:hint="eastAsia"/>
        </w:rPr>
        <w:t>变频器可输出合闸允许、分闸允许、远程合闸、远程分闸、远程储能信号，可接收高压断路器合闸、分闸、储能干接点信号。</w:t>
      </w:r>
    </w:p>
    <w:p>
      <w:pPr>
        <w:pStyle w:val="19"/>
        <w:numPr>
          <w:ilvl w:val="0"/>
          <w:numId w:val="3"/>
        </w:numPr>
        <w:ind w:firstLineChars="0"/>
      </w:pPr>
      <w:r>
        <w:rPr>
          <w:rFonts w:hint="eastAsia"/>
        </w:rPr>
        <w:t>变频器内部控制系统要求配置内置</w:t>
      </w:r>
      <w:r>
        <w:t>UPS，可以有效保障供电电网波动时控制系统的稳定性，极大提供系统的可靠性。</w:t>
      </w:r>
    </w:p>
    <w:p>
      <w:pPr>
        <w:pStyle w:val="19"/>
        <w:numPr>
          <w:ilvl w:val="0"/>
          <w:numId w:val="3"/>
        </w:numPr>
        <w:ind w:firstLineChars="0"/>
        <w:rPr>
          <w:b/>
          <w:bCs/>
        </w:rPr>
      </w:pPr>
      <w:r>
        <w:rPr>
          <w:rFonts w:hint="eastAsia"/>
          <w:b/>
          <w:bCs/>
        </w:rPr>
        <w:t>变频器配置一次水系统（闭式）及换热器，提供二次水换热功率及接口参数。</w:t>
      </w:r>
    </w:p>
    <w:p>
      <w:pPr>
        <w:pStyle w:val="19"/>
        <w:numPr>
          <w:ilvl w:val="0"/>
          <w:numId w:val="3"/>
        </w:numPr>
        <w:ind w:firstLineChars="0"/>
      </w:pPr>
      <w:r>
        <w:rPr>
          <w:rFonts w:hint="eastAsia"/>
        </w:rPr>
        <w:t>变频器设置本地操作面板，触摸屏尺寸不小于1</w:t>
      </w:r>
      <w:r>
        <w:t>0</w:t>
      </w:r>
      <w:r>
        <w:rPr>
          <w:rFonts w:hint="eastAsia"/>
        </w:rPr>
        <w:t>寸。要求本地控制功能同远控保持一致。</w:t>
      </w:r>
    </w:p>
    <w:p>
      <w:pPr>
        <w:pStyle w:val="19"/>
        <w:numPr>
          <w:ilvl w:val="0"/>
          <w:numId w:val="3"/>
        </w:numPr>
        <w:ind w:firstLineChars="0"/>
      </w:pPr>
      <w:r>
        <w:rPr>
          <w:rFonts w:hint="eastAsia"/>
        </w:rPr>
        <w:t>保护功能要求:</w:t>
      </w:r>
    </w:p>
    <w:p>
      <w:pPr>
        <w:pStyle w:val="19"/>
        <w:numPr>
          <w:ilvl w:val="0"/>
          <w:numId w:val="4"/>
        </w:numPr>
        <w:ind w:left="840" w:leftChars="400" w:firstLineChars="0"/>
      </w:pPr>
      <w:r>
        <w:rPr>
          <w:rFonts w:hint="eastAsia"/>
        </w:rPr>
        <w:t>变频器电网侧：电网过压、电网欠压、电网频率偏移、电网相序错误；</w:t>
      </w:r>
    </w:p>
    <w:p>
      <w:pPr>
        <w:pStyle w:val="19"/>
        <w:numPr>
          <w:ilvl w:val="0"/>
          <w:numId w:val="4"/>
        </w:numPr>
        <w:ind w:left="840" w:leftChars="400" w:firstLineChars="0"/>
      </w:pPr>
      <w:r>
        <w:rPr>
          <w:rFonts w:hint="eastAsia"/>
        </w:rPr>
        <w:t>变频器电机侧：电机超速、电机堵转、定子过流、定子过压、缺相、电机过热保护、过载保护、轴承</w:t>
      </w:r>
      <w:r>
        <w:t>/绕组过温保护、失速保护等；</w:t>
      </w:r>
    </w:p>
    <w:p>
      <w:pPr>
        <w:pStyle w:val="19"/>
        <w:numPr>
          <w:ilvl w:val="0"/>
          <w:numId w:val="4"/>
        </w:numPr>
        <w:ind w:left="840" w:leftChars="400" w:firstLineChars="0"/>
      </w:pPr>
      <w:r>
        <w:rPr>
          <w:rFonts w:hint="eastAsia"/>
        </w:rPr>
        <w:t>变频器直流母线：直流母线过压、直流母线欠压、直流母线短路；</w:t>
      </w:r>
    </w:p>
    <w:p>
      <w:pPr>
        <w:pStyle w:val="19"/>
        <w:numPr>
          <w:ilvl w:val="0"/>
          <w:numId w:val="4"/>
        </w:numPr>
        <w:ind w:left="840" w:leftChars="400" w:firstLineChars="0"/>
      </w:pPr>
      <w:r>
        <w:rPr>
          <w:rFonts w:hint="eastAsia"/>
        </w:rPr>
        <w:t>变频器总体：接地故障、绝缘故障、模块过压、模块过流、模块短路、模块过热、电感过热、通讯故障、</w:t>
      </w:r>
      <w:r>
        <w:t>I/O接口异常保护、功率限幅保护、缺相保护、过载保护、中性点偏移保护、功率器件过热保护、预充电故障保护、门锁闭锁保护、控制柜温度异常保护、励磁机故障保护、光纤通讯故障保护、数据交互异常保护、PLC故障保护、通讯卡故障保护、供电电源故障保护等；</w:t>
      </w:r>
    </w:p>
    <w:p>
      <w:pPr>
        <w:pStyle w:val="19"/>
        <w:numPr>
          <w:ilvl w:val="0"/>
          <w:numId w:val="4"/>
        </w:numPr>
        <w:ind w:left="840" w:leftChars="400" w:firstLineChars="0"/>
      </w:pPr>
      <w:r>
        <w:rPr>
          <w:rFonts w:hint="eastAsia"/>
        </w:rPr>
        <w:t>变频器冷却系统：水冷系统异常保护；</w:t>
      </w:r>
    </w:p>
    <w:p>
      <w:pPr>
        <w:pStyle w:val="19"/>
        <w:numPr>
          <w:ilvl w:val="0"/>
          <w:numId w:val="4"/>
        </w:numPr>
        <w:ind w:left="840" w:leftChars="400" w:firstLineChars="0"/>
      </w:pPr>
      <w:r>
        <w:rPr>
          <w:rFonts w:hint="eastAsia"/>
        </w:rPr>
        <w:t>辅助系统保护功能应包括但不限于：辅助电源掉电、断路器跳闸等；</w:t>
      </w:r>
    </w:p>
    <w:p>
      <w:pPr>
        <w:pStyle w:val="19"/>
        <w:numPr>
          <w:ilvl w:val="0"/>
          <w:numId w:val="4"/>
        </w:numPr>
        <w:ind w:left="840" w:leftChars="400" w:firstLineChars="0"/>
      </w:pPr>
      <w:r>
        <w:rPr>
          <w:rFonts w:hint="eastAsia"/>
        </w:rPr>
        <w:t>控制系统与通讯：软件看门狗故障、通讯故障；</w:t>
      </w:r>
    </w:p>
    <w:p>
      <w:pPr>
        <w:pStyle w:val="19"/>
        <w:numPr>
          <w:ilvl w:val="0"/>
          <w:numId w:val="4"/>
        </w:numPr>
        <w:ind w:left="840" w:leftChars="400" w:firstLineChars="0"/>
      </w:pPr>
      <w:r>
        <w:rPr>
          <w:rFonts w:hint="eastAsia"/>
        </w:rPr>
        <w:t>变频器自身应具备硬连接安全回路，并且提供与外部硬安全链连接的干接点。</w:t>
      </w:r>
    </w:p>
    <w:p>
      <w:pPr>
        <w:pStyle w:val="19"/>
        <w:numPr>
          <w:ilvl w:val="0"/>
          <w:numId w:val="4"/>
        </w:numPr>
        <w:ind w:left="840" w:leftChars="400" w:firstLineChars="0"/>
      </w:pPr>
      <w:r>
        <w:rPr>
          <w:rFonts w:hint="eastAsia"/>
        </w:rPr>
        <w:t>变频器应具有完善的保护和告警功能，故障诊断除规范要求的内容外，还具有其他系统故障诊断。同时变频器具有安全链干接点，与主控系统连接，保证整个系统在紧急情况下能实现对变频器系统的紧急关机控制。</w:t>
      </w:r>
    </w:p>
    <w:p>
      <w:pPr>
        <w:pStyle w:val="2"/>
      </w:pPr>
      <w:bookmarkStart w:id="4" w:name="_Toc112602301"/>
      <w:r>
        <w:rPr>
          <w:rFonts w:hint="eastAsia"/>
        </w:rPr>
        <w:t>设备总体要求</w:t>
      </w:r>
      <w:bookmarkEnd w:id="4"/>
    </w:p>
    <w:p>
      <w:pPr>
        <w:pStyle w:val="17"/>
        <w:numPr>
          <w:ilvl w:val="0"/>
          <w:numId w:val="5"/>
        </w:numPr>
        <w:ind w:firstLineChars="0"/>
      </w:pPr>
      <w:r>
        <w:rPr>
          <w:rFonts w:hint="eastAsia"/>
        </w:rPr>
        <w:t>变频器整机提供</w:t>
      </w:r>
      <w:r>
        <w:t>，结构设计应考虑安装现场的实际情况，以便安装检修。</w:t>
      </w:r>
    </w:p>
    <w:p>
      <w:pPr>
        <w:pStyle w:val="17"/>
        <w:numPr>
          <w:ilvl w:val="0"/>
          <w:numId w:val="5"/>
        </w:numPr>
        <w:ind w:firstLineChars="0"/>
      </w:pPr>
      <w:r>
        <w:rPr>
          <w:rFonts w:hint="eastAsia"/>
        </w:rPr>
        <w:t>变频器</w:t>
      </w:r>
      <w:r>
        <w:t>设计应考虑有效的措施减少谐波对电机产生的不利影响。</w:t>
      </w:r>
    </w:p>
    <w:p>
      <w:pPr>
        <w:pStyle w:val="17"/>
        <w:numPr>
          <w:ilvl w:val="0"/>
          <w:numId w:val="5"/>
        </w:numPr>
        <w:ind w:firstLineChars="0"/>
      </w:pPr>
      <w:r>
        <w:rPr>
          <w:rFonts w:hint="eastAsia"/>
        </w:rPr>
        <w:t>变频器</w:t>
      </w:r>
      <w:r>
        <w:t>设计时应考虑低速范围内可能引起的共振问题及降低低频噪声的措施。</w:t>
      </w:r>
    </w:p>
    <w:p>
      <w:pPr>
        <w:pStyle w:val="17"/>
        <w:numPr>
          <w:ilvl w:val="0"/>
          <w:numId w:val="5"/>
        </w:numPr>
        <w:ind w:firstLineChars="0"/>
      </w:pPr>
      <w:r>
        <w:rPr>
          <w:rFonts w:hint="eastAsia"/>
        </w:rPr>
        <w:t>变频器</w:t>
      </w:r>
      <w:r>
        <w:t>设计时应考虑低速范围内</w:t>
      </w:r>
      <w:r>
        <w:rPr>
          <w:rFonts w:hint="eastAsia"/>
        </w:rPr>
        <w:t>（</w:t>
      </w:r>
      <w:r>
        <w:rPr>
          <w:rFonts w:hint="eastAsia"/>
          <w:b/>
          <w:bCs/>
        </w:rPr>
        <w:t>供方提供国内风电电机产品的功率-频率曲线，根据产品功率-转速曲线提供相应变频器</w:t>
      </w:r>
      <w:r>
        <w:rPr>
          <w:rFonts w:hint="eastAsia"/>
        </w:rPr>
        <w:t>）能提供满功率输出的功能。</w:t>
      </w:r>
    </w:p>
    <w:p>
      <w:pPr>
        <w:pStyle w:val="17"/>
        <w:numPr>
          <w:ilvl w:val="0"/>
          <w:numId w:val="5"/>
        </w:numPr>
        <w:ind w:firstLineChars="0"/>
      </w:pPr>
      <w:r>
        <w:rPr>
          <w:rFonts w:hint="eastAsia"/>
        </w:rPr>
        <w:t>质保期</w:t>
      </w:r>
      <w:r>
        <w:t>2</w:t>
      </w:r>
      <w:r>
        <w:rPr>
          <w:rFonts w:hint="eastAsia"/>
        </w:rPr>
        <w:t>年，易损件和易耗品质保期壹年</w:t>
      </w:r>
      <w:r>
        <w:t>。</w:t>
      </w:r>
    </w:p>
    <w:p>
      <w:pPr>
        <w:pStyle w:val="17"/>
        <w:numPr>
          <w:ilvl w:val="0"/>
          <w:numId w:val="5"/>
        </w:numPr>
        <w:ind w:firstLineChars="0"/>
      </w:pPr>
      <w:r>
        <w:rPr>
          <w:rFonts w:hint="eastAsia"/>
        </w:rPr>
        <w:t>变频器组装完毕后，发货前要求完成变频器出厂前的所有试验，包括谐波测量、电压电流不平衡度、过载试验、模块温升、控制逻辑测试等，出具正式出厂试验报告后方可发货。</w:t>
      </w:r>
    </w:p>
    <w:p>
      <w:pPr>
        <w:pStyle w:val="2"/>
      </w:pPr>
      <w:bookmarkStart w:id="5" w:name="_Toc112602300"/>
      <w:r>
        <w:rPr>
          <w:rFonts w:hint="eastAsia"/>
        </w:rPr>
        <w:t>备品备件及专用工具</w:t>
      </w:r>
      <w:bookmarkEnd w:id="5"/>
    </w:p>
    <w:p>
      <w:pPr>
        <w:pStyle w:val="17"/>
        <w:ind w:firstLine="480"/>
      </w:pPr>
      <w:r>
        <w:rPr>
          <w:rFonts w:hint="eastAsia"/>
        </w:rPr>
        <w:t>提供变频器维护的专用工具1套</w:t>
      </w:r>
    </w:p>
    <w:p>
      <w:pPr>
        <w:pStyle w:val="17"/>
        <w:ind w:firstLine="480"/>
      </w:pPr>
      <w:r>
        <w:rPr>
          <w:rFonts w:hint="eastAsia"/>
        </w:rPr>
        <w:t>提供2年内变频器维护用备品备件1套，提供备件清单</w:t>
      </w:r>
    </w:p>
    <w:p>
      <w:pPr>
        <w:jc w:val="cente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29067"/>
    <w:multiLevelType w:val="singleLevel"/>
    <w:tmpl w:val="96C29067"/>
    <w:lvl w:ilvl="0" w:tentative="0">
      <w:start w:val="1"/>
      <w:numFmt w:val="bullet"/>
      <w:lvlText w:val=""/>
      <w:lvlJc w:val="left"/>
      <w:pPr>
        <w:tabs>
          <w:tab w:val="left" w:pos="420"/>
        </w:tabs>
        <w:ind w:left="840" w:hanging="420"/>
      </w:pPr>
      <w:rPr>
        <w:rFonts w:hint="default" w:ascii="Wingdings" w:hAnsi="Wingdings"/>
      </w:rPr>
    </w:lvl>
  </w:abstractNum>
  <w:abstractNum w:abstractNumId="1">
    <w:nsid w:val="04D766E2"/>
    <w:multiLevelType w:val="multilevel"/>
    <w:tmpl w:val="04D766E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9D011A6"/>
    <w:multiLevelType w:val="multilevel"/>
    <w:tmpl w:val="09D011A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F8058D6"/>
    <w:multiLevelType w:val="multilevel"/>
    <w:tmpl w:val="6F8058D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F991739"/>
    <w:multiLevelType w:val="multilevel"/>
    <w:tmpl w:val="6F991739"/>
    <w:lvl w:ilvl="0" w:tentative="0">
      <w:start w:val="1"/>
      <w:numFmt w:val="decimal"/>
      <w:pStyle w:val="2"/>
      <w:suff w:val="space"/>
      <w:lvlText w:val="%1."/>
      <w:lvlJc w:val="left"/>
      <w:pPr>
        <w:ind w:left="420" w:hanging="420"/>
      </w:pPr>
      <w:rPr>
        <w:rFonts w:hint="eastAsia"/>
      </w:rPr>
    </w:lvl>
    <w:lvl w:ilvl="1" w:tentative="0">
      <w:start w:val="1"/>
      <w:numFmt w:val="decimal"/>
      <w:pStyle w:val="3"/>
      <w:suff w:val="space"/>
      <w:lvlText w:val="%1.%2"/>
      <w:lvlJc w:val="left"/>
      <w:pPr>
        <w:ind w:left="840" w:hanging="420"/>
      </w:pPr>
      <w:rPr>
        <w:rFonts w:hint="eastAsia"/>
      </w:rPr>
    </w:lvl>
    <w:lvl w:ilvl="2" w:tentative="0">
      <w:start w:val="1"/>
      <w:numFmt w:val="decimal"/>
      <w:pStyle w:val="4"/>
      <w:isLgl/>
      <w:suff w:val="space"/>
      <w:lvlText w:val="%1.%2.%3"/>
      <w:lvlJc w:val="right"/>
      <w:pPr>
        <w:ind w:left="1260" w:hanging="420"/>
      </w:pPr>
      <w:rPr>
        <w:rFonts w:hint="eastAsia"/>
      </w:rPr>
    </w:lvl>
    <w:lvl w:ilvl="3" w:tentative="0">
      <w:start w:val="1"/>
      <w:numFmt w:val="decimal"/>
      <w:pStyle w:val="5"/>
      <w:suff w:val="space"/>
      <w:lvlText w:val="%1.%2.%3.%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mMTcyZWI5ZDliNTkzNjkxZWI3YzFmNmU1MzVlNmQifQ=="/>
  </w:docVars>
  <w:rsids>
    <w:rsidRoot w:val="00355F50"/>
    <w:rsid w:val="00263360"/>
    <w:rsid w:val="00355F50"/>
    <w:rsid w:val="009840D2"/>
    <w:rsid w:val="009860CC"/>
    <w:rsid w:val="00BF56AD"/>
    <w:rsid w:val="00C42B2F"/>
    <w:rsid w:val="00E16153"/>
    <w:rsid w:val="00F545C4"/>
    <w:rsid w:val="51C3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13"/>
    <w:qFormat/>
    <w:uiPriority w:val="9"/>
    <w:pPr>
      <w:keepNext/>
      <w:keepLines/>
      <w:numPr>
        <w:ilvl w:val="0"/>
        <w:numId w:val="1"/>
      </w:numPr>
      <w:spacing w:before="480" w:after="360"/>
      <w:jc w:val="center"/>
      <w:outlineLvl w:val="0"/>
    </w:pPr>
    <w:rPr>
      <w:rFonts w:ascii="Times New Roman" w:hAnsi="Times New Roman" w:eastAsia="黑体"/>
      <w:b/>
      <w:bCs/>
      <w:kern w:val="44"/>
      <w:sz w:val="32"/>
      <w:szCs w:val="44"/>
    </w:rPr>
  </w:style>
  <w:style w:type="paragraph" w:styleId="3">
    <w:name w:val="heading 2"/>
    <w:basedOn w:val="1"/>
    <w:next w:val="1"/>
    <w:link w:val="14"/>
    <w:unhideWhenUsed/>
    <w:qFormat/>
    <w:uiPriority w:val="9"/>
    <w:pPr>
      <w:keepNext/>
      <w:keepLines/>
      <w:numPr>
        <w:ilvl w:val="1"/>
        <w:numId w:val="1"/>
      </w:numPr>
      <w:spacing w:before="480" w:after="120" w:line="400" w:lineRule="exact"/>
      <w:ind w:left="839"/>
      <w:jc w:val="left"/>
      <w:outlineLvl w:val="1"/>
    </w:pPr>
    <w:rPr>
      <w:rFonts w:ascii="Times New Roman" w:hAnsi="Times New Roman" w:eastAsia="黑体" w:cstheme="majorBidi"/>
      <w:b/>
      <w:bCs/>
      <w:sz w:val="28"/>
      <w:szCs w:val="32"/>
    </w:rPr>
  </w:style>
  <w:style w:type="paragraph" w:styleId="4">
    <w:name w:val="heading 3"/>
    <w:basedOn w:val="1"/>
    <w:next w:val="1"/>
    <w:link w:val="15"/>
    <w:unhideWhenUsed/>
    <w:qFormat/>
    <w:uiPriority w:val="9"/>
    <w:pPr>
      <w:keepNext/>
      <w:keepLines/>
      <w:numPr>
        <w:ilvl w:val="2"/>
        <w:numId w:val="1"/>
      </w:numPr>
      <w:spacing w:before="240" w:after="120" w:line="400" w:lineRule="exact"/>
      <w:ind w:left="839"/>
      <w:outlineLvl w:val="2"/>
    </w:pPr>
    <w:rPr>
      <w:rFonts w:ascii="Times New Roman" w:hAnsi="Times New Roman" w:eastAsia="黑体"/>
      <w:b/>
      <w:bCs/>
      <w:sz w:val="26"/>
      <w:szCs w:val="32"/>
    </w:rPr>
  </w:style>
  <w:style w:type="paragraph" w:styleId="5">
    <w:name w:val="heading 4"/>
    <w:basedOn w:val="1"/>
    <w:next w:val="1"/>
    <w:link w:val="16"/>
    <w:unhideWhenUsed/>
    <w:qFormat/>
    <w:uiPriority w:val="9"/>
    <w:pPr>
      <w:keepNext/>
      <w:keepLines/>
      <w:numPr>
        <w:ilvl w:val="3"/>
        <w:numId w:val="1"/>
      </w:numPr>
      <w:spacing w:before="240" w:after="120" w:line="400" w:lineRule="exact"/>
      <w:ind w:left="420"/>
      <w:outlineLvl w:val="3"/>
    </w:pPr>
    <w:rPr>
      <w:rFonts w:eastAsia="黑体" w:asciiTheme="majorHAnsi" w:hAnsiTheme="majorHAnsi" w:cstheme="majorBidi"/>
      <w:b/>
      <w:bCs/>
      <w:sz w:val="24"/>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uiPriority w:val="99"/>
    <w:rPr>
      <w:sz w:val="18"/>
      <w:szCs w:val="18"/>
    </w:rPr>
  </w:style>
  <w:style w:type="character" w:customStyle="1" w:styleId="11">
    <w:name w:val="页脚 字符"/>
    <w:basedOn w:val="9"/>
    <w:link w:val="6"/>
    <w:uiPriority w:val="99"/>
    <w:rPr>
      <w:sz w:val="18"/>
      <w:szCs w:val="18"/>
    </w:rPr>
  </w:style>
  <w:style w:type="paragraph" w:customStyle="1" w:styleId="12">
    <w:name w:val="表格"/>
    <w:link w:val="21"/>
    <w:qFormat/>
    <w:uiPriority w:val="0"/>
    <w:pPr>
      <w:jc w:val="center"/>
      <w:textAlignment w:val="center"/>
    </w:pPr>
    <w:rPr>
      <w:rFonts w:ascii="Times New Roman" w:hAnsi="Times New Roman" w:eastAsia="宋体" w:cs="Calibri"/>
      <w:kern w:val="2"/>
      <w:sz w:val="21"/>
      <w:szCs w:val="22"/>
      <w:lang w:val="en-US" w:eastAsia="zh-CN" w:bidi="ar-SA"/>
    </w:rPr>
  </w:style>
  <w:style w:type="character" w:customStyle="1" w:styleId="13">
    <w:name w:val="标题 1 字符"/>
    <w:basedOn w:val="9"/>
    <w:link w:val="2"/>
    <w:qFormat/>
    <w:uiPriority w:val="9"/>
    <w:rPr>
      <w:rFonts w:ascii="Times New Roman" w:hAnsi="Times New Roman" w:eastAsia="黑体"/>
      <w:b/>
      <w:bCs/>
      <w:kern w:val="44"/>
      <w:sz w:val="32"/>
      <w:szCs w:val="44"/>
    </w:rPr>
  </w:style>
  <w:style w:type="character" w:customStyle="1" w:styleId="14">
    <w:name w:val="标题 2 字符"/>
    <w:basedOn w:val="9"/>
    <w:link w:val="3"/>
    <w:uiPriority w:val="9"/>
    <w:rPr>
      <w:rFonts w:ascii="Times New Roman" w:hAnsi="Times New Roman" w:eastAsia="黑体" w:cstheme="majorBidi"/>
      <w:b/>
      <w:bCs/>
      <w:sz w:val="28"/>
      <w:szCs w:val="32"/>
    </w:rPr>
  </w:style>
  <w:style w:type="character" w:customStyle="1" w:styleId="15">
    <w:name w:val="标题 3 字符"/>
    <w:basedOn w:val="9"/>
    <w:link w:val="4"/>
    <w:qFormat/>
    <w:uiPriority w:val="9"/>
    <w:rPr>
      <w:rFonts w:ascii="Times New Roman" w:hAnsi="Times New Roman" w:eastAsia="黑体"/>
      <w:b/>
      <w:bCs/>
      <w:sz w:val="26"/>
      <w:szCs w:val="32"/>
    </w:rPr>
  </w:style>
  <w:style w:type="character" w:customStyle="1" w:styleId="16">
    <w:name w:val="标题 4 字符"/>
    <w:basedOn w:val="9"/>
    <w:link w:val="5"/>
    <w:uiPriority w:val="9"/>
    <w:rPr>
      <w:rFonts w:eastAsia="黑体" w:asciiTheme="majorHAnsi" w:hAnsiTheme="majorHAnsi" w:cstheme="majorBidi"/>
      <w:b/>
      <w:bCs/>
      <w:sz w:val="24"/>
      <w:szCs w:val="28"/>
    </w:rPr>
  </w:style>
  <w:style w:type="paragraph" w:customStyle="1" w:styleId="17">
    <w:name w:val="正文部分"/>
    <w:basedOn w:val="1"/>
    <w:link w:val="18"/>
    <w:qFormat/>
    <w:uiPriority w:val="0"/>
    <w:pPr>
      <w:spacing w:line="360" w:lineRule="auto"/>
      <w:ind w:firstLine="200" w:firstLineChars="200"/>
    </w:pPr>
    <w:rPr>
      <w:rFonts w:ascii="Times New Roman" w:hAnsi="Times New Roman"/>
      <w:sz w:val="24"/>
    </w:rPr>
  </w:style>
  <w:style w:type="character" w:customStyle="1" w:styleId="18">
    <w:name w:val="正文部分 字符"/>
    <w:basedOn w:val="9"/>
    <w:link w:val="17"/>
    <w:qFormat/>
    <w:uiPriority w:val="0"/>
    <w:rPr>
      <w:rFonts w:ascii="Times New Roman" w:hAnsi="Times New Roman" w:eastAsia="宋体"/>
      <w:sz w:val="24"/>
    </w:rPr>
  </w:style>
  <w:style w:type="paragraph" w:customStyle="1" w:styleId="19">
    <w:name w:val="缩进正文"/>
    <w:basedOn w:val="1"/>
    <w:link w:val="20"/>
    <w:qFormat/>
    <w:uiPriority w:val="0"/>
    <w:pPr>
      <w:widowControl/>
      <w:snapToGrid w:val="0"/>
      <w:spacing w:line="360" w:lineRule="auto"/>
      <w:ind w:firstLine="200" w:firstLineChars="200"/>
      <w:contextualSpacing/>
    </w:pPr>
    <w:rPr>
      <w:rFonts w:ascii="Times New Roman" w:hAnsi="Times New Roman" w:cs="Times New Roman"/>
      <w:kern w:val="0"/>
      <w:sz w:val="24"/>
      <w:szCs w:val="21"/>
    </w:rPr>
  </w:style>
  <w:style w:type="character" w:customStyle="1" w:styleId="20">
    <w:name w:val="缩进正文 字符"/>
    <w:basedOn w:val="9"/>
    <w:link w:val="19"/>
    <w:qFormat/>
    <w:uiPriority w:val="0"/>
    <w:rPr>
      <w:rFonts w:ascii="Times New Roman" w:hAnsi="Times New Roman" w:eastAsia="宋体" w:cs="Times New Roman"/>
      <w:kern w:val="0"/>
      <w:sz w:val="24"/>
      <w:szCs w:val="21"/>
    </w:rPr>
  </w:style>
  <w:style w:type="character" w:customStyle="1" w:styleId="21">
    <w:name w:val="表格 字符"/>
    <w:basedOn w:val="9"/>
    <w:link w:val="12"/>
    <w:qFormat/>
    <w:uiPriority w:val="0"/>
    <w:rPr>
      <w:rFonts w:ascii="Times New Roman" w:hAnsi="Times New Roman" w:eastAsia="宋体" w:cs="Calibri"/>
    </w:rPr>
  </w:style>
  <w:style w:type="paragraph" w:customStyle="1" w:styleId="22">
    <w:name w:val="Default"/>
    <w:basedOn w:val="1"/>
    <w:qFormat/>
    <w:uiPriority w:val="0"/>
    <w:pPr>
      <w:autoSpaceDE w:val="0"/>
      <w:autoSpaceDN w:val="0"/>
      <w:adjustRightInd w:val="0"/>
      <w:jc w:val="left"/>
    </w:pPr>
    <w:rPr>
      <w:rFonts w:ascii="黑体" w:hAnsi="Times New Roman" w:eastAsia="黑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2702</Words>
  <Characters>3660</Characters>
  <Lines>28</Lines>
  <Paragraphs>8</Paragraphs>
  <TotalTime>84</TotalTime>
  <ScaleCrop>false</ScaleCrop>
  <LinksUpToDate>false</LinksUpToDate>
  <CharactersWithSpaces>3755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永川</dc:creator>
  <cp:lastModifiedBy>promise</cp:lastModifiedBy>
  <dcterms:modified xsi:type="dcterms:W3CDTF">2022-12-30T03:24:26Z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3F1059F801504ECC91BAD185471AE7C4</vt:lpwstr>
  </property>
</Properties>
</file>