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57E10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39D3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641BAA5">
      <w:pPr>
        <w:keepNext w:val="0"/>
        <w:keepLines w:val="0"/>
        <w:pageBreakBefore w:val="0"/>
        <w:wordWrap/>
        <w:overflowPunct/>
        <w:topLinePunct w:val="0"/>
        <w:bidi w:val="0"/>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兰州新区年产30GWh 新能源电池生产基地项目（一期）</w:t>
      </w:r>
      <w:r>
        <w:rPr>
          <w:rFonts w:hint="eastAsia" w:ascii="仿宋" w:hAnsi="仿宋" w:eastAsia="仿宋" w:cs="仿宋"/>
          <w:sz w:val="32"/>
          <w:szCs w:val="32"/>
          <w:lang w:val="en-US" w:eastAsia="zh-CN"/>
        </w:rPr>
        <w:t xml:space="preserve">   </w:t>
      </w:r>
    </w:p>
    <w:p w14:paraId="3DBB231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（采购编号：</w:t>
      </w:r>
      <w:r>
        <w:rPr>
          <w:rFonts w:hint="eastAsia" w:ascii="仿宋" w:hAnsi="仿宋" w:eastAsia="仿宋" w:cs="仿宋"/>
          <w:sz w:val="32"/>
          <w:szCs w:val="32"/>
          <w:u w:val="single"/>
        </w:rPr>
        <w:t xml:space="preserve"> 07904002-C-RQ-D-009</w:t>
      </w:r>
      <w:r>
        <w:rPr>
          <w:rFonts w:hint="eastAsia" w:ascii="仿宋" w:hAnsi="仿宋" w:eastAsia="仿宋" w:cs="仿宋"/>
          <w:sz w:val="32"/>
          <w:szCs w:val="32"/>
          <w:u w:val="single"/>
          <w:lang w:val="en-US" w:eastAsia="zh-CN"/>
        </w:rPr>
        <w:t>8</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1401D02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725970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6F6659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9D7CDD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32B1A6C">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52"/>
          <w:szCs w:val="52"/>
          <w:lang w:val="en-US" w:eastAsia="zh-CN"/>
        </w:rPr>
        <w:t xml:space="preserve"> 电气（一标段）</w:t>
      </w:r>
      <w:r>
        <w:rPr>
          <w:rFonts w:hint="eastAsia" w:ascii="仿宋" w:hAnsi="仿宋" w:eastAsia="仿宋" w:cs="仿宋"/>
          <w:b/>
          <w:bCs/>
          <w:sz w:val="52"/>
          <w:szCs w:val="52"/>
          <w:lang w:eastAsia="zh-CN"/>
        </w:rPr>
        <w:t>专业分包</w:t>
      </w:r>
      <w:r>
        <w:rPr>
          <w:rFonts w:hint="eastAsia" w:ascii="仿宋" w:hAnsi="仿宋" w:eastAsia="仿宋" w:cs="仿宋"/>
          <w:b/>
          <w:bCs/>
          <w:sz w:val="52"/>
          <w:szCs w:val="52"/>
        </w:rPr>
        <w:t>工程询比采购文件</w:t>
      </w:r>
    </w:p>
    <w:p w14:paraId="08A43EB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1CFB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D1A60C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858DF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942F9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1239C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采购人：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中机国际工程设计研究院有限责任公司</w:t>
      </w:r>
    </w:p>
    <w:p w14:paraId="3D68120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5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10</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637AFB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F1621C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71BD5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E74A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AF6961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09EB58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CA34D0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F36404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sz w:val="52"/>
          <w:szCs w:val="52"/>
          <w:lang w:eastAsia="zh-CN"/>
        </w:rPr>
      </w:pPr>
      <w:r>
        <w:rPr>
          <w:rFonts w:hint="eastAsia" w:ascii="仿宋" w:hAnsi="仿宋" w:eastAsia="仿宋" w:cs="仿宋"/>
          <w:b/>
          <w:bCs/>
          <w:kern w:val="2"/>
          <w:sz w:val="52"/>
          <w:szCs w:val="52"/>
          <w:lang w:val="en-US" w:eastAsia="zh-CN" w:bidi="ar-SA"/>
        </w:rPr>
        <w:t xml:space="preserve">第一章 </w:t>
      </w:r>
      <w:r>
        <w:rPr>
          <w:rFonts w:hint="eastAsia" w:ascii="仿宋" w:hAnsi="仿宋" w:eastAsia="仿宋" w:cs="仿宋"/>
          <w:b/>
          <w:bCs/>
          <w:sz w:val="52"/>
          <w:szCs w:val="52"/>
        </w:rPr>
        <w:t>询比采购</w:t>
      </w:r>
      <w:r>
        <w:rPr>
          <w:rFonts w:hint="eastAsia" w:ascii="仿宋" w:hAnsi="仿宋" w:eastAsia="仿宋" w:cs="仿宋"/>
          <w:b/>
          <w:bCs/>
          <w:sz w:val="52"/>
          <w:szCs w:val="52"/>
          <w:lang w:eastAsia="zh-CN"/>
        </w:rPr>
        <w:t>公告</w:t>
      </w:r>
    </w:p>
    <w:p w14:paraId="7D2E4632">
      <w:pPr>
        <w:rPr>
          <w:rFonts w:hint="eastAsia" w:ascii="仿宋" w:hAnsi="仿宋" w:eastAsia="仿宋" w:cs="仿宋"/>
          <w:sz w:val="32"/>
          <w:szCs w:val="32"/>
        </w:rPr>
      </w:pPr>
      <w:r>
        <w:rPr>
          <w:rFonts w:hint="eastAsia" w:ascii="仿宋" w:hAnsi="仿宋" w:eastAsia="仿宋" w:cs="仿宋"/>
          <w:sz w:val="32"/>
          <w:szCs w:val="32"/>
        </w:rPr>
        <w:br w:type="page"/>
      </w:r>
    </w:p>
    <w:p w14:paraId="089A4523">
      <w:pPr>
        <w:pStyle w:val="8"/>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221E1F"/>
          <w:spacing w:val="-2"/>
          <w:sz w:val="32"/>
          <w:szCs w:val="32"/>
          <w:lang w:val="en-US" w:eastAsia="zh-CN"/>
        </w:rPr>
      </w:pPr>
      <w:r>
        <w:rPr>
          <w:rFonts w:hint="eastAsia" w:ascii="黑体" w:hAnsi="黑体" w:eastAsia="黑体" w:cs="黑体"/>
          <w:b w:val="0"/>
          <w:bCs w:val="0"/>
          <w:color w:val="221E1F"/>
          <w:spacing w:val="-2"/>
          <w:sz w:val="32"/>
          <w:szCs w:val="32"/>
        </w:rPr>
        <w:t>兰州新区年产30GWh新能源电池生产基地项目（一期）</w:t>
      </w:r>
      <w:r>
        <w:rPr>
          <w:rFonts w:hint="eastAsia" w:ascii="黑体" w:hAnsi="黑体" w:eastAsia="黑体" w:cs="黑体"/>
          <w:b w:val="0"/>
          <w:bCs w:val="0"/>
          <w:color w:val="221E1F"/>
          <w:spacing w:val="-2"/>
          <w:sz w:val="32"/>
          <w:szCs w:val="32"/>
          <w:lang w:eastAsia="zh-CN"/>
        </w:rPr>
        <w:t>电气（一标段）专业分包</w:t>
      </w:r>
      <w:r>
        <w:rPr>
          <w:rFonts w:hint="eastAsia" w:ascii="黑体" w:hAnsi="黑体" w:eastAsia="黑体" w:cs="黑体"/>
          <w:b w:val="0"/>
          <w:bCs w:val="0"/>
          <w:color w:val="221E1F"/>
          <w:spacing w:val="-2"/>
          <w:sz w:val="32"/>
          <w:szCs w:val="32"/>
        </w:rPr>
        <w:t>工程询比采购公告</w:t>
      </w:r>
    </w:p>
    <w:p w14:paraId="1F911FB7">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636"/>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rPr>
        <w:t>本采购项目</w:t>
      </w:r>
      <w:r>
        <w:rPr>
          <w:rFonts w:hint="eastAsia" w:ascii="仿宋" w:hAnsi="仿宋" w:eastAsia="仿宋" w:cs="仿宋"/>
          <w:color w:val="221E1F"/>
          <w:spacing w:val="-2"/>
          <w:sz w:val="32"/>
          <w:szCs w:val="32"/>
          <w:lang w:eastAsia="zh-CN"/>
        </w:rPr>
        <w:t>为</w:t>
      </w:r>
      <w:r>
        <w:rPr>
          <w:rFonts w:hint="eastAsia" w:ascii="仿宋" w:hAnsi="仿宋" w:eastAsia="仿宋" w:cs="仿宋"/>
          <w:color w:val="221E1F"/>
          <w:spacing w:val="-2"/>
          <w:sz w:val="32"/>
          <w:szCs w:val="32"/>
          <w:u w:val="single"/>
        </w:rPr>
        <w:t>（兰州新区年产30GWh新能源电池生产基地项目（一期）项目）</w:t>
      </w:r>
      <w:r>
        <w:rPr>
          <w:rFonts w:hint="eastAsia" w:ascii="仿宋" w:hAnsi="仿宋" w:eastAsia="仿宋" w:cs="仿宋"/>
          <w:color w:val="221E1F"/>
          <w:spacing w:val="-2"/>
          <w:sz w:val="32"/>
          <w:szCs w:val="32"/>
        </w:rPr>
        <w:t>，询价人为</w:t>
      </w:r>
      <w:r>
        <w:rPr>
          <w:rFonts w:hint="eastAsia" w:ascii="仿宋" w:hAnsi="仿宋" w:eastAsia="仿宋" w:cs="仿宋"/>
          <w:color w:val="221E1F"/>
          <w:spacing w:val="-2"/>
          <w:sz w:val="32"/>
          <w:szCs w:val="32"/>
          <w:u w:val="single"/>
          <w:lang w:val="en-US" w:eastAsia="zh-CN"/>
        </w:rPr>
        <w:t xml:space="preserve"> 中机国际工程设计研究院有限责任公司 </w:t>
      </w:r>
      <w:r>
        <w:rPr>
          <w:rFonts w:hint="eastAsia" w:ascii="仿宋" w:hAnsi="仿宋" w:eastAsia="仿宋" w:cs="仿宋"/>
          <w:color w:val="221E1F"/>
          <w:spacing w:val="-2"/>
          <w:sz w:val="32"/>
          <w:szCs w:val="32"/>
        </w:rPr>
        <w:t>。项目进度已具备</w:t>
      </w:r>
      <w:r>
        <w:rPr>
          <w:rFonts w:hint="eastAsia" w:ascii="仿宋" w:hAnsi="仿宋" w:eastAsia="仿宋" w:cs="仿宋"/>
          <w:color w:val="221E1F"/>
          <w:spacing w:val="-2"/>
          <w:sz w:val="32"/>
          <w:szCs w:val="32"/>
          <w:lang w:val="en-US" w:eastAsia="zh-CN"/>
        </w:rPr>
        <w:t>相关询价</w:t>
      </w:r>
      <w:r>
        <w:rPr>
          <w:rFonts w:hint="eastAsia" w:ascii="仿宋" w:hAnsi="仿宋" w:eastAsia="仿宋" w:cs="仿宋"/>
          <w:color w:val="221E1F"/>
          <w:spacing w:val="-2"/>
          <w:sz w:val="32"/>
          <w:szCs w:val="32"/>
        </w:rPr>
        <w:t>条件，现对该项目的</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single"/>
          <w:lang w:eastAsia="zh-CN"/>
        </w:rPr>
        <w:t>电气（一标段）专业分包</w:t>
      </w:r>
      <w:r>
        <w:rPr>
          <w:rFonts w:hint="eastAsia" w:ascii="仿宋" w:hAnsi="仿宋" w:eastAsia="仿宋" w:cs="仿宋"/>
          <w:color w:val="221E1F"/>
          <w:spacing w:val="-2"/>
          <w:sz w:val="32"/>
          <w:szCs w:val="32"/>
          <w:u w:val="single"/>
        </w:rPr>
        <w:t>工程</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none"/>
          <w:lang w:val="en-US" w:eastAsia="zh-CN"/>
        </w:rPr>
        <w:t>进行询比,</w:t>
      </w:r>
      <w:r>
        <w:rPr>
          <w:rFonts w:hint="eastAsia" w:ascii="仿宋" w:hAnsi="仿宋" w:eastAsia="仿宋" w:cs="仿宋"/>
          <w:color w:val="221E1F"/>
          <w:spacing w:val="-2"/>
          <w:sz w:val="32"/>
          <w:szCs w:val="32"/>
          <w:lang w:eastAsia="zh-CN"/>
        </w:rPr>
        <w:t>邀请贵单位</w:t>
      </w:r>
      <w:r>
        <w:rPr>
          <w:rFonts w:hint="eastAsia" w:ascii="仿宋" w:hAnsi="仿宋" w:eastAsia="仿宋" w:cs="仿宋"/>
          <w:color w:val="221E1F"/>
          <w:spacing w:val="-2"/>
          <w:sz w:val="32"/>
          <w:szCs w:val="32"/>
        </w:rPr>
        <w:t>参加</w:t>
      </w:r>
      <w:r>
        <w:rPr>
          <w:rFonts w:hint="eastAsia" w:ascii="仿宋" w:hAnsi="仿宋" w:eastAsia="仿宋" w:cs="仿宋"/>
          <w:color w:val="221E1F"/>
          <w:spacing w:val="-2"/>
          <w:sz w:val="32"/>
          <w:szCs w:val="32"/>
          <w:lang w:eastAsia="zh-CN"/>
        </w:rPr>
        <w:t>本次</w:t>
      </w:r>
      <w:r>
        <w:rPr>
          <w:rFonts w:hint="eastAsia" w:ascii="仿宋" w:hAnsi="仿宋" w:eastAsia="仿宋" w:cs="仿宋"/>
          <w:color w:val="221E1F"/>
          <w:spacing w:val="-2"/>
          <w:sz w:val="32"/>
          <w:szCs w:val="32"/>
        </w:rPr>
        <w:t>询比采购活动。</w:t>
      </w:r>
    </w:p>
    <w:p w14:paraId="6D06F187">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8"/>
          <w:sz w:val="32"/>
          <w:szCs w:val="32"/>
          <w:lang w:eastAsia="zh-CN"/>
        </w:rPr>
        <w:t>　　</w:t>
      </w:r>
      <w:r>
        <w:rPr>
          <w:rFonts w:hint="eastAsia" w:ascii="仿宋" w:hAnsi="仿宋" w:eastAsia="仿宋" w:cs="仿宋"/>
          <w:b/>
          <w:bCs/>
          <w:color w:val="221E1F"/>
          <w:spacing w:val="-8"/>
          <w:sz w:val="32"/>
          <w:szCs w:val="32"/>
        </w:rPr>
        <w:t>1 采购项目简介</w:t>
      </w:r>
    </w:p>
    <w:p w14:paraId="2C59E049">
      <w:pPr>
        <w:pStyle w:val="8"/>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1.1 采购项目名称：</w:t>
      </w:r>
      <w:r>
        <w:rPr>
          <w:rFonts w:hint="eastAsia" w:ascii="仿宋" w:hAnsi="仿宋" w:eastAsia="仿宋" w:cs="仿宋"/>
          <w:color w:val="221E1F"/>
          <w:spacing w:val="-3"/>
          <w:sz w:val="32"/>
          <w:szCs w:val="32"/>
          <w:u w:val="single"/>
          <w:lang w:val="en-US" w:eastAsia="zh-CN"/>
        </w:rPr>
        <w:t xml:space="preserve">  兰州新区年产30GWh新能源电池生产基地项目（一期）电气（一标段）专业分包工程  </w:t>
      </w:r>
    </w:p>
    <w:p w14:paraId="760B3F89">
      <w:pPr>
        <w:pStyle w:val="8"/>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1.2 采购人：</w:t>
      </w:r>
      <w:r>
        <w:rPr>
          <w:rFonts w:hint="eastAsia" w:ascii="仿宋" w:hAnsi="仿宋" w:eastAsia="仿宋" w:cs="仿宋"/>
          <w:color w:val="221E1F"/>
          <w:spacing w:val="-3"/>
          <w:sz w:val="32"/>
          <w:szCs w:val="32"/>
          <w:u w:val="single"/>
          <w:lang w:val="en-US" w:eastAsia="zh-CN"/>
        </w:rPr>
        <w:t xml:space="preserve"> 中机国际工程设计研究院有限责任公司    </w:t>
      </w:r>
    </w:p>
    <w:p w14:paraId="7DC775D7">
      <w:pPr>
        <w:pStyle w:val="8"/>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1.3 采购代理机构：</w:t>
      </w:r>
      <w:r>
        <w:rPr>
          <w:rFonts w:hint="eastAsia" w:ascii="仿宋" w:hAnsi="仿宋" w:eastAsia="仿宋" w:cs="仿宋"/>
          <w:color w:val="221E1F"/>
          <w:spacing w:val="-3"/>
          <w:sz w:val="32"/>
          <w:szCs w:val="32"/>
          <w:u w:val="single"/>
          <w:lang w:val="en-US" w:eastAsia="zh-CN"/>
        </w:rPr>
        <w:t xml:space="preserve">   /    </w:t>
      </w:r>
    </w:p>
    <w:p w14:paraId="045904A2">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1.4 采购项目资金落实情况：</w:t>
      </w:r>
      <w:r>
        <w:rPr>
          <w:rFonts w:hint="eastAsia" w:ascii="仿宋" w:hAnsi="仿宋" w:eastAsia="仿宋" w:cs="仿宋"/>
          <w:color w:val="221E1F"/>
          <w:spacing w:val="-3"/>
          <w:sz w:val="32"/>
          <w:szCs w:val="32"/>
          <w:u w:val="single"/>
          <w:lang w:val="en-US" w:eastAsia="zh-CN"/>
        </w:rPr>
        <w:t xml:space="preserve">   企业自筹  </w:t>
      </w:r>
    </w:p>
    <w:p w14:paraId="73BCC9FE">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left="73" w:firstLine="0"/>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1.5 采购项目概况：</w:t>
      </w:r>
      <w:r>
        <w:rPr>
          <w:rFonts w:hint="eastAsia" w:ascii="仿宋" w:hAnsi="仿宋" w:eastAsia="仿宋" w:cs="仿宋"/>
          <w:color w:val="auto"/>
          <w:spacing w:val="-3"/>
          <w:sz w:val="32"/>
          <w:szCs w:val="32"/>
          <w:u w:val="single"/>
          <w:lang w:val="en-US" w:eastAsia="zh-CN"/>
        </w:rPr>
        <w:t>电芯厂房、室外图纸范围内电气工程，清单工程量为指导，其中电缆甲供。</w:t>
      </w:r>
    </w:p>
    <w:p w14:paraId="48F93310">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2"/>
          <w:sz w:val="32"/>
          <w:szCs w:val="32"/>
          <w:lang w:eastAsia="zh-CN"/>
        </w:rPr>
        <w:t>　　</w:t>
      </w:r>
      <w:r>
        <w:rPr>
          <w:rFonts w:hint="eastAsia" w:ascii="仿宋" w:hAnsi="仿宋" w:eastAsia="仿宋" w:cs="仿宋"/>
          <w:b/>
          <w:bCs/>
          <w:color w:val="221E1F"/>
          <w:spacing w:val="-2"/>
          <w:sz w:val="32"/>
          <w:szCs w:val="32"/>
        </w:rPr>
        <w:t>2 采购范围及相关要求（</w:t>
      </w:r>
      <w:r>
        <w:rPr>
          <w:rFonts w:hint="eastAsia" w:ascii="仿宋" w:hAnsi="仿宋" w:eastAsia="仿宋" w:cs="仿宋"/>
          <w:b/>
          <w:bCs/>
          <w:color w:val="221E1F"/>
          <w:spacing w:val="-2"/>
          <w:sz w:val="32"/>
          <w:szCs w:val="32"/>
          <w:lang w:eastAsia="zh-CN"/>
        </w:rPr>
        <w:t>工程</w:t>
      </w:r>
      <w:r>
        <w:rPr>
          <w:rFonts w:hint="eastAsia" w:ascii="仿宋" w:hAnsi="仿宋" w:eastAsia="仿宋" w:cs="仿宋"/>
          <w:b/>
          <w:bCs/>
          <w:color w:val="221E1F"/>
          <w:spacing w:val="-2"/>
          <w:sz w:val="32"/>
          <w:szCs w:val="32"/>
        </w:rPr>
        <w:t>）</w:t>
      </w:r>
    </w:p>
    <w:p w14:paraId="3B1D2EF9">
      <w:pPr>
        <w:pStyle w:val="8"/>
        <w:keepNext w:val="0"/>
        <w:keepLines w:val="0"/>
        <w:pageBreakBefore w:val="0"/>
        <w:widowControl/>
        <w:numPr>
          <w:ilvl w:val="0"/>
          <w:numId w:val="1"/>
        </w:numPr>
        <w:kinsoku w:val="0"/>
        <w:wordWrap/>
        <w:overflowPunct/>
        <w:topLinePunct w:val="0"/>
        <w:autoSpaceDE w:val="0"/>
        <w:autoSpaceDN w:val="0"/>
        <w:bidi w:val="0"/>
        <w:adjustRightInd w:val="0"/>
        <w:snapToGrid w:val="0"/>
        <w:spacing w:before="258" w:line="360" w:lineRule="auto"/>
        <w:ind w:left="58"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2"/>
          <w:sz w:val="32"/>
          <w:szCs w:val="32"/>
        </w:rPr>
        <w:t>1 采购范围：</w:t>
      </w:r>
      <w:r>
        <w:rPr>
          <w:rFonts w:hint="eastAsia" w:ascii="仿宋" w:hAnsi="仿宋" w:eastAsia="仿宋" w:cs="仿宋"/>
          <w:color w:val="221E1F"/>
          <w:spacing w:val="-3"/>
          <w:sz w:val="32"/>
          <w:szCs w:val="32"/>
          <w:lang w:val="en-US" w:eastAsia="zh-CN"/>
        </w:rPr>
        <w:t>电芯厂房电气工程、室外电气工程采购安装包括且不限于以下内容：</w:t>
      </w:r>
    </w:p>
    <w:p w14:paraId="05C506E2">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eastAsia"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2.1.1电气工程：动力配电系统、照明系统、空调配电系统、空调插座系统及防雷接地系统等。图纸范围内工作内容，从室外第一个电井开始接入，不限于桥架、线管及预埋、线缆、开关、插座、灯具、防雷系统的接地、配电箱的接地、预埋、电气整体安装调试、单机调试、联合调试及验收合格；</w:t>
      </w:r>
    </w:p>
    <w:p w14:paraId="2CA11797">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2.1.2</w:t>
      </w:r>
      <w:r>
        <w:rPr>
          <w:rFonts w:hint="default" w:ascii="仿宋" w:hAnsi="仿宋" w:eastAsia="仿宋" w:cs="仿宋"/>
          <w:color w:val="221E1F"/>
          <w:spacing w:val="-3"/>
          <w:sz w:val="32"/>
          <w:szCs w:val="32"/>
          <w:lang w:val="en-US" w:eastAsia="zh-CN"/>
        </w:rPr>
        <w:t>技术服务费：包括供方在项目施工现场的安装、材料检验试验、按照合同的要求编制操作手册和维护手册、培训，提供相关的软件、检验，以及合同中规定供方应承担的其它义务。安装及培训期间，供方技术人员的人身意外保险、差旅费等均包含在合同价格内。</w:t>
      </w:r>
    </w:p>
    <w:p w14:paraId="6695097E">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7"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2.1.3</w:t>
      </w:r>
      <w:r>
        <w:rPr>
          <w:rFonts w:hint="default" w:ascii="仿宋" w:hAnsi="仿宋" w:eastAsia="仿宋" w:cs="仿宋"/>
          <w:color w:val="221E1F"/>
          <w:spacing w:val="-3"/>
          <w:sz w:val="32"/>
          <w:szCs w:val="32"/>
          <w:lang w:val="en-US" w:eastAsia="zh-CN"/>
        </w:rPr>
        <w:t>技术文件费用：供方负责根据需方要求提供的全套技术文件所需费用，包括但不限于计算书、</w:t>
      </w:r>
      <w:r>
        <w:rPr>
          <w:rFonts w:hint="eastAsia" w:ascii="仿宋" w:hAnsi="仿宋" w:eastAsia="仿宋" w:cs="仿宋"/>
          <w:color w:val="221E1F"/>
          <w:spacing w:val="-3"/>
          <w:sz w:val="32"/>
          <w:szCs w:val="32"/>
          <w:lang w:val="en-US" w:eastAsia="zh-CN"/>
        </w:rPr>
        <w:t>配线箱二次原理图、</w:t>
      </w:r>
      <w:r>
        <w:rPr>
          <w:rFonts w:hint="default" w:ascii="仿宋" w:hAnsi="仿宋" w:eastAsia="仿宋" w:cs="仿宋"/>
          <w:color w:val="221E1F"/>
          <w:spacing w:val="-3"/>
          <w:sz w:val="32"/>
          <w:szCs w:val="32"/>
          <w:lang w:val="en-US" w:eastAsia="zh-CN"/>
        </w:rPr>
        <w:t>图纸、图表、说明、报告、手册、证书、样本、培训资料等，还包括货物的质量证明文件、检验合格文件、说明书等。</w:t>
      </w:r>
    </w:p>
    <w:p w14:paraId="3DEBC7BE">
      <w:pPr>
        <w:ind w:firstLine="628" w:firstLineChars="200"/>
        <w:rPr>
          <w:rFonts w:hint="eastAsia"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2.1.4配电柜及电缆入围品牌如下：</w:t>
      </w:r>
    </w:p>
    <w:p w14:paraId="1207D227">
      <w:pPr>
        <w:rPr>
          <w:rFonts w:hint="eastAsia"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配电柜：湖南科立、湖南国开、北京科锐、长沙仁华、广州白云；</w:t>
      </w:r>
    </w:p>
    <w:p w14:paraId="70054BFE">
      <w:pPr>
        <w:rPr>
          <w:rFonts w:hint="default"/>
          <w:lang w:val="en-US" w:eastAsia="zh-CN"/>
        </w:rPr>
      </w:pPr>
      <w:r>
        <w:rPr>
          <w:rFonts w:hint="eastAsia" w:ascii="仿宋" w:hAnsi="仿宋" w:eastAsia="仿宋" w:cs="仿宋"/>
          <w:color w:val="221E1F"/>
          <w:spacing w:val="-3"/>
          <w:sz w:val="32"/>
          <w:szCs w:val="32"/>
          <w:lang w:val="en-US" w:eastAsia="zh-CN"/>
        </w:rPr>
        <w:t>电缆：金杯、上上、金龙、明超等知名品牌。</w:t>
      </w:r>
    </w:p>
    <w:p w14:paraId="5514B83A">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default" w:ascii="仿宋" w:hAnsi="仿宋" w:eastAsia="仿宋" w:cs="仿宋"/>
          <w:color w:val="221E1F"/>
          <w:spacing w:val="-3"/>
          <w:sz w:val="32"/>
          <w:szCs w:val="32"/>
          <w:lang w:val="en-US" w:eastAsia="zh-CN"/>
        </w:rPr>
      </w:pPr>
      <w:r>
        <w:rPr>
          <w:rFonts w:hint="default" w:ascii="仿宋" w:hAnsi="仿宋" w:eastAsia="仿宋" w:cs="仿宋"/>
          <w:color w:val="221E1F"/>
          <w:spacing w:val="-3"/>
          <w:sz w:val="32"/>
          <w:szCs w:val="32"/>
          <w:lang w:val="en-US" w:eastAsia="zh-CN"/>
        </w:rPr>
        <w:t>上述合同价格</w:t>
      </w:r>
      <w:r>
        <w:rPr>
          <w:rFonts w:hint="eastAsia" w:ascii="仿宋" w:hAnsi="仿宋" w:eastAsia="仿宋" w:cs="仿宋"/>
          <w:color w:val="221E1F"/>
          <w:spacing w:val="-3"/>
          <w:sz w:val="32"/>
          <w:szCs w:val="32"/>
          <w:lang w:val="en-US" w:eastAsia="zh-CN"/>
        </w:rPr>
        <w:t>及单价中</w:t>
      </w:r>
      <w:r>
        <w:rPr>
          <w:rFonts w:hint="default" w:ascii="仿宋" w:hAnsi="仿宋" w:eastAsia="仿宋" w:cs="仿宋"/>
          <w:color w:val="221E1F"/>
          <w:spacing w:val="-3"/>
          <w:sz w:val="32"/>
          <w:szCs w:val="32"/>
          <w:lang w:val="en-US" w:eastAsia="zh-CN"/>
        </w:rPr>
        <w:t>包括但不限于货物金额、包装费、运输费、运输保险费、及相关材料费、技术文件费、技术服务费、所有材料装车卸车费、现场二次搬运费、</w:t>
      </w:r>
      <w:r>
        <w:rPr>
          <w:rFonts w:hint="eastAsia" w:ascii="仿宋" w:hAnsi="仿宋" w:eastAsia="仿宋" w:cs="仿宋"/>
          <w:color w:val="221E1F"/>
          <w:spacing w:val="-3"/>
          <w:sz w:val="32"/>
          <w:szCs w:val="32"/>
          <w:lang w:val="en-US" w:eastAsia="zh-CN"/>
        </w:rPr>
        <w:t>垂直运输费、脚手架搭拆费、</w:t>
      </w:r>
      <w:r>
        <w:rPr>
          <w:rFonts w:hint="default" w:ascii="仿宋" w:hAnsi="仿宋" w:eastAsia="仿宋" w:cs="仿宋"/>
          <w:color w:val="221E1F"/>
          <w:spacing w:val="-3"/>
          <w:sz w:val="32"/>
          <w:szCs w:val="32"/>
          <w:lang w:val="en-US" w:eastAsia="zh-CN"/>
        </w:rPr>
        <w:t>所有机械费（含进出场）、</w:t>
      </w:r>
      <w:r>
        <w:rPr>
          <w:rFonts w:hint="eastAsia" w:ascii="仿宋" w:hAnsi="仿宋" w:eastAsia="仿宋" w:cs="仿宋"/>
          <w:color w:val="221E1F"/>
          <w:spacing w:val="-3"/>
          <w:sz w:val="32"/>
          <w:szCs w:val="32"/>
          <w:lang w:val="en-US" w:eastAsia="zh-CN"/>
        </w:rPr>
        <w:t>砌体工程开槽/洞、穿板/墙洞桥架的防火防堵、桥架的支架(含刷漆）及连接线、管道防腐刷漆及标志、</w:t>
      </w:r>
      <w:r>
        <w:rPr>
          <w:rFonts w:hint="default" w:ascii="仿宋" w:hAnsi="仿宋" w:eastAsia="仿宋" w:cs="仿宋"/>
          <w:color w:val="221E1F"/>
          <w:spacing w:val="-3"/>
          <w:sz w:val="32"/>
          <w:szCs w:val="32"/>
          <w:lang w:val="en-US" w:eastAsia="zh-CN"/>
        </w:rPr>
        <w:t>分包人因天气原因产生的临时转场费、市容/交警/环保环卫/市政协调费、完工退场垃圾清理费、</w:t>
      </w:r>
      <w:r>
        <w:rPr>
          <w:rFonts w:hint="eastAsia" w:ascii="仿宋" w:hAnsi="仿宋" w:eastAsia="仿宋" w:cs="仿宋"/>
          <w:color w:val="221E1F"/>
          <w:spacing w:val="-3"/>
          <w:sz w:val="32"/>
          <w:szCs w:val="32"/>
          <w:lang w:val="en-US" w:eastAsia="zh-CN"/>
        </w:rPr>
        <w:t>成品保护费、</w:t>
      </w:r>
      <w:r>
        <w:rPr>
          <w:rFonts w:hint="default" w:ascii="仿宋" w:hAnsi="仿宋" w:eastAsia="仿宋" w:cs="仿宋"/>
          <w:color w:val="221E1F"/>
          <w:spacing w:val="-3"/>
          <w:sz w:val="32"/>
          <w:szCs w:val="32"/>
          <w:lang w:val="en-US" w:eastAsia="zh-CN"/>
        </w:rPr>
        <w:t>施工水电费（电源及燃料承包人自备）、因场地运输破坏其它工种产生的修复费、安装费、检验试验费、单机及系统调试费，包含管理费、增值税专用发票税费、利润、人员保险、安全文明施工费，包通过有关部门验收等为完成该项工作所需全部费用。</w:t>
      </w:r>
    </w:p>
    <w:p w14:paraId="5D1859DC">
      <w:pPr>
        <w:rPr>
          <w:rFonts w:hint="default"/>
          <w:lang w:val="en-US" w:eastAsia="zh-CN"/>
        </w:rPr>
      </w:pPr>
      <w:r>
        <w:rPr>
          <w:rFonts w:hint="eastAsia" w:ascii="仿宋" w:hAnsi="仿宋" w:eastAsia="仿宋" w:cs="仿宋"/>
          <w:color w:val="221E1F"/>
          <w:spacing w:val="-3"/>
          <w:sz w:val="32"/>
          <w:szCs w:val="32"/>
          <w:lang w:val="en-US" w:eastAsia="zh-CN"/>
        </w:rPr>
        <w:t xml:space="preserve"> </w:t>
      </w:r>
    </w:p>
    <w:p w14:paraId="072DBC60">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624"/>
        <w:jc w:val="left"/>
        <w:textAlignment w:val="baseline"/>
        <w:rPr>
          <w:rFonts w:hint="eastAsia" w:ascii="仿宋" w:hAnsi="仿宋" w:eastAsia="仿宋" w:cs="仿宋"/>
          <w:color w:val="221E1F"/>
          <w:spacing w:val="-4"/>
          <w:kern w:val="2"/>
          <w:sz w:val="32"/>
          <w:szCs w:val="32"/>
          <w:lang w:val="en-US" w:eastAsia="zh-CN" w:bidi="ar-SA"/>
        </w:rPr>
      </w:pPr>
      <w:r>
        <w:rPr>
          <w:rFonts w:hint="eastAsia" w:ascii="仿宋" w:hAnsi="仿宋" w:eastAsia="仿宋" w:cs="仿宋"/>
          <w:color w:val="221E1F"/>
          <w:spacing w:val="-4"/>
          <w:sz w:val="32"/>
          <w:szCs w:val="32"/>
        </w:rPr>
        <w:t>2.2 计划工期</w:t>
      </w:r>
      <w:r>
        <w:rPr>
          <w:rFonts w:hint="eastAsia" w:ascii="仿宋" w:hAnsi="仿宋" w:eastAsia="仿宋" w:cs="仿宋"/>
          <w:color w:val="221E1F"/>
          <w:spacing w:val="-13"/>
          <w:sz w:val="32"/>
          <w:szCs w:val="32"/>
        </w:rPr>
        <w:t>：</w:t>
      </w:r>
      <w:r>
        <w:rPr>
          <w:rFonts w:hint="eastAsia" w:ascii="仿宋" w:hAnsi="仿宋" w:eastAsia="仿宋" w:cs="仿宋"/>
          <w:color w:val="221E1F"/>
          <w:spacing w:val="-4"/>
          <w:kern w:val="2"/>
          <w:sz w:val="32"/>
          <w:szCs w:val="32"/>
          <w:lang w:val="en-US" w:eastAsia="zh-CN" w:bidi="ar-SA"/>
        </w:rPr>
        <w:t>计划开工时间：以承包人通知为准</w:t>
      </w:r>
    </w:p>
    <w:p w14:paraId="3E0242D3">
      <w:pPr>
        <w:ind w:firstLine="2808" w:firstLineChars="900"/>
        <w:rPr>
          <w:rFonts w:hint="eastAsia" w:ascii="仿宋" w:hAnsi="仿宋" w:eastAsia="仿宋" w:cs="仿宋"/>
          <w:color w:val="0000FF"/>
          <w:spacing w:val="-4"/>
          <w:kern w:val="2"/>
          <w:sz w:val="32"/>
          <w:szCs w:val="32"/>
          <w:lang w:val="en-US" w:eastAsia="zh-CN" w:bidi="ar-SA"/>
        </w:rPr>
      </w:pPr>
      <w:r>
        <w:rPr>
          <w:rFonts w:hint="eastAsia" w:ascii="仿宋" w:hAnsi="仿宋" w:eastAsia="仿宋" w:cs="仿宋"/>
          <w:color w:val="221E1F"/>
          <w:spacing w:val="-4"/>
          <w:kern w:val="2"/>
          <w:sz w:val="32"/>
          <w:szCs w:val="32"/>
          <w:lang w:val="en-US" w:eastAsia="zh-CN" w:bidi="ar-SA"/>
        </w:rPr>
        <w:t>计划竣工时间最迟：</w:t>
      </w:r>
      <w:r>
        <w:rPr>
          <w:rFonts w:hint="eastAsia" w:ascii="仿宋" w:hAnsi="仿宋" w:eastAsia="仿宋" w:cs="仿宋"/>
          <w:color w:val="0000FF"/>
          <w:spacing w:val="-4"/>
          <w:kern w:val="2"/>
          <w:sz w:val="32"/>
          <w:szCs w:val="32"/>
          <w:lang w:val="en-US" w:eastAsia="zh-CN" w:bidi="ar-SA"/>
        </w:rPr>
        <w:t>2026年 月 日</w:t>
      </w:r>
    </w:p>
    <w:p w14:paraId="5F383288">
      <w:pPr>
        <w:ind w:firstLine="2808" w:firstLineChars="900"/>
        <w:rPr>
          <w:rFonts w:hint="default" w:ascii="仿宋" w:hAnsi="仿宋" w:eastAsia="仿宋" w:cs="仿宋"/>
          <w:color w:val="0000FF"/>
          <w:spacing w:val="-4"/>
          <w:kern w:val="2"/>
          <w:sz w:val="32"/>
          <w:szCs w:val="32"/>
          <w:lang w:val="en-US" w:eastAsia="zh-CN" w:bidi="ar-SA"/>
        </w:rPr>
      </w:pPr>
      <w:r>
        <w:rPr>
          <w:rFonts w:hint="eastAsia" w:ascii="仿宋" w:hAnsi="仿宋" w:eastAsia="仿宋" w:cs="仿宋"/>
          <w:color w:val="0000FF"/>
          <w:spacing w:val="-4"/>
          <w:kern w:val="2"/>
          <w:sz w:val="32"/>
          <w:szCs w:val="32"/>
          <w:lang w:val="en-US" w:eastAsia="zh-CN" w:bidi="ar-SA"/>
        </w:rPr>
        <w:t>工期总日历天数：140天</w:t>
      </w:r>
    </w:p>
    <w:p w14:paraId="6F39FDE1">
      <w:pPr>
        <w:pStyle w:val="8"/>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default" w:ascii="仿宋" w:hAnsi="仿宋" w:eastAsia="仿宋" w:cs="仿宋"/>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2.3 建设地点：</w:t>
      </w:r>
      <w:r>
        <w:rPr>
          <w:rFonts w:hint="eastAsia" w:ascii="仿宋" w:hAnsi="仿宋" w:eastAsia="仿宋" w:cs="仿宋"/>
          <w:color w:val="221E1F"/>
          <w:spacing w:val="-3"/>
          <w:sz w:val="32"/>
          <w:szCs w:val="32"/>
          <w:u w:val="single"/>
          <w:lang w:val="en-US" w:eastAsia="zh-CN"/>
        </w:rPr>
        <w:t xml:space="preserve">兰州新区        </w:t>
      </w:r>
    </w:p>
    <w:p w14:paraId="7490D2ED">
      <w:pPr>
        <w:pStyle w:val="8"/>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default" w:ascii="仿宋" w:hAnsi="仿宋" w:eastAsia="仿宋" w:cs="仿宋"/>
          <w:color w:val="auto"/>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2.4 质量要</w:t>
      </w:r>
      <w:r>
        <w:rPr>
          <w:rFonts w:hint="eastAsia" w:ascii="仿宋" w:hAnsi="仿宋" w:eastAsia="仿宋" w:cs="仿宋"/>
          <w:color w:val="auto"/>
          <w:spacing w:val="-2"/>
          <w:sz w:val="32"/>
          <w:szCs w:val="32"/>
        </w:rPr>
        <w:t>求：</w:t>
      </w:r>
      <w:r>
        <w:rPr>
          <w:rFonts w:hint="eastAsia" w:ascii="仿宋" w:hAnsi="仿宋" w:eastAsia="仿宋" w:cs="仿宋"/>
          <w:color w:val="auto"/>
          <w:spacing w:val="-3"/>
          <w:sz w:val="32"/>
          <w:szCs w:val="32"/>
          <w:u w:val="single"/>
          <w:lang w:val="en-US" w:eastAsia="zh-CN"/>
        </w:rPr>
        <w:t xml:space="preserve"> 工程质量符合国家及省市现行工程规范规57定的合格标准及现行工程施工质量验收标准及相关专业验收规范；</w:t>
      </w:r>
    </w:p>
    <w:p w14:paraId="13F23C4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57" w:firstLine="0"/>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2.5</w:t>
      </w:r>
      <w:r>
        <w:rPr>
          <w:rFonts w:hint="eastAsia" w:ascii="仿宋" w:hAnsi="仿宋" w:eastAsia="仿宋" w:cs="仿宋"/>
          <w:color w:val="auto"/>
          <w:spacing w:val="18"/>
          <w:sz w:val="32"/>
          <w:szCs w:val="32"/>
        </w:rPr>
        <w:t xml:space="preserve"> </w:t>
      </w:r>
      <w:r>
        <w:rPr>
          <w:rFonts w:hint="eastAsia" w:ascii="仿宋" w:hAnsi="仿宋" w:eastAsia="仿宋" w:cs="仿宋"/>
          <w:color w:val="auto"/>
          <w:spacing w:val="-4"/>
          <w:sz w:val="32"/>
          <w:szCs w:val="32"/>
        </w:rPr>
        <w:t>安全目标：</w:t>
      </w:r>
      <w:r>
        <w:rPr>
          <w:rFonts w:hint="eastAsia" w:ascii="仿宋" w:hAnsi="仿宋" w:eastAsia="仿宋" w:cs="仿宋"/>
          <w:color w:val="auto"/>
          <w:spacing w:val="-3"/>
          <w:sz w:val="32"/>
          <w:szCs w:val="32"/>
          <w:u w:val="single"/>
          <w:lang w:val="en-US" w:eastAsia="zh-CN"/>
        </w:rPr>
        <w:t xml:space="preserve"> ① 不发生生产安全人身死亡责任事故:不发生造成直接经济损失10万元及以上生产安全责任事故;不发生重伤(包括急性工业中毒)及以上生产安全责任事故;② 不发生一般及以上机械、设备责任事故;③ 不发生一般及以上火灾、爆炸责任事故;④ 不发生负主要责任的一般及以上交通事故:⑤ 不发生造成社会影响较大的职业危害事故、环境污染事故;⑥ 不发生造成损害企业形象、一般负面社会影响的不良事件。⑦ 不发生因拖欠农民工工资引发的上门讨薪及负面舆情事件。</w:t>
      </w:r>
    </w:p>
    <w:p w14:paraId="61FAEE07">
      <w:pPr>
        <w:pStyle w:val="8"/>
        <w:keepNext w:val="0"/>
        <w:keepLines w:val="0"/>
        <w:pageBreakBefore w:val="0"/>
        <w:widowControl/>
        <w:kinsoku w:val="0"/>
        <w:wordWrap/>
        <w:overflowPunct/>
        <w:topLinePunct w:val="0"/>
        <w:autoSpaceDE w:val="0"/>
        <w:autoSpaceDN w:val="0"/>
        <w:bidi w:val="0"/>
        <w:adjustRightInd w:val="0"/>
        <w:snapToGrid w:val="0"/>
        <w:spacing w:before="110" w:line="360" w:lineRule="auto"/>
        <w:ind w:left="20"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4"/>
          <w:sz w:val="32"/>
          <w:szCs w:val="32"/>
          <w:lang w:eastAsia="zh-CN"/>
        </w:rPr>
        <w:t>　　</w:t>
      </w:r>
      <w:r>
        <w:rPr>
          <w:rFonts w:hint="eastAsia" w:ascii="仿宋" w:hAnsi="仿宋" w:eastAsia="仿宋" w:cs="仿宋"/>
          <w:b/>
          <w:bCs/>
          <w:color w:val="221E1F"/>
          <w:spacing w:val="-4"/>
          <w:sz w:val="32"/>
          <w:szCs w:val="32"/>
        </w:rPr>
        <w:t>3 供应商资格要求</w:t>
      </w:r>
    </w:p>
    <w:p w14:paraId="5252A7EB">
      <w:pPr>
        <w:pStyle w:val="8"/>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3.1 供应商应依法设立且满足如下要求：</w:t>
      </w:r>
    </w:p>
    <w:p w14:paraId="17C4951F">
      <w:pPr>
        <w:pStyle w:val="8"/>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（1）资质要求：</w:t>
      </w:r>
      <w:r>
        <w:rPr>
          <w:rFonts w:hint="eastAsia" w:ascii="仿宋" w:hAnsi="仿宋" w:eastAsia="仿宋" w:cs="仿宋"/>
          <w:color w:val="221E1F"/>
          <w:spacing w:val="-3"/>
          <w:sz w:val="32"/>
          <w:szCs w:val="32"/>
          <w:u w:val="single"/>
          <w:lang w:val="en-US" w:eastAsia="zh-CN"/>
        </w:rPr>
        <w:t xml:space="preserve">  具有独立法人资格,具有独立法人资格,具备机电安装工程专业承包二级或机电工程施工总承包贰级及以上资质，持有有效的安全生产许可证。</w:t>
      </w:r>
    </w:p>
    <w:p w14:paraId="31430567">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color w:val="C00000"/>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（2）财务要求：</w:t>
      </w:r>
      <w:r>
        <w:rPr>
          <w:rFonts w:hint="eastAsia" w:ascii="仿宋" w:hAnsi="仿宋" w:eastAsia="仿宋" w:cs="仿宋"/>
          <w:color w:val="221E1F"/>
          <w:spacing w:val="-3"/>
          <w:sz w:val="32"/>
          <w:szCs w:val="32"/>
          <w:u w:val="single"/>
          <w:lang w:val="en-US" w:eastAsia="zh-CN"/>
        </w:rPr>
        <w:t>1.供应商需随报价文件提交电子税务局一般纳税人查询截图（清晰显示纳税人名称、统一社会信用代码、资格状态及查询日期）或税务局出具的一般纳税人认定文书（盖公章且在有效期内）;2.提供近一年完税证明，无税收违法情形;</w:t>
      </w:r>
    </w:p>
    <w:p w14:paraId="3CEFBB9B">
      <w:pPr>
        <w:pStyle w:val="8"/>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default" w:ascii="仿宋" w:hAnsi="仿宋" w:eastAsia="仿宋" w:cs="仿宋"/>
          <w:sz w:val="32"/>
          <w:szCs w:val="32"/>
          <w:lang w:val="en-US"/>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（3）业绩要求：</w:t>
      </w:r>
      <w:r>
        <w:rPr>
          <w:rFonts w:hint="eastAsia" w:ascii="仿宋" w:hAnsi="仿宋" w:eastAsia="仿宋" w:cs="仿宋"/>
          <w:color w:val="221E1F"/>
          <w:spacing w:val="-3"/>
          <w:sz w:val="32"/>
          <w:szCs w:val="32"/>
          <w:u w:val="single"/>
          <w:lang w:val="en-US" w:eastAsia="zh-CN"/>
        </w:rPr>
        <w:t xml:space="preserve">  /。 </w:t>
      </w:r>
    </w:p>
    <w:p w14:paraId="1ADCC86F">
      <w:pPr>
        <w:pStyle w:val="8"/>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3"/>
          <w:sz w:val="32"/>
          <w:szCs w:val="32"/>
        </w:rPr>
        <w:t>（4）信誉要求：</w:t>
      </w:r>
      <w:r>
        <w:rPr>
          <w:rFonts w:hint="eastAsia" w:ascii="仿宋" w:hAnsi="仿宋" w:eastAsia="仿宋" w:cs="仿宋"/>
          <w:color w:val="221E1F"/>
          <w:spacing w:val="-3"/>
          <w:sz w:val="32"/>
          <w:szCs w:val="32"/>
          <w:u w:val="single"/>
          <w:lang w:val="en-US" w:eastAsia="zh-CN"/>
        </w:rPr>
        <w:t xml:space="preserve">未被列入失信被执行人名单、建筑市场黑名单，近 3 年无重大行政处罚、重大合同违约及重大安全 / 质量事故记录，信用中国或中国裁判文书网截图。 </w:t>
      </w:r>
    </w:p>
    <w:p w14:paraId="0A8969B5">
      <w:pPr>
        <w:pStyle w:val="8"/>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rPr>
        <w:t>（5）承担本项目的主要人员要求：</w:t>
      </w:r>
      <w:r>
        <w:rPr>
          <w:rFonts w:hint="eastAsia" w:ascii="仿宋" w:hAnsi="仿宋" w:eastAsia="仿宋" w:cs="仿宋"/>
          <w:color w:val="221E1F"/>
          <w:spacing w:val="-3"/>
          <w:sz w:val="32"/>
          <w:szCs w:val="32"/>
          <w:u w:val="single"/>
          <w:lang w:val="en-US" w:eastAsia="zh-CN"/>
        </w:rPr>
        <w:t xml:space="preserve">   /。 </w:t>
      </w:r>
    </w:p>
    <w:p w14:paraId="60FE1ECB">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3.2 供应商不得存在下列情形之一：</w:t>
      </w:r>
    </w:p>
    <w:p w14:paraId="12680E23">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right="112"/>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（1）处于被责令停产停业、暂扣或者吊销执照、暂扣或者吊销许可证、吊销资质证</w:t>
      </w:r>
      <w:r>
        <w:rPr>
          <w:rFonts w:hint="eastAsia" w:ascii="仿宋" w:hAnsi="仿宋" w:eastAsia="仿宋" w:cs="仿宋"/>
          <w:color w:val="221E1F"/>
          <w:spacing w:val="-4"/>
          <w:sz w:val="32"/>
          <w:szCs w:val="32"/>
        </w:rPr>
        <w:t>书状态；</w:t>
      </w:r>
    </w:p>
    <w:p w14:paraId="1FB42A2B">
      <w:pPr>
        <w:pStyle w:val="8"/>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（2）进入清算程序，或被宣告破产，或其他丧失履约能力的情形；</w:t>
      </w:r>
    </w:p>
    <w:p w14:paraId="094D6AEB">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（3）其他：</w:t>
      </w:r>
      <w:r>
        <w:rPr>
          <w:rFonts w:hint="eastAsia" w:ascii="仿宋" w:hAnsi="仿宋" w:eastAsia="仿宋" w:cs="仿宋"/>
          <w:color w:val="221E1F"/>
          <w:spacing w:val="-3"/>
          <w:sz w:val="32"/>
          <w:szCs w:val="32"/>
          <w:u w:val="single"/>
          <w:lang w:val="en-US" w:eastAsia="zh-CN"/>
        </w:rPr>
        <w:t>① 项目经理或主要技术负责人存在在建项目未竣工（提供虚假无在建承诺的）；② 提供的资质、业绩、人员等证明材料存在伪造、弄虚作假情形；③ 与询价方存在利害关系可能影响询价公正性的；④ 法律法规及行业主管部门规定的其他禁止参与投标 / 响应的情形。</w:t>
      </w:r>
    </w:p>
    <w:p w14:paraId="09D50921">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default" w:ascii="仿宋" w:hAnsi="仿宋" w:eastAsia="仿宋" w:cs="仿宋"/>
          <w:sz w:val="32"/>
          <w:szCs w:val="32"/>
          <w:lang w:val="en-US" w:eastAsia="zh-CN"/>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3.3 本次采购</w:t>
      </w:r>
      <w:r>
        <w:rPr>
          <w:rFonts w:hint="eastAsia" w:ascii="仿宋" w:hAnsi="仿宋" w:eastAsia="仿宋" w:cs="仿宋"/>
          <w:color w:val="221E1F"/>
          <w:sz w:val="32"/>
          <w:szCs w:val="32"/>
          <w:u w:val="single"/>
        </w:rPr>
        <w:t xml:space="preserve"> </w:t>
      </w:r>
      <w:r>
        <w:rPr>
          <w:rFonts w:hint="eastAsia" w:ascii="仿宋" w:hAnsi="仿宋" w:eastAsia="仿宋" w:cs="仿宋"/>
          <w:color w:val="221E1F"/>
          <w:sz w:val="32"/>
          <w:szCs w:val="32"/>
          <w:u w:val="single"/>
          <w:lang w:val="en-US" w:eastAsia="zh-CN"/>
        </w:rPr>
        <w:t xml:space="preserve"> 不</w:t>
      </w:r>
      <w:r>
        <w:rPr>
          <w:rFonts w:hint="eastAsia" w:ascii="仿宋" w:hAnsi="仿宋" w:eastAsia="仿宋" w:cs="仿宋"/>
          <w:color w:val="221E1F"/>
          <w:sz w:val="32"/>
          <w:szCs w:val="32"/>
          <w:u w:val="single"/>
        </w:rPr>
        <w:t xml:space="preserve">接受 </w:t>
      </w:r>
      <w:r>
        <w:rPr>
          <w:rFonts w:hint="eastAsia" w:ascii="仿宋" w:hAnsi="仿宋" w:eastAsia="仿宋" w:cs="仿宋"/>
          <w:color w:val="221E1F"/>
          <w:spacing w:val="-1"/>
          <w:sz w:val="32"/>
          <w:szCs w:val="32"/>
          <w:u w:val="single"/>
        </w:rPr>
        <w:t xml:space="preserve"> </w:t>
      </w:r>
      <w:r>
        <w:rPr>
          <w:rFonts w:hint="eastAsia" w:ascii="仿宋" w:hAnsi="仿宋" w:eastAsia="仿宋" w:cs="仿宋"/>
          <w:color w:val="221E1F"/>
          <w:spacing w:val="-1"/>
          <w:sz w:val="32"/>
          <w:szCs w:val="32"/>
        </w:rPr>
        <w:t>（接受或不接受）联合体。</w:t>
      </w:r>
      <w:r>
        <w:rPr>
          <w:rFonts w:hint="eastAsia" w:ascii="仿宋" w:hAnsi="仿宋" w:eastAsia="仿宋" w:cs="仿宋"/>
          <w:color w:val="221E1F"/>
          <w:spacing w:val="-1"/>
          <w:sz w:val="32"/>
          <w:szCs w:val="32"/>
          <w:lang w:val="en-US" w:eastAsia="zh-CN"/>
        </w:rPr>
        <w:t xml:space="preserve">                                                                                                                                                                                                                                                                                                                                                                                                                                                                                                                     </w:t>
      </w:r>
    </w:p>
    <w:p w14:paraId="06263966">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联合体参加询比采购活动的，联合体应满足本条第3.1</w:t>
      </w:r>
      <w:r>
        <w:rPr>
          <w:rFonts w:hint="eastAsia" w:ascii="仿宋" w:hAnsi="仿宋" w:eastAsia="仿宋" w:cs="仿宋"/>
          <w:color w:val="221E1F"/>
          <w:spacing w:val="-1"/>
          <w:sz w:val="32"/>
          <w:szCs w:val="32"/>
        </w:rPr>
        <w:t>款规定的要求，且联合体各</w:t>
      </w:r>
      <w:r>
        <w:rPr>
          <w:rFonts w:hint="eastAsia" w:ascii="仿宋" w:hAnsi="仿宋" w:eastAsia="仿宋" w:cs="仿宋"/>
          <w:color w:val="221E1F"/>
          <w:sz w:val="32"/>
          <w:szCs w:val="32"/>
        </w:rPr>
        <w:t>方均不得存在本条第3.2款规定的情形。此外，联合体</w:t>
      </w:r>
      <w:r>
        <w:rPr>
          <w:rFonts w:hint="eastAsia" w:ascii="仿宋" w:hAnsi="仿宋" w:eastAsia="仿宋" w:cs="仿宋"/>
          <w:color w:val="221E1F"/>
          <w:spacing w:val="-1"/>
          <w:sz w:val="32"/>
          <w:szCs w:val="32"/>
        </w:rPr>
        <w:t>各方应分别满足如下条件：</w:t>
      </w:r>
      <w:r>
        <w:rPr>
          <w:rFonts w:hint="eastAsia" w:ascii="仿宋" w:hAnsi="仿宋" w:eastAsia="仿宋" w:cs="仿宋"/>
          <w:color w:val="221E1F"/>
          <w:spacing w:val="-3"/>
          <w:sz w:val="32"/>
          <w:szCs w:val="32"/>
          <w:u w:val="single"/>
          <w:lang w:val="en-US" w:eastAsia="zh-CN"/>
        </w:rPr>
        <w:t xml:space="preserve">  / </w:t>
      </w:r>
    </w:p>
    <w:p w14:paraId="75E2A794">
      <w:pPr>
        <w:pStyle w:val="8"/>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联合体的资格认定标准如下：</w:t>
      </w:r>
      <w:r>
        <w:rPr>
          <w:rFonts w:hint="eastAsia" w:ascii="仿宋" w:hAnsi="仿宋" w:eastAsia="仿宋" w:cs="仿宋"/>
          <w:color w:val="221E1F"/>
          <w:spacing w:val="-3"/>
          <w:sz w:val="32"/>
          <w:szCs w:val="32"/>
          <w:u w:val="single"/>
          <w:lang w:val="en-US" w:eastAsia="zh-CN"/>
        </w:rPr>
        <w:t xml:space="preserve">  /  </w:t>
      </w:r>
    </w:p>
    <w:p w14:paraId="696FB50E">
      <w:pPr>
        <w:pStyle w:val="8"/>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221E1F"/>
          <w:spacing w:val="-1"/>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联合体应递交联合体协议书，且联合体各方不得再以自己名义单独或参加其他联合体参与本询比采购项目，否则相关</w:t>
      </w:r>
      <w:r>
        <w:rPr>
          <w:rFonts w:hint="eastAsia" w:ascii="仿宋" w:hAnsi="仿宋" w:eastAsia="仿宋" w:cs="仿宋"/>
          <w:color w:val="221E1F"/>
          <w:sz w:val="32"/>
          <w:szCs w:val="32"/>
          <w:lang w:eastAsia="zh-CN"/>
        </w:rPr>
        <w:t>响应文件</w:t>
      </w:r>
      <w:r>
        <w:rPr>
          <w:rFonts w:hint="eastAsia" w:ascii="仿宋" w:hAnsi="仿宋" w:eastAsia="仿宋" w:cs="仿宋"/>
          <w:color w:val="221E1F"/>
          <w:spacing w:val="-1"/>
          <w:sz w:val="32"/>
          <w:szCs w:val="32"/>
        </w:rPr>
        <w:t>均无效。</w:t>
      </w:r>
    </w:p>
    <w:p w14:paraId="5275593E">
      <w:pPr>
        <w:pStyle w:val="8"/>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7"/>
          <w:sz w:val="32"/>
          <w:szCs w:val="32"/>
          <w:lang w:eastAsia="zh-CN"/>
        </w:rPr>
        <w:t>　　</w:t>
      </w:r>
      <w:r>
        <w:rPr>
          <w:rFonts w:hint="eastAsia" w:ascii="仿宋" w:hAnsi="仿宋" w:eastAsia="仿宋" w:cs="仿宋"/>
          <w:b/>
          <w:bCs/>
          <w:color w:val="221E1F"/>
          <w:spacing w:val="-7"/>
          <w:sz w:val="32"/>
          <w:szCs w:val="32"/>
          <w:lang w:val="en-US" w:eastAsia="zh-CN"/>
        </w:rPr>
        <w:t>4</w:t>
      </w:r>
      <w:r>
        <w:rPr>
          <w:rFonts w:hint="eastAsia" w:ascii="仿宋" w:hAnsi="仿宋" w:eastAsia="仿宋" w:cs="仿宋"/>
          <w:b/>
          <w:bCs/>
          <w:color w:val="221E1F"/>
          <w:spacing w:val="25"/>
          <w:sz w:val="32"/>
          <w:szCs w:val="32"/>
        </w:rPr>
        <w:t xml:space="preserve"> </w:t>
      </w:r>
      <w:r>
        <w:rPr>
          <w:rFonts w:hint="eastAsia" w:ascii="仿宋" w:hAnsi="仿宋" w:eastAsia="仿宋" w:cs="仿宋"/>
          <w:b/>
          <w:bCs/>
          <w:color w:val="221E1F"/>
          <w:spacing w:val="-7"/>
          <w:sz w:val="32"/>
          <w:szCs w:val="32"/>
          <w:lang w:eastAsia="zh-CN"/>
        </w:rPr>
        <w:t>响应文件</w:t>
      </w:r>
      <w:r>
        <w:rPr>
          <w:rFonts w:hint="eastAsia" w:ascii="仿宋" w:hAnsi="仿宋" w:eastAsia="仿宋" w:cs="仿宋"/>
          <w:b/>
          <w:bCs/>
          <w:color w:val="221E1F"/>
          <w:spacing w:val="-7"/>
          <w:sz w:val="32"/>
          <w:szCs w:val="32"/>
        </w:rPr>
        <w:t>的递交</w:t>
      </w:r>
    </w:p>
    <w:p w14:paraId="27AA943A">
      <w:pPr>
        <w:pStyle w:val="8"/>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sz w:val="32"/>
          <w:szCs w:val="32"/>
          <w:lang w:eastAsia="zh-CN"/>
        </w:rPr>
      </w:pPr>
      <w:r>
        <w:rPr>
          <w:rFonts w:hint="eastAsia" w:ascii="仿宋" w:hAnsi="仿宋" w:eastAsia="仿宋" w:cs="仿宋"/>
          <w:color w:val="221E1F"/>
          <w:spacing w:val="-4"/>
          <w:sz w:val="32"/>
          <w:szCs w:val="32"/>
          <w:lang w:val="en-US" w:eastAsia="zh-CN"/>
        </w:rPr>
        <w:t>4</w:t>
      </w:r>
      <w:r>
        <w:rPr>
          <w:rFonts w:hint="eastAsia" w:ascii="仿宋" w:hAnsi="仿宋" w:eastAsia="仿宋" w:cs="仿宋"/>
          <w:color w:val="221E1F"/>
          <w:spacing w:val="-4"/>
          <w:sz w:val="32"/>
          <w:szCs w:val="32"/>
        </w:rPr>
        <w:t xml:space="preserve">.1 </w:t>
      </w:r>
      <w:r>
        <w:rPr>
          <w:rFonts w:hint="eastAsia" w:ascii="仿宋" w:hAnsi="仿宋" w:eastAsia="仿宋" w:cs="仿宋"/>
          <w:color w:val="221E1F"/>
          <w:spacing w:val="-4"/>
          <w:sz w:val="32"/>
          <w:szCs w:val="32"/>
          <w:lang w:eastAsia="zh-CN"/>
        </w:rPr>
        <w:t>响应文件</w:t>
      </w:r>
      <w:r>
        <w:rPr>
          <w:rFonts w:hint="eastAsia" w:ascii="仿宋" w:hAnsi="仿宋" w:eastAsia="仿宋" w:cs="仿宋"/>
          <w:color w:val="221E1F"/>
          <w:spacing w:val="-4"/>
          <w:sz w:val="32"/>
          <w:szCs w:val="32"/>
        </w:rPr>
        <w:t>递交的截止时间</w:t>
      </w:r>
      <w:r>
        <w:rPr>
          <w:rFonts w:hint="eastAsia" w:ascii="仿宋" w:hAnsi="仿宋" w:eastAsia="仿宋" w:cs="仿宋"/>
          <w:color w:val="auto"/>
          <w:spacing w:val="-4"/>
          <w:sz w:val="32"/>
          <w:szCs w:val="32"/>
        </w:rPr>
        <w:t>：</w:t>
      </w:r>
      <w:r>
        <w:rPr>
          <w:rFonts w:hint="eastAsia" w:ascii="仿宋" w:hAnsi="仿宋" w:eastAsia="仿宋" w:cs="仿宋"/>
          <w:color w:val="auto"/>
          <w:spacing w:val="-4"/>
          <w:sz w:val="32"/>
          <w:szCs w:val="32"/>
          <w:lang w:val="en-US" w:eastAsia="zh-CN"/>
        </w:rPr>
        <w:t>2026</w:t>
      </w:r>
      <w:r>
        <w:rPr>
          <w:rFonts w:hint="eastAsia" w:ascii="仿宋" w:hAnsi="仿宋" w:eastAsia="仿宋" w:cs="仿宋"/>
          <w:color w:val="auto"/>
          <w:spacing w:val="-4"/>
          <w:sz w:val="32"/>
          <w:szCs w:val="32"/>
        </w:rPr>
        <w:t>年</w:t>
      </w:r>
      <w:r>
        <w:rPr>
          <w:rFonts w:hint="eastAsia" w:ascii="仿宋" w:hAnsi="仿宋" w:eastAsia="仿宋" w:cs="仿宋"/>
          <w:color w:val="auto"/>
          <w:spacing w:val="-4"/>
          <w:sz w:val="32"/>
          <w:szCs w:val="32"/>
          <w:lang w:val="en-US" w:eastAsia="zh-CN"/>
        </w:rPr>
        <w:t>5月15日 10:00</w:t>
      </w:r>
      <w:r>
        <w:rPr>
          <w:rFonts w:hint="eastAsia" w:ascii="仿宋" w:hAnsi="仿宋" w:eastAsia="仿宋" w:cs="仿宋"/>
          <w:color w:val="221E1F"/>
          <w:spacing w:val="-4"/>
          <w:sz w:val="32"/>
          <w:szCs w:val="32"/>
        </w:rPr>
        <w:t>。</w:t>
      </w:r>
      <w:r>
        <w:rPr>
          <w:rFonts w:hint="eastAsia" w:ascii="仿宋" w:hAnsi="仿宋" w:eastAsia="仿宋" w:cs="仿宋"/>
          <w:color w:val="221E1F"/>
          <w:spacing w:val="-4"/>
          <w:sz w:val="32"/>
          <w:szCs w:val="32"/>
          <w:lang w:eastAsia="zh-CN"/>
        </w:rPr>
        <w:t>各单位</w:t>
      </w:r>
      <w:r>
        <w:rPr>
          <w:rFonts w:hint="eastAsia" w:ascii="仿宋" w:hAnsi="仿宋" w:eastAsia="仿宋" w:cs="仿宋"/>
          <w:color w:val="221E1F"/>
          <w:spacing w:val="-4"/>
          <w:sz w:val="32"/>
          <w:szCs w:val="32"/>
        </w:rPr>
        <w:t>应在</w:t>
      </w:r>
      <w:r>
        <w:rPr>
          <w:rFonts w:hint="eastAsia" w:ascii="仿宋" w:hAnsi="仿宋" w:eastAsia="仿宋" w:cs="仿宋"/>
          <w:color w:val="221E1F"/>
          <w:spacing w:val="-4"/>
          <w:sz w:val="32"/>
          <w:szCs w:val="32"/>
          <w:lang w:eastAsia="zh-CN"/>
        </w:rPr>
        <w:t>中机国际电子采购平台上传</w:t>
      </w:r>
      <w:r>
        <w:rPr>
          <w:rFonts w:hint="eastAsia" w:ascii="仿宋" w:hAnsi="仿宋" w:eastAsia="仿宋" w:cs="仿宋"/>
          <w:color w:val="221E1F"/>
          <w:spacing w:val="-4"/>
          <w:sz w:val="32"/>
          <w:szCs w:val="32"/>
        </w:rPr>
        <w:t>电子版</w:t>
      </w:r>
      <w:r>
        <w:rPr>
          <w:rFonts w:hint="eastAsia" w:ascii="仿宋" w:hAnsi="仿宋" w:eastAsia="仿宋" w:cs="仿宋"/>
          <w:color w:val="221E1F"/>
          <w:spacing w:val="-4"/>
          <w:sz w:val="32"/>
          <w:szCs w:val="32"/>
          <w:lang w:eastAsia="zh-CN"/>
        </w:rPr>
        <w:t>响应文件或递交纸质版密封响应文件至</w:t>
      </w:r>
      <w:r>
        <w:rPr>
          <w:rFonts w:hint="eastAsia" w:ascii="仿宋" w:hAnsi="仿宋" w:eastAsia="仿宋" w:cs="仿宋"/>
          <w:color w:val="221E1F"/>
          <w:spacing w:val="-4"/>
          <w:sz w:val="32"/>
          <w:szCs w:val="32"/>
          <w:u w:val="single"/>
          <w:lang w:val="en-US" w:eastAsia="zh-CN"/>
        </w:rPr>
        <w:t xml:space="preserve"> 湖南省长沙市雨花区韶山中路18号中机国际B座23楼</w:t>
      </w:r>
      <w:r>
        <w:rPr>
          <w:rFonts w:hint="eastAsia" w:ascii="仿宋" w:hAnsi="仿宋" w:eastAsia="仿宋" w:cs="仿宋"/>
          <w:color w:val="221E1F"/>
          <w:spacing w:val="-4"/>
          <w:sz w:val="32"/>
          <w:szCs w:val="32"/>
          <w:lang w:eastAsia="zh-CN"/>
        </w:rPr>
        <w:t>。</w:t>
      </w:r>
    </w:p>
    <w:p w14:paraId="60921743">
      <w:pPr>
        <w:pStyle w:val="8"/>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b/>
          <w:bCs/>
          <w:color w:val="221E1F"/>
          <w:spacing w:val="-3"/>
          <w:sz w:val="32"/>
          <w:szCs w:val="32"/>
          <w:lang w:val="en-US" w:eastAsia="zh-CN"/>
        </w:rPr>
        <w:t>5</w:t>
      </w:r>
      <w:r>
        <w:rPr>
          <w:rFonts w:hint="eastAsia" w:ascii="仿宋" w:hAnsi="仿宋" w:eastAsia="仿宋" w:cs="仿宋"/>
          <w:b/>
          <w:bCs/>
          <w:color w:val="221E1F"/>
          <w:spacing w:val="-3"/>
          <w:sz w:val="32"/>
          <w:szCs w:val="32"/>
        </w:rPr>
        <w:t xml:space="preserve"> </w:t>
      </w:r>
      <w:r>
        <w:rPr>
          <w:rFonts w:hint="eastAsia" w:ascii="仿宋" w:hAnsi="仿宋" w:eastAsia="仿宋" w:cs="仿宋"/>
          <w:b/>
          <w:bCs/>
          <w:color w:val="221E1F"/>
          <w:spacing w:val="-3"/>
          <w:sz w:val="32"/>
          <w:szCs w:val="32"/>
          <w:lang w:eastAsia="zh-CN"/>
        </w:rPr>
        <w:t>响应文件</w:t>
      </w:r>
      <w:r>
        <w:rPr>
          <w:rFonts w:hint="eastAsia" w:ascii="仿宋" w:hAnsi="仿宋" w:eastAsia="仿宋" w:cs="仿宋"/>
          <w:b/>
          <w:bCs/>
          <w:color w:val="221E1F"/>
          <w:spacing w:val="-3"/>
          <w:sz w:val="32"/>
          <w:szCs w:val="32"/>
        </w:rPr>
        <w:t>开启时间和地点</w:t>
      </w:r>
    </w:p>
    <w:p w14:paraId="52387906">
      <w:pPr>
        <w:pStyle w:val="8"/>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firstLine="641"/>
        <w:jc w:val="both"/>
        <w:textAlignment w:val="baseline"/>
        <w:rPr>
          <w:rFonts w:hint="eastAsia"/>
        </w:rPr>
      </w:pP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开启在</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递交截止时间的同一时间进行，地点为</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递交地点。</w:t>
      </w:r>
      <w:r>
        <w:rPr>
          <w:rFonts w:hint="eastAsia" w:ascii="仿宋" w:hAnsi="仿宋" w:eastAsia="仿宋" w:cs="仿宋"/>
          <w:color w:val="221E1F"/>
          <w:sz w:val="32"/>
          <w:szCs w:val="32"/>
        </w:rPr>
        <w:t>邀请所有供应商的法定代表人（单位负责人）或其授权的代理人参</w:t>
      </w:r>
      <w:r>
        <w:rPr>
          <w:rFonts w:hint="eastAsia" w:ascii="仿宋" w:hAnsi="仿宋" w:eastAsia="仿宋" w:cs="仿宋"/>
          <w:color w:val="221E1F"/>
          <w:spacing w:val="-1"/>
          <w:sz w:val="32"/>
          <w:szCs w:val="32"/>
        </w:rPr>
        <w:t>加开启会议，供应商未派代表参加开启会议的，视为默认开启结果。</w:t>
      </w:r>
    </w:p>
    <w:p w14:paraId="4EEAB088">
      <w:pPr>
        <w:ind w:firstLine="641"/>
        <w:rPr>
          <w:rFonts w:hint="eastAsia"/>
        </w:rPr>
      </w:pPr>
    </w:p>
    <w:p w14:paraId="1AC3D64F">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221E1F"/>
          <w:spacing w:val="-10"/>
          <w:sz w:val="32"/>
          <w:szCs w:val="32"/>
        </w:rPr>
      </w:pPr>
      <w:r>
        <w:rPr>
          <w:rFonts w:hint="eastAsia" w:ascii="仿宋" w:hAnsi="仿宋" w:eastAsia="仿宋" w:cs="仿宋"/>
          <w:color w:val="221E1F"/>
          <w:spacing w:val="-14"/>
          <w:sz w:val="32"/>
          <w:szCs w:val="32"/>
          <w:lang w:eastAsia="zh-CN"/>
        </w:rPr>
        <w:t>　　</w:t>
      </w:r>
      <w:r>
        <w:rPr>
          <w:rFonts w:hint="eastAsia" w:ascii="仿宋" w:hAnsi="仿宋" w:eastAsia="仿宋" w:cs="仿宋"/>
          <w:b/>
          <w:bCs/>
          <w:color w:val="221E1F"/>
          <w:spacing w:val="-14"/>
          <w:sz w:val="32"/>
          <w:szCs w:val="32"/>
          <w:lang w:val="en-US" w:eastAsia="zh-CN"/>
        </w:rPr>
        <w:t>6</w:t>
      </w:r>
      <w:r>
        <w:rPr>
          <w:rFonts w:hint="eastAsia" w:ascii="仿宋" w:hAnsi="仿宋" w:eastAsia="仿宋" w:cs="仿宋"/>
          <w:b/>
          <w:bCs/>
          <w:color w:val="221E1F"/>
          <w:spacing w:val="12"/>
          <w:sz w:val="32"/>
          <w:szCs w:val="32"/>
        </w:rPr>
        <w:t xml:space="preserve"> </w:t>
      </w:r>
      <w:r>
        <w:rPr>
          <w:rFonts w:hint="eastAsia" w:ascii="仿宋" w:hAnsi="仿宋" w:eastAsia="仿宋" w:cs="仿宋"/>
          <w:b/>
          <w:bCs/>
          <w:color w:val="221E1F"/>
          <w:spacing w:val="11"/>
          <w:sz w:val="32"/>
          <w:szCs w:val="32"/>
        </w:rPr>
        <w:t xml:space="preserve"> </w:t>
      </w:r>
      <w:r>
        <w:rPr>
          <w:rFonts w:hint="eastAsia" w:ascii="仿宋" w:hAnsi="仿宋" w:eastAsia="仿宋" w:cs="仿宋"/>
          <w:b/>
          <w:bCs/>
          <w:color w:val="221E1F"/>
          <w:spacing w:val="-10"/>
          <w:sz w:val="32"/>
          <w:szCs w:val="32"/>
        </w:rPr>
        <w:t>联系方式</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520CD3D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采购人：</w:t>
            </w:r>
          </w:p>
        </w:tc>
        <w:tc>
          <w:tcPr>
            <w:tcW w:w="4261" w:type="dxa"/>
            <w:tcBorders>
              <w:top w:val="nil"/>
              <w:left w:val="nil"/>
              <w:bottom w:val="nil"/>
              <w:right w:val="nil"/>
            </w:tcBorders>
            <w:shd w:val="clear" w:color="auto" w:fill="FFFFFF"/>
            <w:vAlign w:val="top"/>
          </w:tcPr>
          <w:p w14:paraId="14607DEC">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中机国际工程设计研究院有限责任公司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AD8CCC4">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地址：</w:t>
            </w:r>
          </w:p>
        </w:tc>
        <w:tc>
          <w:tcPr>
            <w:tcW w:w="4261" w:type="dxa"/>
            <w:tcBorders>
              <w:top w:val="nil"/>
              <w:left w:val="nil"/>
              <w:bottom w:val="nil"/>
              <w:right w:val="nil"/>
            </w:tcBorders>
            <w:shd w:val="clear" w:color="auto" w:fill="FFFFFF"/>
            <w:vAlign w:val="top"/>
          </w:tcPr>
          <w:p w14:paraId="00DABAA8">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3DE07F9">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邮政编码：</w:t>
            </w:r>
          </w:p>
        </w:tc>
        <w:tc>
          <w:tcPr>
            <w:tcW w:w="4261" w:type="dxa"/>
            <w:tcBorders>
              <w:top w:val="nil"/>
              <w:left w:val="nil"/>
              <w:bottom w:val="nil"/>
              <w:right w:val="nil"/>
            </w:tcBorders>
            <w:shd w:val="clear" w:color="auto" w:fill="FFFFFF"/>
            <w:vAlign w:val="top"/>
          </w:tcPr>
          <w:p w14:paraId="567092EB">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572E1EC">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联系人：</w:t>
            </w:r>
          </w:p>
        </w:tc>
        <w:tc>
          <w:tcPr>
            <w:tcW w:w="4261" w:type="dxa"/>
            <w:tcBorders>
              <w:top w:val="nil"/>
              <w:left w:val="nil"/>
              <w:bottom w:val="nil"/>
              <w:right w:val="nil"/>
            </w:tcBorders>
            <w:shd w:val="clear" w:color="auto" w:fill="FFFFFF"/>
            <w:vAlign w:val="top"/>
          </w:tcPr>
          <w:p w14:paraId="65578ED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杨志文</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41DBB85">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电话：</w:t>
            </w:r>
          </w:p>
        </w:tc>
        <w:tc>
          <w:tcPr>
            <w:tcW w:w="4261" w:type="dxa"/>
            <w:tcBorders>
              <w:top w:val="nil"/>
              <w:left w:val="nil"/>
              <w:bottom w:val="nil"/>
              <w:right w:val="nil"/>
            </w:tcBorders>
            <w:shd w:val="clear" w:color="auto" w:fill="FFFFFF"/>
            <w:vAlign w:val="top"/>
          </w:tcPr>
          <w:p w14:paraId="31427DEF">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default" w:ascii="Times New Roman" w:hAnsi="Times New Roman" w:eastAsia="仿宋" w:cs="Times New Roman"/>
                <w:b w:val="0"/>
                <w:snapToGrid w:val="0"/>
                <w:color w:val="000000"/>
                <w:spacing w:val="-10"/>
                <w:kern w:val="0"/>
                <w:sz w:val="32"/>
                <w:szCs w:val="32"/>
                <w:vertAlign w:val="baseline"/>
                <w:lang w:val="en-US" w:eastAsia="en-US" w:bidi="ar-SA"/>
              </w:rPr>
              <w:t>1</w:t>
            </w:r>
            <w:r>
              <w:rPr>
                <w:rFonts w:hint="eastAsia" w:ascii="Times New Roman" w:hAnsi="Times New Roman" w:eastAsia="仿宋" w:cs="Times New Roman"/>
                <w:b w:val="0"/>
                <w:snapToGrid w:val="0"/>
                <w:color w:val="000000"/>
                <w:spacing w:val="-10"/>
                <w:kern w:val="0"/>
                <w:sz w:val="32"/>
                <w:szCs w:val="32"/>
                <w:vertAlign w:val="baseline"/>
                <w:lang w:val="en-US" w:eastAsia="zh-CN" w:bidi="ar-SA"/>
              </w:rPr>
              <w:t>9911515686</w:t>
            </w:r>
          </w:p>
        </w:tc>
      </w:tr>
      <w:tr w14:paraId="10F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600394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电子邮箱：</w:t>
            </w:r>
          </w:p>
        </w:tc>
        <w:tc>
          <w:tcPr>
            <w:tcW w:w="4261" w:type="dxa"/>
            <w:tcBorders>
              <w:top w:val="nil"/>
              <w:left w:val="nil"/>
              <w:bottom w:val="nil"/>
              <w:right w:val="nil"/>
            </w:tcBorders>
            <w:shd w:val="clear" w:color="auto" w:fill="FFFFFF"/>
            <w:vAlign w:val="top"/>
          </w:tcPr>
          <w:p w14:paraId="5B8C71BE">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Times New Roman" w:hAnsi="Times New Roman" w:eastAsia="仿宋" w:cs="Times New Roman"/>
                <w:b w:val="0"/>
                <w:snapToGrid w:val="0"/>
                <w:color w:val="000000"/>
                <w:spacing w:val="-10"/>
                <w:kern w:val="0"/>
                <w:sz w:val="32"/>
                <w:szCs w:val="32"/>
                <w:vertAlign w:val="baseline"/>
                <w:lang w:val="en-US" w:eastAsia="zh-CN" w:bidi="ar-SA"/>
              </w:rPr>
              <w:t>1044221097@qq.com</w:t>
            </w:r>
          </w:p>
        </w:tc>
      </w:tr>
    </w:tbl>
    <w:p w14:paraId="6CE53AA5">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sz w:val="32"/>
          <w:szCs w:val="32"/>
        </w:rPr>
      </w:pPr>
    </w:p>
    <w:p w14:paraId="35C14600">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2026</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年</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5</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月</w:t>
      </w:r>
      <w:r>
        <w:rPr>
          <w:rFonts w:hint="eastAsia" w:ascii="仿宋" w:hAnsi="仿宋" w:eastAsia="仿宋" w:cs="仿宋"/>
          <w:color w:val="221E1F"/>
          <w:spacing w:val="-17"/>
          <w:sz w:val="32"/>
          <w:szCs w:val="32"/>
          <w:u w:val="single"/>
          <w:lang w:val="en-US" w:eastAsia="zh-CN"/>
        </w:rPr>
        <w:t xml:space="preserve">10 </w:t>
      </w:r>
      <w:r>
        <w:rPr>
          <w:rFonts w:hint="eastAsia" w:ascii="仿宋" w:hAnsi="仿宋" w:eastAsia="仿宋" w:cs="仿宋"/>
          <w:color w:val="221E1F"/>
          <w:spacing w:val="-17"/>
          <w:sz w:val="32"/>
          <w:szCs w:val="32"/>
          <w:u w:val="single"/>
        </w:rPr>
        <w:t xml:space="preserve"> </w:t>
      </w:r>
      <w:r>
        <w:rPr>
          <w:rFonts w:hint="eastAsia" w:ascii="仿宋" w:hAnsi="仿宋" w:eastAsia="仿宋" w:cs="仿宋"/>
          <w:color w:val="221E1F"/>
          <w:spacing w:val="-17"/>
          <w:sz w:val="32"/>
          <w:szCs w:val="32"/>
        </w:rPr>
        <w:t>日</w:t>
      </w:r>
    </w:p>
    <w:p w14:paraId="599287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46F5E1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D60EBF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700B77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38A974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9035D3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B9F369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18A27E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2632"/>
        <w:gridCol w:w="4933"/>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不组织</w:t>
            </w:r>
          </w:p>
          <w:p w14:paraId="09C0AE2F">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组织，踏勘时间：</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不召开</w:t>
            </w:r>
          </w:p>
          <w:p w14:paraId="36140164">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□召开，召开时间：</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1.9（</w:t>
            </w:r>
            <w:r>
              <w:rPr>
                <w:rFonts w:hint="eastAsia" w:ascii="仿宋" w:hAnsi="仿宋" w:eastAsia="仿宋" w:cs="仿宋"/>
                <w:sz w:val="28"/>
                <w:szCs w:val="28"/>
                <w:lang w:eastAsia="zh-CN"/>
              </w:rPr>
              <w:t>工程</w:t>
            </w:r>
            <w:r>
              <w:rPr>
                <w:rFonts w:hint="eastAsia" w:ascii="仿宋" w:hAnsi="仿宋" w:eastAsia="仿宋" w:cs="仿宋"/>
                <w:sz w:val="28"/>
                <w:szCs w:val="28"/>
              </w:rPr>
              <w:t>、</w:t>
            </w:r>
            <w:r>
              <w:rPr>
                <w:rFonts w:hint="eastAsia" w:ascii="仿宋" w:hAnsi="仿宋" w:eastAsia="仿宋" w:cs="仿宋"/>
                <w:sz w:val="28"/>
                <w:szCs w:val="28"/>
                <w:lang w:eastAsia="zh-CN"/>
              </w:rPr>
              <w:t>服务</w:t>
            </w:r>
            <w:r>
              <w:rPr>
                <w:rFonts w:hint="eastAsia" w:ascii="仿宋" w:hAnsi="仿宋" w:eastAsia="仿宋" w:cs="仿宋"/>
                <w:sz w:val="28"/>
                <w:szCs w:val="28"/>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电气（一标段）专业分包</w:t>
            </w:r>
            <w:r>
              <w:rPr>
                <w:rFonts w:hint="eastAsia" w:ascii="仿宋" w:hAnsi="仿宋" w:eastAsia="仿宋" w:cs="仿宋"/>
                <w:sz w:val="28"/>
                <w:szCs w:val="28"/>
                <w:lang w:eastAsia="zh-CN"/>
              </w:rPr>
              <w:t>工程</w:t>
            </w:r>
          </w:p>
        </w:tc>
        <w:tc>
          <w:tcPr>
            <w:tcW w:w="2729" w:type="pct"/>
            <w:tcBorders>
              <w:top w:val="single" w:color="auto" w:sz="4" w:space="0"/>
              <w:left w:val="single" w:color="auto" w:sz="4" w:space="0"/>
              <w:bottom w:val="single" w:color="auto" w:sz="4" w:space="0"/>
              <w:right w:val="single" w:color="auto" w:sz="4" w:space="0"/>
            </w:tcBorders>
          </w:tcPr>
          <w:p w14:paraId="579C182A">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rPr>
              <w:t>对分包供应商的要求：</w:t>
            </w:r>
            <w:r>
              <w:rPr>
                <w:rFonts w:hint="eastAsia" w:ascii="仿宋" w:hAnsi="仿宋" w:eastAsia="仿宋" w:cs="仿宋"/>
                <w:sz w:val="28"/>
                <w:szCs w:val="28"/>
                <w:lang w:val="en-US" w:eastAsia="zh-CN"/>
              </w:rPr>
              <w:t>具有独立法人资格,具有独立法人资格,具备机电安装工程专业承包二级或机电工程施工总承包贰级及以上资质，持有有效的安全生产许可证。</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允许偏差的项数：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w:t>
            </w:r>
            <w:r>
              <w:rPr>
                <w:rFonts w:hint="eastAsia" w:ascii="仿宋" w:hAnsi="仿宋" w:eastAsia="仿宋" w:cs="仿宋"/>
                <w:sz w:val="28"/>
                <w:szCs w:val="28"/>
                <w:lang w:eastAsia="zh-CN"/>
              </w:rPr>
              <w:t>响应文件</w:t>
            </w:r>
            <w:r>
              <w:rPr>
                <w:rFonts w:hint="eastAsia" w:ascii="仿宋" w:hAnsi="仿宋" w:eastAsia="仿宋" w:cs="仿宋"/>
                <w:sz w:val="28"/>
                <w:szCs w:val="28"/>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无</w:t>
            </w:r>
          </w:p>
          <w:p w14:paraId="1687417A">
            <w:pPr>
              <w:keepNext w:val="0"/>
              <w:keepLines w:val="0"/>
              <w:pageBreakBefore w:val="0"/>
              <w:wordWrap/>
              <w:overflowPunct/>
              <w:topLinePunct w:val="0"/>
              <w:bidi w:val="0"/>
              <w:spacing w:line="360" w:lineRule="auto"/>
              <w:jc w:val="left"/>
              <w:rPr>
                <w:rFonts w:hint="default" w:ascii="仿宋" w:hAnsi="仿宋" w:eastAsia="仿宋" w:cs="仿宋"/>
                <w:sz w:val="32"/>
                <w:szCs w:val="32"/>
                <w:vertAlign w:val="baseline"/>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有，最高限价：</w:t>
            </w:r>
            <w:r>
              <w:rPr>
                <w:rFonts w:hint="eastAsia" w:ascii="仿宋" w:hAnsi="仿宋" w:eastAsia="仿宋" w:cs="仿宋"/>
                <w:sz w:val="28"/>
                <w:szCs w:val="28"/>
                <w:lang w:val="en-US" w:eastAsia="zh-CN"/>
              </w:rPr>
              <w:t>/万元；</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5A46AAA2">
            <w:pPr>
              <w:keepNext w:val="0"/>
              <w:keepLines w:val="0"/>
              <w:pageBreakBefore w:val="0"/>
              <w:wordWrap/>
              <w:overflowPunct/>
              <w:topLinePunct w:val="0"/>
              <w:bidi w:val="0"/>
              <w:spacing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若中标后，在施工过程中发现图纸已显示但清单未列明的常规工作内容（如配套的辅材、常规收边泛水件等），视为已包含在清单其他相关项目的综合单价中，不予调整；</w:t>
            </w:r>
          </w:p>
          <w:p w14:paraId="17806CAB">
            <w:pPr>
              <w:keepNext w:val="0"/>
              <w:keepLines w:val="0"/>
              <w:pageBreakBefore w:val="0"/>
              <w:wordWrap/>
              <w:overflowPunct/>
              <w:topLinePunct w:val="0"/>
              <w:bidi w:val="0"/>
              <w:spacing w:line="360" w:lineRule="auto"/>
              <w:jc w:val="center"/>
              <w:rPr>
                <w:rFonts w:hint="eastAsia" w:ascii="仿宋" w:hAnsi="仿宋" w:eastAsia="仿宋" w:cs="仿宋"/>
                <w:sz w:val="32"/>
                <w:szCs w:val="32"/>
                <w:vertAlign w:val="baseline"/>
                <w:lang w:val="en-US" w:eastAsia="zh-CN"/>
              </w:rPr>
            </w:pP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不要求递交</w:t>
            </w:r>
          </w:p>
          <w:p w14:paraId="1A4E444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要求递交</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66873D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适用。供应商应提供相关资质证书副本的复印件，以证明供应商具有承担本项目要求的资质</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不适用</w:t>
            </w:r>
            <w:r>
              <w:rPr>
                <w:rFonts w:hint="eastAsia" w:ascii="仿宋" w:hAnsi="仿宋" w:eastAsia="仿宋" w:cs="仿宋"/>
                <w:sz w:val="28"/>
                <w:szCs w:val="28"/>
                <w:lang w:eastAsia="zh-CN"/>
              </w:rPr>
              <w:t>。</w:t>
            </w:r>
          </w:p>
          <w:p w14:paraId="511DEF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适用。</w:t>
            </w:r>
            <w:r>
              <w:rPr>
                <w:rFonts w:hint="eastAsia" w:ascii="仿宋" w:hAnsi="仿宋" w:eastAsia="仿宋" w:cs="仿宋"/>
                <w:sz w:val="28"/>
                <w:szCs w:val="28"/>
                <w:lang w:val="en-US" w:eastAsia="zh-CN"/>
              </w:rPr>
              <w:t>1.供应商需随报价文件提交电子税务局一般纳税人查询截图（清晰显示纳税人名称、统一社会信用代码、资格状态及查询日期）或税务局出具的一般纳税人认定文书（盖公章且在有效期内）;2.</w:t>
            </w:r>
            <w:r>
              <w:rPr>
                <w:rFonts w:hint="eastAsia" w:ascii="仿宋" w:hAnsi="仿宋" w:eastAsia="仿宋" w:cs="仿宋"/>
                <w:sz w:val="28"/>
                <w:szCs w:val="28"/>
              </w:rPr>
              <w:t>提供近一年完税证明，无税收违法情形</w:t>
            </w:r>
            <w:r>
              <w:rPr>
                <w:rFonts w:hint="eastAsia" w:ascii="仿宋" w:hAnsi="仿宋" w:eastAsia="仿宋" w:cs="仿宋"/>
                <w:sz w:val="28"/>
                <w:szCs w:val="28"/>
                <w:lang w:eastAsia="zh-CN"/>
              </w:rPr>
              <w:t>。</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423E9C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适用。供应商应提供近年的类似项目情况表（格式见第六章“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格式”资格审查资料（三）近年的类似项目情况表），以证明供应商具有承担本项目要求的业绩。近年是指：</w:t>
            </w:r>
            <w:r>
              <w:rPr>
                <w:rFonts w:hint="eastAsia" w:ascii="仿宋" w:hAnsi="仿宋" w:eastAsia="仿宋" w:cs="仿宋"/>
                <w:sz w:val="28"/>
                <w:szCs w:val="28"/>
                <w:lang w:val="en-US" w:eastAsia="zh-CN"/>
              </w:rPr>
              <w:t xml:space="preserve">2023 </w:t>
            </w:r>
            <w:r>
              <w:rPr>
                <w:rFonts w:hint="eastAsia" w:ascii="仿宋" w:hAnsi="仿宋" w:eastAsia="仿宋" w:cs="仿宋"/>
                <w:sz w:val="28"/>
                <w:szCs w:val="28"/>
              </w:rPr>
              <w:t xml:space="preserve">至 </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p>
          <w:p w14:paraId="4D0300A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388364E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6BCB714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适用。项目管理团队成员（</w:t>
            </w:r>
            <w:r>
              <w:rPr>
                <w:rFonts w:hint="eastAsia" w:ascii="仿宋" w:hAnsi="仿宋" w:eastAsia="仿宋" w:cs="仿宋"/>
                <w:sz w:val="28"/>
                <w:szCs w:val="28"/>
                <w:lang w:eastAsia="zh-CN"/>
              </w:rPr>
              <w:t>供应商</w:t>
            </w:r>
            <w:r>
              <w:rPr>
                <w:rFonts w:hint="eastAsia" w:ascii="仿宋" w:hAnsi="仿宋" w:eastAsia="仿宋" w:cs="仿宋"/>
                <w:sz w:val="28"/>
                <w:szCs w:val="28"/>
              </w:rPr>
              <w:t>在</w:t>
            </w:r>
            <w:r>
              <w:rPr>
                <w:rFonts w:hint="eastAsia" w:ascii="仿宋" w:hAnsi="仿宋" w:eastAsia="仿宋" w:cs="仿宋"/>
                <w:sz w:val="28"/>
                <w:szCs w:val="28"/>
                <w:lang w:val="en-US" w:eastAsia="zh-CN"/>
              </w:rPr>
              <w:t>报价</w:t>
            </w:r>
            <w:r>
              <w:rPr>
                <w:rFonts w:hint="eastAsia" w:ascii="仿宋" w:hAnsi="仿宋" w:eastAsia="仿宋" w:cs="仿宋"/>
                <w:sz w:val="28"/>
                <w:szCs w:val="28"/>
              </w:rPr>
              <w:t>时无须提供相关岗位人员资料，但</w:t>
            </w:r>
            <w:r>
              <w:rPr>
                <w:rFonts w:hint="eastAsia" w:ascii="仿宋" w:hAnsi="仿宋" w:eastAsia="仿宋" w:cs="仿宋"/>
                <w:sz w:val="28"/>
                <w:szCs w:val="28"/>
                <w:lang w:val="en-US" w:eastAsia="zh-CN"/>
              </w:rPr>
              <w:t>报价</w:t>
            </w:r>
            <w:r>
              <w:rPr>
                <w:rFonts w:hint="eastAsia" w:ascii="仿宋" w:hAnsi="仿宋" w:eastAsia="仿宋" w:cs="仿宋"/>
                <w:sz w:val="28"/>
                <w:szCs w:val="28"/>
              </w:rPr>
              <w:t>文件项目管理团队成员配备表中应满足下列要求：施工项目经理、技术负责人、施工员、专职安全员、质量员、资料员分别至少1人，其中安全员持有有效的安全生产考核合格证书）。</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供应商不存在第一章</w:t>
            </w:r>
            <w:r>
              <w:rPr>
                <w:rFonts w:hint="eastAsia" w:ascii="仿宋" w:hAnsi="仿宋" w:eastAsia="仿宋" w:cs="仿宋"/>
                <w:sz w:val="28"/>
                <w:szCs w:val="28"/>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6DD0D1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□适用。供应商应按照采购文件提供的格式（格式见第六章“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2E5779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响应文件正本</w:t>
            </w:r>
            <w:r>
              <w:rPr>
                <w:rFonts w:hint="eastAsia" w:ascii="仿宋" w:hAnsi="仿宋" w:eastAsia="仿宋" w:cs="仿宋"/>
                <w:sz w:val="28"/>
                <w:szCs w:val="28"/>
                <w:lang w:val="en-US" w:eastAsia="zh-CN"/>
              </w:rPr>
              <w:t>1份</w:t>
            </w:r>
            <w:r>
              <w:rPr>
                <w:rFonts w:hint="eastAsia" w:ascii="仿宋" w:hAnsi="仿宋" w:eastAsia="仿宋" w:cs="仿宋"/>
                <w:sz w:val="28"/>
                <w:szCs w:val="28"/>
              </w:rPr>
              <w:t>是否要求提供电子版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1D1374E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□不要求</w:t>
            </w:r>
          </w:p>
          <w:p w14:paraId="2EB4AD3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的形式：</w:t>
            </w:r>
            <w:r>
              <w:rPr>
                <w:rFonts w:hint="eastAsia" w:ascii="仿宋" w:hAnsi="仿宋" w:eastAsia="仿宋" w:cs="仿宋"/>
                <w:sz w:val="28"/>
                <w:szCs w:val="28"/>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4.2.</w:t>
            </w:r>
            <w:r>
              <w:rPr>
                <w:rFonts w:hint="eastAsia" w:ascii="仿宋" w:hAnsi="仿宋" w:eastAsia="仿宋" w:cs="仿宋"/>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15</w:t>
            </w:r>
            <w:bookmarkStart w:id="860" w:name="_GoBack"/>
            <w:bookmarkEnd w:id="860"/>
            <w:r>
              <w:rPr>
                <w:rFonts w:hint="eastAsia" w:ascii="仿宋" w:hAnsi="仿宋" w:eastAsia="仿宋" w:cs="仿宋"/>
                <w:sz w:val="28"/>
                <w:szCs w:val="28"/>
              </w:rPr>
              <w:t>日 1</w:t>
            </w:r>
            <w:r>
              <w:rPr>
                <w:rFonts w:hint="eastAsia" w:ascii="仿宋" w:hAnsi="仿宋" w:eastAsia="仿宋" w:cs="仿宋"/>
                <w:sz w:val="28"/>
                <w:szCs w:val="28"/>
                <w:lang w:val="en-US" w:eastAsia="zh-CN"/>
              </w:rPr>
              <w:t>0</w:t>
            </w:r>
            <w:r>
              <w:rPr>
                <w:rFonts w:hint="eastAsia" w:ascii="仿宋" w:hAnsi="仿宋" w:eastAsia="仿宋" w:cs="仿宋"/>
                <w:sz w:val="28"/>
                <w:szCs w:val="28"/>
              </w:rPr>
              <w:t>:00；</w:t>
            </w:r>
          </w:p>
          <w:p w14:paraId="71EC1224">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的地点：</w:t>
            </w:r>
            <w:r>
              <w:rPr>
                <w:rFonts w:hint="eastAsia" w:ascii="仿宋" w:hAnsi="仿宋" w:eastAsia="仿宋" w:cs="仿宋"/>
                <w:sz w:val="28"/>
                <w:szCs w:val="28"/>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自采购人收到供应商的书面通知之日起</w:t>
            </w:r>
            <w:r>
              <w:rPr>
                <w:rFonts w:hint="eastAsia" w:ascii="仿宋" w:hAnsi="仿宋" w:eastAsia="仿宋" w:cs="仿宋"/>
                <w:sz w:val="28"/>
                <w:szCs w:val="28"/>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预成交结果公示</w:t>
            </w:r>
          </w:p>
        </w:tc>
        <w:tc>
          <w:tcPr>
            <w:tcW w:w="2729" w:type="pct"/>
            <w:tcBorders>
              <w:top w:val="single" w:color="auto" w:sz="4" w:space="0"/>
              <w:left w:val="single" w:color="auto" w:sz="4" w:space="0"/>
              <w:bottom w:val="single" w:color="auto" w:sz="4" w:space="0"/>
              <w:right w:val="single" w:color="auto" w:sz="4" w:space="0"/>
            </w:tcBorders>
          </w:tcPr>
          <w:p w14:paraId="3B2F759C">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公示媒介：</w:t>
            </w:r>
            <w:r>
              <w:rPr>
                <w:rFonts w:hint="eastAsia" w:ascii="仿宋" w:hAnsi="仿宋" w:eastAsia="仿宋" w:cs="仿宋"/>
                <w:color w:val="auto"/>
                <w:sz w:val="28"/>
                <w:szCs w:val="28"/>
                <w:lang w:val="en-US" w:eastAsia="zh-CN"/>
              </w:rPr>
              <w:t>中机国际电子采购平台http://ep.cmie.cn</w:t>
            </w:r>
          </w:p>
          <w:p w14:paraId="505E02DF">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1天</w:t>
            </w:r>
          </w:p>
          <w:p w14:paraId="61E7CFC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发布成交公告</w:t>
            </w:r>
          </w:p>
        </w:tc>
        <w:tc>
          <w:tcPr>
            <w:tcW w:w="2729" w:type="pct"/>
            <w:tcBorders>
              <w:top w:val="single" w:color="auto" w:sz="4" w:space="0"/>
              <w:left w:val="single" w:color="auto" w:sz="4" w:space="0"/>
              <w:bottom w:val="single" w:color="auto" w:sz="4" w:space="0"/>
              <w:right w:val="single" w:color="auto" w:sz="4" w:space="0"/>
            </w:tcBorders>
          </w:tcPr>
          <w:p w14:paraId="6F64D16F">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公告媒介：</w:t>
            </w:r>
            <w:r>
              <w:rPr>
                <w:rFonts w:hint="eastAsia" w:ascii="仿宋" w:hAnsi="仿宋" w:eastAsia="仿宋" w:cs="仿宋"/>
                <w:color w:val="auto"/>
                <w:sz w:val="28"/>
                <w:szCs w:val="28"/>
                <w:lang w:val="en-US" w:eastAsia="zh-CN"/>
              </w:rPr>
              <w:t>中机国际电子采购平台http://ep.cmie.cn</w:t>
            </w:r>
          </w:p>
          <w:p w14:paraId="63F7B94B">
            <w:pPr>
              <w:keepNext w:val="0"/>
              <w:keepLines w:val="0"/>
              <w:pageBreakBefore w:val="0"/>
              <w:wordWrap/>
              <w:overflowPunct/>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1天</w:t>
            </w:r>
          </w:p>
          <w:p w14:paraId="2EB83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（注：国有资金占控股或主导地位的采购项目，成交公告应在中国招标投标公共服务平台发布，或者通过省级电子招标投标公共服务平台在中国招标投标公共服务平台发布。）</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不要求递交</w:t>
            </w:r>
          </w:p>
          <w:p w14:paraId="02ABB8BA">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要求递交</w:t>
            </w:r>
          </w:p>
          <w:p w14:paraId="013ADFD7">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w:t>
            </w:r>
            <w:r>
              <w:rPr>
                <w:rFonts w:hint="eastAsia" w:ascii="仿宋" w:hAnsi="仿宋" w:eastAsia="仿宋" w:cs="仿宋"/>
                <w:sz w:val="28"/>
                <w:szCs w:val="28"/>
                <w:lang w:val="en-US" w:eastAsia="zh-CN"/>
              </w:rPr>
              <w:t>函</w:t>
            </w:r>
            <w:r>
              <w:rPr>
                <w:rFonts w:hint="default" w:ascii="仿宋" w:hAnsi="仿宋" w:eastAsia="仿宋" w:cs="仿宋"/>
                <w:sz w:val="28"/>
                <w:szCs w:val="28"/>
                <w:lang w:val="en-US"/>
              </w:rPr>
              <w:t>：</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王莹莹</w:t>
            </w:r>
          </w:p>
          <w:p w14:paraId="38C3D77A">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13984625851</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eastAsia="zh-CN"/>
              </w:rPr>
              <w:t>本询比文件及技术规格书所描述的功能、性能指标、设备配置、安装要求、验收标准等，均为供方履约范围。供方应保证所提供系统满足项目整体使用要求，凡为实现上述目标所需的工作、设备、材料、软件、服务等，即使未在技术规格书中逐项列出，也视为已包含在报价范围内</w:t>
            </w:r>
          </w:p>
        </w:tc>
      </w:tr>
    </w:tbl>
    <w:p w14:paraId="570B55DF">
      <w:pPr>
        <w:rPr>
          <w:rFonts w:hint="eastAsia" w:ascii="仿宋" w:hAnsi="仿宋" w:eastAsia="仿宋" w:cs="仿宋"/>
          <w:sz w:val="32"/>
          <w:szCs w:val="32"/>
        </w:rPr>
      </w:pPr>
    </w:p>
    <w:p w14:paraId="39043A6A">
      <w:pPr>
        <w:rPr>
          <w:rFonts w:hint="eastAsia" w:ascii="仿宋" w:hAnsi="仿宋" w:eastAsia="仿宋" w:cs="仿宋"/>
          <w:sz w:val="32"/>
          <w:szCs w:val="32"/>
        </w:rPr>
      </w:pPr>
    </w:p>
    <w:p w14:paraId="6FAE356F">
      <w:pPr>
        <w:rPr>
          <w:rFonts w:hint="eastAsia" w:ascii="仿宋" w:hAnsi="仿宋" w:eastAsia="仿宋" w:cs="仿宋"/>
          <w:sz w:val="32"/>
          <w:szCs w:val="32"/>
        </w:rPr>
      </w:pPr>
    </w:p>
    <w:p w14:paraId="3B3B1635">
      <w:pPr>
        <w:rPr>
          <w:rFonts w:hint="eastAsia" w:ascii="仿宋" w:hAnsi="仿宋" w:eastAsia="仿宋" w:cs="仿宋"/>
          <w:sz w:val="32"/>
          <w:szCs w:val="32"/>
        </w:rPr>
      </w:pPr>
    </w:p>
    <w:p w14:paraId="460ABAD1">
      <w:pPr>
        <w:rPr>
          <w:rFonts w:hint="eastAsia" w:ascii="仿宋" w:hAnsi="仿宋" w:eastAsia="仿宋" w:cs="仿宋"/>
          <w:sz w:val="32"/>
          <w:szCs w:val="32"/>
        </w:rPr>
      </w:pPr>
    </w:p>
    <w:p w14:paraId="7879856B">
      <w:pPr>
        <w:rPr>
          <w:rFonts w:hint="eastAsia" w:ascii="仿宋" w:hAnsi="仿宋" w:eastAsia="仿宋" w:cs="仿宋"/>
          <w:sz w:val="32"/>
          <w:szCs w:val="32"/>
        </w:rPr>
      </w:pPr>
    </w:p>
    <w:p w14:paraId="4C477D69">
      <w:pPr>
        <w:rPr>
          <w:rFonts w:hint="eastAsia" w:ascii="仿宋" w:hAnsi="仿宋" w:eastAsia="仿宋" w:cs="仿宋"/>
          <w:sz w:val="32"/>
          <w:szCs w:val="32"/>
        </w:rPr>
      </w:pPr>
    </w:p>
    <w:p w14:paraId="02B49132">
      <w:pPr>
        <w:rPr>
          <w:rFonts w:hint="eastAsia" w:ascii="仿宋" w:hAnsi="仿宋" w:eastAsia="仿宋" w:cs="仿宋"/>
          <w:sz w:val="32"/>
          <w:szCs w:val="32"/>
        </w:rPr>
      </w:pPr>
    </w:p>
    <w:p w14:paraId="6E373BCD">
      <w:pPr>
        <w:rPr>
          <w:rFonts w:hint="eastAsia" w:ascii="仿宋" w:hAnsi="仿宋" w:eastAsia="仿宋" w:cs="仿宋"/>
          <w:sz w:val="32"/>
          <w:szCs w:val="32"/>
        </w:rPr>
      </w:pPr>
    </w:p>
    <w:p w14:paraId="0F1BAA7B">
      <w:pPr>
        <w:rPr>
          <w:rFonts w:hint="eastAsia" w:ascii="仿宋" w:hAnsi="仿宋" w:eastAsia="仿宋" w:cs="仿宋"/>
          <w:sz w:val="32"/>
          <w:szCs w:val="32"/>
        </w:rPr>
      </w:pPr>
    </w:p>
    <w:p w14:paraId="4CF53817">
      <w:pPr>
        <w:rPr>
          <w:rFonts w:hint="eastAsia" w:ascii="仿宋" w:hAnsi="仿宋" w:eastAsia="仿宋" w:cs="仿宋"/>
          <w:sz w:val="32"/>
          <w:szCs w:val="32"/>
        </w:rPr>
      </w:pPr>
    </w:p>
    <w:p w14:paraId="6701F0CA">
      <w:pPr>
        <w:rPr>
          <w:rFonts w:hint="eastAsia" w:ascii="仿宋" w:hAnsi="仿宋" w:eastAsia="仿宋" w:cs="仿宋"/>
          <w:sz w:val="32"/>
          <w:szCs w:val="32"/>
        </w:rPr>
      </w:pPr>
    </w:p>
    <w:p w14:paraId="4E47EEA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0614058">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76EAEDC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C52B18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209CD9F">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48ADAD3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3AF3D24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0CBFA9E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0495F825">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074E017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3E05591F">
      <w:pPr>
        <w:rPr>
          <w:rFonts w:hint="eastAsia" w:ascii="仿宋" w:hAnsi="仿宋" w:eastAsia="仿宋" w:cs="仿宋"/>
          <w:sz w:val="32"/>
          <w:szCs w:val="32"/>
        </w:rPr>
      </w:pPr>
      <w:r>
        <w:rPr>
          <w:rFonts w:hint="eastAsia" w:ascii="仿宋" w:hAnsi="仿宋" w:eastAsia="仿宋" w:cs="仿宋"/>
          <w:sz w:val="32"/>
          <w:szCs w:val="32"/>
        </w:rPr>
        <w:br w:type="page"/>
      </w:r>
    </w:p>
    <w:p w14:paraId="7E80BE9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总则</w:t>
      </w:r>
    </w:p>
    <w:p w14:paraId="636931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本项目采用中国招标投标协会发布的《非招标方式采购代理服务规范》（T/CTB</w:t>
      </w:r>
      <w:r>
        <w:rPr>
          <w:rFonts w:hint="eastAsia" w:ascii="仿宋" w:hAnsi="仿宋" w:eastAsia="仿宋" w:cs="仿宋"/>
          <w:sz w:val="32"/>
          <w:szCs w:val="32"/>
          <w:lang w:eastAsia="zh-CN"/>
        </w:rPr>
        <w:t>工程</w:t>
      </w:r>
      <w:r>
        <w:rPr>
          <w:rFonts w:hint="eastAsia" w:ascii="仿宋" w:hAnsi="仿宋" w:eastAsia="仿宋" w:cs="仿宋"/>
          <w:sz w:val="32"/>
          <w:szCs w:val="32"/>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询比采购是指采购人组建评审小组对响应采购的供应商按照采购文件规定的规则和时间一次递交的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1.4 保密</w:t>
      </w:r>
    </w:p>
    <w:p w14:paraId="6C39F4E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参加询比采购活动的各方应对采购文件和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采购人在踏勘现场中介绍的工程场地和相关的周边环境情况，仅作为供应商编制</w:t>
      </w:r>
      <w:r>
        <w:rPr>
          <w:rFonts w:hint="eastAsia" w:ascii="仿宋" w:hAnsi="仿宋" w:eastAsia="仿宋" w:cs="仿宋"/>
          <w:sz w:val="32"/>
          <w:szCs w:val="32"/>
          <w:lang w:eastAsia="zh-CN"/>
        </w:rPr>
        <w:t>响应文件</w:t>
      </w:r>
      <w:r>
        <w:rPr>
          <w:rFonts w:hint="eastAsia" w:ascii="仿宋" w:hAnsi="仿宋" w:eastAsia="仿宋" w:cs="仿宋"/>
          <w:sz w:val="32"/>
          <w:szCs w:val="32"/>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分包（</w:t>
      </w:r>
      <w:r>
        <w:rPr>
          <w:rFonts w:hint="eastAsia" w:ascii="仿宋" w:hAnsi="仿宋" w:eastAsia="仿宋" w:cs="仿宋"/>
          <w:sz w:val="32"/>
          <w:szCs w:val="32"/>
          <w:lang w:eastAsia="zh-CN"/>
        </w:rPr>
        <w:t>工程、服务</w:t>
      </w:r>
      <w:r>
        <w:rPr>
          <w:rFonts w:hint="eastAsia" w:ascii="仿宋" w:hAnsi="仿宋" w:eastAsia="仿宋" w:cs="仿宋"/>
          <w:sz w:val="32"/>
          <w:szCs w:val="32"/>
        </w:rPr>
        <w:t>）</w:t>
      </w:r>
    </w:p>
    <w:p w14:paraId="5FC93B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供应商拟在成交后将成交项目的部分工作进行分包的，应符合供应商须知前附表的规定，并在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主要材料和关键部件外购（</w:t>
      </w:r>
      <w:r>
        <w:rPr>
          <w:rFonts w:hint="eastAsia" w:ascii="仿宋" w:hAnsi="仿宋" w:eastAsia="仿宋" w:cs="仿宋"/>
          <w:sz w:val="32"/>
          <w:szCs w:val="32"/>
          <w:lang w:eastAsia="zh-CN"/>
        </w:rPr>
        <w:t>物资</w:t>
      </w:r>
      <w:r>
        <w:rPr>
          <w:rFonts w:hint="eastAsia" w:ascii="仿宋" w:hAnsi="仿宋" w:eastAsia="仿宋" w:cs="仿宋"/>
          <w:sz w:val="32"/>
          <w:szCs w:val="32"/>
        </w:rPr>
        <w:t>）</w:t>
      </w:r>
    </w:p>
    <w:p w14:paraId="086848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供应商拟对主要材料和关键部件进行外购的，应符合第五章“采购需求”中提出的或允许外购的相关规定，并在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采购需求和合同条款及格式中的关键条款均以“*”符号标记。</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应当对采购需求和合同条款及格式中的关键条款作出满足性或更有利于采购人的响应，否则，供应商的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供应商须知前附表规定了对非关键条款允许偏差的范围和可以偏差的项数的，如</w:t>
      </w:r>
      <w:r>
        <w:rPr>
          <w:rFonts w:hint="eastAsia" w:ascii="仿宋" w:hAnsi="仿宋" w:eastAsia="仿宋" w:cs="仿宋"/>
          <w:sz w:val="32"/>
          <w:szCs w:val="32"/>
          <w:lang w:eastAsia="zh-CN"/>
        </w:rPr>
        <w:t>响应文件</w:t>
      </w:r>
      <w:r>
        <w:rPr>
          <w:rFonts w:hint="eastAsia" w:ascii="仿宋" w:hAnsi="仿宋" w:eastAsia="仿宋" w:cs="仿宋"/>
          <w:sz w:val="32"/>
          <w:szCs w:val="32"/>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w:t>
      </w:r>
      <w:r>
        <w:rPr>
          <w:rFonts w:hint="eastAsia" w:ascii="仿宋" w:hAnsi="仿宋" w:eastAsia="仿宋" w:cs="仿宋"/>
          <w:sz w:val="32"/>
          <w:szCs w:val="32"/>
          <w:lang w:eastAsia="zh-CN"/>
        </w:rPr>
        <w:t>响应文件</w:t>
      </w:r>
      <w:r>
        <w:rPr>
          <w:rFonts w:hint="eastAsia" w:ascii="仿宋" w:hAnsi="仿宋" w:eastAsia="仿宋" w:cs="仿宋"/>
          <w:sz w:val="32"/>
          <w:szCs w:val="32"/>
        </w:rPr>
        <w:t>格式；</w:t>
      </w:r>
    </w:p>
    <w:p w14:paraId="07C06E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3 </w:t>
      </w:r>
      <w:r>
        <w:rPr>
          <w:rFonts w:hint="eastAsia" w:ascii="仿宋" w:hAnsi="仿宋" w:eastAsia="仿宋" w:cs="仿宋"/>
          <w:b/>
          <w:bCs/>
          <w:sz w:val="32"/>
          <w:szCs w:val="32"/>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3.1 </w:t>
      </w:r>
      <w:r>
        <w:rPr>
          <w:rFonts w:hint="eastAsia" w:ascii="仿宋" w:hAnsi="仿宋" w:eastAsia="仿宋" w:cs="仿宋"/>
          <w:sz w:val="32"/>
          <w:szCs w:val="32"/>
          <w:lang w:eastAsia="zh-CN"/>
        </w:rPr>
        <w:t>响应文件</w:t>
      </w:r>
      <w:r>
        <w:rPr>
          <w:rFonts w:hint="eastAsia" w:ascii="仿宋" w:hAnsi="仿宋" w:eastAsia="仿宋" w:cs="仿宋"/>
          <w:sz w:val="32"/>
          <w:szCs w:val="32"/>
        </w:rPr>
        <w:t>的组成</w:t>
      </w:r>
    </w:p>
    <w:p w14:paraId="7AFC7C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0E13FE4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3F2EB1E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供应商在评审过程中作出的符合采购文件要求的澄清、说明和补正，构成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供应商的法定代表人（单位负责人）亲自签署</w:t>
      </w:r>
      <w:r>
        <w:rPr>
          <w:rFonts w:hint="eastAsia" w:ascii="仿宋" w:hAnsi="仿宋" w:eastAsia="仿宋" w:cs="仿宋"/>
          <w:sz w:val="32"/>
          <w:szCs w:val="32"/>
          <w:lang w:eastAsia="zh-CN"/>
        </w:rPr>
        <w:t>响应文件</w:t>
      </w:r>
      <w:r>
        <w:rPr>
          <w:rFonts w:hint="eastAsia" w:ascii="仿宋" w:hAnsi="仿宋" w:eastAsia="仿宋" w:cs="仿宋"/>
          <w:sz w:val="32"/>
          <w:szCs w:val="32"/>
        </w:rPr>
        <w:t>、亲自参加询比的，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不包括第3.1.1（2）目所指的授权委托书。第一章“询比采购公告/询比采购邀请书”规定不接受联合体的，或供应商没有组成联合体的，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不包括第3.1.1（3）目所指的联合体协议书。供应商须知前附表未要求供应商递交响应保证金的，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 报价</w:t>
      </w:r>
    </w:p>
    <w:p w14:paraId="1B1C07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供应商应按采购文件提供的格式（见第六章“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3.3 </w:t>
      </w:r>
      <w:r>
        <w:rPr>
          <w:rFonts w:hint="eastAsia" w:ascii="仿宋" w:hAnsi="仿宋" w:eastAsia="仿宋" w:cs="仿宋"/>
          <w:sz w:val="32"/>
          <w:szCs w:val="32"/>
          <w:lang w:eastAsia="zh-CN"/>
        </w:rPr>
        <w:t>响应文件</w:t>
      </w:r>
      <w:r>
        <w:rPr>
          <w:rFonts w:hint="eastAsia" w:ascii="仿宋" w:hAnsi="仿宋" w:eastAsia="仿宋" w:cs="仿宋"/>
          <w:sz w:val="32"/>
          <w:szCs w:val="32"/>
        </w:rPr>
        <w:t>有效期</w:t>
      </w:r>
    </w:p>
    <w:p w14:paraId="44B7E3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有效期应为90日，从采购文件规定的递交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出现特殊情况需要延长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有效期的，采购人以书面形式通知所有供应商延长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有效期，供应商应予以书面答复。同意延长的，应相应延长其响应保证金的有效期，但不得修改其</w:t>
      </w:r>
      <w:r>
        <w:rPr>
          <w:rFonts w:hint="eastAsia" w:ascii="仿宋" w:hAnsi="仿宋" w:eastAsia="仿宋" w:cs="仿宋"/>
          <w:sz w:val="32"/>
          <w:szCs w:val="32"/>
          <w:lang w:eastAsia="zh-CN"/>
        </w:rPr>
        <w:t>响应文件</w:t>
      </w:r>
      <w:r>
        <w:rPr>
          <w:rFonts w:hint="eastAsia" w:ascii="仿宋" w:hAnsi="仿宋" w:eastAsia="仿宋" w:cs="仿宋"/>
          <w:sz w:val="32"/>
          <w:szCs w:val="32"/>
        </w:rPr>
        <w:t>；供应商拒绝延长的，其</w:t>
      </w:r>
      <w:r>
        <w:rPr>
          <w:rFonts w:hint="eastAsia" w:ascii="仿宋" w:hAnsi="仿宋" w:eastAsia="仿宋" w:cs="仿宋"/>
          <w:sz w:val="32"/>
          <w:szCs w:val="32"/>
          <w:lang w:eastAsia="zh-CN"/>
        </w:rPr>
        <w:t>响应文件</w:t>
      </w:r>
      <w:r>
        <w:rPr>
          <w:rFonts w:hint="eastAsia" w:ascii="仿宋" w:hAnsi="仿宋" w:eastAsia="仿宋" w:cs="仿宋"/>
          <w:sz w:val="32"/>
          <w:szCs w:val="32"/>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供应商须知前附表规定要求递交响应保证金的，供应商在递交</w:t>
      </w:r>
      <w:r>
        <w:rPr>
          <w:rFonts w:hint="eastAsia" w:ascii="仿宋" w:hAnsi="仿宋" w:eastAsia="仿宋" w:cs="仿宋"/>
          <w:sz w:val="32"/>
          <w:szCs w:val="32"/>
          <w:lang w:eastAsia="zh-CN"/>
        </w:rPr>
        <w:t>响应文件</w:t>
      </w:r>
      <w:r>
        <w:rPr>
          <w:rFonts w:hint="eastAsia" w:ascii="仿宋" w:hAnsi="仿宋" w:eastAsia="仿宋" w:cs="仿宋"/>
          <w:sz w:val="32"/>
          <w:szCs w:val="32"/>
        </w:rPr>
        <w:t>的同时，应按供应商须知前附表规定的金额、形式和采购文件提供的格式（见第六章“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格式”四、响应保证金）递交响应保证金，并作为其</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的组成部分。供应商不按要求递交响应保证金的，其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36E50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（2）成交供应商在收到成交通知书后，无正当理由不与采购人订立合同，在签订合同时向采购人提出附加条件，或者不按照采购文件要求递交履约保证金；</w:t>
      </w:r>
    </w:p>
    <w:p w14:paraId="243CE5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供应商只能提出唯一的响应方案。供应商在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中提出多个响应方案的，其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对采购文件的全部偏差，均应在</w:t>
      </w:r>
      <w:r>
        <w:rPr>
          <w:rFonts w:hint="eastAsia" w:ascii="仿宋" w:hAnsi="仿宋" w:eastAsia="仿宋" w:cs="仿宋"/>
          <w:sz w:val="32"/>
          <w:szCs w:val="32"/>
          <w:lang w:eastAsia="zh-CN"/>
        </w:rPr>
        <w:t>响应文件</w:t>
      </w:r>
      <w:r>
        <w:rPr>
          <w:rFonts w:hint="eastAsia" w:ascii="仿宋" w:hAnsi="仿宋" w:eastAsia="仿宋" w:cs="仿宋"/>
          <w:sz w:val="32"/>
          <w:szCs w:val="32"/>
        </w:rPr>
        <w:t>的商务和技术偏差表中列明。</w:t>
      </w:r>
      <w:r>
        <w:rPr>
          <w:rFonts w:hint="eastAsia" w:ascii="仿宋" w:hAnsi="仿宋" w:eastAsia="仿宋" w:cs="仿宋"/>
          <w:sz w:val="32"/>
          <w:szCs w:val="32"/>
          <w:lang w:eastAsia="zh-CN"/>
        </w:rPr>
        <w:t>响应文件</w:t>
      </w:r>
      <w:r>
        <w:rPr>
          <w:rFonts w:hint="eastAsia" w:ascii="仿宋" w:hAnsi="仿宋" w:eastAsia="仿宋" w:cs="仿宋"/>
          <w:sz w:val="32"/>
          <w:szCs w:val="32"/>
        </w:rPr>
        <w:t>偏差表中未列明的内容，将视为供应商响应采购文件的要求；但如发现</w:t>
      </w:r>
      <w:r>
        <w:rPr>
          <w:rFonts w:hint="eastAsia" w:ascii="仿宋" w:hAnsi="仿宋" w:eastAsia="仿宋" w:cs="仿宋"/>
          <w:sz w:val="32"/>
          <w:szCs w:val="32"/>
          <w:lang w:eastAsia="zh-CN"/>
        </w:rPr>
        <w:t>响应文件</w:t>
      </w:r>
      <w:r>
        <w:rPr>
          <w:rFonts w:hint="eastAsia" w:ascii="仿宋" w:hAnsi="仿宋" w:eastAsia="仿宋" w:cs="仿宋"/>
          <w:sz w:val="32"/>
          <w:szCs w:val="32"/>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3.7 </w:t>
      </w:r>
      <w:r>
        <w:rPr>
          <w:rFonts w:hint="eastAsia" w:ascii="仿宋" w:hAnsi="仿宋" w:eastAsia="仿宋" w:cs="仿宋"/>
          <w:sz w:val="32"/>
          <w:szCs w:val="32"/>
          <w:lang w:eastAsia="zh-CN"/>
        </w:rPr>
        <w:t>响应文件</w:t>
      </w:r>
      <w:r>
        <w:rPr>
          <w:rFonts w:hint="eastAsia" w:ascii="仿宋" w:hAnsi="仿宋" w:eastAsia="仿宋" w:cs="仿宋"/>
          <w:sz w:val="32"/>
          <w:szCs w:val="32"/>
        </w:rPr>
        <w:t>的编制</w:t>
      </w:r>
    </w:p>
    <w:p w14:paraId="701FB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应按第六章“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格式”进行编写，如有必要，可以增加附页，作为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响应函或联合体协议书（如有）由代理人签字的，应在</w:t>
      </w:r>
      <w:r>
        <w:rPr>
          <w:rFonts w:hint="eastAsia" w:ascii="仿宋" w:hAnsi="仿宋" w:eastAsia="仿宋" w:cs="仿宋"/>
          <w:sz w:val="32"/>
          <w:szCs w:val="32"/>
          <w:lang w:eastAsia="zh-CN"/>
        </w:rPr>
        <w:t>响应文件</w:t>
      </w:r>
      <w:r>
        <w:rPr>
          <w:rFonts w:hint="eastAsia" w:ascii="仿宋" w:hAnsi="仿宋" w:eastAsia="仿宋" w:cs="仿宋"/>
          <w:sz w:val="32"/>
          <w:szCs w:val="32"/>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评审过程中供应商对</w:t>
      </w:r>
      <w:r>
        <w:rPr>
          <w:rFonts w:hint="eastAsia" w:ascii="仿宋" w:hAnsi="仿宋" w:eastAsia="仿宋" w:cs="仿宋"/>
          <w:sz w:val="32"/>
          <w:szCs w:val="32"/>
          <w:lang w:eastAsia="zh-CN"/>
        </w:rPr>
        <w:t>响应文件</w:t>
      </w:r>
      <w:r>
        <w:rPr>
          <w:rFonts w:hint="eastAsia" w:ascii="仿宋" w:hAnsi="仿宋" w:eastAsia="仿宋" w:cs="仿宋"/>
          <w:sz w:val="32"/>
          <w:szCs w:val="32"/>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的正本与副本应分别装订，并编制目录。</w:t>
      </w:r>
      <w:r>
        <w:rPr>
          <w:rFonts w:hint="eastAsia" w:ascii="仿宋" w:hAnsi="仿宋" w:eastAsia="仿宋" w:cs="仿宋"/>
          <w:sz w:val="32"/>
          <w:szCs w:val="32"/>
          <w:lang w:eastAsia="zh-CN"/>
        </w:rPr>
        <w:t>响应文件</w:t>
      </w:r>
      <w:r>
        <w:rPr>
          <w:rFonts w:hint="eastAsia" w:ascii="仿宋" w:hAnsi="仿宋" w:eastAsia="仿宋" w:cs="仿宋"/>
          <w:sz w:val="32"/>
          <w:szCs w:val="32"/>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4 </w:t>
      </w:r>
      <w:r>
        <w:rPr>
          <w:rFonts w:hint="eastAsia" w:ascii="仿宋" w:hAnsi="仿宋" w:eastAsia="仿宋" w:cs="仿宋"/>
          <w:b/>
          <w:bCs/>
          <w:sz w:val="32"/>
          <w:szCs w:val="32"/>
          <w:lang w:eastAsia="zh-CN"/>
        </w:rPr>
        <w:t>响应文件</w:t>
      </w:r>
      <w:r>
        <w:rPr>
          <w:rFonts w:hint="eastAsia" w:ascii="仿宋" w:hAnsi="仿宋" w:eastAsia="仿宋" w:cs="仿宋"/>
          <w:b/>
          <w:bCs/>
          <w:sz w:val="32"/>
          <w:szCs w:val="32"/>
        </w:rPr>
        <w:t>的递交</w:t>
      </w:r>
    </w:p>
    <w:p w14:paraId="07AAD2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4.1 </w:t>
      </w:r>
      <w:r>
        <w:rPr>
          <w:rFonts w:hint="eastAsia" w:ascii="仿宋" w:hAnsi="仿宋" w:eastAsia="仿宋" w:cs="仿宋"/>
          <w:sz w:val="32"/>
          <w:szCs w:val="32"/>
          <w:lang w:eastAsia="zh-CN"/>
        </w:rPr>
        <w:t>响应文件</w:t>
      </w:r>
      <w:r>
        <w:rPr>
          <w:rFonts w:hint="eastAsia" w:ascii="仿宋" w:hAnsi="仿宋" w:eastAsia="仿宋" w:cs="仿宋"/>
          <w:sz w:val="32"/>
          <w:szCs w:val="32"/>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应密封包装，未密封的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4.2 </w:t>
      </w:r>
      <w:r>
        <w:rPr>
          <w:rFonts w:hint="eastAsia" w:ascii="仿宋" w:hAnsi="仿宋" w:eastAsia="仿宋" w:cs="仿宋"/>
          <w:sz w:val="32"/>
          <w:szCs w:val="32"/>
          <w:lang w:eastAsia="zh-CN"/>
        </w:rPr>
        <w:t>响应文件</w:t>
      </w:r>
      <w:r>
        <w:rPr>
          <w:rFonts w:hint="eastAsia" w:ascii="仿宋" w:hAnsi="仿宋" w:eastAsia="仿宋" w:cs="仿宋"/>
          <w:sz w:val="32"/>
          <w:szCs w:val="32"/>
        </w:rPr>
        <w:t>的递交</w:t>
      </w:r>
    </w:p>
    <w:p w14:paraId="60416DB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供应商应在供应商须知前附表规定的递交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的截止时间前，将</w:t>
      </w:r>
      <w:r>
        <w:rPr>
          <w:rFonts w:hint="eastAsia" w:ascii="仿宋" w:hAnsi="仿宋" w:eastAsia="仿宋" w:cs="仿宋"/>
          <w:sz w:val="32"/>
          <w:szCs w:val="32"/>
          <w:lang w:eastAsia="zh-CN"/>
        </w:rPr>
        <w:t>响应文件</w:t>
      </w:r>
      <w:r>
        <w:rPr>
          <w:rFonts w:hint="eastAsia" w:ascii="仿宋" w:hAnsi="仿宋" w:eastAsia="仿宋" w:cs="仿宋"/>
          <w:sz w:val="32"/>
          <w:szCs w:val="32"/>
        </w:rPr>
        <w:t>递交到供应商须知前附表规定的地点。逾期送达的或者未送达指定地点的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，采购人将拒绝接收。采购人收到</w:t>
      </w:r>
      <w:r>
        <w:rPr>
          <w:rFonts w:hint="eastAsia" w:ascii="仿宋" w:hAnsi="仿宋" w:eastAsia="仿宋" w:cs="仿宋"/>
          <w:sz w:val="32"/>
          <w:szCs w:val="32"/>
          <w:lang w:eastAsia="zh-CN"/>
        </w:rPr>
        <w:t>响应文件</w:t>
      </w:r>
      <w:r>
        <w:rPr>
          <w:rFonts w:hint="eastAsia" w:ascii="仿宋" w:hAnsi="仿宋" w:eastAsia="仿宋" w:cs="仿宋"/>
          <w:sz w:val="32"/>
          <w:szCs w:val="32"/>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4.3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的截止时间前，供应商可以修改或撤回已递交的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的修改文件或供应商撤回已递交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的书面通知应由供应商的法定代表人（单位负责人）或其授权的代理人签字并加盖单位章。采购人收到供应商修改</w:t>
      </w:r>
      <w:r>
        <w:rPr>
          <w:rFonts w:hint="eastAsia" w:ascii="仿宋" w:hAnsi="仿宋" w:eastAsia="仿宋" w:cs="仿宋"/>
          <w:sz w:val="32"/>
          <w:szCs w:val="32"/>
          <w:lang w:eastAsia="zh-CN"/>
        </w:rPr>
        <w:t>响应文件</w:t>
      </w:r>
      <w:r>
        <w:rPr>
          <w:rFonts w:hint="eastAsia" w:ascii="仿宋" w:hAnsi="仿宋" w:eastAsia="仿宋" w:cs="仿宋"/>
          <w:sz w:val="32"/>
          <w:szCs w:val="32"/>
        </w:rPr>
        <w:t>的书面文件后，向供应商出具接收凭证；采购人收到供应商撤回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的书面通知后，退回供应商的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2546C0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修改的内容为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5 开启</w:t>
      </w:r>
      <w:r>
        <w:rPr>
          <w:rFonts w:hint="eastAsia" w:ascii="仿宋" w:hAnsi="仿宋" w:eastAsia="仿宋" w:cs="仿宋"/>
          <w:b/>
          <w:bCs/>
          <w:sz w:val="32"/>
          <w:szCs w:val="32"/>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开启</w:t>
      </w:r>
      <w:r>
        <w:rPr>
          <w:rFonts w:hint="eastAsia" w:ascii="仿宋" w:hAnsi="仿宋" w:eastAsia="仿宋" w:cs="仿宋"/>
          <w:sz w:val="32"/>
          <w:szCs w:val="32"/>
          <w:lang w:eastAsia="zh-CN"/>
        </w:rPr>
        <w:t>响应文件</w:t>
      </w:r>
      <w:r>
        <w:rPr>
          <w:rFonts w:hint="eastAsia" w:ascii="仿宋" w:hAnsi="仿宋" w:eastAsia="仿宋" w:cs="仿宋"/>
          <w:sz w:val="32"/>
          <w:szCs w:val="32"/>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的截止时间和地点公开开启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主持人按下列程序公开开启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F3D46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（3）供应商代表检查确认</w:t>
      </w:r>
      <w:r>
        <w:rPr>
          <w:rFonts w:hint="eastAsia" w:ascii="仿宋" w:hAnsi="仿宋" w:eastAsia="仿宋" w:cs="仿宋"/>
          <w:sz w:val="32"/>
          <w:szCs w:val="32"/>
          <w:lang w:eastAsia="zh-CN"/>
        </w:rPr>
        <w:t>响应文件</w:t>
      </w:r>
      <w:r>
        <w:rPr>
          <w:rFonts w:hint="eastAsia" w:ascii="仿宋" w:hAnsi="仿宋" w:eastAsia="仿宋" w:cs="仿宋"/>
          <w:sz w:val="32"/>
          <w:szCs w:val="32"/>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（4）按照供应商须知前附表规定的开启顺序开启</w:t>
      </w:r>
      <w:r>
        <w:rPr>
          <w:rFonts w:hint="eastAsia" w:ascii="仿宋" w:hAnsi="仿宋" w:eastAsia="仿宋" w:cs="仿宋"/>
          <w:sz w:val="32"/>
          <w:szCs w:val="32"/>
          <w:lang w:eastAsia="zh-CN"/>
        </w:rPr>
        <w:t>响应文件</w:t>
      </w:r>
      <w:r>
        <w:rPr>
          <w:rFonts w:hint="eastAsia" w:ascii="仿宋" w:hAnsi="仿宋" w:eastAsia="仿宋" w:cs="仿宋"/>
          <w:sz w:val="32"/>
          <w:szCs w:val="32"/>
        </w:rPr>
        <w:t>，公布递交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（5）供应商代表及相关工作人员等在</w:t>
      </w:r>
      <w:r>
        <w:rPr>
          <w:rFonts w:hint="eastAsia" w:ascii="仿宋" w:hAnsi="仿宋" w:eastAsia="仿宋" w:cs="仿宋"/>
          <w:sz w:val="32"/>
          <w:szCs w:val="32"/>
          <w:lang w:eastAsia="zh-CN"/>
        </w:rPr>
        <w:t>响应文件</w:t>
      </w:r>
      <w:r>
        <w:rPr>
          <w:rFonts w:hint="eastAsia" w:ascii="仿宋" w:hAnsi="仿宋" w:eastAsia="仿宋" w:cs="仿宋"/>
          <w:sz w:val="32"/>
          <w:szCs w:val="32"/>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5.3 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采购项目选择一家成交供应商时，递交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的供应商数量不足三家的，或采购项目选择多家成交供应商时，递交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采购项目不存在应该终止询比情形，且采购人也没有自行选择终止询比采购的，采购人应按照本章第5.2款规定的程序继续开启</w:t>
      </w:r>
      <w:r>
        <w:rPr>
          <w:rFonts w:hint="eastAsia" w:ascii="仿宋" w:hAnsi="仿宋" w:eastAsia="仿宋" w:cs="仿宋"/>
          <w:sz w:val="32"/>
          <w:szCs w:val="32"/>
          <w:lang w:eastAsia="zh-CN"/>
        </w:rPr>
        <w:t>响应文件</w:t>
      </w:r>
      <w:r>
        <w:rPr>
          <w:rFonts w:hint="eastAsia" w:ascii="仿宋" w:hAnsi="仿宋" w:eastAsia="仿宋" w:cs="仿宋"/>
          <w:sz w:val="32"/>
          <w:szCs w:val="32"/>
        </w:rPr>
        <w:t>，并按第三章“评审办法”规定的 规则组织</w:t>
      </w:r>
      <w:r>
        <w:rPr>
          <w:rFonts w:hint="eastAsia" w:ascii="仿宋" w:hAnsi="仿宋" w:eastAsia="仿宋" w:cs="仿宋"/>
          <w:sz w:val="32"/>
          <w:szCs w:val="32"/>
          <w:lang w:eastAsia="zh-CN"/>
        </w:rPr>
        <w:t>响应文件</w:t>
      </w:r>
      <w:r>
        <w:rPr>
          <w:rFonts w:hint="eastAsia" w:ascii="仿宋" w:hAnsi="仿宋" w:eastAsia="仿宋" w:cs="仿宋"/>
          <w:sz w:val="32"/>
          <w:szCs w:val="32"/>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6 评审</w:t>
      </w:r>
    </w:p>
    <w:p w14:paraId="7FE967C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 评审</w:t>
      </w:r>
    </w:p>
    <w:p w14:paraId="389470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评审小组按照第三章“评审办法”规定的评审标准和程序对</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7</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采购人可对候选成交供应商的相关证明材料原件进行核验或组织现场考察，以确认候选成交供应商的生产经营、财务等实际状况与</w:t>
      </w:r>
      <w:r>
        <w:rPr>
          <w:rFonts w:hint="eastAsia" w:ascii="仿宋" w:hAnsi="仿宋" w:eastAsia="仿宋" w:cs="仿宋"/>
          <w:sz w:val="32"/>
          <w:szCs w:val="32"/>
          <w:lang w:eastAsia="zh-CN"/>
        </w:rPr>
        <w:t>响应文件</w:t>
      </w:r>
      <w:r>
        <w:rPr>
          <w:rFonts w:hint="eastAsia" w:ascii="仿宋" w:hAnsi="仿宋" w:eastAsia="仿宋" w:cs="仿宋"/>
          <w:sz w:val="32"/>
          <w:szCs w:val="32"/>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公示期结束后，在本章第3.3款规定的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535BD58A">
      <w:pPr>
        <w:keepNext w:val="0"/>
        <w:keepLines w:val="0"/>
        <w:pageBreakBefore w:val="0"/>
        <w:wordWrap/>
        <w:overflowPunct/>
        <w:topLinePunct w:val="0"/>
        <w:bidi w:val="0"/>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7.6 履约保</w:t>
      </w:r>
      <w:r>
        <w:rPr>
          <w:rFonts w:hint="eastAsia" w:ascii="仿宋" w:hAnsi="仿宋" w:eastAsia="仿宋" w:cs="仿宋"/>
          <w:sz w:val="32"/>
          <w:szCs w:val="32"/>
          <w:lang w:val="en-US" w:eastAsia="zh-CN"/>
        </w:rPr>
        <w:t>函</w:t>
      </w:r>
    </w:p>
    <w:p w14:paraId="0389AFE4">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lang w:val="en-US" w:eastAsia="zh-CN"/>
        </w:rPr>
        <w:t>无履约保函</w:t>
      </w:r>
      <w:r>
        <w:rPr>
          <w:rFonts w:hint="eastAsia" w:ascii="仿宋" w:hAnsi="仿宋" w:eastAsia="仿宋" w:cs="仿宋"/>
          <w:sz w:val="32"/>
          <w:szCs w:val="32"/>
        </w:rPr>
        <w:t>。</w:t>
      </w:r>
    </w:p>
    <w:p w14:paraId="0F066EA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采购人和成交供应商应当在成交通知书规定的期限内，根据采购文件和成交供应商的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3项规定对响应报价进行修正后，若修正后的响应报价小于按照第三章“评审办法”第2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8</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异议</w:t>
      </w:r>
    </w:p>
    <w:p w14:paraId="6B4D41B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9</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评审小组成员不得收受他人的财物或者其他好处，不得向他人透露对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9.4 对与询比活动有关的工作人员的纪律要求</w:t>
      </w:r>
    </w:p>
    <w:p w14:paraId="7216E9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与询比活动有关的工作人员不得收受他人的财物或者其他好处，不得向他人透露对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的评审和比较、候选成交供应商的推荐情况以及询比有关的其他情况。在询比活动中，与询比活动有关的工作人员不得擅离职守，影响评审工作正常进行。</w:t>
      </w:r>
    </w:p>
    <w:p w14:paraId="26B9C76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64D176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93494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CE8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3F55A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6FB009B">
      <w:pPr>
        <w:pStyle w:val="20"/>
        <w:rPr>
          <w:rFonts w:hint="eastAsia" w:ascii="仿宋" w:hAnsi="仿宋" w:eastAsia="仿宋" w:cs="仿宋"/>
          <w:sz w:val="32"/>
          <w:szCs w:val="32"/>
        </w:rPr>
      </w:pPr>
    </w:p>
    <w:p w14:paraId="64B31CF5">
      <w:pPr>
        <w:pStyle w:val="20"/>
        <w:rPr>
          <w:rFonts w:hint="eastAsia" w:ascii="仿宋" w:hAnsi="仿宋" w:eastAsia="仿宋" w:cs="仿宋"/>
          <w:sz w:val="32"/>
          <w:szCs w:val="32"/>
        </w:rPr>
      </w:pPr>
    </w:p>
    <w:p w14:paraId="7DA3B2C5">
      <w:pPr>
        <w:pStyle w:val="20"/>
        <w:rPr>
          <w:rFonts w:hint="eastAsia" w:ascii="仿宋" w:hAnsi="仿宋" w:eastAsia="仿宋" w:cs="仿宋"/>
          <w:sz w:val="32"/>
          <w:szCs w:val="32"/>
        </w:rPr>
      </w:pPr>
    </w:p>
    <w:p w14:paraId="0A8A3659">
      <w:pPr>
        <w:pStyle w:val="20"/>
        <w:rPr>
          <w:rFonts w:hint="eastAsia" w:ascii="仿宋" w:hAnsi="仿宋" w:eastAsia="仿宋" w:cs="仿宋"/>
          <w:sz w:val="32"/>
          <w:szCs w:val="32"/>
        </w:rPr>
      </w:pPr>
    </w:p>
    <w:p w14:paraId="3B9421C7">
      <w:pPr>
        <w:pStyle w:val="20"/>
        <w:rPr>
          <w:rFonts w:hint="eastAsia" w:ascii="仿宋" w:hAnsi="仿宋" w:eastAsia="仿宋" w:cs="仿宋"/>
          <w:sz w:val="32"/>
          <w:szCs w:val="32"/>
        </w:rPr>
      </w:pPr>
    </w:p>
    <w:p w14:paraId="0CFF5FC5">
      <w:pPr>
        <w:pStyle w:val="20"/>
        <w:rPr>
          <w:rFonts w:hint="eastAsia" w:ascii="仿宋" w:hAnsi="仿宋" w:eastAsia="仿宋" w:cs="仿宋"/>
          <w:sz w:val="32"/>
          <w:szCs w:val="32"/>
        </w:rPr>
      </w:pPr>
    </w:p>
    <w:p w14:paraId="24DAF7B1">
      <w:pPr>
        <w:pStyle w:val="20"/>
        <w:rPr>
          <w:rFonts w:hint="eastAsia" w:ascii="仿宋" w:hAnsi="仿宋" w:eastAsia="仿宋" w:cs="仿宋"/>
          <w:sz w:val="32"/>
          <w:szCs w:val="32"/>
        </w:rPr>
      </w:pPr>
    </w:p>
    <w:p w14:paraId="16324E20">
      <w:pPr>
        <w:pStyle w:val="20"/>
        <w:rPr>
          <w:rFonts w:hint="eastAsia" w:ascii="仿宋" w:hAnsi="仿宋" w:eastAsia="仿宋" w:cs="仿宋"/>
          <w:sz w:val="32"/>
          <w:szCs w:val="32"/>
        </w:rPr>
      </w:pPr>
    </w:p>
    <w:p w14:paraId="24DCAE6C">
      <w:pPr>
        <w:pStyle w:val="20"/>
        <w:rPr>
          <w:rFonts w:hint="eastAsia" w:ascii="仿宋" w:hAnsi="仿宋" w:eastAsia="仿宋" w:cs="仿宋"/>
          <w:sz w:val="32"/>
          <w:szCs w:val="32"/>
        </w:rPr>
      </w:pPr>
    </w:p>
    <w:p w14:paraId="75B0C409">
      <w:pPr>
        <w:pStyle w:val="20"/>
        <w:rPr>
          <w:rFonts w:hint="eastAsia" w:ascii="仿宋" w:hAnsi="仿宋" w:eastAsia="仿宋" w:cs="仿宋"/>
          <w:sz w:val="32"/>
          <w:szCs w:val="32"/>
        </w:rPr>
      </w:pPr>
    </w:p>
    <w:p w14:paraId="2C569785">
      <w:pPr>
        <w:pStyle w:val="20"/>
        <w:rPr>
          <w:rFonts w:hint="eastAsia" w:ascii="仿宋" w:hAnsi="仿宋" w:eastAsia="仿宋" w:cs="仿宋"/>
          <w:sz w:val="32"/>
          <w:szCs w:val="32"/>
        </w:rPr>
      </w:pPr>
    </w:p>
    <w:p w14:paraId="0AF9208D">
      <w:pPr>
        <w:pStyle w:val="20"/>
        <w:rPr>
          <w:rFonts w:hint="eastAsia" w:ascii="仿宋" w:hAnsi="仿宋" w:eastAsia="仿宋" w:cs="仿宋"/>
          <w:sz w:val="32"/>
          <w:szCs w:val="32"/>
        </w:rPr>
      </w:pPr>
    </w:p>
    <w:p w14:paraId="4E852D89">
      <w:pPr>
        <w:pStyle w:val="20"/>
        <w:rPr>
          <w:rFonts w:hint="eastAsia" w:ascii="仿宋" w:hAnsi="仿宋" w:eastAsia="仿宋" w:cs="仿宋"/>
          <w:sz w:val="32"/>
          <w:szCs w:val="32"/>
        </w:rPr>
      </w:pPr>
    </w:p>
    <w:p w14:paraId="17EA601E">
      <w:pPr>
        <w:pStyle w:val="20"/>
        <w:rPr>
          <w:rFonts w:hint="eastAsia" w:ascii="仿宋" w:hAnsi="仿宋" w:eastAsia="仿宋" w:cs="仿宋"/>
          <w:sz w:val="32"/>
          <w:szCs w:val="32"/>
        </w:rPr>
      </w:pPr>
    </w:p>
    <w:p w14:paraId="540C41E6">
      <w:pPr>
        <w:pStyle w:val="20"/>
        <w:rPr>
          <w:rFonts w:hint="eastAsia" w:ascii="仿宋" w:hAnsi="仿宋" w:eastAsia="仿宋" w:cs="仿宋"/>
          <w:sz w:val="32"/>
          <w:szCs w:val="32"/>
        </w:rPr>
      </w:pPr>
    </w:p>
    <w:p w14:paraId="7FBA076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5567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D303AA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4C10D6B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DA01BDE">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1E639F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32FC60D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0A925A2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2308"/>
        <w:gridCol w:w="4691"/>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响应文件</w:t>
            </w:r>
            <w:r>
              <w:rPr>
                <w:rFonts w:hint="eastAsia" w:ascii="仿宋" w:hAnsi="仿宋" w:eastAsia="仿宋" w:cs="仿宋"/>
                <w:b w:val="0"/>
                <w:bCs w:val="0"/>
                <w:sz w:val="28"/>
                <w:szCs w:val="28"/>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w:t>
            </w:r>
            <w:r>
              <w:rPr>
                <w:rFonts w:hint="eastAsia" w:ascii="仿宋" w:hAnsi="仿宋" w:eastAsia="仿宋" w:cs="仿宋"/>
                <w:sz w:val="28"/>
                <w:szCs w:val="28"/>
                <w:lang w:val="en-US" w:eastAsia="zh-CN"/>
              </w:rPr>
              <w:t>3</w:t>
            </w:r>
            <w:r>
              <w:rPr>
                <w:rFonts w:hint="eastAsia" w:ascii="仿宋" w:hAnsi="仿宋" w:eastAsia="仿宋" w:cs="仿宋"/>
                <w:sz w:val="28"/>
                <w:szCs w:val="28"/>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2"/>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（4）其他评分因素：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□方法一</w:t>
            </w:r>
          </w:p>
          <w:p w14:paraId="738680E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□方法四：具体方法为</w:t>
            </w:r>
            <w:r>
              <w:rPr>
                <w:rFonts w:hint="eastAsia" w:ascii="仿宋" w:hAnsi="仿宋" w:eastAsia="仿宋" w:cs="仿宋"/>
                <w:sz w:val="28"/>
                <w:szCs w:val="28"/>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bl>
    <w:p w14:paraId="6C42B4D3">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32"/>
          <w:szCs w:val="32"/>
          <w:lang w:eastAsia="zh-CN"/>
        </w:rPr>
        <w:t>　　</w:t>
      </w:r>
      <w:r>
        <w:rPr>
          <w:rFonts w:hint="eastAsia" w:ascii="仿宋" w:hAnsi="仿宋" w:eastAsia="仿宋" w:cs="仿宋"/>
          <w:sz w:val="32"/>
          <w:szCs w:val="32"/>
        </w:rPr>
        <w:t>本次评审采用最低价法。评审小组对满足采购文件实质性要求的</w:t>
      </w:r>
      <w:r>
        <w:rPr>
          <w:rFonts w:hint="eastAsia" w:ascii="仿宋" w:hAnsi="仿宋" w:eastAsia="仿宋" w:cs="仿宋"/>
          <w:sz w:val="32"/>
          <w:szCs w:val="32"/>
          <w:lang w:eastAsia="zh-CN"/>
        </w:rPr>
        <w:t>响应文件</w:t>
      </w:r>
      <w:r>
        <w:rPr>
          <w:rFonts w:hint="eastAsia" w:ascii="仿宋" w:hAnsi="仿宋" w:eastAsia="仿宋" w:cs="仿宋"/>
          <w:sz w:val="32"/>
          <w:szCs w:val="32"/>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评审价格若超过最高限价（如有），其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sz w:val="32"/>
          <w:szCs w:val="32"/>
          <w:lang w:eastAsia="zh-CN"/>
        </w:rPr>
        <w:t>响应文件</w:t>
      </w:r>
      <w:r>
        <w:rPr>
          <w:rFonts w:hint="eastAsia" w:ascii="仿宋" w:hAnsi="仿宋" w:eastAsia="仿宋" w:cs="仿宋"/>
          <w:sz w:val="32"/>
          <w:szCs w:val="32"/>
        </w:rPr>
        <w:t>的范围且不得改变</w:t>
      </w:r>
      <w:r>
        <w:rPr>
          <w:rFonts w:hint="eastAsia" w:ascii="仿宋" w:hAnsi="仿宋" w:eastAsia="仿宋" w:cs="仿宋"/>
          <w:sz w:val="32"/>
          <w:szCs w:val="32"/>
          <w:lang w:eastAsia="zh-CN"/>
        </w:rPr>
        <w:t>响应文件</w:t>
      </w:r>
      <w:r>
        <w:rPr>
          <w:rFonts w:hint="eastAsia" w:ascii="仿宋" w:hAnsi="仿宋" w:eastAsia="仿宋" w:cs="仿宋"/>
          <w:sz w:val="32"/>
          <w:szCs w:val="32"/>
        </w:rPr>
        <w:t>的实质性内容，并构成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供应商有串通、弄虚作假、行贿等违法行为的，其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初步评审后，如评审小组认为所有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sz w:val="32"/>
          <w:szCs w:val="32"/>
          <w:lang w:eastAsia="zh-CN"/>
        </w:rPr>
        <w:t>响应文件</w:t>
      </w:r>
      <w:r>
        <w:rPr>
          <w:rFonts w:hint="eastAsia" w:ascii="仿宋" w:hAnsi="仿宋" w:eastAsia="仿宋" w:cs="仿宋"/>
          <w:sz w:val="32"/>
          <w:szCs w:val="32"/>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的形式或供应商资格不符合采购文件的要求、</w:t>
      </w:r>
      <w:r>
        <w:rPr>
          <w:rFonts w:hint="eastAsia" w:ascii="仿宋" w:hAnsi="仿宋" w:eastAsia="仿宋" w:cs="仿宋"/>
          <w:sz w:val="32"/>
          <w:szCs w:val="32"/>
          <w:lang w:eastAsia="zh-CN"/>
        </w:rPr>
        <w:t>响应文件</w:t>
      </w:r>
      <w:r>
        <w:rPr>
          <w:rFonts w:hint="eastAsia" w:ascii="仿宋" w:hAnsi="仿宋" w:eastAsia="仿宋" w:cs="仿宋"/>
          <w:sz w:val="32"/>
          <w:szCs w:val="32"/>
        </w:rPr>
        <w:t>未实质性响应采购文件的要求，或</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澄清、说明和补正的内容作为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只有形式评审和资格评审合格且实质性响应采购文件要求的供应商才可通过初步评审。经供应商澄清、说明和补正后仍未通过初步评审的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初步评审后，当所有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5D8B7A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1）评审小组应按照供应商递交</w:t>
      </w:r>
      <w:r>
        <w:rPr>
          <w:rFonts w:hint="eastAsia" w:ascii="仿宋" w:hAnsi="仿宋" w:eastAsia="仿宋" w:cs="仿宋"/>
          <w:sz w:val="32"/>
          <w:szCs w:val="32"/>
          <w:lang w:eastAsia="zh-CN"/>
        </w:rPr>
        <w:t>响应文件</w:t>
      </w:r>
      <w:r>
        <w:rPr>
          <w:rFonts w:hint="eastAsia" w:ascii="仿宋" w:hAnsi="仿宋" w:eastAsia="仿宋" w:cs="仿宋"/>
          <w:sz w:val="32"/>
          <w:szCs w:val="32"/>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2）供应商的法定代表人（单位负责人）或其授权的代理人应参加谈判。供应商的法定代表人（单位负责人）或其授权的代理人在谈判中作出的承诺构成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评审小组将按本章第3条规定对</w:t>
      </w:r>
      <w:r>
        <w:rPr>
          <w:rFonts w:hint="eastAsia" w:ascii="仿宋" w:hAnsi="仿宋" w:eastAsia="仿宋" w:cs="仿宋"/>
          <w:sz w:val="32"/>
          <w:szCs w:val="32"/>
          <w:lang w:eastAsia="zh-CN"/>
        </w:rPr>
        <w:t>响应文件</w:t>
      </w:r>
      <w:r>
        <w:rPr>
          <w:rFonts w:hint="eastAsia" w:ascii="仿宋" w:hAnsi="仿宋" w:eastAsia="仿宋" w:cs="仿宋"/>
          <w:sz w:val="32"/>
          <w:szCs w:val="32"/>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34E40AD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751E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58B0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2D2F51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4AF7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625FC5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D4707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A46134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1BFBEA1">
      <w:pPr>
        <w:keepNext w:val="0"/>
        <w:keepLines w:val="0"/>
        <w:pageBreakBefore w:val="0"/>
        <w:numPr>
          <w:ilvl w:val="0"/>
          <w:numId w:val="3"/>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 xml:space="preserve">   合同条款</w:t>
      </w:r>
    </w:p>
    <w:p w14:paraId="5CFAFCDB">
      <w:pPr>
        <w:pStyle w:val="8"/>
        <w:rPr>
          <w:rFonts w:hint="eastAsia" w:ascii="仿宋" w:hAnsi="仿宋" w:eastAsia="仿宋" w:cs="仿宋"/>
          <w:b/>
          <w:bCs/>
          <w:kern w:val="2"/>
          <w:sz w:val="52"/>
          <w:szCs w:val="52"/>
          <w:lang w:val="en-US" w:eastAsia="zh-CN" w:bidi="ar-SA"/>
        </w:rPr>
      </w:pPr>
    </w:p>
    <w:p w14:paraId="6B4E8123">
      <w:pPr>
        <w:rPr>
          <w:rFonts w:hint="eastAsia" w:ascii="仿宋" w:hAnsi="仿宋" w:eastAsia="仿宋" w:cs="仿宋"/>
          <w:b/>
          <w:bCs/>
          <w:kern w:val="2"/>
          <w:sz w:val="52"/>
          <w:szCs w:val="52"/>
          <w:lang w:val="en-US" w:eastAsia="zh-CN" w:bidi="ar-SA"/>
        </w:rPr>
      </w:pPr>
    </w:p>
    <w:p w14:paraId="208B3ABE">
      <w:pPr>
        <w:pStyle w:val="8"/>
        <w:rPr>
          <w:rFonts w:hint="eastAsia" w:ascii="仿宋" w:hAnsi="仿宋" w:eastAsia="仿宋" w:cs="仿宋"/>
          <w:b/>
          <w:bCs/>
          <w:kern w:val="2"/>
          <w:sz w:val="52"/>
          <w:szCs w:val="52"/>
          <w:lang w:val="en-US" w:eastAsia="zh-CN" w:bidi="ar-SA"/>
        </w:rPr>
      </w:pPr>
    </w:p>
    <w:p w14:paraId="5035B320">
      <w:pPr>
        <w:rPr>
          <w:rFonts w:hint="eastAsia" w:ascii="仿宋" w:hAnsi="仿宋" w:eastAsia="仿宋" w:cs="仿宋"/>
          <w:b/>
          <w:bCs/>
          <w:kern w:val="2"/>
          <w:sz w:val="52"/>
          <w:szCs w:val="52"/>
          <w:lang w:val="en-US" w:eastAsia="zh-CN" w:bidi="ar-SA"/>
        </w:rPr>
      </w:pPr>
    </w:p>
    <w:p w14:paraId="1A5981E8">
      <w:pPr>
        <w:pStyle w:val="8"/>
        <w:rPr>
          <w:rFonts w:hint="eastAsia" w:ascii="仿宋" w:hAnsi="仿宋" w:eastAsia="仿宋" w:cs="仿宋"/>
          <w:b/>
          <w:bCs/>
          <w:kern w:val="2"/>
          <w:sz w:val="52"/>
          <w:szCs w:val="52"/>
          <w:lang w:val="en-US" w:eastAsia="zh-CN" w:bidi="ar-SA"/>
        </w:rPr>
      </w:pPr>
    </w:p>
    <w:p w14:paraId="1CD0AA07">
      <w:pPr>
        <w:rPr>
          <w:rFonts w:hint="eastAsia" w:ascii="仿宋" w:hAnsi="仿宋" w:eastAsia="仿宋" w:cs="仿宋"/>
          <w:b/>
          <w:bCs/>
          <w:kern w:val="2"/>
          <w:sz w:val="52"/>
          <w:szCs w:val="52"/>
          <w:lang w:val="en-US" w:eastAsia="zh-CN" w:bidi="ar-SA"/>
        </w:rPr>
      </w:pPr>
    </w:p>
    <w:p w14:paraId="2BC850D4">
      <w:pPr>
        <w:pStyle w:val="8"/>
        <w:rPr>
          <w:rFonts w:hint="eastAsia" w:ascii="仿宋" w:hAnsi="仿宋" w:eastAsia="仿宋" w:cs="仿宋"/>
          <w:b/>
          <w:bCs/>
          <w:kern w:val="2"/>
          <w:sz w:val="52"/>
          <w:szCs w:val="52"/>
          <w:lang w:val="en-US" w:eastAsia="zh-CN" w:bidi="ar-SA"/>
        </w:rPr>
      </w:pPr>
    </w:p>
    <w:p w14:paraId="561ECD10">
      <w:pPr>
        <w:rPr>
          <w:rFonts w:hint="eastAsia" w:ascii="仿宋" w:hAnsi="仿宋" w:eastAsia="仿宋" w:cs="仿宋"/>
          <w:b/>
          <w:bCs/>
          <w:kern w:val="2"/>
          <w:sz w:val="52"/>
          <w:szCs w:val="52"/>
          <w:lang w:val="en-US" w:eastAsia="zh-CN" w:bidi="ar-SA"/>
        </w:rPr>
      </w:pPr>
    </w:p>
    <w:p w14:paraId="3C253A2D">
      <w:pPr>
        <w:pStyle w:val="8"/>
        <w:rPr>
          <w:rFonts w:hint="eastAsia" w:ascii="仿宋" w:hAnsi="仿宋" w:eastAsia="仿宋" w:cs="仿宋"/>
          <w:b/>
          <w:bCs/>
          <w:kern w:val="2"/>
          <w:sz w:val="52"/>
          <w:szCs w:val="52"/>
          <w:lang w:val="en-US" w:eastAsia="zh-CN" w:bidi="ar-SA"/>
        </w:rPr>
      </w:pPr>
    </w:p>
    <w:p w14:paraId="200599DE">
      <w:pPr>
        <w:pStyle w:val="2"/>
        <w:ind w:firstLine="883" w:firstLineChars="200"/>
        <w:rPr>
          <w:highlight w:val="none"/>
        </w:rPr>
        <w:sectPr>
          <w:pgSz w:w="11906" w:h="16838"/>
          <w:pgMar w:top="1418" w:right="1555" w:bottom="1418" w:left="1531" w:header="851" w:footer="992" w:gutter="0"/>
          <w:pgNumType w:start="0"/>
          <w:cols w:space="720" w:num="1"/>
          <w:docGrid w:type="lines" w:linePitch="312" w:charSpace="0"/>
        </w:sectPr>
      </w:pPr>
      <w:bookmarkStart w:id="0" w:name="_Toc9219"/>
      <w:bookmarkStart w:id="1" w:name="_Toc25603"/>
    </w:p>
    <w:p w14:paraId="2EFF29A1">
      <w:pPr>
        <w:pStyle w:val="2"/>
        <w:ind w:firstLine="602" w:firstLineChars="200"/>
        <w:jc w:val="center"/>
        <w:rPr>
          <w:rFonts w:hint="eastAsia" w:ascii="仿宋" w:hAnsi="仿宋" w:eastAsia="仿宋" w:cs="仿宋"/>
          <w:sz w:val="30"/>
          <w:szCs w:val="30"/>
          <w:highlight w:val="none"/>
        </w:rPr>
      </w:pPr>
      <w:bookmarkStart w:id="2" w:name="_Toc28490"/>
      <w:bookmarkStart w:id="3" w:name="_Toc22805"/>
      <w:r>
        <w:rPr>
          <w:rFonts w:hint="eastAsia" w:ascii="仿宋" w:hAnsi="仿宋" w:eastAsia="仿宋" w:cs="仿宋"/>
          <w:sz w:val="30"/>
          <w:szCs w:val="30"/>
          <w:highlight w:val="none"/>
        </w:rPr>
        <w:t>第一部分 分包合同协议书</w:t>
      </w:r>
      <w:bookmarkEnd w:id="2"/>
      <w:bookmarkEnd w:id="3"/>
    </w:p>
    <w:p w14:paraId="076E2DA5">
      <w:pPr>
        <w:spacing w:line="360" w:lineRule="auto"/>
        <w:rPr>
          <w:rFonts w:hint="eastAsia" w:ascii="仿宋" w:hAnsi="仿宋" w:eastAsia="仿宋" w:cs="仿宋"/>
          <w:b/>
          <w:sz w:val="30"/>
          <w:szCs w:val="30"/>
          <w:highlight w:val="none"/>
          <w:u w:val="single"/>
        </w:rPr>
      </w:pPr>
      <w:r>
        <w:rPr>
          <w:rFonts w:hint="eastAsia" w:ascii="仿宋" w:hAnsi="仿宋" w:eastAsia="仿宋" w:cs="仿宋"/>
          <w:b/>
          <w:sz w:val="30"/>
          <w:szCs w:val="30"/>
          <w:highlight w:val="none"/>
        </w:rPr>
        <w:t>承  包  人(全称）：</w:t>
      </w:r>
      <w:r>
        <w:rPr>
          <w:rFonts w:hint="eastAsia" w:ascii="仿宋" w:hAnsi="仿宋" w:eastAsia="仿宋" w:cs="仿宋"/>
          <w:b/>
          <w:sz w:val="30"/>
          <w:szCs w:val="30"/>
          <w:highlight w:val="none"/>
          <w:u w:val="single"/>
        </w:rPr>
        <w:t xml:space="preserve">    </w:t>
      </w:r>
      <w:r>
        <w:rPr>
          <w:rFonts w:hint="eastAsia" w:ascii="仿宋" w:hAnsi="仿宋" w:eastAsia="仿宋" w:cs="仿宋"/>
          <w:bCs/>
          <w:sz w:val="30"/>
          <w:szCs w:val="30"/>
          <w:highlight w:val="none"/>
          <w:u w:val="single"/>
        </w:rPr>
        <w:t>中机国际工程设计研究院有限责任公司</w:t>
      </w:r>
      <w:r>
        <w:rPr>
          <w:rFonts w:hint="eastAsia" w:ascii="仿宋" w:hAnsi="仿宋" w:eastAsia="仿宋" w:cs="仿宋"/>
          <w:bCs/>
          <w:sz w:val="30"/>
          <w:szCs w:val="30"/>
          <w:highlight w:val="none"/>
          <w:u w:val="single"/>
          <w:lang w:eastAsia="zh-CN"/>
        </w:rPr>
        <w:t>、</w:t>
      </w:r>
    </w:p>
    <w:p w14:paraId="7E0CE764">
      <w:pPr>
        <w:pStyle w:val="2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法定代表人：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陈  蕃 </w:t>
      </w:r>
      <w:r>
        <w:rPr>
          <w:rFonts w:hint="eastAsia" w:ascii="仿宋" w:hAnsi="仿宋" w:eastAsia="仿宋" w:cs="仿宋"/>
          <w:b/>
          <w:color w:val="auto"/>
          <w:sz w:val="28"/>
          <w:szCs w:val="28"/>
          <w:highlight w:val="none"/>
          <w:u w:val="single"/>
        </w:rPr>
        <w:t xml:space="preserve">                            </w:t>
      </w:r>
    </w:p>
    <w:p w14:paraId="4790360E">
      <w:pPr>
        <w:pStyle w:val="2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纳税人身份：</w:t>
      </w:r>
      <w:r>
        <w:rPr>
          <w:rFonts w:hint="eastAsia" w:ascii="仿宋" w:hAnsi="仿宋" w:eastAsia="仿宋" w:cs="仿宋"/>
          <w:color w:val="auto"/>
          <w:sz w:val="28"/>
          <w:szCs w:val="28"/>
          <w:highlight w:val="none"/>
          <w:u w:val="single"/>
        </w:rPr>
        <w:t xml:space="preserve">            一般纳税人                   </w:t>
      </w:r>
      <w:r>
        <w:rPr>
          <w:rFonts w:hint="eastAsia" w:ascii="仿宋" w:hAnsi="仿宋" w:eastAsia="仿宋" w:cs="仿宋"/>
          <w:color w:val="auto"/>
          <w:sz w:val="28"/>
          <w:szCs w:val="28"/>
          <w:highlight w:val="none"/>
        </w:rPr>
        <w:t xml:space="preserve">        </w:t>
      </w:r>
    </w:p>
    <w:p w14:paraId="44166D2D">
      <w:pPr>
        <w:pStyle w:val="2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统一社会信用代码：</w:t>
      </w:r>
      <w:r>
        <w:rPr>
          <w:rFonts w:hint="eastAsia" w:ascii="仿宋" w:hAnsi="仿宋" w:eastAsia="仿宋" w:cs="仿宋"/>
          <w:color w:val="auto"/>
          <w:sz w:val="28"/>
          <w:szCs w:val="28"/>
          <w:highlight w:val="none"/>
          <w:u w:val="single"/>
        </w:rPr>
        <w:t xml:space="preserve">     914300004448853216</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B80AFC4">
      <w:pPr>
        <w:spacing w:line="360" w:lineRule="auto"/>
        <w:rPr>
          <w:rFonts w:hint="eastAsia" w:ascii="仿宋" w:hAnsi="仿宋" w:eastAsia="仿宋" w:cs="仿宋"/>
          <w:b/>
          <w:sz w:val="28"/>
          <w:szCs w:val="28"/>
          <w:highlight w:val="none"/>
        </w:rPr>
      </w:pPr>
    </w:p>
    <w:p w14:paraId="74FBA3C1">
      <w:pPr>
        <w:spacing w:line="360" w:lineRule="auto"/>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 xml:space="preserve">分  包  人(全称）： </w:t>
      </w:r>
      <w:r>
        <w:rPr>
          <w:rFonts w:hint="eastAsia" w:ascii="仿宋" w:hAnsi="仿宋" w:eastAsia="仿宋" w:cs="仿宋"/>
          <w:bCs/>
          <w:sz w:val="28"/>
          <w:szCs w:val="28"/>
          <w:highlight w:val="none"/>
        </w:rPr>
        <w:t xml:space="preserve"> </w:t>
      </w:r>
      <w:r>
        <w:rPr>
          <w:rFonts w:hint="eastAsia" w:ascii="仿宋" w:hAnsi="仿宋" w:eastAsia="仿宋" w:cs="仿宋"/>
          <w:b/>
          <w:sz w:val="28"/>
          <w:szCs w:val="28"/>
          <w:highlight w:val="none"/>
        </w:rPr>
        <w:t xml:space="preserve">  </w:t>
      </w:r>
    </w:p>
    <w:p w14:paraId="51D65EFE">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法定代表人：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39C0AC5C">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项目负责人：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1FC16CEA">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资质专业及等级</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2B786428">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复审时间及有效期：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B52DAE4">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安全生产许可证号码：</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49306EF">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纳税人身份：</w:t>
      </w:r>
      <w:r>
        <w:rPr>
          <w:rFonts w:hint="eastAsia" w:ascii="仿宋" w:hAnsi="仿宋" w:eastAsia="仿宋" w:cs="仿宋"/>
          <w:b/>
          <w:color w:val="auto"/>
          <w:sz w:val="28"/>
          <w:szCs w:val="28"/>
          <w:highlight w:val="none"/>
          <w:u w:val="single"/>
        </w:rPr>
        <w:t xml:space="preserve">                                </w:t>
      </w:r>
    </w:p>
    <w:p w14:paraId="0B752A45">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纳税人识别号/统一社会信用代码：</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17A7F77A">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注册地址及电话：</w:t>
      </w:r>
      <w:r>
        <w:rPr>
          <w:rFonts w:hint="eastAsia" w:ascii="仿宋" w:hAnsi="仿宋" w:eastAsia="仿宋" w:cs="仿宋"/>
          <w:b/>
          <w:color w:val="auto"/>
          <w:sz w:val="28"/>
          <w:szCs w:val="28"/>
          <w:highlight w:val="none"/>
          <w:u w:val="single"/>
        </w:rPr>
        <w:t xml:space="preserve">                                       </w:t>
      </w:r>
    </w:p>
    <w:p w14:paraId="51E6122D">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开户行及账号：</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64D442B">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根据《中华人民共和国民法典》、《中华人民共和国建筑法》及有关法律规定，遵循平等、自愿、公平和诚实信用的原则，双方就</w:t>
      </w:r>
      <w:r>
        <w:rPr>
          <w:rFonts w:hint="eastAsia" w:ascii="仿宋" w:hAnsi="仿宋" w:eastAsia="仿宋" w:cs="仿宋"/>
          <w:sz w:val="28"/>
          <w:szCs w:val="28"/>
          <w:highlight w:val="none"/>
          <w:u w:val="single"/>
        </w:rPr>
        <w:t xml:space="preserve">  兰州新区年产30GWh 新能源电池生产基地项目（一期）-</w:t>
      </w:r>
      <w:r>
        <w:rPr>
          <w:rFonts w:hint="eastAsia" w:ascii="仿宋" w:hAnsi="仿宋" w:eastAsia="仿宋" w:cs="仿宋"/>
          <w:sz w:val="28"/>
          <w:szCs w:val="28"/>
          <w:highlight w:val="none"/>
          <w:u w:val="single"/>
          <w:lang w:eastAsia="zh-CN"/>
        </w:rPr>
        <w:t>电气（一标段）专业分包</w:t>
      </w:r>
      <w:r>
        <w:rPr>
          <w:rFonts w:hint="eastAsia" w:ascii="仿宋" w:hAnsi="仿宋" w:eastAsia="仿宋" w:cs="仿宋"/>
          <w:sz w:val="28"/>
          <w:szCs w:val="28"/>
          <w:highlight w:val="none"/>
        </w:rPr>
        <w:t>工程施工及有关事项协商一致，共同达成如下协议：</w:t>
      </w:r>
    </w:p>
    <w:p w14:paraId="6C4BB0A0">
      <w:pPr>
        <w:pStyle w:val="3"/>
        <w:wordWrap w:val="0"/>
        <w:adjustRightInd w:val="0"/>
        <w:spacing w:before="156" w:beforeLines="5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4" w:name="_Toc3691"/>
      <w:bookmarkStart w:id="5" w:name="_Toc351203481"/>
      <w:bookmarkStart w:id="6" w:name="_Toc6513"/>
      <w:bookmarkStart w:id="7" w:name="_Toc371493141"/>
      <w:r>
        <w:rPr>
          <w:rFonts w:hint="eastAsia" w:ascii="仿宋" w:hAnsi="仿宋" w:eastAsia="仿宋" w:cs="仿宋"/>
          <w:sz w:val="28"/>
          <w:szCs w:val="28"/>
          <w:highlight w:val="none"/>
        </w:rPr>
        <w:t>一、分包工程概况</w:t>
      </w:r>
      <w:bookmarkEnd w:id="4"/>
      <w:bookmarkEnd w:id="5"/>
      <w:bookmarkEnd w:id="6"/>
      <w:bookmarkEnd w:id="7"/>
    </w:p>
    <w:p w14:paraId="505C97EA">
      <w:pPr>
        <w:wordWrap w:val="0"/>
        <w:adjustRightInd w:val="0"/>
        <w:snapToGrid w:val="0"/>
        <w:spacing w:line="360" w:lineRule="auto"/>
        <w:ind w:firstLine="548" w:firstLineChars="196"/>
        <w:rPr>
          <w:rFonts w:hint="eastAsia" w:ascii="仿宋" w:hAnsi="仿宋" w:eastAsia="仿宋" w:cs="仿宋"/>
          <w:sz w:val="28"/>
          <w:szCs w:val="28"/>
          <w:highlight w:val="none"/>
          <w:u w:val="single"/>
        </w:rPr>
      </w:pPr>
      <w:r>
        <w:rPr>
          <w:rFonts w:hint="eastAsia" w:ascii="仿宋" w:hAnsi="仿宋" w:eastAsia="仿宋" w:cs="仿宋"/>
          <w:bCs/>
          <w:sz w:val="28"/>
          <w:szCs w:val="28"/>
          <w:highlight w:val="none"/>
        </w:rPr>
        <w:t>1. 总包工程名称</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兰州新区年产30GWh 新能源电池生产基地项目（一期）-</w:t>
      </w:r>
      <w:r>
        <w:rPr>
          <w:rFonts w:hint="eastAsia" w:ascii="仿宋" w:hAnsi="仿宋" w:eastAsia="仿宋" w:cs="仿宋"/>
          <w:sz w:val="28"/>
          <w:szCs w:val="28"/>
          <w:highlight w:val="none"/>
          <w:u w:val="single"/>
          <w:lang w:val="en-US" w:eastAsia="zh-CN"/>
        </w:rPr>
        <w:t>电气（一标段）专业分包工程</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030B787">
      <w:pPr>
        <w:wordWrap w:val="0"/>
        <w:adjustRightInd w:val="0"/>
        <w:snapToGrid w:val="0"/>
        <w:spacing w:line="360" w:lineRule="auto"/>
        <w:ind w:firstLine="548" w:firstLineChars="196"/>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分包工程名称：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eastAsia="zh-CN"/>
        </w:rPr>
        <w:t>电气（一标段）专业分包</w:t>
      </w:r>
      <w:r>
        <w:rPr>
          <w:rFonts w:hint="eastAsia" w:ascii="仿宋" w:hAnsi="仿宋" w:eastAsia="仿宋" w:cs="仿宋"/>
          <w:sz w:val="28"/>
          <w:szCs w:val="28"/>
          <w:highlight w:val="none"/>
          <w:u w:val="single"/>
        </w:rPr>
        <w:t xml:space="preserve">   </w:t>
      </w:r>
      <w:r>
        <w:rPr>
          <w:rFonts w:hint="eastAsia" w:ascii="仿宋" w:hAnsi="仿宋" w:eastAsia="仿宋" w:cs="仿宋"/>
          <w:bCs/>
          <w:sz w:val="28"/>
          <w:szCs w:val="28"/>
          <w:highlight w:val="none"/>
        </w:rPr>
        <w:t>。</w:t>
      </w:r>
    </w:p>
    <w:p w14:paraId="5D4A4B54">
      <w:pPr>
        <w:wordWrap w:val="0"/>
        <w:adjustRightInd w:val="0"/>
        <w:snapToGrid w:val="0"/>
        <w:spacing w:line="360" w:lineRule="auto"/>
        <w:ind w:firstLine="548" w:firstLineChars="196"/>
        <w:rPr>
          <w:rFonts w:hint="eastAsia" w:ascii="仿宋" w:hAnsi="仿宋" w:eastAsia="仿宋" w:cs="仿宋"/>
          <w:bCs/>
          <w:sz w:val="28"/>
          <w:szCs w:val="28"/>
          <w:highlight w:val="none"/>
        </w:rPr>
      </w:pPr>
      <w:r>
        <w:rPr>
          <w:rFonts w:hint="eastAsia" w:ascii="仿宋" w:hAnsi="仿宋" w:eastAsia="仿宋" w:cs="仿宋"/>
          <w:bCs/>
          <w:sz w:val="28"/>
          <w:szCs w:val="28"/>
          <w:highlight w:val="none"/>
        </w:rPr>
        <w:t>3. 分包工程地点：</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甘肃省兰州市皋兰县海河街766号中机国际兰州新区30GWh新能源电池生产基地项</w:t>
      </w:r>
      <w:r>
        <w:rPr>
          <w:rFonts w:hint="eastAsia" w:ascii="仿宋" w:hAnsi="仿宋" w:eastAsia="仿宋" w:cs="仿宋"/>
          <w:sz w:val="28"/>
          <w:szCs w:val="28"/>
          <w:highlight w:val="none"/>
        </w:rPr>
        <w:t>。</w:t>
      </w:r>
    </w:p>
    <w:p w14:paraId="365FF141">
      <w:pPr>
        <w:wordWrap w:val="0"/>
        <w:adjustRightInd w:val="0"/>
        <w:snapToGrid w:val="0"/>
        <w:spacing w:line="400" w:lineRule="exact"/>
        <w:ind w:firstLine="548" w:firstLineChars="196"/>
        <w:rPr>
          <w:rFonts w:hint="eastAsia" w:ascii="仿宋" w:hAnsi="仿宋" w:eastAsia="仿宋" w:cs="仿宋"/>
          <w:sz w:val="28"/>
          <w:szCs w:val="28"/>
          <w:highlight w:val="none"/>
          <w:u w:val="single"/>
        </w:rPr>
      </w:pPr>
      <w:r>
        <w:rPr>
          <w:rFonts w:hint="eastAsia" w:ascii="仿宋" w:hAnsi="仿宋" w:eastAsia="仿宋" w:cs="仿宋"/>
          <w:bCs/>
          <w:sz w:val="28"/>
          <w:szCs w:val="28"/>
          <w:highlight w:val="none"/>
        </w:rPr>
        <w:t xml:space="preserve">4. </w:t>
      </w:r>
      <w:r>
        <w:rPr>
          <w:rFonts w:hint="eastAsia" w:ascii="仿宋" w:hAnsi="仿宋" w:eastAsia="仿宋" w:cs="仿宋"/>
          <w:sz w:val="28"/>
          <w:szCs w:val="28"/>
          <w:highlight w:val="none"/>
        </w:rPr>
        <w:t>分包工程承包范围：</w:t>
      </w:r>
    </w:p>
    <w:p w14:paraId="0C0EFE9F">
      <w:pPr>
        <w:pStyle w:val="8"/>
        <w:adjustRightInd w:val="0"/>
        <w:spacing w:line="360" w:lineRule="auto"/>
        <w:ind w:firstLine="560" w:firstLineChars="200"/>
        <w:jc w:val="left"/>
        <w:textAlignment w:val="baseline"/>
        <w:rPr>
          <w:rFonts w:hint="eastAsia" w:ascii="仿宋" w:hAnsi="仿宋" w:eastAsia="仿宋" w:cs="仿宋"/>
          <w:sz w:val="28"/>
          <w:szCs w:val="28"/>
          <w:highlight w:val="none"/>
          <w:u w:val="single"/>
        </w:rPr>
      </w:pPr>
      <w:bookmarkStart w:id="8" w:name="_Toc351203482"/>
      <w:bookmarkStart w:id="9" w:name="_Toc371493142"/>
      <w:bookmarkStart w:id="10" w:name="_Toc17986"/>
      <w:r>
        <w:rPr>
          <w:rFonts w:hint="eastAsia" w:ascii="仿宋" w:hAnsi="仿宋" w:eastAsia="仿宋" w:cs="仿宋"/>
          <w:sz w:val="28"/>
          <w:szCs w:val="28"/>
          <w:highlight w:val="none"/>
          <w:u w:val="single"/>
        </w:rPr>
        <w:t>兰州新区年产30GWh新能源电池生产基地项目（一期）电芯厂房</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室外工程</w:t>
      </w:r>
      <w:r>
        <w:rPr>
          <w:rFonts w:hint="eastAsia" w:ascii="仿宋" w:hAnsi="仿宋" w:eastAsia="仿宋" w:cs="仿宋"/>
          <w:sz w:val="28"/>
          <w:szCs w:val="28"/>
          <w:highlight w:val="none"/>
          <w:u w:val="single"/>
        </w:rPr>
        <w:t>整个图纸范围内电气工程，清单工程量为指导</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其中电缆甲供。</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详见附件一 工程量清单）</w:t>
      </w:r>
      <w:r>
        <w:rPr>
          <w:rFonts w:hint="eastAsia" w:ascii="仿宋" w:hAnsi="仿宋" w:eastAsia="仿宋" w:cs="仿宋"/>
          <w:sz w:val="28"/>
          <w:szCs w:val="28"/>
          <w:highlight w:val="none"/>
          <w:u w:val="single"/>
        </w:rPr>
        <w:t>。</w:t>
      </w:r>
    </w:p>
    <w:p w14:paraId="55AECEA3">
      <w:pPr>
        <w:pStyle w:val="3"/>
        <w:wordWrap w:val="0"/>
        <w:adjustRightInd w:val="0"/>
        <w:spacing w:before="156" w:beforeLines="50" w:line="360" w:lineRule="auto"/>
        <w:rPr>
          <w:rFonts w:hint="eastAsia" w:ascii="仿宋" w:hAnsi="仿宋" w:eastAsia="仿宋" w:cs="仿宋"/>
          <w:sz w:val="28"/>
          <w:szCs w:val="28"/>
          <w:highlight w:val="none"/>
        </w:rPr>
      </w:pPr>
      <w:bookmarkStart w:id="11" w:name="_Toc23722"/>
      <w:r>
        <w:rPr>
          <w:rFonts w:hint="eastAsia" w:ascii="仿宋" w:hAnsi="仿宋" w:eastAsia="仿宋" w:cs="仿宋"/>
          <w:sz w:val="28"/>
          <w:szCs w:val="28"/>
          <w:highlight w:val="none"/>
        </w:rPr>
        <w:t>二、分包合同工期</w:t>
      </w:r>
      <w:bookmarkEnd w:id="8"/>
      <w:bookmarkEnd w:id="9"/>
      <w:bookmarkEnd w:id="10"/>
      <w:bookmarkEnd w:id="11"/>
    </w:p>
    <w:p w14:paraId="50DBAC98">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计划开工时间：以承包人通知为准</w:t>
      </w:r>
    </w:p>
    <w:p w14:paraId="6A4A1CBE">
      <w:pPr>
        <w:ind w:firstLine="624"/>
        <w:rPr>
          <w:rFonts w:hint="eastAsia" w:ascii="仿宋" w:hAnsi="仿宋" w:eastAsia="仿宋" w:cs="仿宋"/>
          <w:color w:val="0000FF"/>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计划竣工时间最迟：</w:t>
      </w:r>
      <w:r>
        <w:rPr>
          <w:rFonts w:hint="eastAsia" w:ascii="仿宋" w:hAnsi="仿宋" w:eastAsia="仿宋" w:cs="仿宋"/>
          <w:color w:val="0000FF"/>
          <w:kern w:val="2"/>
          <w:sz w:val="28"/>
          <w:szCs w:val="28"/>
          <w:highlight w:val="none"/>
          <w:lang w:val="en-US" w:eastAsia="zh-CN" w:bidi="ar-SA"/>
        </w:rPr>
        <w:t>2026年 月 日</w:t>
      </w:r>
    </w:p>
    <w:p w14:paraId="186D22DC">
      <w:pPr>
        <w:ind w:firstLine="624"/>
        <w:rPr>
          <w:rFonts w:hint="default" w:ascii="仿宋" w:hAnsi="仿宋" w:eastAsia="仿宋" w:cs="仿宋"/>
          <w:color w:val="0000FF"/>
          <w:kern w:val="2"/>
          <w:sz w:val="28"/>
          <w:szCs w:val="28"/>
          <w:highlight w:val="none"/>
          <w:lang w:val="en-US" w:eastAsia="zh-CN" w:bidi="ar-SA"/>
        </w:rPr>
      </w:pPr>
      <w:r>
        <w:rPr>
          <w:rFonts w:hint="default" w:ascii="仿宋" w:hAnsi="仿宋" w:eastAsia="仿宋" w:cs="仿宋"/>
          <w:color w:val="0000FF"/>
          <w:kern w:val="2"/>
          <w:sz w:val="28"/>
          <w:szCs w:val="28"/>
          <w:highlight w:val="none"/>
          <w:lang w:val="en-US" w:eastAsia="zh-CN" w:bidi="ar-SA"/>
        </w:rPr>
        <w:t>工期总日历天数：</w:t>
      </w:r>
      <w:r>
        <w:rPr>
          <w:rFonts w:hint="eastAsia" w:ascii="仿宋" w:hAnsi="仿宋" w:eastAsia="仿宋" w:cs="仿宋"/>
          <w:color w:val="0000FF"/>
          <w:kern w:val="2"/>
          <w:sz w:val="28"/>
          <w:szCs w:val="28"/>
          <w:highlight w:val="none"/>
          <w:lang w:val="en-US" w:eastAsia="zh-CN" w:bidi="ar-SA"/>
        </w:rPr>
        <w:t>140</w:t>
      </w:r>
      <w:r>
        <w:rPr>
          <w:rFonts w:hint="default" w:ascii="仿宋" w:hAnsi="仿宋" w:eastAsia="仿宋" w:cs="仿宋"/>
          <w:color w:val="0000FF"/>
          <w:kern w:val="2"/>
          <w:sz w:val="28"/>
          <w:szCs w:val="28"/>
          <w:highlight w:val="none"/>
          <w:lang w:val="en-US" w:eastAsia="zh-CN" w:bidi="ar-SA"/>
        </w:rPr>
        <w:t>天</w:t>
      </w:r>
    </w:p>
    <w:p w14:paraId="359311A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具体进场日期以承包方通知为准</w:t>
      </w:r>
    </w:p>
    <w:p w14:paraId="49C711C2">
      <w:pPr>
        <w:numPr>
          <w:ilvl w:val="0"/>
          <w:numId w:val="4"/>
        </w:numPr>
        <w:wordWrap w:val="0"/>
        <w:adjustRightInd w:val="0"/>
        <w:snapToGrid w:val="0"/>
        <w:spacing w:line="360" w:lineRule="auto"/>
        <w:rPr>
          <w:rFonts w:hint="eastAsia" w:ascii="仿宋" w:hAnsi="仿宋" w:eastAsia="仿宋" w:cs="仿宋"/>
          <w:sz w:val="28"/>
          <w:szCs w:val="28"/>
          <w:highlight w:val="none"/>
        </w:rPr>
      </w:pPr>
      <w:bookmarkStart w:id="12" w:name="_Toc22991"/>
      <w:bookmarkStart w:id="13" w:name="_Toc351203483"/>
      <w:bookmarkStart w:id="14" w:name="_Toc371493143"/>
      <w:bookmarkStart w:id="15" w:name="_Toc25142"/>
      <w:r>
        <w:rPr>
          <w:rFonts w:hint="eastAsia" w:ascii="仿宋" w:hAnsi="仿宋" w:eastAsia="仿宋" w:cs="仿宋"/>
          <w:sz w:val="28"/>
          <w:szCs w:val="28"/>
          <w:highlight w:val="none"/>
        </w:rPr>
        <w:t>质量标准</w:t>
      </w:r>
      <w:bookmarkEnd w:id="12"/>
      <w:bookmarkEnd w:id="13"/>
      <w:bookmarkEnd w:id="14"/>
      <w:bookmarkEnd w:id="15"/>
    </w:p>
    <w:p w14:paraId="2D5D6EC1">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分包工程质量应符合以下质量验收标准：工程质量标准满足图纸要求及国家、行业、地方等验收标准。 </w:t>
      </w:r>
    </w:p>
    <w:p w14:paraId="67E5FAB2">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《建筑照明设计标准》GB/T50034-2024</w:t>
      </w:r>
    </w:p>
    <w:p w14:paraId="1DAD4A72">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《工业建筑节能设计统一标准》GB 51245-2017</w:t>
      </w:r>
    </w:p>
    <w:p w14:paraId="5F27B074">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《建筑机电工程抗震设计规范》GB 50981-2014</w:t>
      </w:r>
    </w:p>
    <w:p w14:paraId="5A8D63FB">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《建筑电气工程施工质量验收规范》 GB50303-2015</w:t>
      </w:r>
    </w:p>
    <w:p w14:paraId="177D138D">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《建筑电气照明装置施工与验收规范》GB 50617-2010</w:t>
      </w:r>
    </w:p>
    <w:p w14:paraId="13E3787C">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中华人民共和国国家、行业其他现行的有效设计标准、规范、规程和标准图集。</w:t>
      </w:r>
    </w:p>
    <w:p w14:paraId="1570D7E0">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16" w:name="_Toc26135"/>
      <w:bookmarkStart w:id="17" w:name="_Toc371493144"/>
      <w:bookmarkStart w:id="18" w:name="_Toc26413"/>
      <w:bookmarkStart w:id="19" w:name="_Toc351203484"/>
      <w:r>
        <w:rPr>
          <w:rFonts w:hint="eastAsia" w:ascii="仿宋" w:hAnsi="仿宋" w:eastAsia="仿宋" w:cs="仿宋"/>
          <w:sz w:val="28"/>
          <w:szCs w:val="28"/>
          <w:highlight w:val="none"/>
        </w:rPr>
        <w:t>四、签约合同价与合同价格形式</w:t>
      </w:r>
      <w:bookmarkEnd w:id="16"/>
      <w:bookmarkEnd w:id="17"/>
      <w:bookmarkEnd w:id="18"/>
      <w:bookmarkEnd w:id="19"/>
      <w:r>
        <w:rPr>
          <w:rFonts w:hint="eastAsia" w:ascii="仿宋" w:hAnsi="仿宋" w:eastAsia="仿宋" w:cs="仿宋"/>
          <w:sz w:val="28"/>
          <w:szCs w:val="28"/>
          <w:highlight w:val="none"/>
        </w:rPr>
        <w:tab/>
      </w:r>
    </w:p>
    <w:p w14:paraId="60D64DE6">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 本合同暂定金额（含增值税）¥         元（大写：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其中含税</w:t>
      </w:r>
      <w:r>
        <w:rPr>
          <w:rFonts w:hint="eastAsia" w:ascii="仿宋" w:hAnsi="仿宋" w:eastAsia="仿宋" w:cs="仿宋"/>
          <w:sz w:val="28"/>
          <w:szCs w:val="28"/>
          <w:highlight w:val="none"/>
        </w:rPr>
        <w:t>暂定</w:t>
      </w:r>
      <w:r>
        <w:rPr>
          <w:rFonts w:hint="eastAsia" w:ascii="仿宋" w:hAnsi="仿宋" w:eastAsia="仿宋" w:cs="仿宋"/>
          <w:sz w:val="28"/>
          <w:szCs w:val="28"/>
          <w:highlight w:val="none"/>
          <w:lang w:val="en-US" w:eastAsia="zh-CN"/>
        </w:rPr>
        <w:t>价</w:t>
      </w:r>
      <w:r>
        <w:rPr>
          <w:rFonts w:hint="eastAsia" w:ascii="仿宋" w:hAnsi="仿宋" w:eastAsia="仿宋" w:cs="仿宋"/>
          <w:sz w:val="28"/>
          <w:szCs w:val="28"/>
          <w:highlight w:val="none"/>
        </w:rPr>
        <w:t>¥         元（大写：       ）税率为【</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不含增值税暂定金额为¥          元（大写：         ）；</w:t>
      </w:r>
    </w:p>
    <w:p w14:paraId="56EA0590">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分包合同价格形式：</w:t>
      </w:r>
      <w:r>
        <w:rPr>
          <w:rFonts w:hint="eastAsia" w:ascii="仿宋" w:hAnsi="仿宋" w:eastAsia="仿宋" w:cs="仿宋"/>
          <w:sz w:val="28"/>
          <w:szCs w:val="28"/>
          <w:highlight w:val="none"/>
          <w:u w:val="single"/>
          <w:lang w:val="en-US" w:eastAsia="zh-CN"/>
        </w:rPr>
        <w:t>固定</w:t>
      </w:r>
      <w:r>
        <w:rPr>
          <w:rFonts w:hint="eastAsia" w:ascii="仿宋" w:hAnsi="仿宋" w:eastAsia="仿宋" w:cs="仿宋"/>
          <w:sz w:val="28"/>
          <w:szCs w:val="28"/>
          <w:highlight w:val="none"/>
          <w:u w:val="single"/>
        </w:rPr>
        <w:t>综合单价，工程量按实结算</w:t>
      </w:r>
      <w:r>
        <w:rPr>
          <w:rFonts w:hint="eastAsia" w:ascii="仿宋" w:hAnsi="仿宋" w:eastAsia="仿宋" w:cs="仿宋"/>
          <w:sz w:val="28"/>
          <w:szCs w:val="28"/>
          <w:highlight w:val="none"/>
        </w:rPr>
        <w:t>。</w:t>
      </w:r>
    </w:p>
    <w:p w14:paraId="0620C301">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30"/>
          <w:szCs w:val="30"/>
          <w:highlight w:val="none"/>
        </w:rPr>
        <w:t xml:space="preserve">    </w:t>
      </w:r>
      <w:bookmarkStart w:id="20" w:name="_Toc9252"/>
      <w:bookmarkStart w:id="21" w:name="_Toc351203486"/>
      <w:bookmarkStart w:id="22" w:name="_Toc28068"/>
      <w:bookmarkStart w:id="23" w:name="_Toc371493145"/>
      <w:r>
        <w:rPr>
          <w:rFonts w:hint="eastAsia" w:ascii="仿宋" w:hAnsi="仿宋" w:eastAsia="仿宋" w:cs="仿宋"/>
          <w:sz w:val="28"/>
          <w:szCs w:val="28"/>
          <w:highlight w:val="none"/>
        </w:rPr>
        <w:t>五、合同文件构成</w:t>
      </w:r>
      <w:bookmarkEnd w:id="20"/>
      <w:bookmarkEnd w:id="21"/>
      <w:bookmarkEnd w:id="22"/>
      <w:bookmarkEnd w:id="23"/>
    </w:p>
    <w:p w14:paraId="37EEFE1E">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本协议书与下列文件一起构成分包合同文件：</w:t>
      </w:r>
    </w:p>
    <w:p w14:paraId="682F86B6">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（1）专用合同条款及其附件；</w:t>
      </w:r>
    </w:p>
    <w:p w14:paraId="08DD341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 通用合同条款；</w:t>
      </w:r>
    </w:p>
    <w:p w14:paraId="3523141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（3）中标通知书（如果有）；</w:t>
      </w:r>
    </w:p>
    <w:p w14:paraId="146A69A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（4）投标函及其附录（如果有）；</w:t>
      </w:r>
    </w:p>
    <w:p w14:paraId="180355FA">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（5）技术标准和要求；</w:t>
      </w:r>
    </w:p>
    <w:p w14:paraId="2F3A50D3">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（6）图纸；</w:t>
      </w:r>
    </w:p>
    <w:p w14:paraId="6762889D">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（7）已标价工程量清单或预算书；</w:t>
      </w:r>
    </w:p>
    <w:p w14:paraId="33DCAD1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（8）其他分包合同文件。</w:t>
      </w:r>
    </w:p>
    <w:p w14:paraId="5DBB017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在分包合同订立及履行过程中分包合同当事人签署的与分包合同有关的文件均构成分包合同文件组成部分。</w:t>
      </w:r>
    </w:p>
    <w:p w14:paraId="5EE18E6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前述各项分包合同文件包括合同当事人就该项分包合同文件作出的补充和修改，属于同一类内容的文件，应以最新签署的为准。</w:t>
      </w:r>
    </w:p>
    <w:p w14:paraId="4B1CC42C">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24" w:name="_Toc3647"/>
      <w:bookmarkStart w:id="25" w:name="_Toc371493146"/>
      <w:bookmarkStart w:id="26" w:name="_Toc9110"/>
      <w:bookmarkStart w:id="27" w:name="_Toc351203487"/>
      <w:r>
        <w:rPr>
          <w:rFonts w:hint="eastAsia" w:ascii="仿宋" w:hAnsi="仿宋" w:eastAsia="仿宋" w:cs="仿宋"/>
          <w:sz w:val="28"/>
          <w:szCs w:val="28"/>
          <w:highlight w:val="none"/>
        </w:rPr>
        <w:t>六、承诺</w:t>
      </w:r>
      <w:bookmarkEnd w:id="24"/>
      <w:bookmarkEnd w:id="25"/>
      <w:bookmarkEnd w:id="26"/>
      <w:bookmarkEnd w:id="27"/>
    </w:p>
    <w:p w14:paraId="7C26A856">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 承包人承诺按照分包合同约定的期限和方式支付合同价款。</w:t>
      </w:r>
    </w:p>
    <w:p w14:paraId="78B907EC">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分包人承诺按照法律规定及分包合同约定完成分包工程施工，并在缺陷责任期及保修期内履行分包工程维修义务。</w:t>
      </w:r>
    </w:p>
    <w:p w14:paraId="1D7B7EF9">
      <w:pPr>
        <w:wordWrap w:val="0"/>
        <w:adjustRightInd w:val="0"/>
        <w:snapToGrid w:val="0"/>
        <w:spacing w:line="360" w:lineRule="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3. 分包人承诺知晓并自愿履行总包合同中与本分包工程有关的承包人的所有义务，但分包合同明确约定应由承包人履行的义务除外。分包人承诺就分包工程质量和安全与承包人向发包人承担连带责任。</w:t>
      </w:r>
    </w:p>
    <w:p w14:paraId="7742C3D7">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 合同当事人通过招投标形式签订分包合同的，双方理解并承诺不再另行签订与分包合同实质性内容相背离的合同。</w:t>
      </w:r>
    </w:p>
    <w:p w14:paraId="7AA06192">
      <w:pPr>
        <w:pStyle w:val="3"/>
        <w:wordWrap w:val="0"/>
        <w:adjustRightInd w:val="0"/>
        <w:spacing w:before="156" w:beforeLines="50" w:line="360" w:lineRule="auto"/>
        <w:ind w:firstLine="480"/>
        <w:rPr>
          <w:rFonts w:hint="eastAsia" w:ascii="仿宋" w:hAnsi="仿宋" w:eastAsia="仿宋" w:cs="仿宋"/>
          <w:sz w:val="28"/>
          <w:szCs w:val="28"/>
          <w:highlight w:val="none"/>
        </w:rPr>
      </w:pPr>
      <w:bookmarkStart w:id="28" w:name="_Toc351203488"/>
      <w:bookmarkStart w:id="29" w:name="_Toc29806"/>
      <w:bookmarkStart w:id="30" w:name="_Toc4437"/>
      <w:bookmarkStart w:id="31" w:name="_Toc371493147"/>
      <w:r>
        <w:rPr>
          <w:rFonts w:hint="eastAsia" w:ascii="仿宋" w:hAnsi="仿宋" w:eastAsia="仿宋" w:cs="仿宋"/>
          <w:sz w:val="28"/>
          <w:szCs w:val="28"/>
          <w:highlight w:val="none"/>
        </w:rPr>
        <w:t>七、</w:t>
      </w:r>
      <w:bookmarkEnd w:id="28"/>
      <w:r>
        <w:rPr>
          <w:rFonts w:hint="eastAsia" w:ascii="仿宋" w:hAnsi="仿宋" w:eastAsia="仿宋" w:cs="仿宋"/>
          <w:sz w:val="28"/>
          <w:szCs w:val="28"/>
          <w:highlight w:val="none"/>
        </w:rPr>
        <w:t>其他</w:t>
      </w:r>
      <w:bookmarkEnd w:id="29"/>
      <w:bookmarkEnd w:id="30"/>
      <w:bookmarkEnd w:id="31"/>
    </w:p>
    <w:p w14:paraId="781958AE">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bCs/>
          <w:sz w:val="28"/>
          <w:szCs w:val="28"/>
          <w:highlight w:val="none"/>
        </w:rPr>
        <w:t xml:space="preserve">. </w:t>
      </w:r>
      <w:r>
        <w:rPr>
          <w:rFonts w:hint="eastAsia" w:ascii="仿宋" w:hAnsi="仿宋" w:eastAsia="仿宋" w:cs="仿宋"/>
          <w:sz w:val="28"/>
          <w:szCs w:val="28"/>
          <w:highlight w:val="none"/>
        </w:rPr>
        <w:t>本工程政府要求以工代赈，施工作业人员需使用本地劳动力资源。</w:t>
      </w:r>
    </w:p>
    <w:p w14:paraId="45D23888">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协议书中词语含义与第二部分通用合同条款中赋予的含义相同。</w:t>
      </w:r>
    </w:p>
    <w:p w14:paraId="550F76D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3. 本协议书于</w:t>
      </w:r>
      <w:r>
        <w:rPr>
          <w:rFonts w:hint="eastAsia" w:ascii="仿宋" w:hAnsi="仿宋" w:eastAsia="仿宋" w:cs="仿宋"/>
          <w:bCs/>
          <w:sz w:val="28"/>
          <w:szCs w:val="28"/>
          <w:highlight w:val="none"/>
          <w:u w:val="single"/>
        </w:rPr>
        <w:t xml:space="preserve"> 202</w:t>
      </w:r>
      <w:r>
        <w:rPr>
          <w:rFonts w:hint="eastAsia" w:ascii="仿宋" w:hAnsi="仿宋" w:eastAsia="仿宋" w:cs="仿宋"/>
          <w:bCs/>
          <w:sz w:val="28"/>
          <w:szCs w:val="28"/>
          <w:highlight w:val="none"/>
          <w:u w:val="single"/>
          <w:lang w:val="en-US" w:eastAsia="zh-CN"/>
        </w:rPr>
        <w:t>6</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日在</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签订，自承包人、分包人双方签字并盖章后生效。本协议书一式伍份，承包人执肆份，分包人执壹份，均具有同等法律效力。</w:t>
      </w:r>
      <w:r>
        <w:rPr>
          <w:rFonts w:hint="eastAsia" w:ascii="仿宋" w:hAnsi="仿宋" w:eastAsia="仿宋" w:cs="仿宋"/>
          <w:sz w:val="28"/>
          <w:szCs w:val="28"/>
          <w:highlight w:val="none"/>
        </w:rPr>
        <w:t xml:space="preserve">    </w:t>
      </w:r>
    </w:p>
    <w:p w14:paraId="1580BE0F">
      <w:pPr>
        <w:pStyle w:val="20"/>
        <w:rPr>
          <w:rFonts w:hint="eastAsia" w:ascii="仿宋" w:hAnsi="仿宋" w:eastAsia="仿宋" w:cs="仿宋"/>
          <w:sz w:val="24"/>
          <w:szCs w:val="24"/>
          <w:highlight w:val="none"/>
        </w:rPr>
      </w:pPr>
    </w:p>
    <w:p w14:paraId="5D50F72A">
      <w:pPr>
        <w:pStyle w:val="20"/>
        <w:rPr>
          <w:rFonts w:hint="eastAsia" w:ascii="仿宋" w:hAnsi="仿宋" w:eastAsia="仿宋" w:cs="仿宋"/>
          <w:sz w:val="24"/>
          <w:szCs w:val="24"/>
          <w:highlight w:val="none"/>
        </w:rPr>
      </w:pPr>
    </w:p>
    <w:p w14:paraId="62207C8C">
      <w:pPr>
        <w:pStyle w:val="20"/>
        <w:rPr>
          <w:rFonts w:hint="eastAsia" w:ascii="仿宋" w:hAnsi="仿宋" w:eastAsia="仿宋" w:cs="仿宋"/>
          <w:sz w:val="24"/>
          <w:szCs w:val="24"/>
          <w:highlight w:val="none"/>
        </w:rPr>
      </w:pPr>
    </w:p>
    <w:p w14:paraId="3FAF987E">
      <w:pPr>
        <w:pStyle w:val="20"/>
        <w:rPr>
          <w:rFonts w:hint="eastAsia" w:ascii="仿宋" w:hAnsi="仿宋" w:eastAsia="仿宋" w:cs="仿宋"/>
          <w:sz w:val="24"/>
          <w:szCs w:val="24"/>
          <w:highlight w:val="none"/>
        </w:rPr>
      </w:pPr>
    </w:p>
    <w:p w14:paraId="0A313469">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承包人：  (公章)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分包人：  (公章)</w:t>
      </w:r>
    </w:p>
    <w:p w14:paraId="492524C3">
      <w:pPr>
        <w:wordWrap w:val="0"/>
        <w:adjustRightInd w:val="0"/>
        <w:snapToGrid w:val="0"/>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p>
    <w:p w14:paraId="24545FD1">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法定代表人或其委托代理人：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法定代表人或其委托代理人：</w:t>
      </w:r>
    </w:p>
    <w:p w14:paraId="050FA2EB">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（签字）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（签字）</w:t>
      </w:r>
    </w:p>
    <w:p w14:paraId="57C32CA9">
      <w:pPr>
        <w:tabs>
          <w:tab w:val="left" w:pos="4410"/>
        </w:tabs>
        <w:wordWrap w:val="0"/>
        <w:adjustRightInd w:val="0"/>
        <w:snapToGrid w:val="0"/>
        <w:spacing w:line="400" w:lineRule="exact"/>
        <w:rPr>
          <w:rFonts w:hint="eastAsia" w:ascii="仿宋" w:hAnsi="仿宋" w:eastAsia="仿宋" w:cs="仿宋"/>
          <w:sz w:val="24"/>
          <w:szCs w:val="24"/>
          <w:highlight w:val="none"/>
        </w:rPr>
      </w:pPr>
    </w:p>
    <w:p w14:paraId="20552DF2">
      <w:pPr>
        <w:tabs>
          <w:tab w:val="left" w:pos="4410"/>
        </w:tabs>
        <w:wordWrap w:val="0"/>
        <w:adjustRightInd w:val="0"/>
        <w:snapToGrid w:val="0"/>
        <w:spacing w:line="40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602FE9B0">
      <w:pPr>
        <w:wordWrap w:val="0"/>
        <w:adjustRightInd w:val="0"/>
        <w:snapToGrid w:val="0"/>
        <w:spacing w:line="400" w:lineRule="exact"/>
        <w:ind w:left="5520" w:hanging="6440" w:hangingChars="2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地  址 </w:t>
      </w:r>
      <w:r>
        <w:rPr>
          <w:rFonts w:hint="eastAsia" w:ascii="仿宋" w:hAnsi="仿宋" w:eastAsia="仿宋" w:cs="仿宋"/>
          <w:sz w:val="28"/>
          <w:szCs w:val="28"/>
          <w:highlight w:val="none"/>
          <w:u w:val="single"/>
        </w:rPr>
        <w:t>长沙市雨花区韶山中路18号</w:t>
      </w:r>
      <w:r>
        <w:rPr>
          <w:rFonts w:hint="eastAsia" w:ascii="仿宋" w:hAnsi="仿宋" w:eastAsia="仿宋" w:cs="仿宋"/>
          <w:sz w:val="28"/>
          <w:szCs w:val="28"/>
          <w:highlight w:val="none"/>
        </w:rPr>
        <w:t xml:space="preserve">   地  址：</w:t>
      </w:r>
      <w:r>
        <w:rPr>
          <w:rFonts w:hint="eastAsia" w:ascii="仿宋" w:hAnsi="仿宋" w:eastAsia="仿宋" w:cs="仿宋"/>
          <w:sz w:val="28"/>
          <w:szCs w:val="28"/>
          <w:highlight w:val="none"/>
          <w:u w:val="single"/>
        </w:rPr>
        <w:t xml:space="preserve">               </w:t>
      </w:r>
    </w:p>
    <w:p w14:paraId="0F35EB38">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       </w:t>
      </w:r>
      <w:r>
        <w:rPr>
          <w:rFonts w:hint="eastAsia" w:ascii="仿宋" w:hAnsi="仿宋" w:eastAsia="仿宋" w:cs="仿宋"/>
          <w:sz w:val="28"/>
          <w:szCs w:val="28"/>
          <w:highlight w:val="none"/>
        </w:rPr>
        <w:t xml:space="preserve">     邮政编码：</w:t>
      </w:r>
      <w:r>
        <w:rPr>
          <w:rFonts w:hint="eastAsia" w:ascii="仿宋" w:hAnsi="仿宋" w:eastAsia="仿宋" w:cs="仿宋"/>
          <w:sz w:val="28"/>
          <w:szCs w:val="28"/>
          <w:highlight w:val="none"/>
          <w:u w:val="single"/>
        </w:rPr>
        <w:t xml:space="preserve">     </w:t>
      </w:r>
    </w:p>
    <w:p w14:paraId="09172616">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法定代表人：</w:t>
      </w:r>
      <w:r>
        <w:rPr>
          <w:rFonts w:hint="eastAsia" w:ascii="仿宋" w:hAnsi="仿宋" w:eastAsia="仿宋" w:cs="仿宋"/>
          <w:sz w:val="28"/>
          <w:szCs w:val="28"/>
          <w:highlight w:val="none"/>
          <w:u w:val="single"/>
        </w:rPr>
        <w:t xml:space="preserve">               </w:t>
      </w:r>
    </w:p>
    <w:p w14:paraId="3B6C7991">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委托代理人：</w:t>
      </w:r>
      <w:r>
        <w:rPr>
          <w:rFonts w:hint="eastAsia" w:ascii="仿宋" w:hAnsi="仿宋" w:eastAsia="仿宋" w:cs="仿宋"/>
          <w:sz w:val="28"/>
          <w:szCs w:val="28"/>
          <w:highlight w:val="none"/>
          <w:u w:val="single"/>
        </w:rPr>
        <w:t xml:space="preserve">                 </w:t>
      </w:r>
    </w:p>
    <w:p w14:paraId="26717588">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 xml:space="preserve">0731-85383359       </w:t>
      </w:r>
      <w:r>
        <w:rPr>
          <w:rFonts w:hint="eastAsia" w:ascii="仿宋" w:hAnsi="仿宋" w:eastAsia="仿宋" w:cs="仿宋"/>
          <w:sz w:val="28"/>
          <w:szCs w:val="28"/>
          <w:highlight w:val="none"/>
        </w:rPr>
        <w:t xml:space="preserve">     电  话：</w:t>
      </w:r>
      <w:r>
        <w:rPr>
          <w:rFonts w:hint="eastAsia" w:ascii="仿宋" w:hAnsi="仿宋" w:eastAsia="仿宋" w:cs="仿宋"/>
          <w:sz w:val="28"/>
          <w:szCs w:val="28"/>
          <w:highlight w:val="none"/>
          <w:u w:val="single"/>
        </w:rPr>
        <w:t></w:t>
      </w:r>
      <w:r>
        <w:rPr>
          <w:rFonts w:hint="eastAsia" w:ascii="仿宋" w:hAnsi="仿宋" w:eastAsia="仿宋" w:cs="仿宋"/>
          <w:bCs/>
          <w:sz w:val="28"/>
          <w:szCs w:val="28"/>
          <w:highlight w:val="none"/>
          <w:u w:val="single"/>
        </w:rPr>
        <w:t xml:space="preserve">            </w:t>
      </w:r>
      <w:r>
        <w:rPr>
          <w:rFonts w:hint="eastAsia" w:ascii="仿宋" w:hAnsi="仿宋" w:eastAsia="仿宋" w:cs="仿宋"/>
          <w:sz w:val="28"/>
          <w:szCs w:val="28"/>
          <w:highlight w:val="none"/>
          <w:u w:val="single"/>
        </w:rPr>
        <w:t xml:space="preserve">         </w:t>
      </w:r>
    </w:p>
    <w:p w14:paraId="7EA384C7">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电子信箱：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电子信箱：</w:t>
      </w:r>
      <w:r>
        <w:rPr>
          <w:rFonts w:hint="eastAsia" w:ascii="仿宋" w:hAnsi="仿宋" w:eastAsia="仿宋" w:cs="仿宋"/>
          <w:sz w:val="28"/>
          <w:szCs w:val="28"/>
          <w:highlight w:val="none"/>
          <w:u w:val="single"/>
        </w:rPr>
        <w:t xml:space="preserve">                     </w:t>
      </w:r>
    </w:p>
    <w:p w14:paraId="4998FE8C">
      <w:pPr>
        <w:wordWrap w:val="0"/>
        <w:adjustRightInd w:val="0"/>
        <w:snapToGrid w:val="0"/>
        <w:spacing w:line="400" w:lineRule="exact"/>
        <w:ind w:left="5520" w:hanging="6440" w:hangingChars="23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中国建设银行股份有限</w:t>
      </w:r>
      <w:r>
        <w:rPr>
          <w:rFonts w:hint="eastAsia" w:ascii="仿宋" w:hAnsi="仿宋" w:eastAsia="仿宋" w:cs="仿宋"/>
          <w:sz w:val="28"/>
          <w:szCs w:val="28"/>
          <w:highlight w:val="none"/>
        </w:rPr>
        <w:t xml:space="preserve">     开户银行：</w:t>
      </w:r>
      <w:r>
        <w:rPr>
          <w:rFonts w:hint="eastAsia" w:ascii="仿宋" w:hAnsi="仿宋" w:eastAsia="仿宋" w:cs="仿宋"/>
          <w:sz w:val="28"/>
          <w:szCs w:val="28"/>
          <w:highlight w:val="none"/>
          <w:u w:val="single"/>
        </w:rPr>
        <w:t xml:space="preserve">                     </w:t>
      </w:r>
    </w:p>
    <w:p w14:paraId="6D58D2E8">
      <w:pPr>
        <w:pStyle w:val="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公司长沙芙蓉支行</w:t>
      </w:r>
    </w:p>
    <w:p w14:paraId="5E8005FD">
      <w:pPr>
        <w:wordWrap w:val="0"/>
        <w:adjustRightInd w:val="0"/>
        <w:snapToGrid w:val="0"/>
        <w:spacing w:line="400" w:lineRule="exact"/>
        <w:rPr>
          <w:rFonts w:hint="eastAsia" w:ascii="仿宋" w:hAnsi="仿宋" w:eastAsia="仿宋" w:cs="仿宋"/>
          <w:sz w:val="30"/>
          <w:szCs w:val="30"/>
          <w:highlight w:val="none"/>
        </w:rPr>
      </w:pPr>
      <w:r>
        <w:rPr>
          <w:rFonts w:hint="eastAsia" w:ascii="仿宋" w:hAnsi="仿宋" w:eastAsia="仿宋" w:cs="仿宋"/>
          <w:sz w:val="28"/>
          <w:szCs w:val="28"/>
          <w:highlight w:val="none"/>
        </w:rPr>
        <w:t>账  号：</w:t>
      </w:r>
      <w:r>
        <w:rPr>
          <w:rFonts w:hint="eastAsia" w:ascii="仿宋" w:hAnsi="仿宋" w:eastAsia="仿宋" w:cs="仿宋"/>
          <w:sz w:val="28"/>
          <w:szCs w:val="28"/>
          <w:highlight w:val="none"/>
          <w:u w:val="single"/>
        </w:rPr>
        <w:t>4300 1539 0610 5000 2926</w:t>
      </w:r>
      <w:r>
        <w:rPr>
          <w:rFonts w:hint="eastAsia" w:ascii="仿宋" w:hAnsi="仿宋" w:eastAsia="仿宋" w:cs="仿宋"/>
          <w:sz w:val="28"/>
          <w:szCs w:val="28"/>
          <w:highlight w:val="none"/>
        </w:rPr>
        <w:t xml:space="preserve">   账  号：</w:t>
      </w:r>
      <w:r>
        <w:rPr>
          <w:rFonts w:hint="eastAsia" w:ascii="仿宋" w:hAnsi="仿宋" w:eastAsia="仿宋" w:cs="仿宋"/>
          <w:sz w:val="28"/>
          <w:szCs w:val="28"/>
          <w:highlight w:val="none"/>
          <w:u w:val="single"/>
        </w:rPr>
        <w:t xml:space="preserve">          </w:t>
      </w:r>
      <w:r>
        <w:rPr>
          <w:rFonts w:hint="eastAsia" w:ascii="仿宋" w:hAnsi="仿宋" w:eastAsia="仿宋" w:cs="仿宋"/>
          <w:sz w:val="30"/>
          <w:szCs w:val="30"/>
          <w:highlight w:val="none"/>
          <w:u w:val="single"/>
        </w:rPr>
        <w:t xml:space="preserve">      </w:t>
      </w:r>
    </w:p>
    <w:p w14:paraId="2EE7EE36">
      <w:pPr>
        <w:pStyle w:val="2"/>
        <w:wordWrap w:val="0"/>
        <w:adjustRightInd w:val="0"/>
        <w:snapToGrid w:val="0"/>
        <w:spacing w:before="312" w:beforeLines="100" w:after="312" w:afterLines="100" w:line="400" w:lineRule="exact"/>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bookmarkStart w:id="32" w:name="_Toc351203494"/>
      <w:bookmarkStart w:id="33" w:name="_Toc371493148"/>
      <w:bookmarkStart w:id="34" w:name="_Toc31055"/>
      <w:bookmarkStart w:id="35" w:name="_Toc32211"/>
      <w:r>
        <w:rPr>
          <w:rFonts w:hint="eastAsia" w:ascii="仿宋" w:hAnsi="仿宋" w:eastAsia="仿宋" w:cs="仿宋"/>
          <w:sz w:val="30"/>
          <w:szCs w:val="30"/>
          <w:highlight w:val="none"/>
        </w:rPr>
        <w:t>第二部分 通用合同条款</w:t>
      </w:r>
      <w:bookmarkEnd w:id="32"/>
      <w:bookmarkEnd w:id="33"/>
      <w:bookmarkEnd w:id="34"/>
      <w:bookmarkEnd w:id="35"/>
      <w:bookmarkStart w:id="36" w:name="_Toc337558727"/>
    </w:p>
    <w:p w14:paraId="0CD0B5E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 w:name="_Toc371493149"/>
      <w:bookmarkStart w:id="38" w:name="_Toc351203495"/>
      <w:bookmarkStart w:id="39" w:name="_Toc29067"/>
      <w:bookmarkStart w:id="40" w:name="_Toc19939"/>
      <w:r>
        <w:rPr>
          <w:rFonts w:hint="eastAsia" w:ascii="仿宋" w:hAnsi="仿宋" w:eastAsia="仿宋" w:cs="仿宋"/>
          <w:sz w:val="28"/>
          <w:szCs w:val="28"/>
          <w:highlight w:val="none"/>
        </w:rPr>
        <w:t>1.</w:t>
      </w:r>
      <w:bookmarkStart w:id="41" w:name="_Toc303538974"/>
      <w:bookmarkEnd w:id="41"/>
      <w:bookmarkStart w:id="42" w:name="_Toc303538973"/>
      <w:bookmarkEnd w:id="42"/>
      <w:bookmarkStart w:id="43" w:name="_Toc303538976"/>
      <w:bookmarkEnd w:id="43"/>
      <w:bookmarkStart w:id="44" w:name="_Toc303538975"/>
      <w:bookmarkEnd w:id="44"/>
      <w:bookmarkStart w:id="45" w:name="_Toc303538972"/>
      <w:bookmarkEnd w:id="45"/>
      <w:bookmarkStart w:id="46" w:name="_Toc296503027"/>
      <w:bookmarkStart w:id="47" w:name="_Toc296346528"/>
      <w:r>
        <w:rPr>
          <w:rFonts w:hint="eastAsia" w:ascii="仿宋" w:hAnsi="仿宋" w:eastAsia="仿宋" w:cs="仿宋"/>
          <w:sz w:val="28"/>
          <w:szCs w:val="28"/>
          <w:highlight w:val="none"/>
        </w:rPr>
        <w:t xml:space="preserve"> 一般约定</w:t>
      </w:r>
      <w:bookmarkEnd w:id="36"/>
      <w:bookmarkEnd w:id="37"/>
      <w:bookmarkEnd w:id="38"/>
      <w:bookmarkEnd w:id="39"/>
      <w:bookmarkEnd w:id="40"/>
      <w:bookmarkEnd w:id="46"/>
      <w:bookmarkEnd w:id="47"/>
    </w:p>
    <w:p w14:paraId="3943A283">
      <w:pPr>
        <w:pStyle w:val="4"/>
        <w:wordWrap w:val="0"/>
        <w:adjustRightInd w:val="0"/>
        <w:snapToGrid w:val="0"/>
        <w:spacing w:before="0" w:after="0" w:line="360" w:lineRule="auto"/>
        <w:rPr>
          <w:rFonts w:hint="eastAsia" w:ascii="仿宋" w:hAnsi="仿宋" w:eastAsia="仿宋" w:cs="仿宋"/>
          <w:sz w:val="28"/>
          <w:szCs w:val="28"/>
          <w:highlight w:val="none"/>
        </w:rPr>
      </w:pPr>
      <w:bookmarkStart w:id="48" w:name="_Toc296346529"/>
      <w:bookmarkStart w:id="49" w:name="_Toc296503028"/>
      <w:bookmarkStart w:id="50" w:name="_Toc337558728"/>
      <w:bookmarkStart w:id="51" w:name="_Toc371493150"/>
      <w:bookmarkStart w:id="52" w:name="_Toc351203496"/>
      <w:bookmarkStart w:id="53" w:name="_Toc18963"/>
      <w:bookmarkStart w:id="54" w:name="_Toc7066"/>
      <w:r>
        <w:rPr>
          <w:rFonts w:hint="eastAsia" w:ascii="仿宋" w:hAnsi="仿宋" w:eastAsia="仿宋" w:cs="仿宋"/>
          <w:sz w:val="28"/>
          <w:szCs w:val="28"/>
          <w:highlight w:val="none"/>
        </w:rPr>
        <w:t>1.1 词语定义</w:t>
      </w:r>
      <w:bookmarkEnd w:id="48"/>
      <w:bookmarkEnd w:id="49"/>
      <w:bookmarkEnd w:id="50"/>
      <w:r>
        <w:rPr>
          <w:rFonts w:hint="eastAsia" w:ascii="仿宋" w:hAnsi="仿宋" w:eastAsia="仿宋" w:cs="仿宋"/>
          <w:sz w:val="28"/>
          <w:szCs w:val="28"/>
          <w:highlight w:val="none"/>
        </w:rPr>
        <w:t>与解释</w:t>
      </w:r>
      <w:bookmarkEnd w:id="51"/>
      <w:bookmarkEnd w:id="52"/>
      <w:bookmarkEnd w:id="53"/>
      <w:bookmarkEnd w:id="54"/>
    </w:p>
    <w:p w14:paraId="1EAE022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分包合同协议书、通用合同条款、专用合同条款中的下列词语具有本款所赋予的含义：</w:t>
      </w:r>
    </w:p>
    <w:p w14:paraId="164616AE">
      <w:pPr>
        <w:wordWrap w:val="0"/>
        <w:autoSpaceDE w:val="0"/>
        <w:autoSpaceDN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 xml:space="preserve">    </w:t>
      </w:r>
      <w:r>
        <w:rPr>
          <w:rFonts w:hint="eastAsia" w:ascii="仿宋" w:hAnsi="仿宋" w:eastAsia="仿宋" w:cs="仿宋"/>
          <w:kern w:val="0"/>
          <w:sz w:val="28"/>
          <w:szCs w:val="28"/>
          <w:highlight w:val="none"/>
        </w:rPr>
        <w:t>1.1.1 分包合同：是指根据法律规定和合同当事人约定具有约束力的文件，包括分包合同协议书、中标通知书（如果有）、投标函及其附录（如果有）、专用合同条款</w:t>
      </w:r>
      <w:r>
        <w:rPr>
          <w:rFonts w:hint="eastAsia" w:ascii="仿宋" w:hAnsi="仿宋" w:eastAsia="仿宋" w:cs="仿宋"/>
          <w:sz w:val="28"/>
          <w:szCs w:val="28"/>
          <w:highlight w:val="none"/>
        </w:rPr>
        <w:t>及其附件</w:t>
      </w:r>
      <w:r>
        <w:rPr>
          <w:rFonts w:hint="eastAsia" w:ascii="仿宋" w:hAnsi="仿宋" w:eastAsia="仿宋" w:cs="仿宋"/>
          <w:kern w:val="0"/>
          <w:sz w:val="28"/>
          <w:szCs w:val="28"/>
          <w:highlight w:val="none"/>
        </w:rPr>
        <w:t>、通用合同条款、技术标准和要求、图纸、已标价工程量清单或预算书以及专用合同条款约定的其他分包合同文件。</w:t>
      </w:r>
    </w:p>
    <w:p w14:paraId="109A0B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 总包合同：是指发包人和承包人就总包工程签订的且在分包合同专用合同条款中指明的总承包合同。</w:t>
      </w:r>
    </w:p>
    <w:p w14:paraId="3F0012C6">
      <w:pPr>
        <w:wordWrap w:val="0"/>
        <w:autoSpaceDE w:val="0"/>
        <w:autoSpaceDN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 xml:space="preserve">    </w:t>
      </w:r>
      <w:r>
        <w:rPr>
          <w:rFonts w:hint="eastAsia" w:ascii="仿宋" w:hAnsi="仿宋" w:eastAsia="仿宋" w:cs="仿宋"/>
          <w:kern w:val="0"/>
          <w:sz w:val="28"/>
          <w:szCs w:val="28"/>
          <w:highlight w:val="none"/>
        </w:rPr>
        <w:t>1.1.3 分包合同当事人：是指承包人和（或）分包人。</w:t>
      </w:r>
    </w:p>
    <w:p w14:paraId="0C175E0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1.1.4 承包人：是指与发包人签订总包合同，并经发包人同意与分包人签订分包合同的，具有总包工程承包资质的当事人及取得该当事人资格的合法继承人。</w:t>
      </w:r>
    </w:p>
    <w:p w14:paraId="1DC95B2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1.1.5 分包人：是指承包分包工程并与承包人签订分包合同的，具有分包工程施工承包资质的当事人及取得该当事人资格的合法继承人。</w:t>
      </w:r>
    </w:p>
    <w:p w14:paraId="72DD064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1.1.6 发包人：是指与承包人签订总包合同的当事人及取得该当事人资格的合法继承人。</w:t>
      </w:r>
    </w:p>
    <w:p w14:paraId="40689A8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1.1.7 监理人：是指在总包合同中指明的，受发包人委托按照法律规定对总包工程进行监督管理的法人或其他组织。</w:t>
      </w:r>
    </w:p>
    <w:p w14:paraId="58A506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1.1.8 设计人：是指在总包合同中指明的，受发包人委托负责总包工程设计并具备相应工程设计资质的法人或其他组织。</w:t>
      </w:r>
    </w:p>
    <w:p w14:paraId="230640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1.1.9 承包人项目经理：是指由承包人任命并派驻施工现场，在承包人授权范围内负责分包合同履行，且按照法律规定具有相应资格的项目负责人。</w:t>
      </w:r>
    </w:p>
    <w:p w14:paraId="101A55A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1.1.10 分包人项目经理：是指由分包人任命并派驻施工现场，在分包人授权范围内负责分包合同履行的项目负责人。</w:t>
      </w:r>
    </w:p>
    <w:p w14:paraId="023B83A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1.1.11 总包工程：是指发包人和承包人在总包合同中约定的承包范围内的工程。</w:t>
      </w:r>
    </w:p>
    <w:p w14:paraId="421797D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1.1.12 分包工程：是指承包人和分包人在分包合同中约定的分包人承包范围内的工程。</w:t>
      </w:r>
    </w:p>
    <w:p w14:paraId="6E46583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1.1.13 永久工程：是指分包人按分包合同约定建造并移交给承包人的工程，包括工程设备。</w:t>
      </w:r>
    </w:p>
    <w:p w14:paraId="00BC9A7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1.1.14 临时工程：是指分包人为完成分包合同约定的永久工程所修建的各类临时性工程，不包括施工设备。</w:t>
      </w:r>
    </w:p>
    <w:p w14:paraId="6FE3EA9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1.1.15 工程设备：是指构成永久工程的机电设备、金属结构设备、仪器及其他类似的设备和装置。</w:t>
      </w:r>
    </w:p>
    <w:p w14:paraId="20FB7E5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1.1.16 施工设备：是指为完成分包合同约定的各项工作所需的设备、器具和其他物品，但不包括工程设备、临时工程和材料。</w:t>
      </w:r>
    </w:p>
    <w:p w14:paraId="752C4D6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1.1.17 施工场地：是指用于分包工程施工的场所，以及在专用合同条款中指明作为分包工程施工场地组成部分的其他场所。</w:t>
      </w:r>
    </w:p>
    <w:p w14:paraId="740CE02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1.1.18 临时设施：是指为完成分包合同约定的各项工作服务的临时性生产和生活设施。</w:t>
      </w:r>
    </w:p>
    <w:p w14:paraId="0239186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1.1.19 开工日期：包括计划开工日期和实际开工日期。计划开工日期是指合同协议书约定的开工日期；实际开工日期是指承包人按照第7.2款【开工】发出的开工通知中载明的开工日期。</w:t>
      </w:r>
    </w:p>
    <w:p w14:paraId="43F2E79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1.1.20 完工日期：包括计划完工日期和实际完工日期。计划完工日期是指合同协议书约定的完工日期；实际完工日期按照第17.3款【完工日期】确定。 </w:t>
      </w:r>
    </w:p>
    <w:p w14:paraId="048D3466">
      <w:pPr>
        <w:wordWrap w:val="0"/>
        <w:adjustRightInd w:val="0"/>
        <w:snapToGrid w:val="0"/>
        <w:spacing w:line="360" w:lineRule="auto"/>
        <w:ind w:firstLine="568" w:firstLineChars="203"/>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1.1.21 工期：是指在分包合同协议书约定的分包人完成分包工程所需的期限，包括按照分包合同约定所作的期限变更。</w:t>
      </w:r>
    </w:p>
    <w:p w14:paraId="2CF616F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1.1.22 缺陷责任期：是指分包人按照分包合同约定履行缺陷修复义务、承包人扣留质量保证金的期限。提前使用的分包工程自开始使用之日起计算，其他分包工程自总包工程实际竣工之日起计算。</w:t>
      </w:r>
    </w:p>
    <w:p w14:paraId="23B5F24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1.1.23 保修期：是指分包人按照分包合同约定履行保修义务的期限。提前使用的分包工程自开始使用之日起计算，其他分包工程自总包工程验收合格之日起计算。</w:t>
      </w:r>
    </w:p>
    <w:p w14:paraId="71634D4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1.1.24 基准日期：招标分包工程以投标截止日前第28天的日期为基准日期，直接分包工程以分包合同签订日前第28天的日期为基准日期。</w:t>
      </w:r>
    </w:p>
    <w:p w14:paraId="4A278C8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1.1.25 天：除特别指明外，均指日历天。合同中按天计算时间的，开始当天不计入，从次日开始计算，期限最后一天的截止时间为当天24:00时。</w:t>
      </w:r>
    </w:p>
    <w:p w14:paraId="3613B5C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1.1.26 签约合同价：是指</w:t>
      </w:r>
      <w:r>
        <w:rPr>
          <w:rFonts w:hint="eastAsia" w:ascii="仿宋" w:hAnsi="仿宋" w:eastAsia="仿宋" w:cs="仿宋"/>
          <w:sz w:val="28"/>
          <w:szCs w:val="28"/>
          <w:highlight w:val="none"/>
        </w:rPr>
        <w:t xml:space="preserve">承包人和分包人在分包合同协议书中确定的总金额。 </w:t>
      </w:r>
    </w:p>
    <w:p w14:paraId="289D0A6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1.1.27 分包合同价格：是指承包人用于支付分包人按照分包合同约定完成承包范围内全部工作的金额，包括分包合同履行过程中按分包合同约定发生的价格变化。</w:t>
      </w:r>
    </w:p>
    <w:p w14:paraId="045F4E5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1.1.28 费用：是指为履行分包合同所发生的或将要发生的所有必需的开支，包括管理费和应分摊的其他费用，但不包括利润。</w:t>
      </w:r>
    </w:p>
    <w:p w14:paraId="6344822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1.1.29 计日工：是指分包合同履行过程中，分包人完成承包人提出的零星工作或需要采用计日工计价的变更工作时，按分包合同中约定的单价计价的一种方式。</w:t>
      </w:r>
    </w:p>
    <w:p w14:paraId="1677576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1.1.30 质量保证金</w:t>
      </w:r>
      <w:bookmarkStart w:id="55" w:name="#go2"/>
      <w:bookmarkEnd w:id="55"/>
      <w:r>
        <w:rPr>
          <w:rFonts w:hint="eastAsia" w:ascii="仿宋" w:hAnsi="仿宋" w:eastAsia="仿宋" w:cs="仿宋"/>
          <w:kern w:val="0"/>
          <w:sz w:val="28"/>
          <w:szCs w:val="28"/>
          <w:highlight w:val="none"/>
        </w:rPr>
        <w:t>：是指分包人按照第20.3款【质量保证金】用于保证其在缺陷责任期内履行缺陷修补义务的担保</w:t>
      </w:r>
      <w:r>
        <w:rPr>
          <w:rFonts w:hint="eastAsia" w:ascii="仿宋" w:hAnsi="仿宋" w:eastAsia="仿宋" w:cs="仿宋"/>
          <w:sz w:val="28"/>
          <w:szCs w:val="28"/>
          <w:highlight w:val="none"/>
        </w:rPr>
        <w:t>。</w:t>
      </w:r>
    </w:p>
    <w:p w14:paraId="105F6E51">
      <w:pPr>
        <w:wordWrap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1.1.31 书面形式：是指信函、电报、传真等可以有形地表现所载内容的形式。</w:t>
      </w:r>
    </w:p>
    <w:p w14:paraId="5096A5C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1.1.32 深化设计：是指分包人在承包人提供的图纸基础上，结合现场实际情况，对图纸进行完善、补充并绘制直接指导施工的图纸的活动。</w:t>
      </w:r>
    </w:p>
    <w:p w14:paraId="63329AC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1.1.33 法律：</w:t>
      </w:r>
      <w:r>
        <w:rPr>
          <w:rFonts w:hint="eastAsia" w:ascii="仿宋" w:hAnsi="仿宋" w:eastAsia="仿宋" w:cs="仿宋"/>
          <w:kern w:val="0"/>
          <w:sz w:val="28"/>
          <w:szCs w:val="28"/>
          <w:highlight w:val="none"/>
        </w:rPr>
        <w:t>是指中华人民共和国法律、行政法规、部门规章，以及工程所在地的地方性法规、自治条例、单行条例和地方政府规章等。分包合同当事人可以在专用合同条款中约定分包合同适用的其他规范性文件。</w:t>
      </w:r>
    </w:p>
    <w:p w14:paraId="73A93D75">
      <w:pPr>
        <w:pStyle w:val="4"/>
        <w:wordWrap w:val="0"/>
        <w:adjustRightInd w:val="0"/>
        <w:snapToGrid w:val="0"/>
        <w:spacing w:before="0" w:after="0" w:line="360" w:lineRule="auto"/>
        <w:rPr>
          <w:rFonts w:hint="eastAsia" w:ascii="仿宋" w:hAnsi="仿宋" w:eastAsia="仿宋" w:cs="仿宋"/>
          <w:sz w:val="28"/>
          <w:szCs w:val="28"/>
          <w:highlight w:val="none"/>
        </w:rPr>
      </w:pPr>
      <w:bookmarkStart w:id="56" w:name="_Toc351203497"/>
      <w:bookmarkStart w:id="57" w:name="_Toc18798"/>
      <w:bookmarkStart w:id="58" w:name="_Toc371493151"/>
      <w:bookmarkStart w:id="59" w:name="_Toc12026"/>
      <w:bookmarkStart w:id="60" w:name="_Toc296503029"/>
      <w:bookmarkStart w:id="61" w:name="_Toc337558729"/>
      <w:bookmarkStart w:id="62" w:name="_Toc296346530"/>
      <w:r>
        <w:rPr>
          <w:rFonts w:hint="eastAsia" w:ascii="仿宋" w:hAnsi="仿宋" w:eastAsia="仿宋" w:cs="仿宋"/>
          <w:sz w:val="28"/>
          <w:szCs w:val="28"/>
          <w:highlight w:val="none"/>
        </w:rPr>
        <w:t>1.2 语言文字</w:t>
      </w:r>
      <w:bookmarkEnd w:id="56"/>
      <w:bookmarkEnd w:id="57"/>
      <w:bookmarkEnd w:id="58"/>
      <w:bookmarkEnd w:id="59"/>
      <w:bookmarkEnd w:id="60"/>
      <w:bookmarkEnd w:id="61"/>
      <w:bookmarkEnd w:id="62"/>
    </w:p>
    <w:p w14:paraId="760ED7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分包合同以中国的汉语简体文字编写、解释和说明。</w:t>
      </w:r>
    </w:p>
    <w:p w14:paraId="7B66ECDB">
      <w:pPr>
        <w:pStyle w:val="4"/>
        <w:wordWrap w:val="0"/>
        <w:adjustRightInd w:val="0"/>
        <w:snapToGrid w:val="0"/>
        <w:spacing w:before="0" w:after="0" w:line="360" w:lineRule="auto"/>
        <w:rPr>
          <w:rFonts w:hint="eastAsia" w:ascii="仿宋" w:hAnsi="仿宋" w:eastAsia="仿宋" w:cs="仿宋"/>
          <w:sz w:val="28"/>
          <w:szCs w:val="28"/>
          <w:highlight w:val="none"/>
        </w:rPr>
      </w:pPr>
      <w:bookmarkStart w:id="63" w:name="_Toc351203499"/>
      <w:bookmarkStart w:id="64" w:name="_Toc7333"/>
      <w:bookmarkStart w:id="65" w:name="_Toc371493153"/>
      <w:bookmarkStart w:id="66" w:name="_Toc2702"/>
      <w:r>
        <w:rPr>
          <w:rFonts w:hint="eastAsia" w:ascii="仿宋" w:hAnsi="仿宋" w:eastAsia="仿宋" w:cs="仿宋"/>
          <w:sz w:val="28"/>
          <w:szCs w:val="28"/>
          <w:highlight w:val="none"/>
        </w:rPr>
        <w:t>1.3 标准和规范</w:t>
      </w:r>
      <w:bookmarkEnd w:id="63"/>
      <w:bookmarkEnd w:id="64"/>
      <w:bookmarkEnd w:id="65"/>
      <w:bookmarkEnd w:id="66"/>
    </w:p>
    <w:p w14:paraId="4F65A2A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 适用于分包工程的标准和规范包括国家标准、行业标准、工程所在地的地方标准以及总包合同中约定的适用于分包工程的标准和规范等。分包合同当事人有特别要求的，应在专用合同条款中约定。</w:t>
      </w:r>
    </w:p>
    <w:p w14:paraId="22D409E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1.3.2 除专用合同条款另有约定外，分包人在签订分包合同前已充分了解前述标准和要求的复杂程度，签约合同价中已包含由此产生的费用。</w:t>
      </w:r>
    </w:p>
    <w:p w14:paraId="24688ABF">
      <w:pPr>
        <w:pStyle w:val="4"/>
        <w:wordWrap w:val="0"/>
        <w:adjustRightInd w:val="0"/>
        <w:snapToGrid w:val="0"/>
        <w:spacing w:before="0" w:after="0" w:line="360" w:lineRule="auto"/>
        <w:rPr>
          <w:rFonts w:hint="eastAsia" w:ascii="仿宋" w:hAnsi="仿宋" w:eastAsia="仿宋" w:cs="仿宋"/>
          <w:sz w:val="28"/>
          <w:szCs w:val="28"/>
          <w:highlight w:val="none"/>
        </w:rPr>
      </w:pPr>
      <w:bookmarkStart w:id="67" w:name="_Toc30919"/>
      <w:bookmarkStart w:id="68" w:name="_Toc351203500"/>
      <w:bookmarkStart w:id="69" w:name="_Toc371493154"/>
      <w:bookmarkStart w:id="70" w:name="_Toc1777"/>
      <w:r>
        <w:rPr>
          <w:rFonts w:hint="eastAsia" w:ascii="仿宋" w:hAnsi="仿宋" w:eastAsia="仿宋" w:cs="仿宋"/>
          <w:sz w:val="28"/>
          <w:szCs w:val="28"/>
          <w:highlight w:val="none"/>
        </w:rPr>
        <w:t>1</w:t>
      </w:r>
      <w:bookmarkStart w:id="71" w:name="_Toc337558731"/>
      <w:bookmarkStart w:id="72" w:name="_Toc296346532"/>
      <w:bookmarkStart w:id="73" w:name="_Toc296503031"/>
      <w:r>
        <w:rPr>
          <w:rFonts w:hint="eastAsia" w:ascii="仿宋" w:hAnsi="仿宋" w:eastAsia="仿宋" w:cs="仿宋"/>
          <w:sz w:val="28"/>
          <w:szCs w:val="28"/>
          <w:highlight w:val="none"/>
        </w:rPr>
        <w:t>.4 分包合同文件的优先顺序</w:t>
      </w:r>
      <w:bookmarkEnd w:id="67"/>
      <w:bookmarkEnd w:id="68"/>
      <w:bookmarkEnd w:id="69"/>
      <w:bookmarkEnd w:id="70"/>
    </w:p>
    <w:bookmarkEnd w:id="71"/>
    <w:bookmarkEnd w:id="72"/>
    <w:bookmarkEnd w:id="73"/>
    <w:p w14:paraId="56068C0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组成分包合同的各项文件应互相解释，互为说明。除专用合同条款另有约定外，解释分包合同文件的优先顺序如下：</w:t>
      </w:r>
    </w:p>
    <w:p w14:paraId="37DA5F2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（1）分包合同协议书；</w:t>
      </w:r>
    </w:p>
    <w:p w14:paraId="656677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（2）中标通知书（如果有）；</w:t>
      </w:r>
    </w:p>
    <w:p w14:paraId="5F7FAE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（3）投标函及其附录（如果有）；</w:t>
      </w:r>
    </w:p>
    <w:p w14:paraId="3186F7A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（4）专用合同条款</w:t>
      </w:r>
      <w:r>
        <w:rPr>
          <w:rFonts w:hint="eastAsia" w:ascii="仿宋" w:hAnsi="仿宋" w:eastAsia="仿宋" w:cs="仿宋"/>
          <w:sz w:val="28"/>
          <w:szCs w:val="28"/>
          <w:highlight w:val="none"/>
        </w:rPr>
        <w:t>及其附件</w:t>
      </w:r>
      <w:r>
        <w:rPr>
          <w:rFonts w:hint="eastAsia" w:ascii="仿宋" w:hAnsi="仿宋" w:eastAsia="仿宋" w:cs="仿宋"/>
          <w:kern w:val="0"/>
          <w:sz w:val="28"/>
          <w:szCs w:val="28"/>
          <w:highlight w:val="none"/>
        </w:rPr>
        <w:t>；</w:t>
      </w:r>
    </w:p>
    <w:p w14:paraId="598217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（5）通用合同条款；</w:t>
      </w:r>
    </w:p>
    <w:p w14:paraId="1E51103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（6）技术标准和要求；</w:t>
      </w:r>
    </w:p>
    <w:p w14:paraId="7113A05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（7）图纸；</w:t>
      </w:r>
    </w:p>
    <w:p w14:paraId="45AB73A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（8）已标价工程量清单或预算书；</w:t>
      </w:r>
    </w:p>
    <w:p w14:paraId="2F7B881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（9）其他分包合同文件。</w:t>
      </w:r>
    </w:p>
    <w:p w14:paraId="0FF0356C">
      <w:pPr>
        <w:wordWrap w:val="0"/>
        <w:adjustRightInd w:val="0"/>
        <w:snapToGrid w:val="0"/>
        <w:spacing w:line="360" w:lineRule="auto"/>
        <w:ind w:firstLine="596" w:firstLineChars="213"/>
        <w:rPr>
          <w:rFonts w:hint="eastAsia" w:ascii="仿宋" w:hAnsi="仿宋" w:eastAsia="仿宋" w:cs="仿宋"/>
          <w:sz w:val="28"/>
          <w:szCs w:val="28"/>
          <w:highlight w:val="none"/>
        </w:rPr>
      </w:pPr>
      <w:r>
        <w:rPr>
          <w:rFonts w:hint="eastAsia" w:ascii="仿宋" w:hAnsi="仿宋" w:eastAsia="仿宋" w:cs="仿宋"/>
          <w:sz w:val="28"/>
          <w:szCs w:val="28"/>
          <w:highlight w:val="none"/>
        </w:rPr>
        <w:t>上述各项分包合同文件包括分包合同当事人就该项分包合同文件作出的补充和修改；属于同一类内容的文件，应以最新签署的为准。</w:t>
      </w:r>
    </w:p>
    <w:p w14:paraId="3A17B313">
      <w:pPr>
        <w:wordWrap w:val="0"/>
        <w:adjustRightInd w:val="0"/>
        <w:snapToGrid w:val="0"/>
        <w:spacing w:line="360" w:lineRule="auto"/>
        <w:ind w:firstLine="596" w:firstLineChars="213"/>
        <w:rPr>
          <w:rFonts w:hint="eastAsia" w:ascii="仿宋" w:hAnsi="仿宋" w:eastAsia="仿宋" w:cs="仿宋"/>
          <w:sz w:val="28"/>
          <w:szCs w:val="28"/>
          <w:highlight w:val="none"/>
        </w:rPr>
      </w:pPr>
      <w:r>
        <w:rPr>
          <w:rFonts w:hint="eastAsia" w:ascii="仿宋" w:hAnsi="仿宋" w:eastAsia="仿宋" w:cs="仿宋"/>
          <w:sz w:val="28"/>
          <w:szCs w:val="28"/>
          <w:highlight w:val="none"/>
        </w:rPr>
        <w:t>在分包合同订立及履行过程中分包合同当事人签署的与分包合同有关的文件均构成分包合同文件组成部分，并根据其性质确定优先解释顺序。</w:t>
      </w:r>
    </w:p>
    <w:p w14:paraId="592F30E9">
      <w:pPr>
        <w:pStyle w:val="4"/>
        <w:wordWrap w:val="0"/>
        <w:adjustRightInd w:val="0"/>
        <w:snapToGrid w:val="0"/>
        <w:spacing w:before="0" w:after="0" w:line="360" w:lineRule="auto"/>
        <w:rPr>
          <w:rFonts w:hint="eastAsia" w:ascii="仿宋" w:hAnsi="仿宋" w:eastAsia="仿宋" w:cs="仿宋"/>
          <w:sz w:val="28"/>
          <w:szCs w:val="28"/>
          <w:highlight w:val="none"/>
        </w:rPr>
      </w:pPr>
      <w:bookmarkStart w:id="74" w:name="_Toc3008"/>
      <w:bookmarkStart w:id="75" w:name="_Toc371493155"/>
      <w:bookmarkStart w:id="76" w:name="_Toc351203501"/>
      <w:bookmarkStart w:id="77" w:name="_Toc28175"/>
      <w:r>
        <w:rPr>
          <w:rFonts w:hint="eastAsia" w:ascii="仿宋" w:hAnsi="仿宋" w:eastAsia="仿宋" w:cs="仿宋"/>
          <w:sz w:val="28"/>
          <w:szCs w:val="28"/>
          <w:highlight w:val="none"/>
        </w:rPr>
        <w:t>1</w:t>
      </w:r>
      <w:bookmarkStart w:id="78" w:name="_Toc296346533"/>
      <w:bookmarkStart w:id="79" w:name="_Toc337558732"/>
      <w:bookmarkStart w:id="80" w:name="_Toc296503032"/>
      <w:r>
        <w:rPr>
          <w:rFonts w:hint="eastAsia" w:ascii="仿宋" w:hAnsi="仿宋" w:eastAsia="仿宋" w:cs="仿宋"/>
          <w:sz w:val="28"/>
          <w:szCs w:val="28"/>
          <w:highlight w:val="none"/>
        </w:rPr>
        <w:t>.5 图纸</w:t>
      </w:r>
      <w:bookmarkEnd w:id="74"/>
      <w:bookmarkEnd w:id="75"/>
      <w:bookmarkEnd w:id="76"/>
      <w:bookmarkEnd w:id="77"/>
    </w:p>
    <w:bookmarkEnd w:id="78"/>
    <w:bookmarkEnd w:id="79"/>
    <w:bookmarkEnd w:id="80"/>
    <w:p w14:paraId="389C5BC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 承包人应按照专用合同条款约定的期限、数量和内容向分包人免费提供图纸，并组织图纸会审和设计交底。承包人至迟不得晚于实际开工日期前7天向分包人提供图纸。因承包人未按分包合同约定提供图纸导致分包人费用增加和（或）工期延误的，按照第7.4.1项的约定办理。除专用合同条款另有约定外，分包人应在施工场地保存一套完整的图纸，供承包人和有关人员进行工程检查时使用。</w:t>
      </w:r>
    </w:p>
    <w:p w14:paraId="73D119B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1.5.2 分包人在收到图纸后，发现图纸存在差错、遗漏或缺陷的，应及时通知承包人。承包人应及时向分包人提供修改补充后的图纸或处理意见。</w:t>
      </w:r>
    </w:p>
    <w:p w14:paraId="52C75D0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1.5.3 深化设计</w:t>
      </w:r>
    </w:p>
    <w:p w14:paraId="35EAA44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w:t>
      </w:r>
    </w:p>
    <w:p w14:paraId="048DDFF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分包人的深化设计须经过承包人确认后方可进行施工。分包人对自行或委托设计的图纸负有相应的法律责任。关于承包人委托分包人进行深化设计的范围及发生的费用，双方应在专用合同条款中约定。</w:t>
      </w:r>
    </w:p>
    <w:p w14:paraId="37948E43">
      <w:pPr>
        <w:pStyle w:val="4"/>
        <w:wordWrap w:val="0"/>
        <w:adjustRightInd w:val="0"/>
        <w:snapToGrid w:val="0"/>
        <w:spacing w:before="0" w:after="0" w:line="360" w:lineRule="auto"/>
        <w:rPr>
          <w:rFonts w:hint="eastAsia" w:ascii="仿宋" w:hAnsi="仿宋" w:eastAsia="仿宋" w:cs="仿宋"/>
          <w:sz w:val="28"/>
          <w:szCs w:val="28"/>
          <w:highlight w:val="none"/>
        </w:rPr>
      </w:pPr>
      <w:bookmarkStart w:id="81" w:name="_Toc18143"/>
      <w:bookmarkStart w:id="82" w:name="_Toc351203502"/>
      <w:bookmarkStart w:id="83" w:name="_Toc8860"/>
      <w:bookmarkStart w:id="84" w:name="_Toc371493156"/>
      <w:r>
        <w:rPr>
          <w:rFonts w:hint="eastAsia" w:ascii="仿宋" w:hAnsi="仿宋" w:eastAsia="仿宋" w:cs="仿宋"/>
          <w:sz w:val="28"/>
          <w:szCs w:val="28"/>
          <w:highlight w:val="none"/>
        </w:rPr>
        <w:t>1</w:t>
      </w:r>
      <w:bookmarkStart w:id="85" w:name="_Toc337558733"/>
      <w:bookmarkStart w:id="86" w:name="_Toc296346534"/>
      <w:bookmarkStart w:id="87" w:name="_Toc296503033"/>
      <w:r>
        <w:rPr>
          <w:rFonts w:hint="eastAsia" w:ascii="仿宋" w:hAnsi="仿宋" w:eastAsia="仿宋" w:cs="仿宋"/>
          <w:sz w:val="28"/>
          <w:szCs w:val="28"/>
          <w:highlight w:val="none"/>
        </w:rPr>
        <w:t>.6 联络</w:t>
      </w:r>
      <w:bookmarkEnd w:id="81"/>
      <w:bookmarkEnd w:id="82"/>
      <w:bookmarkEnd w:id="83"/>
      <w:bookmarkEnd w:id="84"/>
    </w:p>
    <w:bookmarkEnd w:id="85"/>
    <w:bookmarkEnd w:id="86"/>
    <w:bookmarkEnd w:id="87"/>
    <w:p w14:paraId="2203027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14:paraId="4921192D">
      <w:pPr>
        <w:pStyle w:val="4"/>
        <w:wordWrap w:val="0"/>
        <w:adjustRightInd w:val="0"/>
        <w:snapToGrid w:val="0"/>
        <w:spacing w:before="0" w:after="0" w:line="360" w:lineRule="auto"/>
        <w:rPr>
          <w:rFonts w:hint="eastAsia" w:ascii="仿宋" w:hAnsi="仿宋" w:eastAsia="仿宋" w:cs="仿宋"/>
          <w:sz w:val="28"/>
          <w:szCs w:val="28"/>
          <w:highlight w:val="none"/>
        </w:rPr>
      </w:pPr>
      <w:bookmarkStart w:id="88" w:name="_Toc351203504"/>
      <w:bookmarkStart w:id="89" w:name="_Toc20837"/>
      <w:bookmarkStart w:id="90" w:name="_Toc29853"/>
      <w:bookmarkStart w:id="91" w:name="_Toc371493157"/>
      <w:r>
        <w:rPr>
          <w:rFonts w:hint="eastAsia" w:ascii="仿宋" w:hAnsi="仿宋" w:eastAsia="仿宋" w:cs="仿宋"/>
          <w:sz w:val="28"/>
          <w:szCs w:val="28"/>
          <w:highlight w:val="none"/>
        </w:rPr>
        <w:t>1</w:t>
      </w:r>
      <w:bookmarkStart w:id="92" w:name="_Toc296346537"/>
      <w:bookmarkStart w:id="93" w:name="_Toc296503036"/>
      <w:bookmarkStart w:id="94" w:name="_Toc337558735"/>
      <w:r>
        <w:rPr>
          <w:rFonts w:hint="eastAsia" w:ascii="仿宋" w:hAnsi="仿宋" w:eastAsia="仿宋" w:cs="仿宋"/>
          <w:sz w:val="28"/>
          <w:szCs w:val="28"/>
          <w:highlight w:val="none"/>
        </w:rPr>
        <w:t>.7 化石、文物</w:t>
      </w:r>
      <w:bookmarkEnd w:id="88"/>
      <w:bookmarkEnd w:id="89"/>
      <w:bookmarkEnd w:id="90"/>
      <w:bookmarkEnd w:id="91"/>
    </w:p>
    <w:bookmarkEnd w:id="92"/>
    <w:bookmarkEnd w:id="93"/>
    <w:bookmarkEnd w:id="94"/>
    <w:p w14:paraId="42292F9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承包人应根据总包合同将施工场地内需要保护的化石、文物等通知分包人，分包人应予保护，因采取保护措施发生的费用由承包人承担。</w:t>
      </w:r>
    </w:p>
    <w:p w14:paraId="68F247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p>
    <w:p w14:paraId="599A5EAB">
      <w:pPr>
        <w:pStyle w:val="4"/>
        <w:wordWrap w:val="0"/>
        <w:adjustRightInd w:val="0"/>
        <w:snapToGrid w:val="0"/>
        <w:spacing w:before="0" w:after="0" w:line="360" w:lineRule="auto"/>
        <w:rPr>
          <w:rFonts w:hint="eastAsia" w:ascii="仿宋" w:hAnsi="仿宋" w:eastAsia="仿宋" w:cs="仿宋"/>
          <w:sz w:val="28"/>
          <w:szCs w:val="28"/>
          <w:highlight w:val="none"/>
        </w:rPr>
      </w:pPr>
      <w:bookmarkStart w:id="95" w:name="_Toc29860"/>
      <w:bookmarkStart w:id="96" w:name="_Toc26888"/>
      <w:bookmarkStart w:id="97" w:name="_Toc351203506"/>
      <w:bookmarkStart w:id="98" w:name="_Toc371493158"/>
      <w:r>
        <w:rPr>
          <w:rFonts w:hint="eastAsia" w:ascii="仿宋" w:hAnsi="仿宋" w:eastAsia="仿宋" w:cs="仿宋"/>
          <w:sz w:val="28"/>
          <w:szCs w:val="28"/>
          <w:highlight w:val="none"/>
        </w:rPr>
        <w:t>1</w:t>
      </w:r>
      <w:bookmarkStart w:id="99" w:name="_Toc337558737"/>
      <w:bookmarkStart w:id="100" w:name="_Toc296346538"/>
      <w:bookmarkStart w:id="101" w:name="_Toc296503037"/>
      <w:r>
        <w:rPr>
          <w:rFonts w:hint="eastAsia" w:ascii="仿宋" w:hAnsi="仿宋" w:eastAsia="仿宋" w:cs="仿宋"/>
          <w:sz w:val="28"/>
          <w:szCs w:val="28"/>
          <w:highlight w:val="none"/>
        </w:rPr>
        <w:t>.8 知识产权</w:t>
      </w:r>
      <w:bookmarkEnd w:id="95"/>
      <w:bookmarkEnd w:id="96"/>
      <w:bookmarkEnd w:id="97"/>
      <w:bookmarkEnd w:id="98"/>
      <w:r>
        <w:rPr>
          <w:rFonts w:hint="eastAsia" w:ascii="仿宋" w:hAnsi="仿宋" w:eastAsia="仿宋" w:cs="仿宋"/>
          <w:sz w:val="28"/>
          <w:szCs w:val="28"/>
          <w:highlight w:val="none"/>
        </w:rPr>
        <w:t xml:space="preserve"> </w:t>
      </w:r>
      <w:bookmarkEnd w:id="99"/>
    </w:p>
    <w:bookmarkEnd w:id="100"/>
    <w:bookmarkEnd w:id="101"/>
    <w:p w14:paraId="4132CF5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1.8.1 承包人提供给分包人的图纸和文件，分包人可以为实现合同目的而复制、使用，但不能用于与分包合同无关的其他事项。</w:t>
      </w:r>
    </w:p>
    <w:p w14:paraId="495661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1.8.2 分包合同当事人保证在履行分包合同过程中不侵犯对方及第三方的知识产权。分包人在深化设计、使用材料、施工设备、工程设备或采用施工工艺时，因侵犯他人的专利权或其他知识产权所引起的责任，由分包人承担；因使用承包人提供的材料、施工设备、工程设备或施工工艺导致侵权的，由承包人承担责任。</w:t>
      </w:r>
    </w:p>
    <w:p w14:paraId="185220B6">
      <w:pPr>
        <w:wordWrap w:val="0"/>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sz w:val="28"/>
          <w:szCs w:val="28"/>
          <w:highlight w:val="none"/>
        </w:rPr>
        <w:t>1.8.3 除专用合同条款另有约定外，分包人在合同签订前和签订时已确定采用的专利、专有技术、技术秘密的使用费已包含在签约合同价中。</w:t>
      </w:r>
    </w:p>
    <w:p w14:paraId="44F5D50B">
      <w:pPr>
        <w:pStyle w:val="4"/>
        <w:wordWrap w:val="0"/>
        <w:adjustRightInd w:val="0"/>
        <w:snapToGrid w:val="0"/>
        <w:spacing w:before="0" w:after="0" w:line="360" w:lineRule="auto"/>
        <w:rPr>
          <w:rFonts w:hint="eastAsia" w:ascii="仿宋" w:hAnsi="仿宋" w:eastAsia="仿宋" w:cs="仿宋"/>
          <w:sz w:val="28"/>
          <w:szCs w:val="28"/>
          <w:highlight w:val="none"/>
        </w:rPr>
      </w:pPr>
      <w:bookmarkStart w:id="102" w:name="_Toc32096"/>
      <w:bookmarkStart w:id="103" w:name="_Toc351203507"/>
      <w:bookmarkStart w:id="104" w:name="_Toc492"/>
      <w:bookmarkStart w:id="105" w:name="_Toc371493159"/>
      <w:r>
        <w:rPr>
          <w:rFonts w:hint="eastAsia" w:ascii="仿宋" w:hAnsi="仿宋" w:eastAsia="仿宋" w:cs="仿宋"/>
          <w:sz w:val="28"/>
          <w:szCs w:val="28"/>
          <w:highlight w:val="none"/>
        </w:rPr>
        <w:t>1</w:t>
      </w:r>
      <w:bookmarkStart w:id="106" w:name="_Toc337558738"/>
      <w:r>
        <w:rPr>
          <w:rFonts w:hint="eastAsia" w:ascii="仿宋" w:hAnsi="仿宋" w:eastAsia="仿宋" w:cs="仿宋"/>
          <w:sz w:val="28"/>
          <w:szCs w:val="28"/>
          <w:highlight w:val="none"/>
        </w:rPr>
        <w:t>.9 保密</w:t>
      </w:r>
      <w:bookmarkEnd w:id="102"/>
      <w:bookmarkEnd w:id="103"/>
      <w:bookmarkEnd w:id="104"/>
      <w:bookmarkEnd w:id="105"/>
    </w:p>
    <w:bookmarkEnd w:id="106"/>
    <w:p w14:paraId="001C2F6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除法律规定或分包合同另有约定外，未经对方当事人同意，任何一方当事人不得将对方提供的图纸、文件以及声明需要保密的资料信息等商业秘密泄露给第三方。</w:t>
      </w:r>
    </w:p>
    <w:p w14:paraId="3125411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07" w:name="_Toc351203509"/>
      <w:bookmarkStart w:id="108" w:name="_Toc29830"/>
      <w:bookmarkStart w:id="109" w:name="_Toc371493160"/>
      <w:bookmarkStart w:id="110" w:name="_Toc6894"/>
      <w:r>
        <w:rPr>
          <w:rFonts w:hint="eastAsia" w:ascii="仿宋" w:hAnsi="仿宋" w:eastAsia="仿宋" w:cs="仿宋"/>
          <w:sz w:val="28"/>
          <w:szCs w:val="28"/>
          <w:highlight w:val="none"/>
        </w:rPr>
        <w:t>2</w:t>
      </w:r>
      <w:bookmarkStart w:id="111" w:name="_Toc296346539"/>
      <w:bookmarkStart w:id="112" w:name="OLE_LINK2"/>
      <w:bookmarkStart w:id="113" w:name="OLE_LINK1"/>
      <w:bookmarkStart w:id="114" w:name="_Toc296503038"/>
      <w:bookmarkStart w:id="115" w:name="_Toc337558739"/>
      <w:r>
        <w:rPr>
          <w:rFonts w:hint="eastAsia" w:ascii="仿宋" w:hAnsi="仿宋" w:eastAsia="仿宋" w:cs="仿宋"/>
          <w:sz w:val="28"/>
          <w:szCs w:val="28"/>
          <w:highlight w:val="none"/>
        </w:rPr>
        <w:t>.</w:t>
      </w:r>
      <w:bookmarkEnd w:id="107"/>
      <w:bookmarkEnd w:id="111"/>
      <w:bookmarkEnd w:id="112"/>
      <w:bookmarkEnd w:id="113"/>
      <w:bookmarkEnd w:id="114"/>
      <w:bookmarkEnd w:id="115"/>
      <w:bookmarkStart w:id="116" w:name="_Toc351203518"/>
      <w:bookmarkStart w:id="117" w:name="_Toc296503045"/>
      <w:bookmarkStart w:id="118" w:name="_Toc337558746"/>
      <w:bookmarkStart w:id="119" w:name="_Toc296346546"/>
      <w:r>
        <w:rPr>
          <w:rFonts w:hint="eastAsia" w:ascii="仿宋" w:hAnsi="仿宋" w:eastAsia="仿宋" w:cs="仿宋"/>
          <w:sz w:val="28"/>
          <w:szCs w:val="28"/>
          <w:highlight w:val="none"/>
        </w:rPr>
        <w:t xml:space="preserve"> 承包人</w:t>
      </w:r>
      <w:bookmarkEnd w:id="108"/>
      <w:bookmarkEnd w:id="109"/>
      <w:bookmarkEnd w:id="110"/>
      <w:bookmarkEnd w:id="116"/>
    </w:p>
    <w:bookmarkEnd w:id="117"/>
    <w:bookmarkEnd w:id="118"/>
    <w:bookmarkEnd w:id="119"/>
    <w:p w14:paraId="3FCD354A">
      <w:pPr>
        <w:pStyle w:val="4"/>
        <w:wordWrap w:val="0"/>
        <w:adjustRightInd w:val="0"/>
        <w:snapToGrid w:val="0"/>
        <w:spacing w:before="0" w:after="0" w:line="360" w:lineRule="auto"/>
        <w:rPr>
          <w:rFonts w:hint="eastAsia" w:ascii="仿宋" w:hAnsi="仿宋" w:eastAsia="仿宋" w:cs="仿宋"/>
          <w:sz w:val="28"/>
          <w:szCs w:val="28"/>
          <w:highlight w:val="none"/>
        </w:rPr>
      </w:pPr>
      <w:bookmarkStart w:id="120" w:name="_Toc351203519"/>
      <w:bookmarkStart w:id="121" w:name="_Toc17885"/>
      <w:bookmarkStart w:id="122" w:name="_Toc11631"/>
      <w:bookmarkStart w:id="123" w:name="_Toc371493161"/>
      <w:bookmarkStart w:id="124" w:name="_Toc296503046"/>
      <w:bookmarkStart w:id="125" w:name="_Toc296346547"/>
      <w:bookmarkStart w:id="126" w:name="_Toc337558747"/>
      <w:r>
        <w:rPr>
          <w:rFonts w:hint="eastAsia" w:ascii="仿宋" w:hAnsi="仿宋" w:eastAsia="仿宋" w:cs="仿宋"/>
          <w:sz w:val="28"/>
          <w:szCs w:val="28"/>
          <w:highlight w:val="none"/>
        </w:rPr>
        <w:t xml:space="preserve">2.1 </w:t>
      </w:r>
      <w:bookmarkEnd w:id="120"/>
      <w:r>
        <w:rPr>
          <w:rFonts w:hint="eastAsia" w:ascii="仿宋" w:hAnsi="仿宋" w:eastAsia="仿宋" w:cs="仿宋"/>
          <w:sz w:val="28"/>
          <w:szCs w:val="28"/>
          <w:highlight w:val="none"/>
        </w:rPr>
        <w:t>承包人的一般义务</w:t>
      </w:r>
      <w:bookmarkEnd w:id="121"/>
      <w:bookmarkEnd w:id="122"/>
    </w:p>
    <w:p w14:paraId="7A5CC14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2.1.1 </w:t>
      </w:r>
      <w:bookmarkEnd w:id="123"/>
      <w:bookmarkEnd w:id="124"/>
      <w:bookmarkEnd w:id="125"/>
      <w:bookmarkEnd w:id="126"/>
      <w:r>
        <w:rPr>
          <w:rFonts w:hint="eastAsia" w:ascii="仿宋" w:hAnsi="仿宋" w:eastAsia="仿宋" w:cs="仿宋"/>
          <w:kern w:val="0"/>
          <w:sz w:val="28"/>
          <w:szCs w:val="28"/>
          <w:highlight w:val="none"/>
        </w:rPr>
        <w:t>承包人应向分包人提供履行分包合同所需的相应资料。</w:t>
      </w:r>
    </w:p>
    <w:p w14:paraId="2699463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 承包人应按法律规定和总包合同的约定对分包人和分包工程进行管理并承担总包管理责任。承包人负责协调分包人与其他分包人之间的交叉施工作业。</w:t>
      </w:r>
    </w:p>
    <w:p w14:paraId="1C586C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2.1.3 承包人应保证分包人免于承担因承包人、其他分包人的行为或疏忽造成的人员伤亡、财产损失、或与此有关的任何索赔。</w:t>
      </w:r>
    </w:p>
    <w:p w14:paraId="4F87DB1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127" w:name="_Toc29590"/>
      <w:bookmarkStart w:id="128" w:name="_Toc15647"/>
      <w:r>
        <w:rPr>
          <w:rFonts w:hint="eastAsia" w:ascii="仿宋" w:hAnsi="仿宋" w:eastAsia="仿宋" w:cs="仿宋"/>
          <w:sz w:val="28"/>
          <w:szCs w:val="28"/>
          <w:highlight w:val="none"/>
        </w:rPr>
        <w:t>2.2 提供基础资料、施工条件</w:t>
      </w:r>
      <w:bookmarkEnd w:id="127"/>
      <w:bookmarkEnd w:id="128"/>
    </w:p>
    <w:p w14:paraId="0E6380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2.2.1 承包人应当在移交施工场地前向分包人提供分包工程施工所必需的地下管线资料、地质勘察资料、相邻建筑物、构筑物和地下工程等有关基础资料。分包人应对依据前述基础资料所做出的解释和推断负责，但因基础资料存在错误、遗漏导致分包人解释或推断失实的，由承包人承担责任。</w:t>
      </w:r>
    </w:p>
    <w:p w14:paraId="52A7EFB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 除专用合同条款另有约定外，承包人应最迟于实际开工日期3天前向分包人移交施工场地并提供以下施工条件：</w:t>
      </w:r>
    </w:p>
    <w:p w14:paraId="5DABBC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（1）水、电接驳点；</w:t>
      </w:r>
    </w:p>
    <w:p w14:paraId="01DB53A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（2）正常施工所需要的进入施工场地的交通条件；</w:t>
      </w:r>
    </w:p>
    <w:p w14:paraId="23E7226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（3）正常施工所需要的作业面；</w:t>
      </w:r>
    </w:p>
    <w:p w14:paraId="02444C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（4）按照专用合同条款约定应提供的其他设施和条件。</w:t>
      </w:r>
    </w:p>
    <w:p w14:paraId="3FE603FF">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向分包人移交施工场地时，承包人和分包人应对全部施工条件和分包工程施工前的工程质量进行检查，并在检查记录上签字确认。施工条件不满足或分包工程施工前的工程质量不合格的，承包人负责完善施工条件或修复相关工程直至质量合格。</w:t>
      </w:r>
    </w:p>
    <w:p w14:paraId="754DBD9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2.2.3 因承包人原因未能按分包合同约定及时向分包人提供施工场地、施工条件、基础资料的，由承包人承担由此增加的费用和（或）延误的工期。</w:t>
      </w:r>
    </w:p>
    <w:p w14:paraId="7E3BBE91">
      <w:pPr>
        <w:pStyle w:val="4"/>
        <w:wordWrap w:val="0"/>
        <w:adjustRightInd w:val="0"/>
        <w:snapToGrid w:val="0"/>
        <w:spacing w:before="0" w:after="0" w:line="360" w:lineRule="auto"/>
        <w:rPr>
          <w:rFonts w:hint="eastAsia" w:ascii="仿宋" w:hAnsi="仿宋" w:eastAsia="仿宋" w:cs="仿宋"/>
          <w:sz w:val="28"/>
          <w:szCs w:val="28"/>
          <w:highlight w:val="none"/>
        </w:rPr>
      </w:pPr>
      <w:bookmarkStart w:id="129" w:name="_Toc28060"/>
      <w:bookmarkStart w:id="130" w:name="_Toc24172"/>
      <w:bookmarkStart w:id="131" w:name="_Toc371493163"/>
      <w:r>
        <w:rPr>
          <w:rFonts w:hint="eastAsia" w:ascii="仿宋" w:hAnsi="仿宋" w:eastAsia="仿宋" w:cs="仿宋"/>
          <w:sz w:val="28"/>
          <w:szCs w:val="28"/>
          <w:highlight w:val="none"/>
        </w:rPr>
        <w:t>2.3 承包人项目经理</w:t>
      </w:r>
      <w:bookmarkEnd w:id="129"/>
      <w:bookmarkEnd w:id="130"/>
      <w:bookmarkEnd w:id="131"/>
      <w:bookmarkStart w:id="132" w:name="_Toc296346548"/>
      <w:bookmarkStart w:id="133" w:name="_Toc296503047"/>
      <w:bookmarkStart w:id="134" w:name="_Toc337558748"/>
    </w:p>
    <w:bookmarkEnd w:id="132"/>
    <w:bookmarkEnd w:id="133"/>
    <w:bookmarkEnd w:id="134"/>
    <w:p w14:paraId="3AF31C7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14:paraId="1FE691B7">
      <w:pPr>
        <w:pStyle w:val="4"/>
        <w:wordWrap w:val="0"/>
        <w:adjustRightInd w:val="0"/>
        <w:snapToGrid w:val="0"/>
        <w:spacing w:before="0" w:after="0" w:line="360" w:lineRule="auto"/>
        <w:rPr>
          <w:rFonts w:hint="eastAsia" w:ascii="仿宋" w:hAnsi="仿宋" w:eastAsia="仿宋" w:cs="仿宋"/>
          <w:sz w:val="28"/>
          <w:szCs w:val="28"/>
          <w:highlight w:val="none"/>
        </w:rPr>
      </w:pPr>
      <w:bookmarkStart w:id="135" w:name="_Toc22426"/>
      <w:bookmarkStart w:id="136" w:name="_Toc371493165"/>
      <w:bookmarkStart w:id="137" w:name="_Toc31909"/>
      <w:r>
        <w:rPr>
          <w:rFonts w:hint="eastAsia" w:ascii="仿宋" w:hAnsi="仿宋" w:eastAsia="仿宋" w:cs="仿宋"/>
          <w:sz w:val="28"/>
          <w:szCs w:val="28"/>
          <w:highlight w:val="none"/>
        </w:rPr>
        <w:t>2.4 指令和决定</w:t>
      </w:r>
      <w:bookmarkEnd w:id="135"/>
      <w:bookmarkEnd w:id="136"/>
      <w:bookmarkEnd w:id="137"/>
    </w:p>
    <w:p w14:paraId="7D5413B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2.4.1 承包人指令</w:t>
      </w:r>
    </w:p>
    <w:p w14:paraId="59CE580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承包人可委托其它施工单位完成该指令事项，因此发生的费用由分包人承担。</w:t>
      </w:r>
    </w:p>
    <w:p w14:paraId="70E1E19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的指令应以书面形式发出。紧急情况下，为了保证施工人员的安全或避免工程受损，承包人可以口头形式发出指令，该指令与书面形式的指令具有同等法律效力，但承包人应在口头指令发出后48小时内补发书面指令，补发的书面指令应与口头指令一致。</w:t>
      </w:r>
    </w:p>
    <w:p w14:paraId="5D3A748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2.4.2 发包人或监理人指令</w:t>
      </w:r>
    </w:p>
    <w:p w14:paraId="5777FF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就分包工程范围内的工作，分包人应接受并执行经承包人确认并转发的发包人或监理人发出的指令。分包人不应接受或执行未经承包人确认的发包人或监理人发出的指令。分包人一旦收到了发包人或监理人直接向分包人发出的指令，应立即将此类指令通知承包人。</w:t>
      </w:r>
    </w:p>
    <w:p w14:paraId="7C710ED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38" w:name="_Toc371493174"/>
      <w:bookmarkStart w:id="139" w:name="_Toc10814"/>
      <w:bookmarkStart w:id="140" w:name="_Toc1067"/>
      <w:r>
        <w:rPr>
          <w:rFonts w:hint="eastAsia" w:ascii="仿宋" w:hAnsi="仿宋" w:eastAsia="仿宋" w:cs="仿宋"/>
          <w:sz w:val="28"/>
          <w:szCs w:val="28"/>
          <w:highlight w:val="none"/>
        </w:rPr>
        <w:t>3. 分包人</w:t>
      </w:r>
      <w:bookmarkEnd w:id="138"/>
      <w:bookmarkEnd w:id="139"/>
      <w:bookmarkEnd w:id="140"/>
    </w:p>
    <w:p w14:paraId="7D9C9051">
      <w:pPr>
        <w:pStyle w:val="4"/>
        <w:wordWrap w:val="0"/>
        <w:adjustRightInd w:val="0"/>
        <w:snapToGrid w:val="0"/>
        <w:spacing w:before="0" w:after="0" w:line="360" w:lineRule="auto"/>
        <w:rPr>
          <w:rFonts w:hint="eastAsia" w:ascii="仿宋" w:hAnsi="仿宋" w:eastAsia="仿宋" w:cs="仿宋"/>
          <w:sz w:val="28"/>
          <w:szCs w:val="28"/>
          <w:highlight w:val="none"/>
        </w:rPr>
      </w:pPr>
      <w:bookmarkStart w:id="141" w:name="_Toc371493175"/>
      <w:bookmarkStart w:id="142" w:name="_Toc14205"/>
      <w:bookmarkStart w:id="143" w:name="_Toc3046"/>
      <w:r>
        <w:rPr>
          <w:rFonts w:hint="eastAsia" w:ascii="仿宋" w:hAnsi="仿宋" w:eastAsia="仿宋" w:cs="仿宋"/>
          <w:sz w:val="28"/>
          <w:szCs w:val="28"/>
          <w:highlight w:val="none"/>
        </w:rPr>
        <w:t>3.1 分包人的一般义务</w:t>
      </w:r>
      <w:bookmarkEnd w:id="141"/>
      <w:bookmarkEnd w:id="142"/>
      <w:bookmarkEnd w:id="143"/>
    </w:p>
    <w:p w14:paraId="0713EFC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3.1.1 办理专用合同条款约定的与分包工程有关的许可和批准手续。</w:t>
      </w:r>
    </w:p>
    <w:p w14:paraId="44F2B8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3.1.2 按法律规定和分包合同约定完成分包工程，对所有施工作业和施工方法的完备性和安全可靠性负责，并在保修期内履行保修义务。</w:t>
      </w:r>
    </w:p>
    <w:p w14:paraId="318561F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3.1.3 对施工场地进行查勘，并充分了解分包工程所在地的气象条件、交通条件、风俗习惯以及与履行分包合同有关的其他情况。</w:t>
      </w:r>
    </w:p>
    <w:p w14:paraId="2B8CE9C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3.1.4 按照法律规定完成分包工程资料的编写、管理和归档；确保分包工程资料的准确完整。</w:t>
      </w:r>
    </w:p>
    <w:p w14:paraId="4D008AF5">
      <w:pPr>
        <w:pStyle w:val="4"/>
        <w:wordWrap w:val="0"/>
        <w:adjustRightInd w:val="0"/>
        <w:snapToGrid w:val="0"/>
        <w:spacing w:before="0" w:after="0" w:line="360" w:lineRule="auto"/>
        <w:rPr>
          <w:rFonts w:hint="eastAsia" w:ascii="仿宋" w:hAnsi="仿宋" w:eastAsia="仿宋" w:cs="仿宋"/>
          <w:sz w:val="28"/>
          <w:szCs w:val="28"/>
          <w:highlight w:val="none"/>
        </w:rPr>
      </w:pPr>
      <w:bookmarkStart w:id="144" w:name="_Toc371493176"/>
      <w:bookmarkStart w:id="145" w:name="_Toc300"/>
      <w:bookmarkStart w:id="146" w:name="_Toc9536"/>
      <w:r>
        <w:rPr>
          <w:rFonts w:hint="eastAsia" w:ascii="仿宋" w:hAnsi="仿宋" w:eastAsia="仿宋" w:cs="仿宋"/>
          <w:sz w:val="28"/>
          <w:szCs w:val="28"/>
          <w:highlight w:val="none"/>
        </w:rPr>
        <w:t>3.2 分包人项目经理</w:t>
      </w:r>
      <w:bookmarkEnd w:id="144"/>
      <w:r>
        <w:rPr>
          <w:rFonts w:hint="eastAsia" w:ascii="仿宋" w:hAnsi="仿宋" w:eastAsia="仿宋" w:cs="仿宋"/>
          <w:sz w:val="28"/>
          <w:szCs w:val="28"/>
          <w:highlight w:val="none"/>
        </w:rPr>
        <w:t>和其他主要项目管理人员</w:t>
      </w:r>
      <w:bookmarkEnd w:id="145"/>
      <w:bookmarkEnd w:id="146"/>
    </w:p>
    <w:p w14:paraId="1BF8575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3.2.1 除专用合同条款另有约定外，分包人应在收到开工通知后7天内向承包人提交分包人项目管理机构及施工人员安排的报告。分包人项目管理机构包括分包人项目经理和其他主要项目管理人员。分包合同当事人应在专用合同条款中约定分包人项目经理的姓名、职称、联系方式及授权范围等事项。其他主要项目管理人员的姓名和岗位详见专用合同条款【附件8：分包人主要项目管理人员表】。合同当事人通过招投标方式订立分包合同的，专用合同条款或其附件中载明的分包人项目经理和其他主要项目管理人员应与分包人投标文件保持一致。</w:t>
      </w:r>
    </w:p>
    <w:p w14:paraId="7353CC5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在收到开工通知后7天内向承包人提交分包人为前述人员缴纳社会保险的有效证明。分包人不提交上述文件的，前述人员无权履行职责，承包人有权要求更换，由此增加的费用和（或）延误的工期由分包人承担。</w:t>
      </w:r>
    </w:p>
    <w:p w14:paraId="6FBD39A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3.2.2 分包人项目经理为分包人派驻施工场地的负责人，在分包人授权范围内决定分包合同履行过程中与分包人有关的具体事宜。除专用合同条款另有约定外，分包人项目经理不得同时担任其他项目的项目经理；否则，分包人应按专用合同条款的约定承担违约责任。</w:t>
      </w:r>
    </w:p>
    <w:p w14:paraId="18D57B8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3.2.3 分包人项目经理和其他主要项目管理人员应常驻施工场地。前述人员因故需要离开施工场地时，应事先取得承包人的书面同意；否则，分包人应按照专用合同条款的约定承担违约责任。</w:t>
      </w:r>
    </w:p>
    <w:p w14:paraId="4F4EE0E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3.2.4 分包人需要更换分包人项目经理或其他主要项目管理人员的，应提前7天书面通知承包人，并征得承包人书面同意。未经承包人书面同意，分包人不得擅自更换。分包人擅自更换的，应按照专用合同条款的约定承担违约责任。</w:t>
      </w:r>
    </w:p>
    <w:p w14:paraId="7DEEA88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承包人有权书面通知分包人更换不称职的分包人项目经理或其他主要项目管理人员的，分包人应在接到更换通知后7天内进行更换。分包人无正当理由拒绝更换，应按照专用合同条款的约定承担违约责任。</w:t>
      </w:r>
    </w:p>
    <w:p w14:paraId="2B7FFDC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147" w:name="_Toc371493177"/>
      <w:bookmarkStart w:id="148" w:name="_Toc351203521"/>
      <w:bookmarkStart w:id="149" w:name="_Toc3335"/>
      <w:bookmarkStart w:id="150" w:name="_Toc25921"/>
      <w:r>
        <w:rPr>
          <w:rFonts w:hint="eastAsia" w:ascii="仿宋" w:hAnsi="仿宋" w:eastAsia="仿宋" w:cs="仿宋"/>
          <w:sz w:val="28"/>
          <w:szCs w:val="28"/>
          <w:highlight w:val="none"/>
        </w:rPr>
        <w:t>3</w:t>
      </w:r>
      <w:bookmarkStart w:id="151" w:name="_Toc296503048"/>
      <w:bookmarkStart w:id="152" w:name="_Toc337558749"/>
      <w:bookmarkStart w:id="153" w:name="_Toc296346549"/>
      <w:r>
        <w:rPr>
          <w:rFonts w:hint="eastAsia" w:ascii="仿宋" w:hAnsi="仿宋" w:eastAsia="仿宋" w:cs="仿宋"/>
          <w:sz w:val="28"/>
          <w:szCs w:val="28"/>
          <w:highlight w:val="none"/>
        </w:rPr>
        <w:t>.3</w:t>
      </w:r>
      <w:bookmarkEnd w:id="147"/>
      <w:bookmarkEnd w:id="148"/>
      <w:bookmarkEnd w:id="151"/>
      <w:bookmarkEnd w:id="152"/>
      <w:bookmarkEnd w:id="153"/>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特殊工种上岗作业要求</w:t>
      </w:r>
      <w:bookmarkEnd w:id="149"/>
      <w:bookmarkEnd w:id="150"/>
    </w:p>
    <w:p w14:paraId="73D39DB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律规定需要持证上岗的特殊工种作业人员，必须具有行政管理部门颁发的相应岗位的特殊工种上岗证，并在相应作业人员进场前报送承包人审核并备案。特殊工种作业人员不具备上岗证的，分包人应按专用合同条款的约定承担违约责任。</w:t>
      </w:r>
    </w:p>
    <w:p w14:paraId="57ECB9B4">
      <w:pPr>
        <w:pStyle w:val="4"/>
        <w:wordWrap w:val="0"/>
        <w:adjustRightInd w:val="0"/>
        <w:snapToGrid w:val="0"/>
        <w:spacing w:before="0" w:after="0" w:line="360" w:lineRule="auto"/>
        <w:rPr>
          <w:rFonts w:hint="eastAsia" w:ascii="仿宋" w:hAnsi="仿宋" w:eastAsia="仿宋" w:cs="仿宋"/>
          <w:sz w:val="28"/>
          <w:szCs w:val="28"/>
          <w:highlight w:val="none"/>
        </w:rPr>
      </w:pPr>
      <w:bookmarkStart w:id="154" w:name="_Toc26630"/>
      <w:bookmarkStart w:id="155" w:name="_Toc14129"/>
      <w:r>
        <w:rPr>
          <w:rFonts w:hint="eastAsia" w:ascii="仿宋" w:hAnsi="仿宋" w:eastAsia="仿宋" w:cs="仿宋"/>
          <w:sz w:val="28"/>
          <w:szCs w:val="28"/>
          <w:highlight w:val="none"/>
        </w:rPr>
        <w:t>3.4</w:t>
      </w:r>
      <w:bookmarkStart w:id="156" w:name="_Toc351203523"/>
      <w:bookmarkStart w:id="157" w:name="_Toc371493179"/>
      <w:bookmarkStart w:id="158" w:name="_Toc337558751"/>
      <w:bookmarkStart w:id="159" w:name="_Toc296503051"/>
      <w:bookmarkStart w:id="160" w:name="_Toc296346552"/>
      <w:r>
        <w:rPr>
          <w:rFonts w:hint="eastAsia" w:ascii="仿宋" w:hAnsi="仿宋" w:eastAsia="仿宋" w:cs="仿宋"/>
          <w:sz w:val="28"/>
          <w:szCs w:val="28"/>
          <w:highlight w:val="none"/>
        </w:rPr>
        <w:t xml:space="preserve"> 禁止转包</w:t>
      </w:r>
      <w:bookmarkEnd w:id="156"/>
      <w:r>
        <w:rPr>
          <w:rFonts w:hint="eastAsia" w:ascii="仿宋" w:hAnsi="仿宋" w:eastAsia="仿宋" w:cs="仿宋"/>
          <w:sz w:val="28"/>
          <w:szCs w:val="28"/>
          <w:highlight w:val="none"/>
        </w:rPr>
        <w:t>和</w:t>
      </w:r>
      <w:bookmarkEnd w:id="157"/>
      <w:r>
        <w:rPr>
          <w:rFonts w:hint="eastAsia" w:ascii="仿宋" w:hAnsi="仿宋" w:eastAsia="仿宋" w:cs="仿宋"/>
          <w:sz w:val="28"/>
          <w:szCs w:val="28"/>
          <w:highlight w:val="none"/>
        </w:rPr>
        <w:t>再分包</w:t>
      </w:r>
      <w:bookmarkEnd w:id="154"/>
      <w:bookmarkEnd w:id="155"/>
    </w:p>
    <w:bookmarkEnd w:id="158"/>
    <w:bookmarkEnd w:id="159"/>
    <w:bookmarkEnd w:id="160"/>
    <w:p w14:paraId="570D2F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3.4.1 分包人不得将分包工程转包给第三人。分包人转包分包工程的，应按专用合同条款的约定承担违约责任。</w:t>
      </w:r>
    </w:p>
    <w:p w14:paraId="132F0D0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3.4.2 分包人不得将分包工程的任何部分违法分包给任何第三人。分包人违法分包工程的，应按专用合同条款的约定承担违约责任。</w:t>
      </w:r>
    </w:p>
    <w:p w14:paraId="4ACBEA68">
      <w:pPr>
        <w:pStyle w:val="4"/>
        <w:wordWrap w:val="0"/>
        <w:adjustRightInd w:val="0"/>
        <w:snapToGrid w:val="0"/>
        <w:spacing w:before="0" w:after="0" w:line="360" w:lineRule="auto"/>
        <w:rPr>
          <w:rFonts w:hint="eastAsia" w:ascii="仿宋" w:hAnsi="仿宋" w:eastAsia="仿宋" w:cs="仿宋"/>
          <w:sz w:val="28"/>
          <w:szCs w:val="28"/>
          <w:highlight w:val="none"/>
        </w:rPr>
      </w:pPr>
      <w:bookmarkStart w:id="161" w:name="_Toc351203525"/>
      <w:bookmarkStart w:id="162" w:name="_Toc8842"/>
      <w:bookmarkStart w:id="163" w:name="_Toc371493181"/>
      <w:bookmarkStart w:id="164" w:name="_Toc30260"/>
      <w:r>
        <w:rPr>
          <w:rFonts w:hint="eastAsia" w:ascii="仿宋" w:hAnsi="仿宋" w:eastAsia="仿宋" w:cs="仿宋"/>
          <w:sz w:val="28"/>
          <w:szCs w:val="28"/>
          <w:highlight w:val="none"/>
        </w:rPr>
        <w:t>3</w:t>
      </w:r>
      <w:bookmarkStart w:id="165" w:name="_Toc296346553"/>
      <w:bookmarkStart w:id="166" w:name="_Toc296503052"/>
      <w:bookmarkStart w:id="167" w:name="_Toc337558752"/>
      <w:r>
        <w:rPr>
          <w:rFonts w:hint="eastAsia" w:ascii="仿宋" w:hAnsi="仿宋" w:eastAsia="仿宋" w:cs="仿宋"/>
          <w:sz w:val="28"/>
          <w:szCs w:val="28"/>
          <w:highlight w:val="none"/>
        </w:rPr>
        <w:t>.5 履约担保</w:t>
      </w:r>
      <w:bookmarkEnd w:id="161"/>
      <w:bookmarkEnd w:id="162"/>
      <w:bookmarkEnd w:id="163"/>
      <w:bookmarkEnd w:id="164"/>
    </w:p>
    <w:bookmarkEnd w:id="165"/>
    <w:bookmarkEnd w:id="166"/>
    <w:bookmarkEnd w:id="167"/>
    <w:p w14:paraId="3D25EAF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承包人需要分包人提供履约担保的，由合同当事人在专用合同条款中约定履约担保的方式、金额及期限等。</w:t>
      </w:r>
    </w:p>
    <w:p w14:paraId="7C3A02D7">
      <w:pPr>
        <w:pStyle w:val="4"/>
        <w:wordWrap w:val="0"/>
        <w:adjustRightInd w:val="0"/>
        <w:snapToGrid w:val="0"/>
        <w:spacing w:before="0" w:after="0" w:line="360" w:lineRule="auto"/>
        <w:rPr>
          <w:rFonts w:hint="eastAsia" w:ascii="仿宋" w:hAnsi="仿宋" w:eastAsia="仿宋" w:cs="仿宋"/>
          <w:sz w:val="28"/>
          <w:szCs w:val="28"/>
          <w:highlight w:val="none"/>
        </w:rPr>
      </w:pPr>
      <w:bookmarkStart w:id="168" w:name="_Toc351203526"/>
      <w:bookmarkStart w:id="169" w:name="_Toc19606"/>
      <w:bookmarkStart w:id="170" w:name="_Toc371493182"/>
      <w:bookmarkStart w:id="171" w:name="_Toc18672"/>
      <w:r>
        <w:rPr>
          <w:rFonts w:hint="eastAsia" w:ascii="仿宋" w:hAnsi="仿宋" w:eastAsia="仿宋" w:cs="仿宋"/>
          <w:sz w:val="28"/>
          <w:szCs w:val="28"/>
          <w:highlight w:val="none"/>
        </w:rPr>
        <w:t>3.6 联合体</w:t>
      </w:r>
      <w:bookmarkEnd w:id="168"/>
      <w:bookmarkEnd w:id="169"/>
      <w:bookmarkEnd w:id="170"/>
      <w:bookmarkEnd w:id="171"/>
    </w:p>
    <w:p w14:paraId="02F5033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3.6.1 联合体各方应共同与承包人签订合同协议书；联合体各方应为履行分包合同向承包人承担连带责任。</w:t>
      </w:r>
    </w:p>
    <w:p w14:paraId="41C6388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3.6.2 联合体协议经承包人确认后作为专用合同条款附件。在履行分包合同过程中，未经承包人书面同意，不得修改联合体协议。</w:t>
      </w:r>
    </w:p>
    <w:p w14:paraId="21D8A97E">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72" w:name="_Toc14492"/>
      <w:bookmarkStart w:id="173" w:name="_Toc371493183"/>
      <w:bookmarkStart w:id="174" w:name="_Toc27491"/>
      <w:bookmarkStart w:id="175" w:name="_Toc351203527"/>
      <w:r>
        <w:rPr>
          <w:rFonts w:hint="eastAsia" w:ascii="仿宋" w:hAnsi="仿宋" w:eastAsia="仿宋" w:cs="仿宋"/>
          <w:sz w:val="28"/>
          <w:szCs w:val="28"/>
          <w:highlight w:val="none"/>
        </w:rPr>
        <w:t>4. 总包合同</w:t>
      </w:r>
      <w:bookmarkEnd w:id="172"/>
      <w:bookmarkEnd w:id="173"/>
      <w:bookmarkEnd w:id="174"/>
    </w:p>
    <w:p w14:paraId="0C38D1B4">
      <w:pPr>
        <w:pStyle w:val="4"/>
        <w:wordWrap w:val="0"/>
        <w:adjustRightInd w:val="0"/>
        <w:snapToGrid w:val="0"/>
        <w:spacing w:before="0" w:after="0" w:line="360" w:lineRule="auto"/>
        <w:rPr>
          <w:rFonts w:hint="eastAsia" w:ascii="仿宋" w:hAnsi="仿宋" w:eastAsia="仿宋" w:cs="仿宋"/>
          <w:sz w:val="28"/>
          <w:szCs w:val="28"/>
          <w:highlight w:val="none"/>
        </w:rPr>
      </w:pPr>
      <w:bookmarkStart w:id="176" w:name="_Toc371493184"/>
      <w:bookmarkStart w:id="177" w:name="_Toc21236"/>
      <w:bookmarkStart w:id="178" w:name="_Toc21647"/>
      <w:r>
        <w:rPr>
          <w:rFonts w:hint="eastAsia" w:ascii="仿宋" w:hAnsi="仿宋" w:eastAsia="仿宋" w:cs="仿宋"/>
          <w:sz w:val="28"/>
          <w:szCs w:val="28"/>
          <w:highlight w:val="none"/>
        </w:rPr>
        <w:t xml:space="preserve">4.1 </w:t>
      </w:r>
      <w:bookmarkEnd w:id="176"/>
      <w:r>
        <w:rPr>
          <w:rFonts w:hint="eastAsia" w:ascii="仿宋" w:hAnsi="仿宋" w:eastAsia="仿宋" w:cs="仿宋"/>
          <w:sz w:val="28"/>
          <w:szCs w:val="28"/>
          <w:highlight w:val="none"/>
        </w:rPr>
        <w:t>总包合同的提供</w:t>
      </w:r>
      <w:bookmarkEnd w:id="177"/>
      <w:bookmarkEnd w:id="178"/>
    </w:p>
    <w:p w14:paraId="1D71B03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提供总包合同供分包人查阅，并且在分包人要求时向分包人提供一份总包合同复印件，但有关总包工程价格及支付内容除外。分包人应仔细阅读并全面了解总包合同的各项约定，分包合同的签订视为分包人完全知悉承包人在总包合同项下与分包工程有关的义务和责任。</w:t>
      </w:r>
    </w:p>
    <w:p w14:paraId="70E48564">
      <w:pPr>
        <w:pStyle w:val="4"/>
        <w:wordWrap w:val="0"/>
        <w:adjustRightInd w:val="0"/>
        <w:snapToGrid w:val="0"/>
        <w:spacing w:before="0" w:after="0" w:line="360" w:lineRule="auto"/>
        <w:rPr>
          <w:rFonts w:hint="eastAsia" w:ascii="仿宋" w:hAnsi="仿宋" w:eastAsia="仿宋" w:cs="仿宋"/>
          <w:sz w:val="28"/>
          <w:szCs w:val="28"/>
          <w:highlight w:val="none"/>
        </w:rPr>
      </w:pPr>
      <w:bookmarkStart w:id="179" w:name="_Toc371493185"/>
      <w:bookmarkStart w:id="180" w:name="_Toc1535"/>
      <w:bookmarkStart w:id="181" w:name="_Toc20997"/>
      <w:r>
        <w:rPr>
          <w:rFonts w:hint="eastAsia" w:ascii="仿宋" w:hAnsi="仿宋" w:eastAsia="仿宋" w:cs="仿宋"/>
          <w:sz w:val="28"/>
          <w:szCs w:val="28"/>
          <w:highlight w:val="none"/>
        </w:rPr>
        <w:t xml:space="preserve">4.2 </w:t>
      </w:r>
      <w:bookmarkEnd w:id="179"/>
      <w:r>
        <w:rPr>
          <w:rFonts w:hint="eastAsia" w:ascii="仿宋" w:hAnsi="仿宋" w:eastAsia="仿宋" w:cs="仿宋"/>
          <w:sz w:val="28"/>
          <w:szCs w:val="28"/>
          <w:highlight w:val="none"/>
        </w:rPr>
        <w:t>与总包合同有关的分包人义务</w:t>
      </w:r>
      <w:bookmarkEnd w:id="180"/>
      <w:bookmarkEnd w:id="181"/>
    </w:p>
    <w:p w14:paraId="0DE1A4E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分包人应履行总包合同中与分包工程有关的承包人的所有义务，但分包合同明确约定由承包人履行的义务除外。分包人应避免因其自身行为或疏忽造成承包人违反总包合同约定。</w:t>
      </w:r>
    </w:p>
    <w:bookmarkEnd w:id="175"/>
    <w:p w14:paraId="4D11AD2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82" w:name="_Toc3061"/>
      <w:bookmarkStart w:id="183" w:name="_Toc371493187"/>
      <w:bookmarkStart w:id="184" w:name="_Toc12737"/>
      <w:bookmarkStart w:id="185" w:name="_Toc351203532"/>
      <w:bookmarkStart w:id="186" w:name="_Toc337558758"/>
      <w:r>
        <w:rPr>
          <w:rFonts w:hint="eastAsia" w:ascii="仿宋" w:hAnsi="仿宋" w:eastAsia="仿宋" w:cs="仿宋"/>
          <w:sz w:val="28"/>
          <w:szCs w:val="28"/>
          <w:highlight w:val="none"/>
        </w:rPr>
        <w:t>5. 分包工程质量</w:t>
      </w:r>
      <w:bookmarkEnd w:id="182"/>
      <w:bookmarkEnd w:id="183"/>
      <w:bookmarkEnd w:id="184"/>
      <w:bookmarkEnd w:id="185"/>
    </w:p>
    <w:bookmarkEnd w:id="186"/>
    <w:p w14:paraId="2246B2B3">
      <w:pPr>
        <w:pStyle w:val="4"/>
        <w:wordWrap w:val="0"/>
        <w:adjustRightInd w:val="0"/>
        <w:snapToGrid w:val="0"/>
        <w:spacing w:before="0" w:after="0" w:line="360" w:lineRule="auto"/>
        <w:rPr>
          <w:rFonts w:hint="eastAsia" w:ascii="仿宋" w:hAnsi="仿宋" w:eastAsia="仿宋" w:cs="仿宋"/>
          <w:sz w:val="28"/>
          <w:szCs w:val="28"/>
          <w:highlight w:val="none"/>
        </w:rPr>
      </w:pPr>
      <w:bookmarkStart w:id="187" w:name="_Toc5229"/>
      <w:bookmarkStart w:id="188" w:name="_Toc24522"/>
      <w:bookmarkStart w:id="189" w:name="_Toc371493188"/>
      <w:bookmarkStart w:id="190" w:name="_Toc351203533"/>
      <w:bookmarkStart w:id="191" w:name="_Toc337558759"/>
      <w:r>
        <w:rPr>
          <w:rFonts w:hint="eastAsia" w:ascii="仿宋" w:hAnsi="仿宋" w:eastAsia="仿宋" w:cs="仿宋"/>
          <w:sz w:val="28"/>
          <w:szCs w:val="28"/>
          <w:highlight w:val="none"/>
        </w:rPr>
        <w:t>5.1 质量要求</w:t>
      </w:r>
      <w:bookmarkEnd w:id="187"/>
      <w:bookmarkEnd w:id="188"/>
      <w:bookmarkEnd w:id="189"/>
      <w:bookmarkEnd w:id="190"/>
    </w:p>
    <w:bookmarkEnd w:id="191"/>
    <w:p w14:paraId="3D51672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质量必须符合国家、行业及工程所在地的强制性技术标准和要求，同时应符合总包合同约定的质量标准。除分包合同协议书约定的质量标准外，有关分包工程质量的特殊标准或要求可以由分包合同当事人在专用合同条款中约定。</w:t>
      </w:r>
    </w:p>
    <w:p w14:paraId="5DD87C1D">
      <w:pPr>
        <w:pStyle w:val="4"/>
        <w:wordWrap w:val="0"/>
        <w:adjustRightInd w:val="0"/>
        <w:snapToGrid w:val="0"/>
        <w:spacing w:before="0" w:after="0" w:line="360" w:lineRule="auto"/>
        <w:rPr>
          <w:rFonts w:hint="eastAsia" w:ascii="仿宋" w:hAnsi="仿宋" w:eastAsia="仿宋" w:cs="仿宋"/>
          <w:sz w:val="28"/>
          <w:szCs w:val="28"/>
          <w:highlight w:val="none"/>
        </w:rPr>
      </w:pPr>
      <w:bookmarkStart w:id="192" w:name="_Toc6428"/>
      <w:bookmarkStart w:id="193" w:name="_Toc1313"/>
      <w:r>
        <w:rPr>
          <w:rFonts w:hint="eastAsia" w:ascii="仿宋" w:hAnsi="仿宋" w:eastAsia="仿宋" w:cs="仿宋"/>
          <w:sz w:val="28"/>
          <w:szCs w:val="28"/>
          <w:highlight w:val="none"/>
        </w:rPr>
        <w:t>5.2 分包人的质量管理</w:t>
      </w:r>
      <w:bookmarkEnd w:id="192"/>
      <w:bookmarkEnd w:id="193"/>
    </w:p>
    <w:p w14:paraId="6EDA5FD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分包人应按照第7.1款【施工组织】向承包人提交分包工程质量保证体系及措施文件，建立完善的质量检查制度并严格执行。</w:t>
      </w:r>
    </w:p>
    <w:p w14:paraId="70BF6BBD">
      <w:pPr>
        <w:pStyle w:val="4"/>
        <w:wordWrap w:val="0"/>
        <w:adjustRightInd w:val="0"/>
        <w:snapToGrid w:val="0"/>
        <w:spacing w:before="0" w:after="0" w:line="360" w:lineRule="auto"/>
        <w:rPr>
          <w:rFonts w:hint="eastAsia" w:ascii="仿宋" w:hAnsi="仿宋" w:eastAsia="仿宋" w:cs="仿宋"/>
          <w:sz w:val="28"/>
          <w:szCs w:val="28"/>
          <w:highlight w:val="none"/>
        </w:rPr>
      </w:pPr>
      <w:bookmarkStart w:id="194" w:name="_Toc351203534"/>
      <w:bookmarkStart w:id="195" w:name="_Toc371493189"/>
      <w:bookmarkStart w:id="196" w:name="_Toc19933"/>
      <w:bookmarkStart w:id="197" w:name="_Toc31305"/>
      <w:bookmarkStart w:id="198" w:name="_Toc337558760"/>
      <w:r>
        <w:rPr>
          <w:rFonts w:hint="eastAsia" w:ascii="仿宋" w:hAnsi="仿宋" w:eastAsia="仿宋" w:cs="仿宋"/>
          <w:sz w:val="28"/>
          <w:szCs w:val="28"/>
          <w:highlight w:val="none"/>
        </w:rPr>
        <w:t xml:space="preserve">5.3 </w:t>
      </w:r>
      <w:bookmarkEnd w:id="194"/>
      <w:bookmarkEnd w:id="195"/>
      <w:r>
        <w:rPr>
          <w:rFonts w:hint="eastAsia" w:ascii="仿宋" w:hAnsi="仿宋" w:eastAsia="仿宋" w:cs="仿宋"/>
          <w:sz w:val="28"/>
          <w:szCs w:val="28"/>
          <w:highlight w:val="none"/>
        </w:rPr>
        <w:t>承包人的质量管理</w:t>
      </w:r>
      <w:bookmarkEnd w:id="196"/>
      <w:bookmarkEnd w:id="197"/>
    </w:p>
    <w:bookmarkEnd w:id="198"/>
    <w:p w14:paraId="32D40B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承包人应根据法律及总包合同约定建立总包工程质量管理体系，并将分包工程质量管理纳入总包工程质量管理体系，对分包工程的质量进行监督管理。</w:t>
      </w:r>
    </w:p>
    <w:p w14:paraId="31CDBD70">
      <w:pPr>
        <w:pStyle w:val="4"/>
        <w:wordWrap w:val="0"/>
        <w:adjustRightInd w:val="0"/>
        <w:snapToGrid w:val="0"/>
        <w:spacing w:before="0" w:after="0" w:line="360" w:lineRule="auto"/>
        <w:rPr>
          <w:rFonts w:hint="eastAsia" w:ascii="仿宋" w:hAnsi="仿宋" w:eastAsia="仿宋" w:cs="仿宋"/>
          <w:sz w:val="28"/>
          <w:szCs w:val="28"/>
          <w:highlight w:val="none"/>
        </w:rPr>
      </w:pPr>
      <w:bookmarkStart w:id="199" w:name="_Toc371493191"/>
      <w:bookmarkStart w:id="200" w:name="_Toc22915"/>
      <w:bookmarkStart w:id="201" w:name="_Toc14219"/>
      <w:bookmarkStart w:id="202" w:name="_Toc351203536"/>
      <w:bookmarkStart w:id="203" w:name="_Toc337558762"/>
      <w:r>
        <w:rPr>
          <w:rFonts w:hint="eastAsia" w:ascii="仿宋" w:hAnsi="仿宋" w:eastAsia="仿宋" w:cs="仿宋"/>
          <w:sz w:val="28"/>
          <w:szCs w:val="28"/>
          <w:highlight w:val="none"/>
        </w:rPr>
        <w:t>5.4 不合格工程的处理</w:t>
      </w:r>
      <w:bookmarkEnd w:id="199"/>
      <w:bookmarkEnd w:id="200"/>
      <w:bookmarkEnd w:id="201"/>
      <w:bookmarkEnd w:id="202"/>
    </w:p>
    <w:bookmarkEnd w:id="203"/>
    <w:p w14:paraId="6799056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5.4.1 因分包人原因造成分包工程不合格的，承包人有权随时要求分包人采取补救措施，直至达到分包合同要求的质量标准，由此增加的费用和（或）延误的工期由分包人承担。无法采取措施补救的，按照第18.2款【拒绝接收全部或部分分包工程】执行。 </w:t>
      </w:r>
    </w:p>
    <w:p w14:paraId="4C6AAC0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5.4.2 因承包人原因造成分包工程不合格的，分包人应采取补救措施，由此增加的费用和（或）延误的工期由承包人承担。</w:t>
      </w:r>
    </w:p>
    <w:p w14:paraId="74812534">
      <w:pPr>
        <w:pStyle w:val="3"/>
        <w:spacing w:line="360" w:lineRule="auto"/>
        <w:rPr>
          <w:rFonts w:hint="eastAsia" w:ascii="仿宋" w:hAnsi="仿宋" w:eastAsia="仿宋" w:cs="仿宋"/>
          <w:sz w:val="28"/>
          <w:szCs w:val="28"/>
          <w:highlight w:val="none"/>
        </w:rPr>
      </w:pPr>
      <w:bookmarkStart w:id="204" w:name="_Toc351203538"/>
      <w:bookmarkStart w:id="205" w:name="_Toc371493192"/>
      <w:bookmarkStart w:id="206" w:name="_Toc12687"/>
      <w:bookmarkStart w:id="207" w:name="_Toc29952"/>
      <w:bookmarkStart w:id="208" w:name="_Toc337558763"/>
      <w:r>
        <w:rPr>
          <w:rFonts w:hint="eastAsia" w:ascii="仿宋" w:hAnsi="仿宋" w:eastAsia="仿宋" w:cs="仿宋"/>
          <w:sz w:val="28"/>
          <w:szCs w:val="28"/>
          <w:highlight w:val="none"/>
        </w:rPr>
        <w:t>6. 安全文明施工、环境保护</w:t>
      </w:r>
      <w:bookmarkEnd w:id="204"/>
      <w:r>
        <w:rPr>
          <w:rFonts w:hint="eastAsia" w:ascii="仿宋" w:hAnsi="仿宋" w:eastAsia="仿宋" w:cs="仿宋"/>
          <w:sz w:val="28"/>
          <w:szCs w:val="28"/>
          <w:highlight w:val="none"/>
        </w:rPr>
        <w:t>与劳动用工管理</w:t>
      </w:r>
      <w:bookmarkEnd w:id="205"/>
      <w:bookmarkEnd w:id="206"/>
      <w:bookmarkEnd w:id="207"/>
    </w:p>
    <w:bookmarkEnd w:id="208"/>
    <w:p w14:paraId="16A05F5B">
      <w:pPr>
        <w:pStyle w:val="4"/>
        <w:wordWrap w:val="0"/>
        <w:adjustRightInd w:val="0"/>
        <w:snapToGrid w:val="0"/>
        <w:spacing w:before="0" w:after="0" w:line="360" w:lineRule="auto"/>
        <w:rPr>
          <w:rFonts w:hint="eastAsia" w:ascii="仿宋" w:hAnsi="仿宋" w:eastAsia="仿宋" w:cs="仿宋"/>
          <w:sz w:val="28"/>
          <w:szCs w:val="28"/>
          <w:highlight w:val="none"/>
        </w:rPr>
      </w:pPr>
      <w:bookmarkStart w:id="209" w:name="_Toc371493193"/>
      <w:bookmarkStart w:id="210" w:name="_Toc22090"/>
      <w:bookmarkStart w:id="211" w:name="_Toc29368"/>
      <w:bookmarkStart w:id="212" w:name="_Toc351203539"/>
      <w:bookmarkStart w:id="213" w:name="_Toc337558764"/>
      <w:r>
        <w:rPr>
          <w:rFonts w:hint="eastAsia" w:ascii="仿宋" w:hAnsi="仿宋" w:eastAsia="仿宋" w:cs="仿宋"/>
          <w:sz w:val="28"/>
          <w:szCs w:val="28"/>
          <w:highlight w:val="none"/>
        </w:rPr>
        <w:t>6.1 安全文明施工</w:t>
      </w:r>
      <w:bookmarkEnd w:id="209"/>
      <w:bookmarkEnd w:id="210"/>
      <w:bookmarkEnd w:id="211"/>
      <w:bookmarkEnd w:id="212"/>
    </w:p>
    <w:bookmarkEnd w:id="213"/>
    <w:p w14:paraId="12E82E2E">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6.1.1 安全文明施工</w:t>
      </w:r>
    </w:p>
    <w:p w14:paraId="74C31DD7">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承包人和分包人应按法律和分包合同</w:t>
      </w:r>
      <w:r>
        <w:rPr>
          <w:rFonts w:hint="eastAsia" w:ascii="仿宋" w:hAnsi="仿宋" w:eastAsia="仿宋" w:cs="仿宋"/>
          <w:kern w:val="0"/>
          <w:sz w:val="28"/>
          <w:szCs w:val="28"/>
          <w:highlight w:val="none"/>
        </w:rPr>
        <w:t>采取</w:t>
      </w:r>
      <w:r>
        <w:rPr>
          <w:rFonts w:hint="eastAsia" w:ascii="仿宋" w:hAnsi="仿宋" w:eastAsia="仿宋" w:cs="仿宋"/>
          <w:sz w:val="28"/>
          <w:szCs w:val="28"/>
          <w:highlight w:val="none"/>
        </w:rPr>
        <w:t>安全文明施工措施并</w:t>
      </w:r>
      <w:r>
        <w:rPr>
          <w:rFonts w:hint="eastAsia" w:ascii="仿宋" w:hAnsi="仿宋" w:eastAsia="仿宋" w:cs="仿宋"/>
          <w:kern w:val="0"/>
          <w:sz w:val="28"/>
          <w:szCs w:val="28"/>
          <w:highlight w:val="none"/>
        </w:rPr>
        <w:t>履行安全文明管理义务</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承包人应向分包人进行安全文明施工措施的详细交底</w:t>
      </w:r>
      <w:r>
        <w:rPr>
          <w:rFonts w:hint="eastAsia" w:ascii="仿宋" w:hAnsi="仿宋" w:eastAsia="仿宋" w:cs="仿宋"/>
          <w:sz w:val="28"/>
          <w:szCs w:val="28"/>
          <w:highlight w:val="none"/>
        </w:rPr>
        <w:t>。因安全文明施工措施不到位而发生的安全生产事故由责任方承担责任</w:t>
      </w:r>
      <w:r>
        <w:rPr>
          <w:rFonts w:hint="eastAsia" w:ascii="仿宋" w:hAnsi="仿宋" w:eastAsia="仿宋" w:cs="仿宋"/>
          <w:kern w:val="0"/>
          <w:sz w:val="28"/>
          <w:szCs w:val="28"/>
          <w:highlight w:val="none"/>
        </w:rPr>
        <w:t>。合同当事人的具体安全文明施工措施详见专用合同条款【</w:t>
      </w:r>
      <w:r>
        <w:rPr>
          <w:rFonts w:hint="eastAsia" w:ascii="仿宋" w:hAnsi="仿宋" w:eastAsia="仿宋" w:cs="仿宋"/>
          <w:sz w:val="28"/>
          <w:szCs w:val="28"/>
          <w:highlight w:val="none"/>
        </w:rPr>
        <w:t>附件10：安全文明措施分配表】。</w:t>
      </w:r>
    </w:p>
    <w:p w14:paraId="308793B2">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对安全文明施工费应专款专用，并应在财务账目中单独列项备查，不得挪作他用，否则承包人有权责令其限期改正；逾期未改正的，承包人有权责令分包人暂停施工，由此增加的费用和（或）延误的工期由分包人承担。</w:t>
      </w:r>
    </w:p>
    <w:p w14:paraId="4B531EC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分包人必须建立安全组织机构，设立安全负责人，专职安全员及班组兼职安全员，所有安全员纳入项目部统一管理，负责日常安全管理工作。分包人必须加强安全管理，确保无重伤、死亡事故。采取必要的安全防护措施，消除事故隐患。</w:t>
      </w:r>
    </w:p>
    <w:p w14:paraId="4596DD7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分包人必须落实三级安全教育、安全技术交底；建立班组台账并每月更新；落实班组安全活动及每个工作日班前安全教育，并填写班前安全活动记录，按时上交承包人项目安全部备案；严格执行国家、地方和承包人制定的安全操作规程，所属特种作业人员必须持证上岗；所属设备、仪器（仪表）均须满足相关要求。</w:t>
      </w:r>
    </w:p>
    <w:p w14:paraId="1A5DABBC">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严禁带病上岗、酒后上岗和体力不支上岗，因此发生的安全事故分包人自负责任。</w:t>
      </w:r>
    </w:p>
    <w:p w14:paraId="615834ED">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有关安全生产管理权利义务，承包人、分包人双方另行签订协议书（详见附件9安全生产责任协议书），分包人必须严格按承包人的有关制度执行。</w:t>
      </w:r>
    </w:p>
    <w:p w14:paraId="00462A3C">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6.1.2 安全保卫</w:t>
      </w:r>
    </w:p>
    <w:p w14:paraId="6DD89052">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承包人应负责分包工程施工期间施工场地的安全保卫工作，分包人应予以配合。在施工场地或生活区发生突发事件的，分包人应积极协助承包人、发包人和当地有关部门采取措施平息事态，尽量避免人员伤亡和财产损失。</w:t>
      </w:r>
    </w:p>
    <w:p w14:paraId="2483CD8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6.1.3 事故处理</w:t>
      </w:r>
    </w:p>
    <w:p w14:paraId="4E70726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照法律及时向有关部门报告事故有关情况。</w:t>
      </w:r>
    </w:p>
    <w:p w14:paraId="429136CE">
      <w:pPr>
        <w:pStyle w:val="4"/>
        <w:wordWrap w:val="0"/>
        <w:adjustRightInd w:val="0"/>
        <w:snapToGrid w:val="0"/>
        <w:spacing w:before="0" w:after="0" w:line="360" w:lineRule="auto"/>
        <w:rPr>
          <w:rFonts w:hint="eastAsia" w:ascii="仿宋" w:hAnsi="仿宋" w:eastAsia="仿宋" w:cs="仿宋"/>
          <w:sz w:val="28"/>
          <w:szCs w:val="28"/>
          <w:highlight w:val="none"/>
        </w:rPr>
      </w:pPr>
      <w:bookmarkStart w:id="214" w:name="_Toc371493194"/>
      <w:bookmarkStart w:id="215" w:name="_Toc22005"/>
      <w:bookmarkStart w:id="216" w:name="_Toc18418"/>
      <w:bookmarkStart w:id="217" w:name="_Toc351203541"/>
      <w:bookmarkStart w:id="218" w:name="_Toc337558766"/>
      <w:r>
        <w:rPr>
          <w:rFonts w:hint="eastAsia" w:ascii="仿宋" w:hAnsi="仿宋" w:eastAsia="仿宋" w:cs="仿宋"/>
          <w:sz w:val="28"/>
          <w:szCs w:val="28"/>
          <w:highlight w:val="none"/>
        </w:rPr>
        <w:t>6.2 环境保护</w:t>
      </w:r>
      <w:bookmarkEnd w:id="214"/>
      <w:bookmarkEnd w:id="215"/>
      <w:bookmarkEnd w:id="216"/>
      <w:bookmarkEnd w:id="217"/>
    </w:p>
    <w:bookmarkEnd w:id="218"/>
    <w:p w14:paraId="7F82B5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分包人应在施工组织设计中列明环境保护的具体措施。分包人应按经承包人批准的施工组织设计采取环境保护具体措施，防止环境损害和环境污染。分包人应当承担因其原因引起的环境污染责任。</w:t>
      </w:r>
    </w:p>
    <w:p w14:paraId="590F0127">
      <w:pPr>
        <w:pStyle w:val="4"/>
        <w:wordWrap w:val="0"/>
        <w:adjustRightInd w:val="0"/>
        <w:snapToGrid w:val="0"/>
        <w:spacing w:before="0" w:after="0" w:line="360" w:lineRule="auto"/>
        <w:rPr>
          <w:rFonts w:hint="eastAsia" w:ascii="仿宋" w:hAnsi="仿宋" w:eastAsia="仿宋" w:cs="仿宋"/>
          <w:sz w:val="28"/>
          <w:szCs w:val="28"/>
          <w:highlight w:val="none"/>
        </w:rPr>
      </w:pPr>
      <w:bookmarkStart w:id="219" w:name="_Toc351203540"/>
      <w:bookmarkStart w:id="220" w:name="_Toc371493195"/>
      <w:bookmarkStart w:id="221" w:name="_Toc28736"/>
      <w:bookmarkStart w:id="222" w:name="_Toc19173"/>
      <w:bookmarkStart w:id="223" w:name="_Toc337558765"/>
      <w:r>
        <w:rPr>
          <w:rFonts w:hint="eastAsia" w:ascii="仿宋" w:hAnsi="仿宋" w:eastAsia="仿宋" w:cs="仿宋"/>
          <w:sz w:val="28"/>
          <w:szCs w:val="28"/>
          <w:highlight w:val="none"/>
        </w:rPr>
        <w:t xml:space="preserve">6.3 </w:t>
      </w:r>
      <w:bookmarkEnd w:id="219"/>
      <w:r>
        <w:rPr>
          <w:rFonts w:hint="eastAsia" w:ascii="仿宋" w:hAnsi="仿宋" w:eastAsia="仿宋" w:cs="仿宋"/>
          <w:sz w:val="28"/>
          <w:szCs w:val="28"/>
          <w:highlight w:val="none"/>
        </w:rPr>
        <w:t>劳动用工管理</w:t>
      </w:r>
      <w:bookmarkEnd w:id="220"/>
      <w:bookmarkEnd w:id="221"/>
      <w:bookmarkEnd w:id="222"/>
    </w:p>
    <w:bookmarkEnd w:id="223"/>
    <w:p w14:paraId="44FC305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6.3.1 分包人应与其为履行分包合同而雇佣的人员建立劳动关系，并按法律规定保障劳动者的各项权利。</w:t>
      </w:r>
    </w:p>
    <w:p w14:paraId="3641F46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6.3.2 除专用合同条款另有约定外，承包人应按专用合同条款约定的时间为分包人雇佣的人员提供必要的膳宿条件；膳宿条件应达到工程所在地行政管理机关的标准和要求。承包人应按工程所在地行政管理机关的标准和要求对劳务人员的宿舍和食堂进行管理。</w:t>
      </w:r>
    </w:p>
    <w:p w14:paraId="20CFE70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6.3.3 分包人获得的工程款应优先支付分包人雇佣人员的劳动报酬和劳务分包单位的劳务费用。分包人拖欠前述劳动报酬或劳务费用给本项目造成不利影响的，分包人应按照专用合同条款的约定承担违约责任。 </w:t>
      </w:r>
    </w:p>
    <w:p w14:paraId="46922C6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224" w:name="_Toc2503"/>
      <w:bookmarkStart w:id="225" w:name="_Toc351203542"/>
      <w:bookmarkStart w:id="226" w:name="_Toc371493196"/>
      <w:bookmarkStart w:id="227" w:name="_Toc5115"/>
      <w:bookmarkStart w:id="228" w:name="_Toc337558767"/>
      <w:r>
        <w:rPr>
          <w:rFonts w:hint="eastAsia" w:ascii="仿宋" w:hAnsi="仿宋" w:eastAsia="仿宋" w:cs="仿宋"/>
          <w:sz w:val="28"/>
          <w:szCs w:val="28"/>
          <w:highlight w:val="none"/>
        </w:rPr>
        <w:t>7. 工期和进度</w:t>
      </w:r>
      <w:bookmarkEnd w:id="224"/>
      <w:bookmarkEnd w:id="225"/>
      <w:bookmarkEnd w:id="226"/>
      <w:bookmarkEnd w:id="227"/>
    </w:p>
    <w:bookmarkEnd w:id="228"/>
    <w:p w14:paraId="19DF0AB8">
      <w:pPr>
        <w:pStyle w:val="4"/>
        <w:wordWrap w:val="0"/>
        <w:adjustRightInd w:val="0"/>
        <w:snapToGrid w:val="0"/>
        <w:spacing w:before="0" w:after="0" w:line="360" w:lineRule="auto"/>
        <w:rPr>
          <w:rFonts w:hint="eastAsia" w:ascii="仿宋" w:hAnsi="仿宋" w:eastAsia="仿宋" w:cs="仿宋"/>
          <w:sz w:val="28"/>
          <w:szCs w:val="28"/>
          <w:highlight w:val="none"/>
        </w:rPr>
      </w:pPr>
      <w:bookmarkStart w:id="229" w:name="_Toc9896"/>
      <w:bookmarkStart w:id="230" w:name="_Toc30169"/>
      <w:bookmarkStart w:id="231" w:name="_Toc351203543"/>
      <w:bookmarkStart w:id="232" w:name="_Toc371493197"/>
      <w:bookmarkStart w:id="233" w:name="_Toc337558768"/>
      <w:bookmarkStart w:id="234" w:name="_Toc296503066"/>
      <w:bookmarkStart w:id="235" w:name="_Toc296346567"/>
      <w:r>
        <w:rPr>
          <w:rFonts w:hint="eastAsia" w:ascii="仿宋" w:hAnsi="仿宋" w:eastAsia="仿宋" w:cs="仿宋"/>
          <w:sz w:val="28"/>
          <w:szCs w:val="28"/>
          <w:highlight w:val="none"/>
        </w:rPr>
        <w:t>7.1 施工组织</w:t>
      </w:r>
      <w:bookmarkEnd w:id="229"/>
      <w:bookmarkEnd w:id="230"/>
      <w:bookmarkEnd w:id="231"/>
      <w:bookmarkEnd w:id="232"/>
    </w:p>
    <w:bookmarkEnd w:id="233"/>
    <w:p w14:paraId="0CF40EC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 xml:space="preserve">7.1.1 </w:t>
      </w:r>
      <w:r>
        <w:rPr>
          <w:rFonts w:hint="eastAsia" w:ascii="仿宋" w:hAnsi="仿宋" w:eastAsia="仿宋" w:cs="仿宋"/>
          <w:kern w:val="0"/>
          <w:sz w:val="28"/>
          <w:szCs w:val="28"/>
          <w:highlight w:val="none"/>
        </w:rPr>
        <w:t>施工组织设计的编制和批准</w:t>
      </w:r>
    </w:p>
    <w:p w14:paraId="3F1058F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应在分包合同签订后7天内，至迟不得晚于实际开工日期前7天，向承包人提交分包工程详细施工组织设计。除专用合同条款另有约定外，承包人应在收到施工组织设计后7天内确认或提出修改意见。对承包人提出的合理意见和要求，分包人应予以修改完善。分包人未在前述期限内提交施工组织设计，或承包人未在前述期限内确认或提出修改意见的，应按专用合同条款的约定承担违约责任。</w:t>
      </w:r>
    </w:p>
    <w:p w14:paraId="3C24D4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经承包人批准的施工组织设计是分包合同当事人控制分包工程进度的依据。需要修改施工组织设计的，分包人应向承包人提交修改后的施工组织设计并获得承包人的批准。</w:t>
      </w:r>
    </w:p>
    <w:p w14:paraId="6BC98A1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7.1.2 交叉作业的工期管理</w:t>
      </w:r>
    </w:p>
    <w:p w14:paraId="20C53E9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严格按总包工程施工组织设计对分包工程及其他工程的工期进行管理，并按分包工程施工组织设计向分包人提供正常施工所需的施工条件。因其他工程原因影响分包工程正常施工时，承包人应及时通知分包人，分包人应立即调整施工组织设计并取得承包人批准，因此产生的费用和（或）延误的工期由承包人承担。</w:t>
      </w:r>
    </w:p>
    <w:p w14:paraId="7FD8FA8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14:paraId="0A8A432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7.1.3 劳动力保障</w:t>
      </w:r>
    </w:p>
    <w:p w14:paraId="5F526DE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经批准的施工组织设计保证劳动力投入。因分包人劳动力短缺导致分包工程进度滞后的，分包人应在收到承包人书面通知后7日内补足劳动力，否则，承包人有权解除分包合同或取消分包人部分工作，且分包人应按照专用合同条款的约定承担违约责任。</w:t>
      </w:r>
    </w:p>
    <w:p w14:paraId="1766EDA6">
      <w:pPr>
        <w:pStyle w:val="4"/>
        <w:wordWrap w:val="0"/>
        <w:adjustRightInd w:val="0"/>
        <w:snapToGrid w:val="0"/>
        <w:spacing w:before="0" w:after="0" w:line="360" w:lineRule="auto"/>
        <w:rPr>
          <w:rFonts w:hint="eastAsia" w:ascii="仿宋" w:hAnsi="仿宋" w:eastAsia="仿宋" w:cs="仿宋"/>
          <w:sz w:val="28"/>
          <w:szCs w:val="28"/>
          <w:highlight w:val="none"/>
        </w:rPr>
      </w:pPr>
      <w:bookmarkStart w:id="236" w:name="_Toc16397"/>
      <w:bookmarkStart w:id="237" w:name="_Toc27543"/>
      <w:bookmarkStart w:id="238" w:name="_Toc351203545"/>
      <w:bookmarkStart w:id="239" w:name="_Toc371493199"/>
      <w:bookmarkStart w:id="240" w:name="_Toc337558770"/>
      <w:r>
        <w:rPr>
          <w:rFonts w:hint="eastAsia" w:ascii="仿宋" w:hAnsi="仿宋" w:eastAsia="仿宋" w:cs="仿宋"/>
          <w:sz w:val="28"/>
          <w:szCs w:val="28"/>
          <w:highlight w:val="none"/>
        </w:rPr>
        <w:t>7.2 开工</w:t>
      </w:r>
      <w:bookmarkEnd w:id="236"/>
      <w:bookmarkEnd w:id="237"/>
      <w:bookmarkEnd w:id="238"/>
      <w:bookmarkEnd w:id="239"/>
    </w:p>
    <w:bookmarkEnd w:id="240"/>
    <w:p w14:paraId="5C04FC7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承包人应在计划开工日期7天前按照分包合同约定依法向分包人发出开工通知，工期自开工通知中载明的开工日期起算。</w:t>
      </w:r>
    </w:p>
    <w:p w14:paraId="6B76146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除专用合同条款另有约定外，因承包人原因未能在计划开工日期之日起90天内发出开工通知的，分包人有权提出价格调整要求，或者解除合同。承包人应当承担由此增加的费用和（或）延误的工期。</w:t>
      </w:r>
    </w:p>
    <w:p w14:paraId="16365D3A">
      <w:pPr>
        <w:pStyle w:val="4"/>
        <w:wordWrap w:val="0"/>
        <w:adjustRightInd w:val="0"/>
        <w:snapToGrid w:val="0"/>
        <w:spacing w:before="0" w:after="0" w:line="360" w:lineRule="auto"/>
        <w:rPr>
          <w:rFonts w:hint="eastAsia" w:ascii="仿宋" w:hAnsi="仿宋" w:eastAsia="仿宋" w:cs="仿宋"/>
          <w:sz w:val="28"/>
          <w:szCs w:val="28"/>
          <w:highlight w:val="none"/>
        </w:rPr>
      </w:pPr>
      <w:bookmarkStart w:id="241" w:name="_Toc351203546"/>
      <w:bookmarkStart w:id="242" w:name="_Toc23666"/>
      <w:bookmarkStart w:id="243" w:name="_Toc371493200"/>
      <w:bookmarkStart w:id="244" w:name="_Toc583"/>
      <w:r>
        <w:rPr>
          <w:rFonts w:hint="eastAsia" w:ascii="仿宋" w:hAnsi="仿宋" w:eastAsia="仿宋" w:cs="仿宋"/>
          <w:sz w:val="28"/>
          <w:szCs w:val="28"/>
          <w:highlight w:val="none"/>
        </w:rPr>
        <w:t>7.3 测量放线</w:t>
      </w:r>
      <w:bookmarkEnd w:id="241"/>
      <w:bookmarkEnd w:id="242"/>
      <w:bookmarkEnd w:id="243"/>
      <w:bookmarkEnd w:id="244"/>
    </w:p>
    <w:p w14:paraId="1DCC114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7.3.1 除专用合同条款另有约定外，承包人应在实际开工日期3天前向分包人提供测量基准点、基准线和水准点及其书面资料。分包人发现承包人提供的测量基准点、基准线和水准点及其书面资料存在错误或疏漏的，应及时通知承包人。承包人应及时发出指令。</w:t>
      </w:r>
    </w:p>
    <w:p w14:paraId="33CD4CF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7.3.2 分包人负责分包工程施工过程中的测量放线工作。分包人应矫正分包工程的位置、标高、尺寸或准线中出现的任何差错，并对分包工程各部分的定位负责。分包人负责对施工场地内水准点等测量标志物进行保护。</w:t>
      </w:r>
      <w:bookmarkStart w:id="245" w:name="_Toc351203547"/>
    </w:p>
    <w:bookmarkEnd w:id="234"/>
    <w:bookmarkEnd w:id="235"/>
    <w:p w14:paraId="2768057A">
      <w:pPr>
        <w:pStyle w:val="4"/>
        <w:wordWrap w:val="0"/>
        <w:adjustRightInd w:val="0"/>
        <w:snapToGrid w:val="0"/>
        <w:spacing w:before="0" w:after="0" w:line="360" w:lineRule="auto"/>
        <w:rPr>
          <w:rFonts w:hint="eastAsia" w:ascii="仿宋" w:hAnsi="仿宋" w:eastAsia="仿宋" w:cs="仿宋"/>
          <w:sz w:val="28"/>
          <w:szCs w:val="28"/>
          <w:highlight w:val="none"/>
        </w:rPr>
      </w:pPr>
      <w:bookmarkStart w:id="246" w:name="_Toc371493201"/>
      <w:bookmarkStart w:id="247" w:name="_Toc9514"/>
      <w:bookmarkStart w:id="248" w:name="_Toc30452"/>
      <w:bookmarkStart w:id="249" w:name="_Toc296346574"/>
      <w:bookmarkStart w:id="250" w:name="_Toc337558772"/>
      <w:bookmarkStart w:id="251" w:name="_Toc296503073"/>
      <w:r>
        <w:rPr>
          <w:rFonts w:hint="eastAsia" w:ascii="仿宋" w:hAnsi="仿宋" w:eastAsia="仿宋" w:cs="仿宋"/>
          <w:sz w:val="28"/>
          <w:szCs w:val="28"/>
          <w:highlight w:val="none"/>
        </w:rPr>
        <w:t>7.4 工期延误</w:t>
      </w:r>
      <w:bookmarkEnd w:id="245"/>
      <w:bookmarkEnd w:id="246"/>
      <w:bookmarkEnd w:id="247"/>
      <w:bookmarkEnd w:id="248"/>
    </w:p>
    <w:bookmarkEnd w:id="249"/>
    <w:bookmarkEnd w:id="250"/>
    <w:bookmarkEnd w:id="251"/>
    <w:p w14:paraId="336190B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7.4.1 分包合同履行过程中，因承包人原因造成工期延误的，由承包人承担延误的工期和（或）增加的费用，并向分包人支付合理的利润。 </w:t>
      </w:r>
    </w:p>
    <w:p w14:paraId="57349A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7.4.2 </w:t>
      </w:r>
      <w:bookmarkStart w:id="252" w:name="_Toc296346577"/>
      <w:bookmarkStart w:id="253" w:name="_Toc296503076"/>
      <w:r>
        <w:rPr>
          <w:rFonts w:hint="eastAsia" w:ascii="仿宋" w:hAnsi="仿宋" w:eastAsia="仿宋" w:cs="仿宋"/>
          <w:kern w:val="0"/>
          <w:sz w:val="28"/>
          <w:szCs w:val="28"/>
          <w:highlight w:val="none"/>
        </w:rPr>
        <w:t>因</w:t>
      </w:r>
      <w:bookmarkEnd w:id="252"/>
      <w:bookmarkEnd w:id="253"/>
      <w:r>
        <w:rPr>
          <w:rFonts w:hint="eastAsia" w:ascii="仿宋" w:hAnsi="仿宋" w:eastAsia="仿宋" w:cs="仿宋"/>
          <w:kern w:val="0"/>
          <w:sz w:val="28"/>
          <w:szCs w:val="28"/>
          <w:highlight w:val="none"/>
        </w:rPr>
        <w:t>分包人原因造成工期延误的，分包人应按照专用合同条款的约定承担逾期完工的违约责任。分包人支付逾期完工违约金后，不免除或减轻分包人继续完成工程及修补缺陷的义务。</w:t>
      </w:r>
    </w:p>
    <w:p w14:paraId="5318EE73">
      <w:pPr>
        <w:pStyle w:val="4"/>
        <w:wordWrap w:val="0"/>
        <w:adjustRightInd w:val="0"/>
        <w:snapToGrid w:val="0"/>
        <w:spacing w:before="0" w:after="0" w:line="360" w:lineRule="auto"/>
        <w:rPr>
          <w:rFonts w:hint="eastAsia" w:ascii="仿宋" w:hAnsi="仿宋" w:eastAsia="仿宋" w:cs="仿宋"/>
          <w:sz w:val="28"/>
          <w:szCs w:val="28"/>
          <w:highlight w:val="none"/>
        </w:rPr>
      </w:pPr>
      <w:bookmarkStart w:id="254" w:name="_Toc351203548"/>
      <w:bookmarkStart w:id="255" w:name="_Toc371493202"/>
      <w:bookmarkStart w:id="256" w:name="_Toc30290"/>
      <w:bookmarkStart w:id="257" w:name="_Toc345"/>
      <w:bookmarkStart w:id="258" w:name="_Toc337558773"/>
      <w:bookmarkStart w:id="259" w:name="_Toc296503074"/>
      <w:bookmarkStart w:id="260" w:name="_Toc296346575"/>
      <w:bookmarkStart w:id="261" w:name="_Toc296503077"/>
      <w:bookmarkStart w:id="262" w:name="_Toc296346578"/>
      <w:r>
        <w:rPr>
          <w:rFonts w:hint="eastAsia" w:ascii="仿宋" w:hAnsi="仿宋" w:eastAsia="仿宋" w:cs="仿宋"/>
          <w:sz w:val="28"/>
          <w:szCs w:val="28"/>
          <w:highlight w:val="none"/>
        </w:rPr>
        <w:t>7.5 不利物质条件</w:t>
      </w:r>
      <w:bookmarkEnd w:id="254"/>
      <w:bookmarkEnd w:id="255"/>
      <w:bookmarkEnd w:id="256"/>
      <w:bookmarkEnd w:id="257"/>
    </w:p>
    <w:bookmarkEnd w:id="258"/>
    <w:bookmarkEnd w:id="259"/>
    <w:bookmarkEnd w:id="260"/>
    <w:p w14:paraId="35F25D9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不利物质条件是指有经验的分包人在施工场地遇到的不可预见的自然物质条件、非自然的物质障碍和污染物，包括地表以下物质条件和水文条件以及专用合同条款约定的其他情形，但不包括气候条件。</w:t>
      </w:r>
    </w:p>
    <w:p w14:paraId="393517B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14:paraId="5FBE3B3D">
      <w:pPr>
        <w:pStyle w:val="4"/>
        <w:wordWrap w:val="0"/>
        <w:adjustRightInd w:val="0"/>
        <w:snapToGrid w:val="0"/>
        <w:spacing w:before="0" w:after="0" w:line="360" w:lineRule="auto"/>
        <w:rPr>
          <w:rFonts w:hint="eastAsia" w:ascii="仿宋" w:hAnsi="仿宋" w:eastAsia="仿宋" w:cs="仿宋"/>
          <w:sz w:val="28"/>
          <w:szCs w:val="28"/>
          <w:highlight w:val="none"/>
        </w:rPr>
      </w:pPr>
      <w:bookmarkStart w:id="263" w:name="_Toc28980"/>
      <w:bookmarkStart w:id="264" w:name="_Toc351203549"/>
      <w:bookmarkStart w:id="265" w:name="_Toc371493203"/>
      <w:bookmarkStart w:id="266" w:name="_Toc29116"/>
      <w:bookmarkStart w:id="267" w:name="_Toc296346576"/>
      <w:bookmarkStart w:id="268" w:name="_Toc337558774"/>
      <w:bookmarkStart w:id="269" w:name="_Toc296503075"/>
      <w:r>
        <w:rPr>
          <w:rFonts w:hint="eastAsia" w:ascii="仿宋" w:hAnsi="仿宋" w:eastAsia="仿宋" w:cs="仿宋"/>
          <w:sz w:val="28"/>
          <w:szCs w:val="28"/>
          <w:highlight w:val="none"/>
        </w:rPr>
        <w:t>7.6 异常恶劣的气候条件</w:t>
      </w:r>
      <w:bookmarkEnd w:id="263"/>
      <w:bookmarkEnd w:id="264"/>
      <w:bookmarkEnd w:id="265"/>
      <w:bookmarkEnd w:id="266"/>
    </w:p>
    <w:bookmarkEnd w:id="267"/>
    <w:bookmarkEnd w:id="268"/>
    <w:bookmarkEnd w:id="269"/>
    <w:p w14:paraId="3F89DEB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异常恶劣的气候条件是指在施工过程中遇到的，有经验的分包人在签订分包合同时不可预见的，对合同履行造成实质性影响的，但尚未构成不可抗力事件的恶劣气候条件。分包合同当事人可以在专用合同条款中约定异常恶劣的气候条件的具体情形。</w:t>
      </w:r>
    </w:p>
    <w:p w14:paraId="3359AF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出现异常恶劣的气候条件时，分包人应及时通知承包人。通知应载明异常恶劣的气候条件的内容、分包人认为不可预见的理由以及因此发生的费用。分包人因异常恶劣的气候条件而增加的费用和（或）延误的工期由承包人承担。</w:t>
      </w:r>
      <w:bookmarkStart w:id="270" w:name="_Toc351203550"/>
    </w:p>
    <w:p w14:paraId="0CC297FE">
      <w:pPr>
        <w:pStyle w:val="4"/>
        <w:wordWrap w:val="0"/>
        <w:adjustRightInd w:val="0"/>
        <w:snapToGrid w:val="0"/>
        <w:spacing w:before="0" w:after="0" w:line="360" w:lineRule="auto"/>
        <w:rPr>
          <w:rFonts w:hint="eastAsia" w:ascii="仿宋" w:hAnsi="仿宋" w:eastAsia="仿宋" w:cs="仿宋"/>
          <w:sz w:val="28"/>
          <w:szCs w:val="28"/>
          <w:highlight w:val="none"/>
        </w:rPr>
      </w:pPr>
      <w:bookmarkStart w:id="271" w:name="_Toc371493204"/>
      <w:bookmarkStart w:id="272" w:name="_Toc23451"/>
      <w:bookmarkStart w:id="273" w:name="_Toc8287"/>
      <w:bookmarkStart w:id="274" w:name="_Toc337558775"/>
      <w:r>
        <w:rPr>
          <w:rFonts w:hint="eastAsia" w:ascii="仿宋" w:hAnsi="仿宋" w:eastAsia="仿宋" w:cs="仿宋"/>
          <w:sz w:val="28"/>
          <w:szCs w:val="28"/>
          <w:highlight w:val="none"/>
        </w:rPr>
        <w:t>7.7 暂停施工</w:t>
      </w:r>
      <w:bookmarkEnd w:id="270"/>
      <w:bookmarkEnd w:id="271"/>
      <w:bookmarkEnd w:id="272"/>
      <w:bookmarkEnd w:id="273"/>
    </w:p>
    <w:bookmarkEnd w:id="261"/>
    <w:bookmarkEnd w:id="262"/>
    <w:bookmarkEnd w:id="274"/>
    <w:p w14:paraId="5719183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7.7.1 发包人指示暂停施工的或因承包人原因引起暂停施工的，承包人应及时下达暂停施工指令，分包人应按承包人指令暂停施工，承包人应承担由此增加的费用和（或）延误的工期。</w:t>
      </w:r>
    </w:p>
    <w:p w14:paraId="49D5EE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7.7.2 因分包人原因引起的暂停施工，分包人应承担由此增加的费用和（或）延误的工期，且分包人在收到承包人复工指示后28天内仍未复工的，视为分包人无法继续履行分包合同。</w:t>
      </w:r>
    </w:p>
    <w:p w14:paraId="3EB38A8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7.7.3 暂停施工期间，分包人应负责妥善照管分包工程并提供安全保障，由此增加的费用由造成暂停施工的责任方承担。</w:t>
      </w:r>
    </w:p>
    <w:p w14:paraId="092E718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7.7.4 暂停施工后的复工</w:t>
      </w:r>
    </w:p>
    <w:p w14:paraId="6ADBEB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14:paraId="2D77EB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分包人无故拖延或拒绝复工的，分包人承担由此增加的费用和（或）延误的工期；因承包人原因无法按时复工的，按照第7.4.1项执行。</w:t>
      </w:r>
    </w:p>
    <w:p w14:paraId="256BA37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7.7.5 暂停施工持续56天以上</w:t>
      </w:r>
    </w:p>
    <w:p w14:paraId="51E57C80">
      <w:pPr>
        <w:wordWrap w:val="0"/>
        <w:adjustRightInd w:val="0"/>
        <w:snapToGrid w:val="0"/>
        <w:spacing w:line="360" w:lineRule="auto"/>
        <w:ind w:firstLine="546" w:firstLineChars="19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体分包工程以及分包合同目的实现的，分包人有权提出价格调整要求或者解除合同。分包人要求解除合同的，按照第</w:t>
      </w:r>
    </w:p>
    <w:p w14:paraId="40219524">
      <w:pPr>
        <w:wordWrap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21.1款【承包人违约】执行。</w:t>
      </w:r>
    </w:p>
    <w:p w14:paraId="6160485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275" w:name="_Toc18817"/>
      <w:bookmarkStart w:id="276" w:name="_Toc22767"/>
      <w:bookmarkStart w:id="277" w:name="_Toc371493205"/>
      <w:bookmarkStart w:id="278" w:name="_Toc351203552"/>
      <w:bookmarkStart w:id="279" w:name="_Toc296503058"/>
      <w:bookmarkStart w:id="280" w:name="_Toc337558776"/>
      <w:bookmarkStart w:id="281" w:name="_Toc296346559"/>
      <w:r>
        <w:rPr>
          <w:rFonts w:hint="eastAsia" w:ascii="仿宋" w:hAnsi="仿宋" w:eastAsia="仿宋" w:cs="仿宋"/>
          <w:sz w:val="28"/>
          <w:szCs w:val="28"/>
          <w:highlight w:val="none"/>
        </w:rPr>
        <w:t>8. 材料与设备</w:t>
      </w:r>
      <w:bookmarkEnd w:id="275"/>
      <w:bookmarkEnd w:id="276"/>
      <w:bookmarkEnd w:id="277"/>
      <w:bookmarkEnd w:id="278"/>
    </w:p>
    <w:bookmarkEnd w:id="279"/>
    <w:bookmarkEnd w:id="280"/>
    <w:bookmarkEnd w:id="281"/>
    <w:p w14:paraId="42341A35">
      <w:pPr>
        <w:pStyle w:val="4"/>
        <w:wordWrap w:val="0"/>
        <w:adjustRightInd w:val="0"/>
        <w:snapToGrid w:val="0"/>
        <w:spacing w:before="0" w:after="0" w:line="360" w:lineRule="auto"/>
        <w:rPr>
          <w:rFonts w:hint="eastAsia" w:ascii="仿宋" w:hAnsi="仿宋" w:eastAsia="仿宋" w:cs="仿宋"/>
          <w:sz w:val="28"/>
          <w:szCs w:val="28"/>
          <w:highlight w:val="none"/>
        </w:rPr>
      </w:pPr>
      <w:bookmarkStart w:id="282" w:name="_Toc10221"/>
      <w:bookmarkStart w:id="283" w:name="_Toc351203553"/>
      <w:bookmarkStart w:id="284" w:name="_Toc11274"/>
      <w:bookmarkStart w:id="285" w:name="_Toc371493206"/>
      <w:bookmarkStart w:id="286" w:name="_Toc337558777"/>
      <w:bookmarkStart w:id="287" w:name="_Toc296346560"/>
      <w:bookmarkStart w:id="288" w:name="_Toc296503059"/>
      <w:bookmarkStart w:id="289" w:name="_Toc468936960"/>
      <w:r>
        <w:rPr>
          <w:rFonts w:hint="eastAsia" w:ascii="仿宋" w:hAnsi="仿宋" w:eastAsia="仿宋" w:cs="仿宋"/>
          <w:sz w:val="28"/>
          <w:szCs w:val="28"/>
          <w:highlight w:val="none"/>
        </w:rPr>
        <w:t>8.1 承包人供应材料与工程设备</w:t>
      </w:r>
      <w:bookmarkEnd w:id="282"/>
      <w:bookmarkEnd w:id="283"/>
      <w:bookmarkEnd w:id="284"/>
      <w:bookmarkEnd w:id="285"/>
    </w:p>
    <w:bookmarkEnd w:id="286"/>
    <w:bookmarkEnd w:id="287"/>
    <w:bookmarkEnd w:id="288"/>
    <w:p w14:paraId="17BB63F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8.1.1 承包人供应材料和工程设备的，承包人应向分包人提供合格证明及出厂证明，并对其质量负责。</w:t>
      </w:r>
    </w:p>
    <w:p w14:paraId="49E4309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8.1.2 分包人应在分包合同签订后7日内根据图纸和专用合同条款约定的损耗率计算承包人供应材料和工程设备的数量，并编制材料和工程设备的供应计划，主要内容包括品种、规格、型号、暂定数量、单价、质量等级和送达地点，并作为施工组织设计组成部分报承包人审核。由于变更等原因引起承包人供应范围内的材料或设备数量、规格的变化，分包人应在收到变更指令5天内调整供应计划并报承包人审核。</w:t>
      </w:r>
    </w:p>
    <w:p w14:paraId="329F1A0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8.1.3 除专用合同条款另有约定外，分包人应提前28天以书面形式通知承包人供应材料、工程设备的进场时间。因迟延通知导致进场日期迟延的，分包人承担增加的费用和（或）延误的工期。</w:t>
      </w:r>
    </w:p>
    <w:p w14:paraId="75B9BF7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提交的供应计划中的承包人供应数量计算错误，且供应计划中的数量少于实际使用数量的，缺少部分由分包人补齐并承担因此发生的费用和（或）延误的工期；供应计划中的数量多于实际使用数量，则因处理超出部分而发生的全部费用由分包人承担。</w:t>
      </w:r>
    </w:p>
    <w:p w14:paraId="2DEFD64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分包人提交的供应计划中的承包人供应材料、工程设备的规格错误并因此导致承包人供应的材料、工程设备不符合分包合同约定的，承包人重新供应，由分包人承担因此增加的费用和（或）延误的工期。</w:t>
      </w:r>
    </w:p>
    <w:p w14:paraId="5809919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8.1.4 承包人供应材料和工程设备的，承包人应提前24小时以书面形式通知分包人材料和工程设备到货时间，由分包人负责材料和工程设备的清点、检验和接收。承包人提供的材料和工程设备的规格、数量或质量不符合分包合同约定的，分包人有权拒绝接收并要求承包人更换。因承包人原因导致交货日期延误或交货地点变更等情况的，由承包人承担增加的费用和（或）延误的工期。</w:t>
      </w:r>
    </w:p>
    <w:p w14:paraId="31E195A6">
      <w:pPr>
        <w:pStyle w:val="4"/>
        <w:wordWrap w:val="0"/>
        <w:adjustRightInd w:val="0"/>
        <w:snapToGrid w:val="0"/>
        <w:spacing w:before="0" w:after="0" w:line="360" w:lineRule="auto"/>
        <w:rPr>
          <w:rFonts w:hint="eastAsia" w:ascii="仿宋" w:hAnsi="仿宋" w:eastAsia="仿宋" w:cs="仿宋"/>
          <w:sz w:val="28"/>
          <w:szCs w:val="28"/>
          <w:highlight w:val="none"/>
        </w:rPr>
      </w:pPr>
      <w:bookmarkStart w:id="290" w:name="_Toc21598"/>
      <w:bookmarkStart w:id="291" w:name="_Toc3941"/>
      <w:bookmarkStart w:id="292" w:name="_Toc371493207"/>
      <w:bookmarkStart w:id="293" w:name="_Toc351203554"/>
      <w:bookmarkStart w:id="294" w:name="_Toc296503060"/>
      <w:bookmarkStart w:id="295" w:name="_Toc296346561"/>
      <w:bookmarkStart w:id="296" w:name="_Toc337558778"/>
      <w:r>
        <w:rPr>
          <w:rFonts w:hint="eastAsia" w:ascii="仿宋" w:hAnsi="仿宋" w:eastAsia="仿宋" w:cs="仿宋"/>
          <w:sz w:val="28"/>
          <w:szCs w:val="28"/>
          <w:highlight w:val="none"/>
        </w:rPr>
        <w:t>8.2 分包人供应材料与工程设备</w:t>
      </w:r>
      <w:bookmarkEnd w:id="290"/>
      <w:bookmarkEnd w:id="291"/>
      <w:bookmarkEnd w:id="292"/>
      <w:bookmarkEnd w:id="293"/>
    </w:p>
    <w:bookmarkEnd w:id="294"/>
    <w:bookmarkEnd w:id="295"/>
    <w:bookmarkEnd w:id="296"/>
    <w:p w14:paraId="34D90D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8.2.1 分包人应按照图纸和有关标准要求采购材料、工程设备，提供材料、工程设备合格证明及出厂证明，并对材料、工程设备质量负责。分包合同约定由分包人采购的材料、工程设备，承包人不得指定生产厂家或供应商，承包人指定生产厂家或供应商的，分包人有权拒绝，承包人应按专用合同条款的约定承担违约责任。</w:t>
      </w:r>
    </w:p>
    <w:p w14:paraId="40F49CF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8.2.2 分包人采购的材料和工程设备，分包人应在材料和工程设备到货前24小时通知承包人检验。分包人采购的材料和工程设备不符合图纸或有关标准要求时，分包人应在承包人要求的合理期限内将不符合设计或有关标准要求的材料、工程设备运出施工场地，并重新采购符合要求的材料、工程设备，由此增加的费用和（或）延误的工期，由分包人承担。</w:t>
      </w:r>
    </w:p>
    <w:p w14:paraId="38B51870">
      <w:pPr>
        <w:pStyle w:val="4"/>
        <w:wordWrap w:val="0"/>
        <w:adjustRightInd w:val="0"/>
        <w:snapToGrid w:val="0"/>
        <w:spacing w:before="0" w:after="0" w:line="360" w:lineRule="auto"/>
        <w:rPr>
          <w:rFonts w:hint="eastAsia" w:ascii="仿宋" w:hAnsi="仿宋" w:eastAsia="仿宋" w:cs="仿宋"/>
          <w:sz w:val="28"/>
          <w:szCs w:val="28"/>
          <w:highlight w:val="none"/>
        </w:rPr>
      </w:pPr>
      <w:bookmarkStart w:id="297" w:name="_Toc14429"/>
      <w:bookmarkStart w:id="298" w:name="_Toc351203556"/>
      <w:bookmarkStart w:id="299" w:name="_Toc371493209"/>
      <w:bookmarkStart w:id="300" w:name="_Toc21887"/>
      <w:bookmarkStart w:id="301" w:name="_Toc296503062"/>
      <w:bookmarkStart w:id="302" w:name="_Toc337558780"/>
      <w:bookmarkStart w:id="303" w:name="_Toc296346563"/>
      <w:r>
        <w:rPr>
          <w:rFonts w:hint="eastAsia" w:ascii="仿宋" w:hAnsi="仿宋" w:eastAsia="仿宋" w:cs="仿宋"/>
          <w:sz w:val="28"/>
          <w:szCs w:val="28"/>
          <w:highlight w:val="none"/>
        </w:rPr>
        <w:t>8.3 材料与工程设备的保管与使用</w:t>
      </w:r>
      <w:bookmarkEnd w:id="297"/>
      <w:bookmarkEnd w:id="298"/>
      <w:bookmarkEnd w:id="299"/>
      <w:bookmarkEnd w:id="300"/>
    </w:p>
    <w:bookmarkEnd w:id="301"/>
    <w:bookmarkEnd w:id="302"/>
    <w:bookmarkEnd w:id="303"/>
    <w:p w14:paraId="7956704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8.3.1 承包人和分包人供应的材料和工程设备，分包人清点、检验后负责保管，保管费用已包含在签约合同价内。发生丢失毁损的，由分包人负责赔偿。</w:t>
      </w:r>
    </w:p>
    <w:p w14:paraId="53C3B93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8.3.2 承包人和分包人供应的材料和工程设备使用前，法律规定必须进行检验或试验的，由分包人负责检验或试验，检验费用已包含在签约合同价内，检验或试验不合格的不得使用。</w:t>
      </w:r>
    </w:p>
    <w:p w14:paraId="7245B471">
      <w:pPr>
        <w:pStyle w:val="4"/>
        <w:wordWrap w:val="0"/>
        <w:adjustRightInd w:val="0"/>
        <w:snapToGrid w:val="0"/>
        <w:spacing w:before="0" w:after="0" w:line="360" w:lineRule="auto"/>
        <w:rPr>
          <w:rFonts w:hint="eastAsia" w:ascii="仿宋" w:hAnsi="仿宋" w:eastAsia="仿宋" w:cs="仿宋"/>
          <w:sz w:val="28"/>
          <w:szCs w:val="28"/>
          <w:highlight w:val="none"/>
        </w:rPr>
      </w:pPr>
      <w:bookmarkStart w:id="304" w:name="_Toc371493210"/>
      <w:bookmarkStart w:id="305" w:name="_Toc24604"/>
      <w:bookmarkStart w:id="306" w:name="_Toc351203558"/>
      <w:bookmarkStart w:id="307" w:name="_Toc20256"/>
      <w:r>
        <w:rPr>
          <w:rFonts w:hint="eastAsia" w:ascii="仿宋" w:hAnsi="仿宋" w:eastAsia="仿宋" w:cs="仿宋"/>
          <w:sz w:val="28"/>
          <w:szCs w:val="28"/>
          <w:highlight w:val="none"/>
        </w:rPr>
        <w:t>8.4 样品</w:t>
      </w:r>
      <w:bookmarkEnd w:id="304"/>
      <w:bookmarkEnd w:id="305"/>
      <w:bookmarkEnd w:id="306"/>
      <w:bookmarkEnd w:id="307"/>
    </w:p>
    <w:p w14:paraId="161C606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需要分包人报送样品的材料或工程设备，样品的种类、名称、规格、数量均应在专用合同条款中约定。样品的报送、封存及保管事宜按总包合同的约定执行，分包人应履行总包合同对应条款中约定的承包人义务。</w:t>
      </w:r>
    </w:p>
    <w:p w14:paraId="03E10E8A">
      <w:pPr>
        <w:pStyle w:val="4"/>
        <w:wordWrap w:val="0"/>
        <w:adjustRightInd w:val="0"/>
        <w:snapToGrid w:val="0"/>
        <w:spacing w:before="0" w:after="0" w:line="360" w:lineRule="auto"/>
        <w:rPr>
          <w:rFonts w:hint="eastAsia" w:ascii="仿宋" w:hAnsi="仿宋" w:eastAsia="仿宋" w:cs="仿宋"/>
          <w:sz w:val="28"/>
          <w:szCs w:val="28"/>
          <w:highlight w:val="none"/>
        </w:rPr>
      </w:pPr>
      <w:bookmarkStart w:id="308" w:name="_Toc371493211"/>
      <w:bookmarkStart w:id="309" w:name="_Toc1669"/>
      <w:bookmarkStart w:id="310" w:name="_Toc351203559"/>
      <w:bookmarkStart w:id="311" w:name="_Toc24888"/>
      <w:r>
        <w:rPr>
          <w:rFonts w:hint="eastAsia" w:ascii="仿宋" w:hAnsi="仿宋" w:eastAsia="仿宋" w:cs="仿宋"/>
          <w:sz w:val="28"/>
          <w:szCs w:val="28"/>
          <w:highlight w:val="none"/>
        </w:rPr>
        <w:t>8.5 材料与工程设备的替代</w:t>
      </w:r>
      <w:bookmarkEnd w:id="308"/>
      <w:bookmarkEnd w:id="309"/>
      <w:bookmarkEnd w:id="310"/>
      <w:bookmarkEnd w:id="311"/>
    </w:p>
    <w:p w14:paraId="5475A52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除专用合同条款另有约定外，材料与工程设备的替代按总包合同的约定执行，分包人应履行总包合同对应条款中约定的承包人义务。</w:t>
      </w:r>
    </w:p>
    <w:p w14:paraId="2C6F52EA">
      <w:pPr>
        <w:pStyle w:val="4"/>
        <w:wordWrap w:val="0"/>
        <w:adjustRightInd w:val="0"/>
        <w:snapToGrid w:val="0"/>
        <w:spacing w:before="0" w:after="0" w:line="360" w:lineRule="auto"/>
        <w:rPr>
          <w:rFonts w:hint="eastAsia" w:ascii="仿宋" w:hAnsi="仿宋" w:eastAsia="仿宋" w:cs="仿宋"/>
          <w:sz w:val="28"/>
          <w:szCs w:val="28"/>
          <w:highlight w:val="none"/>
        </w:rPr>
      </w:pPr>
      <w:bookmarkStart w:id="312" w:name="_Toc371493212"/>
      <w:bookmarkStart w:id="313" w:name="_Toc24954"/>
      <w:bookmarkStart w:id="314" w:name="_Toc5117"/>
      <w:bookmarkStart w:id="315" w:name="_Toc351203560"/>
      <w:r>
        <w:rPr>
          <w:rFonts w:hint="eastAsia" w:ascii="仿宋" w:hAnsi="仿宋" w:eastAsia="仿宋" w:cs="仿宋"/>
          <w:sz w:val="28"/>
          <w:szCs w:val="28"/>
          <w:highlight w:val="none"/>
        </w:rPr>
        <w:t>8.6 施工设备和临时设施</w:t>
      </w:r>
      <w:bookmarkEnd w:id="312"/>
      <w:bookmarkEnd w:id="313"/>
      <w:bookmarkEnd w:id="314"/>
      <w:bookmarkEnd w:id="315"/>
    </w:p>
    <w:p w14:paraId="6468AC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8.6.1 承包人提供的施工设备和临时设施在专用合同条款中约定。</w:t>
      </w:r>
    </w:p>
    <w:p w14:paraId="1A4D2D0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8.6.2 分包人应按分包合同的要求及时配置施工设备和修建临时设施。施工设备应符合经承包人批准的施工组织设计。分包人更换分包合同约定的施工设备的，应报承包人批准。</w:t>
      </w:r>
    </w:p>
    <w:p w14:paraId="67431BF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8.6.3 分包人提供的施工设备不能满足施工组织设计和（或）分包工程质量要求时，承包人有权要求分包人增加或更换施工设备，分包人应及时增加或更换，由此增加的费用和（或）延误的工期由分包人承担。</w:t>
      </w:r>
    </w:p>
    <w:p w14:paraId="36A61F34">
      <w:pPr>
        <w:pStyle w:val="4"/>
        <w:wordWrap w:val="0"/>
        <w:adjustRightInd w:val="0"/>
        <w:snapToGrid w:val="0"/>
        <w:spacing w:before="0" w:after="0" w:line="360" w:lineRule="auto"/>
        <w:rPr>
          <w:rFonts w:hint="eastAsia" w:ascii="仿宋" w:hAnsi="仿宋" w:eastAsia="仿宋" w:cs="仿宋"/>
          <w:sz w:val="28"/>
          <w:szCs w:val="28"/>
          <w:highlight w:val="none"/>
        </w:rPr>
      </w:pPr>
      <w:bookmarkStart w:id="316" w:name="_Toc351203561"/>
      <w:bookmarkStart w:id="317" w:name="_Toc20108"/>
      <w:bookmarkStart w:id="318" w:name="_Toc12452"/>
      <w:bookmarkStart w:id="319" w:name="_Toc371493213"/>
      <w:bookmarkStart w:id="320" w:name="_Toc296503063"/>
      <w:bookmarkStart w:id="321" w:name="_Toc296346564"/>
      <w:bookmarkStart w:id="322" w:name="_Toc337558781"/>
      <w:r>
        <w:rPr>
          <w:rFonts w:hint="eastAsia" w:ascii="仿宋" w:hAnsi="仿宋" w:eastAsia="仿宋" w:cs="仿宋"/>
          <w:sz w:val="28"/>
          <w:szCs w:val="28"/>
          <w:highlight w:val="none"/>
        </w:rPr>
        <w:t>8.7 材料与设备专用</w:t>
      </w:r>
      <w:bookmarkEnd w:id="316"/>
      <w:bookmarkEnd w:id="317"/>
      <w:bookmarkEnd w:id="318"/>
      <w:bookmarkEnd w:id="319"/>
    </w:p>
    <w:bookmarkEnd w:id="320"/>
    <w:bookmarkEnd w:id="321"/>
    <w:bookmarkEnd w:id="322"/>
    <w:p w14:paraId="12F5B0D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分包人运入施工场地的材料、工程设备、施工设备以及在施工场地建设的临时设施，包括备品备件、安装工具与资料，必须专用于分包工程。未经承包人批准，分包人不得运出施工场地或挪作他用；</w:t>
      </w:r>
      <w:bookmarkEnd w:id="289"/>
      <w:r>
        <w:rPr>
          <w:rFonts w:hint="eastAsia" w:ascii="仿宋" w:hAnsi="仿宋" w:eastAsia="仿宋" w:cs="仿宋"/>
          <w:kern w:val="0"/>
          <w:sz w:val="28"/>
          <w:szCs w:val="28"/>
          <w:highlight w:val="none"/>
        </w:rPr>
        <w:t>经承包人批准，分包人可以根据施工进度计划撤走闲置的施工设备和其他物品。</w:t>
      </w:r>
    </w:p>
    <w:p w14:paraId="73193E67">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23" w:name="_Toc371493214"/>
      <w:bookmarkStart w:id="324" w:name="_Toc14521"/>
      <w:bookmarkStart w:id="325" w:name="_Toc351203562"/>
      <w:bookmarkStart w:id="326" w:name="_Toc1721"/>
      <w:bookmarkStart w:id="327" w:name="_Toc337558782"/>
      <w:bookmarkStart w:id="328" w:name="_Toc296503083"/>
      <w:bookmarkStart w:id="329" w:name="_Toc296346584"/>
      <w:r>
        <w:rPr>
          <w:rFonts w:hint="eastAsia" w:ascii="仿宋" w:hAnsi="仿宋" w:eastAsia="仿宋" w:cs="仿宋"/>
          <w:sz w:val="28"/>
          <w:szCs w:val="28"/>
          <w:highlight w:val="none"/>
        </w:rPr>
        <w:t>9. 试验和检验</w:t>
      </w:r>
      <w:bookmarkEnd w:id="323"/>
      <w:bookmarkEnd w:id="324"/>
      <w:bookmarkEnd w:id="325"/>
      <w:bookmarkEnd w:id="326"/>
    </w:p>
    <w:bookmarkEnd w:id="327"/>
    <w:p w14:paraId="1801043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除专用合同条款另有约定外，试验和检验按总包合同的约定进行，由分包人履行总包合同对应条款中的承包人义务。</w:t>
      </w:r>
    </w:p>
    <w:p w14:paraId="38BAC48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30" w:name="_Toc17754"/>
      <w:bookmarkStart w:id="331" w:name="_Toc351203567"/>
      <w:bookmarkStart w:id="332" w:name="_Toc371493218"/>
      <w:bookmarkStart w:id="333" w:name="_Toc16048"/>
      <w:bookmarkStart w:id="334" w:name="_Toc337558787"/>
      <w:r>
        <w:rPr>
          <w:rFonts w:hint="eastAsia" w:ascii="仿宋" w:hAnsi="仿宋" w:eastAsia="仿宋" w:cs="仿宋"/>
          <w:sz w:val="28"/>
          <w:szCs w:val="28"/>
          <w:highlight w:val="none"/>
        </w:rPr>
        <w:t>10. 分包合同变更</w:t>
      </w:r>
      <w:bookmarkEnd w:id="328"/>
      <w:bookmarkEnd w:id="329"/>
      <w:bookmarkEnd w:id="330"/>
      <w:bookmarkEnd w:id="331"/>
      <w:bookmarkEnd w:id="332"/>
      <w:bookmarkEnd w:id="333"/>
    </w:p>
    <w:bookmarkEnd w:id="334"/>
    <w:p w14:paraId="31549929">
      <w:pPr>
        <w:pStyle w:val="4"/>
        <w:wordWrap w:val="0"/>
        <w:adjustRightInd w:val="0"/>
        <w:snapToGrid w:val="0"/>
        <w:spacing w:before="0" w:after="0" w:line="360" w:lineRule="auto"/>
        <w:rPr>
          <w:rFonts w:hint="eastAsia" w:ascii="仿宋" w:hAnsi="仿宋" w:eastAsia="仿宋" w:cs="仿宋"/>
          <w:sz w:val="28"/>
          <w:szCs w:val="28"/>
          <w:highlight w:val="none"/>
        </w:rPr>
      </w:pPr>
      <w:bookmarkStart w:id="335" w:name="_Toc351203568"/>
      <w:bookmarkStart w:id="336" w:name="_Toc5461"/>
      <w:bookmarkStart w:id="337" w:name="_Toc371493219"/>
      <w:bookmarkStart w:id="338" w:name="_Toc14316"/>
      <w:bookmarkStart w:id="339" w:name="_Toc337558788"/>
      <w:bookmarkStart w:id="340" w:name="_Toc296346585"/>
      <w:bookmarkStart w:id="341" w:name="_Toc296503084"/>
      <w:r>
        <w:rPr>
          <w:rFonts w:hint="eastAsia" w:ascii="仿宋" w:hAnsi="仿宋" w:eastAsia="仿宋" w:cs="仿宋"/>
          <w:sz w:val="28"/>
          <w:szCs w:val="28"/>
          <w:highlight w:val="none"/>
        </w:rPr>
        <w:t>10.1 分包合同变更的范围</w:t>
      </w:r>
      <w:bookmarkEnd w:id="335"/>
      <w:bookmarkEnd w:id="336"/>
      <w:bookmarkEnd w:id="337"/>
      <w:bookmarkEnd w:id="338"/>
    </w:p>
    <w:bookmarkEnd w:id="339"/>
    <w:bookmarkEnd w:id="340"/>
    <w:bookmarkEnd w:id="341"/>
    <w:p w14:paraId="7B3AF8F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除专用合同条款另有约定外，分包合同履行过程中发生的以下情形属于变更：</w:t>
      </w:r>
    </w:p>
    <w:p w14:paraId="4E0E8DE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（1）增加或减少分包合同中任何工作，或追加额外的工作；</w:t>
      </w:r>
    </w:p>
    <w:p w14:paraId="272D2CE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（2）取消分包合同中任何工作，但转由他人实施的工作除外；</w:t>
      </w:r>
    </w:p>
    <w:p w14:paraId="57F1D28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（3）改变分包合同中任何工作的质量标准或其他特性；</w:t>
      </w:r>
    </w:p>
    <w:p w14:paraId="25C3533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（4）改变分包工程的基线、标高、位置和尺寸；</w:t>
      </w:r>
    </w:p>
    <w:p w14:paraId="7574DCC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（5）改变分包工程的时间安排或实施顺序。</w:t>
      </w:r>
    </w:p>
    <w:p w14:paraId="62B6B5D2">
      <w:pPr>
        <w:pStyle w:val="4"/>
        <w:wordWrap w:val="0"/>
        <w:adjustRightInd w:val="0"/>
        <w:snapToGrid w:val="0"/>
        <w:spacing w:before="0" w:after="0" w:line="360" w:lineRule="auto"/>
        <w:rPr>
          <w:rFonts w:hint="eastAsia" w:ascii="仿宋" w:hAnsi="仿宋" w:eastAsia="仿宋" w:cs="仿宋"/>
          <w:sz w:val="28"/>
          <w:szCs w:val="28"/>
          <w:highlight w:val="none"/>
        </w:rPr>
      </w:pPr>
      <w:bookmarkStart w:id="342" w:name="_Toc371493220"/>
      <w:bookmarkStart w:id="343" w:name="_Toc351203569"/>
      <w:bookmarkStart w:id="344" w:name="_Toc26880"/>
      <w:bookmarkStart w:id="345" w:name="_Toc20023"/>
      <w:bookmarkStart w:id="346" w:name="_Toc337558789"/>
      <w:bookmarkStart w:id="347" w:name="_Toc296346586"/>
      <w:bookmarkStart w:id="348" w:name="_Toc296503085"/>
      <w:r>
        <w:rPr>
          <w:rFonts w:hint="eastAsia" w:ascii="仿宋" w:hAnsi="仿宋" w:eastAsia="仿宋" w:cs="仿宋"/>
          <w:sz w:val="28"/>
          <w:szCs w:val="28"/>
          <w:highlight w:val="none"/>
        </w:rPr>
        <w:t>10.2 分包合同变更</w:t>
      </w:r>
      <w:bookmarkEnd w:id="342"/>
      <w:bookmarkEnd w:id="343"/>
      <w:r>
        <w:rPr>
          <w:rFonts w:hint="eastAsia" w:ascii="仿宋" w:hAnsi="仿宋" w:eastAsia="仿宋" w:cs="仿宋"/>
          <w:sz w:val="28"/>
          <w:szCs w:val="28"/>
          <w:highlight w:val="none"/>
        </w:rPr>
        <w:t>的提出和执行</w:t>
      </w:r>
      <w:bookmarkEnd w:id="344"/>
      <w:bookmarkEnd w:id="345"/>
    </w:p>
    <w:bookmarkEnd w:id="346"/>
    <w:bookmarkEnd w:id="347"/>
    <w:bookmarkEnd w:id="348"/>
    <w:p w14:paraId="187D123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14:paraId="17F8EA6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分包人收到承包人下达的变更指令后，认为不能执行的，应在收到变更指令后24小时内提出不能执行的理由。分包人认为可以执行变更的，应按第10.3款【分包合同变更估价】确定变更估价。</w:t>
      </w:r>
    </w:p>
    <w:p w14:paraId="5EDCCF47">
      <w:pPr>
        <w:pStyle w:val="4"/>
        <w:wordWrap w:val="0"/>
        <w:adjustRightInd w:val="0"/>
        <w:snapToGrid w:val="0"/>
        <w:spacing w:before="0" w:after="0" w:line="360" w:lineRule="auto"/>
        <w:rPr>
          <w:rFonts w:hint="eastAsia" w:ascii="仿宋" w:hAnsi="仿宋" w:eastAsia="仿宋" w:cs="仿宋"/>
          <w:sz w:val="28"/>
          <w:szCs w:val="28"/>
          <w:highlight w:val="none"/>
        </w:rPr>
      </w:pPr>
      <w:bookmarkStart w:id="349" w:name="_Toc371493221"/>
      <w:bookmarkStart w:id="350" w:name="_Toc16086"/>
      <w:bookmarkStart w:id="351" w:name="_Toc351203571"/>
      <w:bookmarkStart w:id="352" w:name="_Toc18897"/>
      <w:bookmarkStart w:id="353" w:name="_Toc337558791"/>
      <w:bookmarkStart w:id="354" w:name="_Toc296346588"/>
      <w:bookmarkStart w:id="355" w:name="_Toc296503087"/>
      <w:r>
        <w:rPr>
          <w:rFonts w:hint="eastAsia" w:ascii="仿宋" w:hAnsi="仿宋" w:eastAsia="仿宋" w:cs="仿宋"/>
          <w:sz w:val="28"/>
          <w:szCs w:val="28"/>
          <w:highlight w:val="none"/>
        </w:rPr>
        <w:t>10.3 分包合同变更估价</w:t>
      </w:r>
      <w:bookmarkEnd w:id="349"/>
      <w:bookmarkEnd w:id="350"/>
      <w:bookmarkEnd w:id="351"/>
      <w:bookmarkEnd w:id="352"/>
    </w:p>
    <w:bookmarkEnd w:id="353"/>
    <w:bookmarkEnd w:id="354"/>
    <w:bookmarkEnd w:id="355"/>
    <w:p w14:paraId="602893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10.3.1 变更估价原则</w:t>
      </w:r>
    </w:p>
    <w:p w14:paraId="318FE48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除专用合同条款另有约定外，变更估价按照本项约定执行：</w:t>
      </w:r>
    </w:p>
    <w:p w14:paraId="6E79ECC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（1）已标价工程量清单或预算书有相同项目的，按照相同项目单价认定；</w:t>
      </w:r>
    </w:p>
    <w:p w14:paraId="5B1A1A3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（2）已标价工程量清单或预算书中无相同项目，但有类似项目的，参照类似项目的单价认定；</w:t>
      </w:r>
    </w:p>
    <w:p w14:paraId="2845290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14:paraId="6369AC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10.3.2 变更估价程序</w:t>
      </w:r>
    </w:p>
    <w:p w14:paraId="145C307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14:paraId="1D2AC6CE">
      <w:pPr>
        <w:pStyle w:val="4"/>
        <w:wordWrap w:val="0"/>
        <w:adjustRightInd w:val="0"/>
        <w:snapToGrid w:val="0"/>
        <w:spacing w:before="0" w:after="0" w:line="360" w:lineRule="auto"/>
        <w:rPr>
          <w:rFonts w:hint="eastAsia" w:ascii="仿宋" w:hAnsi="仿宋" w:eastAsia="仿宋" w:cs="仿宋"/>
          <w:sz w:val="28"/>
          <w:szCs w:val="28"/>
          <w:highlight w:val="none"/>
        </w:rPr>
      </w:pPr>
      <w:bookmarkStart w:id="356" w:name="_Toc14287"/>
      <w:bookmarkStart w:id="357" w:name="_Toc371493222"/>
      <w:bookmarkStart w:id="358" w:name="_Toc3632"/>
      <w:bookmarkStart w:id="359" w:name="_Toc351203572"/>
      <w:bookmarkStart w:id="360" w:name="_Toc337558792"/>
      <w:bookmarkStart w:id="361" w:name="_Toc296346595"/>
      <w:bookmarkStart w:id="362" w:name="_Toc296503094"/>
      <w:r>
        <w:rPr>
          <w:rFonts w:hint="eastAsia" w:ascii="仿宋" w:hAnsi="仿宋" w:eastAsia="仿宋" w:cs="仿宋"/>
          <w:sz w:val="28"/>
          <w:szCs w:val="28"/>
          <w:highlight w:val="none"/>
        </w:rPr>
        <w:t>10.4 分包人的合理化建议</w:t>
      </w:r>
      <w:bookmarkEnd w:id="356"/>
      <w:bookmarkEnd w:id="357"/>
      <w:bookmarkEnd w:id="358"/>
      <w:bookmarkEnd w:id="359"/>
    </w:p>
    <w:bookmarkEnd w:id="360"/>
    <w:bookmarkEnd w:id="361"/>
    <w:bookmarkEnd w:id="362"/>
    <w:p w14:paraId="62610E7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分包人可以向承包人提出合理化建议并说明实施该建议对分包合同价格和工期的影响。承包人批准前述合理化建议的，承包人应及时发出变更指令。承包人不同意前述合理化建议的，应书面通知分包人。</w:t>
      </w:r>
    </w:p>
    <w:p w14:paraId="2D06F9F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合理化建议降低了分包合同价格或者提高了分包工程经济效益的，承包人可对分包人给予奖励，奖励的方法和金额在专用合同条款中约定。</w:t>
      </w:r>
    </w:p>
    <w:p w14:paraId="774A33DC">
      <w:pPr>
        <w:pStyle w:val="4"/>
        <w:wordWrap w:val="0"/>
        <w:adjustRightInd w:val="0"/>
        <w:snapToGrid w:val="0"/>
        <w:spacing w:before="0" w:after="0" w:line="360" w:lineRule="auto"/>
        <w:rPr>
          <w:rFonts w:hint="eastAsia" w:ascii="仿宋" w:hAnsi="仿宋" w:eastAsia="仿宋" w:cs="仿宋"/>
          <w:sz w:val="28"/>
          <w:szCs w:val="28"/>
          <w:highlight w:val="none"/>
        </w:rPr>
      </w:pPr>
      <w:bookmarkStart w:id="363" w:name="_Toc24003"/>
      <w:bookmarkStart w:id="364" w:name="_Toc351203573"/>
      <w:bookmarkStart w:id="365" w:name="_Toc31844"/>
      <w:bookmarkStart w:id="366" w:name="_Toc371493223"/>
      <w:bookmarkStart w:id="367" w:name="_Toc337558793"/>
      <w:r>
        <w:rPr>
          <w:rFonts w:hint="eastAsia" w:ascii="仿宋" w:hAnsi="仿宋" w:eastAsia="仿宋" w:cs="仿宋"/>
          <w:sz w:val="28"/>
          <w:szCs w:val="28"/>
          <w:highlight w:val="none"/>
        </w:rPr>
        <w:t>10.5 变更引起的工期调整</w:t>
      </w:r>
      <w:bookmarkEnd w:id="363"/>
      <w:bookmarkEnd w:id="364"/>
      <w:bookmarkEnd w:id="365"/>
      <w:bookmarkEnd w:id="366"/>
      <w:r>
        <w:rPr>
          <w:rFonts w:hint="eastAsia" w:ascii="仿宋" w:hAnsi="仿宋" w:eastAsia="仿宋" w:cs="仿宋"/>
          <w:sz w:val="28"/>
          <w:szCs w:val="28"/>
          <w:highlight w:val="none"/>
        </w:rPr>
        <w:t xml:space="preserve"> </w:t>
      </w:r>
      <w:bookmarkEnd w:id="367"/>
      <w:r>
        <w:rPr>
          <w:rFonts w:hint="eastAsia" w:ascii="仿宋" w:hAnsi="仿宋" w:eastAsia="仿宋" w:cs="仿宋"/>
          <w:sz w:val="28"/>
          <w:szCs w:val="28"/>
          <w:highlight w:val="none"/>
        </w:rPr>
        <w:t xml:space="preserve">  </w:t>
      </w:r>
    </w:p>
    <w:p w14:paraId="2987C54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因变更引起工期变化的，合同当事人均可要求调整分包合同工期，由合同当事人按专用合同条款约定的方法确定增减工期天数。</w:t>
      </w:r>
    </w:p>
    <w:p w14:paraId="47DAF404">
      <w:pPr>
        <w:pStyle w:val="4"/>
        <w:wordWrap w:val="0"/>
        <w:adjustRightInd w:val="0"/>
        <w:snapToGrid w:val="0"/>
        <w:spacing w:before="0" w:after="0" w:line="360" w:lineRule="auto"/>
        <w:rPr>
          <w:rFonts w:hint="eastAsia" w:ascii="仿宋" w:hAnsi="仿宋" w:eastAsia="仿宋" w:cs="仿宋"/>
          <w:sz w:val="28"/>
          <w:szCs w:val="28"/>
          <w:highlight w:val="none"/>
        </w:rPr>
      </w:pPr>
      <w:bookmarkStart w:id="368" w:name="_Toc4714"/>
      <w:bookmarkStart w:id="369" w:name="_Toc351203576"/>
      <w:bookmarkStart w:id="370" w:name="_Toc371493225"/>
      <w:bookmarkStart w:id="371" w:name="_Toc857"/>
      <w:bookmarkStart w:id="372" w:name="_Toc337558796"/>
      <w:bookmarkStart w:id="373" w:name="_Toc296503091"/>
      <w:bookmarkStart w:id="374" w:name="_Toc296346592"/>
      <w:r>
        <w:rPr>
          <w:rFonts w:hint="eastAsia" w:ascii="仿宋" w:hAnsi="仿宋" w:eastAsia="仿宋" w:cs="仿宋"/>
          <w:sz w:val="28"/>
          <w:szCs w:val="28"/>
          <w:highlight w:val="none"/>
        </w:rPr>
        <w:t>10.6 计日工</w:t>
      </w:r>
      <w:bookmarkEnd w:id="368"/>
      <w:bookmarkEnd w:id="369"/>
      <w:bookmarkEnd w:id="370"/>
      <w:bookmarkEnd w:id="371"/>
      <w:r>
        <w:rPr>
          <w:rFonts w:hint="eastAsia" w:ascii="仿宋" w:hAnsi="仿宋" w:eastAsia="仿宋" w:cs="仿宋"/>
          <w:sz w:val="28"/>
          <w:szCs w:val="28"/>
          <w:highlight w:val="none"/>
        </w:rPr>
        <w:t xml:space="preserve"> </w:t>
      </w:r>
      <w:bookmarkEnd w:id="372"/>
      <w:bookmarkEnd w:id="373"/>
      <w:bookmarkEnd w:id="374"/>
    </w:p>
    <w:p w14:paraId="337FD59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14:paraId="4D2BE12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采用计日工计价的工作，分包人应每天提交以下报表送承包人审查：</w:t>
      </w:r>
    </w:p>
    <w:p w14:paraId="280513BA">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（1）工作名称、内容和数量；</w:t>
      </w:r>
    </w:p>
    <w:p w14:paraId="24768E31">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（2）投入该工作的所有人员的姓名、专业、工种、级别和耗用工时；</w:t>
      </w:r>
    </w:p>
    <w:p w14:paraId="36148FE7">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（3）投入该工作的材料类别和数量；</w:t>
      </w:r>
    </w:p>
    <w:p w14:paraId="44520CBC">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（4）投入该工作的施工设备型号、台数和耗用台班时；</w:t>
      </w:r>
    </w:p>
    <w:p w14:paraId="6514DCC0">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（5）其他有关资料和凭证。</w:t>
      </w:r>
    </w:p>
    <w:p w14:paraId="5531E1A6">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计日工应计入最近一期的进度款中支付。</w:t>
      </w:r>
    </w:p>
    <w:p w14:paraId="56B3D0D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5" w:name="_Toc1744"/>
      <w:bookmarkStart w:id="376" w:name="_Toc24064"/>
      <w:r>
        <w:rPr>
          <w:rFonts w:hint="eastAsia" w:ascii="仿宋" w:hAnsi="仿宋" w:eastAsia="仿宋" w:cs="仿宋"/>
          <w:sz w:val="28"/>
          <w:szCs w:val="28"/>
          <w:highlight w:val="none"/>
        </w:rPr>
        <w:t>11. 合同价格</w:t>
      </w:r>
      <w:bookmarkEnd w:id="375"/>
      <w:bookmarkEnd w:id="376"/>
    </w:p>
    <w:p w14:paraId="789661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承包人和分包人应在合同协议书中选择下列一种合同价格形式：</w:t>
      </w:r>
    </w:p>
    <w:p w14:paraId="104D253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1、单价合同</w:t>
      </w:r>
    </w:p>
    <w:p w14:paraId="7548596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单价合同是指合同当事人约定以工程量清单及其综合单价进行合同价格计算、调整和确认的建设工程专业分包合同，</w:t>
      </w:r>
      <w:r>
        <w:rPr>
          <w:rFonts w:hint="eastAsia" w:ascii="仿宋" w:hAnsi="仿宋" w:eastAsia="仿宋" w:cs="仿宋"/>
          <w:sz w:val="28"/>
          <w:szCs w:val="28"/>
          <w:highlight w:val="none"/>
        </w:rPr>
        <w:t>在约定的风险范围内合同单价不作调整</w:t>
      </w:r>
      <w:r>
        <w:rPr>
          <w:rFonts w:hint="eastAsia" w:ascii="仿宋" w:hAnsi="仿宋" w:eastAsia="仿宋" w:cs="仿宋"/>
          <w:kern w:val="0"/>
          <w:sz w:val="28"/>
          <w:szCs w:val="28"/>
          <w:highlight w:val="none"/>
        </w:rPr>
        <w:t>。合同当事人应在专用合同条款中约定综合单价包含的风险范围和风险费用的计算方法</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并约定风险范围以外的合同价格的调整方法，其中因市场价格波动引起的调整按第12.1款【市场价格波动引起的调整】约定执行，因法律变化引起的调整按第12.2款【法律变化引起的调整】约定执行。</w:t>
      </w:r>
    </w:p>
    <w:p w14:paraId="64ACD99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2、总价合同</w:t>
      </w:r>
    </w:p>
    <w:p w14:paraId="760A508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总价合同是指合同当事人约定以图纸、已标价工程量清单或预算书及有关条件进行合同价格计算、调整和确认的建设工程专业分包合同，</w:t>
      </w:r>
      <w:r>
        <w:rPr>
          <w:rFonts w:hint="eastAsia" w:ascii="仿宋" w:hAnsi="仿宋" w:eastAsia="仿宋" w:cs="仿宋"/>
          <w:sz w:val="28"/>
          <w:szCs w:val="28"/>
          <w:highlight w:val="none"/>
        </w:rPr>
        <w:t>在约定的风险范围内合同总价不作调整</w:t>
      </w:r>
      <w:r>
        <w:rPr>
          <w:rFonts w:hint="eastAsia" w:ascii="仿宋" w:hAnsi="仿宋" w:eastAsia="仿宋" w:cs="仿宋"/>
          <w:kern w:val="0"/>
          <w:sz w:val="28"/>
          <w:szCs w:val="28"/>
          <w:highlight w:val="none"/>
        </w:rPr>
        <w:t>。合同当事人应在专用合同条款中约定总价包含的风险范围和风险费用的计算方法，并约定风险范围以外的合同价格的调整方法，其中因市场价格波动引起的调整按第12.1款【市场价格波动引起的调整】约定执行，因法律变化引起的调整按第12.2款【法律变化引起的调整】约定执行。</w:t>
      </w:r>
    </w:p>
    <w:p w14:paraId="1ED7EA3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3、其它价格形式</w:t>
      </w:r>
    </w:p>
    <w:p w14:paraId="093AE98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合同当事人可在专用合同条款中约定其他合同价格形式。</w:t>
      </w:r>
    </w:p>
    <w:p w14:paraId="2E4EAF4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7" w:name="_Toc906"/>
      <w:bookmarkStart w:id="378" w:name="_Toc371493226"/>
      <w:bookmarkStart w:id="379" w:name="_Toc12309"/>
      <w:bookmarkStart w:id="380" w:name="_Toc351203577"/>
      <w:r>
        <w:rPr>
          <w:rFonts w:hint="eastAsia" w:ascii="仿宋" w:hAnsi="仿宋" w:eastAsia="仿宋" w:cs="仿宋"/>
          <w:sz w:val="28"/>
          <w:szCs w:val="28"/>
          <w:highlight w:val="none"/>
        </w:rPr>
        <w:t>12. 价格调整</w:t>
      </w:r>
      <w:bookmarkEnd w:id="377"/>
      <w:bookmarkEnd w:id="378"/>
      <w:bookmarkEnd w:id="379"/>
      <w:bookmarkEnd w:id="380"/>
    </w:p>
    <w:p w14:paraId="21F2B28F">
      <w:pPr>
        <w:pStyle w:val="4"/>
        <w:wordWrap w:val="0"/>
        <w:adjustRightInd w:val="0"/>
        <w:snapToGrid w:val="0"/>
        <w:spacing w:before="0" w:after="0" w:line="360" w:lineRule="auto"/>
        <w:rPr>
          <w:rFonts w:hint="eastAsia" w:ascii="仿宋" w:hAnsi="仿宋" w:eastAsia="仿宋" w:cs="仿宋"/>
          <w:sz w:val="28"/>
          <w:szCs w:val="28"/>
          <w:highlight w:val="none"/>
        </w:rPr>
      </w:pPr>
      <w:bookmarkStart w:id="381" w:name="_Toc25402"/>
      <w:bookmarkStart w:id="382" w:name="_Toc371493227"/>
      <w:bookmarkStart w:id="383" w:name="_Toc351203578"/>
      <w:bookmarkStart w:id="384" w:name="_Toc27453"/>
      <w:bookmarkStart w:id="385" w:name="_Toc296503092"/>
      <w:bookmarkStart w:id="386" w:name="_Toc337558797"/>
      <w:bookmarkStart w:id="387" w:name="_Toc296346593"/>
      <w:r>
        <w:rPr>
          <w:rFonts w:hint="eastAsia" w:ascii="仿宋" w:hAnsi="仿宋" w:eastAsia="仿宋" w:cs="仿宋"/>
          <w:sz w:val="28"/>
          <w:szCs w:val="28"/>
          <w:highlight w:val="none"/>
        </w:rPr>
        <w:t>12.1 市场价格波动引起的调整</w:t>
      </w:r>
      <w:bookmarkEnd w:id="381"/>
      <w:bookmarkEnd w:id="382"/>
      <w:bookmarkEnd w:id="383"/>
      <w:bookmarkEnd w:id="384"/>
    </w:p>
    <w:bookmarkEnd w:id="385"/>
    <w:bookmarkEnd w:id="386"/>
    <w:bookmarkEnd w:id="387"/>
    <w:p w14:paraId="0A04D6A7">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除专用合同条款另有约定外，市场价格波动超过分包合同当事人约定的范围，分包合同价格应当调整。分包合同当事人可以在专用合同条款中约定市场价格波动超过当事人约定范围时进行价格调整的方式。</w:t>
      </w:r>
    </w:p>
    <w:p w14:paraId="4E615AF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因市场价格波动引起的价格调整金额列入最近一期进度付款申请单，经承包人批准后列入进度付款。</w:t>
      </w:r>
    </w:p>
    <w:p w14:paraId="128A94AA">
      <w:pPr>
        <w:pStyle w:val="4"/>
        <w:wordWrap w:val="0"/>
        <w:adjustRightInd w:val="0"/>
        <w:snapToGrid w:val="0"/>
        <w:spacing w:before="0" w:after="0" w:line="360" w:lineRule="auto"/>
        <w:rPr>
          <w:rFonts w:hint="eastAsia" w:ascii="仿宋" w:hAnsi="仿宋" w:eastAsia="仿宋" w:cs="仿宋"/>
          <w:sz w:val="28"/>
          <w:szCs w:val="28"/>
          <w:highlight w:val="none"/>
        </w:rPr>
      </w:pPr>
      <w:bookmarkStart w:id="388" w:name="_Toc6050"/>
      <w:bookmarkStart w:id="389" w:name="_Toc7971"/>
      <w:bookmarkStart w:id="390" w:name="_Toc351203579"/>
      <w:bookmarkStart w:id="391" w:name="_Toc371493228"/>
      <w:bookmarkStart w:id="392" w:name="_Toc296346594"/>
      <w:bookmarkStart w:id="393" w:name="_Toc296503093"/>
      <w:bookmarkStart w:id="394" w:name="_Toc337558798"/>
      <w:r>
        <w:rPr>
          <w:rFonts w:hint="eastAsia" w:ascii="仿宋" w:hAnsi="仿宋" w:eastAsia="仿宋" w:cs="仿宋"/>
          <w:sz w:val="28"/>
          <w:szCs w:val="28"/>
          <w:highlight w:val="none"/>
        </w:rPr>
        <w:t>12.2 法律变化引起的调整</w:t>
      </w:r>
      <w:bookmarkEnd w:id="388"/>
      <w:bookmarkEnd w:id="389"/>
      <w:bookmarkEnd w:id="390"/>
      <w:bookmarkEnd w:id="391"/>
    </w:p>
    <w:bookmarkEnd w:id="392"/>
    <w:bookmarkEnd w:id="393"/>
    <w:bookmarkEnd w:id="394"/>
    <w:p w14:paraId="023833D0">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基准日期后，法律变化导致分包人在合同履行过程中所需要的费用发生除第12.1款【市场价格波动引起的调整】约定以外的增加时，由承包人承担由此增加的费用；减少时，应从合同价格中予以扣减。基准日期后，因法律变化造成工期延误时，工期应予以顺延。</w:t>
      </w:r>
    </w:p>
    <w:p w14:paraId="5954F5F8">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因法律变化引起的价格调整金额列入最近一期进度付款申请单，经承包人批准后列入进度付款。</w:t>
      </w:r>
    </w:p>
    <w:p w14:paraId="267222CE">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95" w:name="_Toc1233"/>
      <w:bookmarkStart w:id="396" w:name="_Toc25253"/>
      <w:bookmarkStart w:id="397" w:name="_Toc351203580"/>
      <w:bookmarkStart w:id="398" w:name="_Toc371493230"/>
      <w:bookmarkStart w:id="399" w:name="_Toc296503096"/>
      <w:bookmarkStart w:id="400" w:name="_Toc296346597"/>
      <w:bookmarkStart w:id="401" w:name="_Toc337558799"/>
      <w:r>
        <w:rPr>
          <w:rFonts w:hint="eastAsia" w:ascii="仿宋" w:hAnsi="仿宋" w:eastAsia="仿宋" w:cs="仿宋"/>
          <w:sz w:val="28"/>
          <w:szCs w:val="28"/>
          <w:highlight w:val="none"/>
        </w:rPr>
        <w:t>13. 计量</w:t>
      </w:r>
      <w:bookmarkEnd w:id="395"/>
      <w:bookmarkEnd w:id="396"/>
    </w:p>
    <w:p w14:paraId="7C38505C">
      <w:pPr>
        <w:pStyle w:val="4"/>
        <w:wordWrap w:val="0"/>
        <w:adjustRightInd w:val="0"/>
        <w:snapToGrid w:val="0"/>
        <w:spacing w:before="0" w:after="0" w:line="360" w:lineRule="auto"/>
        <w:rPr>
          <w:rFonts w:hint="eastAsia" w:ascii="仿宋" w:hAnsi="仿宋" w:eastAsia="仿宋" w:cs="仿宋"/>
          <w:sz w:val="28"/>
          <w:szCs w:val="28"/>
          <w:highlight w:val="none"/>
        </w:rPr>
      </w:pPr>
      <w:bookmarkStart w:id="402" w:name="_Toc31547"/>
      <w:bookmarkStart w:id="403" w:name="_Toc24820"/>
      <w:r>
        <w:rPr>
          <w:rFonts w:hint="eastAsia" w:ascii="仿宋" w:hAnsi="仿宋" w:eastAsia="仿宋" w:cs="仿宋"/>
          <w:sz w:val="28"/>
          <w:szCs w:val="28"/>
          <w:highlight w:val="none"/>
        </w:rPr>
        <w:t>13.1 计量原则和计量周期</w:t>
      </w:r>
      <w:bookmarkEnd w:id="402"/>
      <w:bookmarkEnd w:id="403"/>
    </w:p>
    <w:p w14:paraId="6564923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13.1.1 工程量计量按照分包合同约定的工程量计算规则、图纸及变更指示等进行计量。工程量计算规则应以相关的国家标准、行业标准等为依据，由合同当事人在专用合同条款中约定。</w:t>
      </w:r>
    </w:p>
    <w:p w14:paraId="0A05D61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13.1.2 除专用合同条款另有约定外，工程量的计量按月进行。</w:t>
      </w:r>
    </w:p>
    <w:p w14:paraId="400AD4ED">
      <w:pPr>
        <w:pStyle w:val="4"/>
        <w:wordWrap w:val="0"/>
        <w:adjustRightInd w:val="0"/>
        <w:snapToGrid w:val="0"/>
        <w:spacing w:before="0" w:after="0" w:line="360" w:lineRule="auto"/>
        <w:rPr>
          <w:rFonts w:hint="eastAsia" w:ascii="仿宋" w:hAnsi="仿宋" w:eastAsia="仿宋" w:cs="仿宋"/>
          <w:sz w:val="28"/>
          <w:szCs w:val="28"/>
          <w:highlight w:val="none"/>
        </w:rPr>
      </w:pPr>
      <w:bookmarkStart w:id="404" w:name="_Toc6196"/>
      <w:bookmarkStart w:id="405" w:name="_Toc1678"/>
      <w:r>
        <w:rPr>
          <w:rFonts w:hint="eastAsia" w:ascii="仿宋" w:hAnsi="仿宋" w:eastAsia="仿宋" w:cs="仿宋"/>
          <w:sz w:val="28"/>
          <w:szCs w:val="28"/>
          <w:highlight w:val="none"/>
        </w:rPr>
        <w:t>13.2 计量程序</w:t>
      </w:r>
      <w:bookmarkEnd w:id="404"/>
      <w:bookmarkEnd w:id="405"/>
    </w:p>
    <w:p w14:paraId="1D40881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除专用合同条款另有约定外，分包合同的计量按照本款约定程序执行：</w:t>
      </w:r>
    </w:p>
    <w:p w14:paraId="6D68D0A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14:paraId="2B9D2E6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14:paraId="1A3582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（3）承包人在收到分包人提交的工程量报表后的10天内未完成审核的或未提出异议的，分包人报送的工程量视为分包人实际完成的工程量。</w:t>
      </w:r>
    </w:p>
    <w:p w14:paraId="724056B6">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06" w:name="_Toc10766"/>
      <w:bookmarkStart w:id="407" w:name="_Toc11101"/>
      <w:r>
        <w:rPr>
          <w:rFonts w:hint="eastAsia" w:ascii="仿宋" w:hAnsi="仿宋" w:eastAsia="仿宋" w:cs="仿宋"/>
          <w:sz w:val="28"/>
          <w:szCs w:val="28"/>
          <w:highlight w:val="none"/>
        </w:rPr>
        <w:t>14. 工程款支付</w:t>
      </w:r>
      <w:bookmarkEnd w:id="397"/>
      <w:bookmarkEnd w:id="398"/>
      <w:bookmarkEnd w:id="406"/>
      <w:bookmarkEnd w:id="407"/>
    </w:p>
    <w:bookmarkEnd w:id="399"/>
    <w:bookmarkEnd w:id="400"/>
    <w:bookmarkEnd w:id="401"/>
    <w:p w14:paraId="22BD7B38">
      <w:pPr>
        <w:pStyle w:val="4"/>
        <w:wordWrap w:val="0"/>
        <w:adjustRightInd w:val="0"/>
        <w:snapToGrid w:val="0"/>
        <w:spacing w:before="0" w:after="0" w:line="360" w:lineRule="auto"/>
        <w:rPr>
          <w:rFonts w:hint="eastAsia" w:ascii="仿宋" w:hAnsi="仿宋" w:eastAsia="仿宋" w:cs="仿宋"/>
          <w:sz w:val="28"/>
          <w:szCs w:val="28"/>
          <w:highlight w:val="none"/>
        </w:rPr>
      </w:pPr>
      <w:bookmarkStart w:id="408" w:name="_Toc296346598"/>
      <w:bookmarkStart w:id="409" w:name="_Toc296503097"/>
      <w:bookmarkStart w:id="410" w:name="_Toc6360"/>
      <w:bookmarkStart w:id="411" w:name="_Toc371493232"/>
      <w:bookmarkStart w:id="412" w:name="_Toc31638"/>
      <w:bookmarkStart w:id="413" w:name="_Toc351203582"/>
      <w:bookmarkStart w:id="414" w:name="_Toc337558801"/>
      <w:r>
        <w:rPr>
          <w:rFonts w:hint="eastAsia" w:ascii="仿宋" w:hAnsi="仿宋" w:eastAsia="仿宋" w:cs="仿宋"/>
          <w:sz w:val="28"/>
          <w:szCs w:val="28"/>
          <w:highlight w:val="none"/>
        </w:rPr>
        <w:t>14.1 预</w:t>
      </w:r>
      <w:bookmarkEnd w:id="408"/>
      <w:bookmarkEnd w:id="409"/>
      <w:bookmarkStart w:id="415" w:name="_Toc296346601"/>
      <w:bookmarkStart w:id="416" w:name="_Toc296503100"/>
      <w:r>
        <w:rPr>
          <w:rFonts w:hint="eastAsia" w:ascii="仿宋" w:hAnsi="仿宋" w:eastAsia="仿宋" w:cs="仿宋"/>
          <w:sz w:val="28"/>
          <w:szCs w:val="28"/>
          <w:highlight w:val="none"/>
        </w:rPr>
        <w:t>付款</w:t>
      </w:r>
      <w:bookmarkEnd w:id="410"/>
      <w:bookmarkEnd w:id="411"/>
      <w:bookmarkEnd w:id="412"/>
      <w:bookmarkEnd w:id="413"/>
    </w:p>
    <w:bookmarkEnd w:id="414"/>
    <w:bookmarkEnd w:id="415"/>
    <w:bookmarkEnd w:id="416"/>
    <w:p w14:paraId="01FE143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承包人应按照专用合同条款的约定支付预付款。承包人逾期支付预付款的，承包人按专用合同条款的约定承担违约责任。预付款应当用于材料、工程设备、施工设备的采购及组织施工队伍进场等。</w:t>
      </w:r>
    </w:p>
    <w:p w14:paraId="5B52F6C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除专用合同条款另有约定外，预付款在进度付款中同比例扣回。在分包工程完工验收合格前，分包合同解除的，尚未扣完的预付款应与分包合同价款一并结算。</w:t>
      </w:r>
    </w:p>
    <w:p w14:paraId="39AAF98A">
      <w:pPr>
        <w:pStyle w:val="4"/>
        <w:wordWrap w:val="0"/>
        <w:adjustRightInd w:val="0"/>
        <w:snapToGrid w:val="0"/>
        <w:spacing w:before="0" w:after="0" w:line="360" w:lineRule="auto"/>
        <w:rPr>
          <w:rFonts w:hint="eastAsia" w:ascii="仿宋" w:hAnsi="仿宋" w:eastAsia="仿宋" w:cs="仿宋"/>
          <w:sz w:val="28"/>
          <w:szCs w:val="28"/>
          <w:highlight w:val="none"/>
        </w:rPr>
      </w:pPr>
      <w:bookmarkStart w:id="417" w:name="_Toc28057"/>
      <w:bookmarkStart w:id="418" w:name="_Toc9844"/>
      <w:r>
        <w:rPr>
          <w:rFonts w:hint="eastAsia" w:ascii="仿宋" w:hAnsi="仿宋" w:eastAsia="仿宋" w:cs="仿宋"/>
          <w:sz w:val="28"/>
          <w:szCs w:val="28"/>
          <w:highlight w:val="none"/>
        </w:rPr>
        <w:t>14.2 安全文明施工费的支付</w:t>
      </w:r>
      <w:bookmarkEnd w:id="417"/>
      <w:bookmarkEnd w:id="418"/>
    </w:p>
    <w:p w14:paraId="194DFA4D">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除专用合同条款另有约定外，安全文明施工费与进度款同期支付。</w:t>
      </w:r>
    </w:p>
    <w:p w14:paraId="1D537EE1">
      <w:pPr>
        <w:pStyle w:val="4"/>
        <w:wordWrap w:val="0"/>
        <w:adjustRightInd w:val="0"/>
        <w:snapToGrid w:val="0"/>
        <w:spacing w:before="0" w:after="0" w:line="360" w:lineRule="auto"/>
        <w:rPr>
          <w:rFonts w:hint="eastAsia" w:ascii="仿宋" w:hAnsi="仿宋" w:eastAsia="仿宋" w:cs="仿宋"/>
          <w:sz w:val="28"/>
          <w:szCs w:val="28"/>
          <w:highlight w:val="none"/>
        </w:rPr>
      </w:pPr>
      <w:bookmarkStart w:id="419" w:name="_Toc296346602"/>
      <w:bookmarkStart w:id="420" w:name="_Toc296503101"/>
      <w:bookmarkStart w:id="421" w:name="_Toc351203584"/>
      <w:bookmarkStart w:id="422" w:name="_Toc371493234"/>
      <w:bookmarkStart w:id="423" w:name="_Toc23205"/>
      <w:bookmarkStart w:id="424" w:name="_Toc21422"/>
      <w:bookmarkStart w:id="425" w:name="_Toc337558803"/>
      <w:r>
        <w:rPr>
          <w:rFonts w:hint="eastAsia" w:ascii="仿宋" w:hAnsi="仿宋" w:eastAsia="仿宋" w:cs="仿宋"/>
          <w:sz w:val="28"/>
          <w:szCs w:val="28"/>
          <w:highlight w:val="none"/>
        </w:rPr>
        <w:t>14.3 工程进度款支</w:t>
      </w:r>
      <w:bookmarkEnd w:id="419"/>
      <w:bookmarkEnd w:id="420"/>
      <w:r>
        <w:rPr>
          <w:rFonts w:hint="eastAsia" w:ascii="仿宋" w:hAnsi="仿宋" w:eastAsia="仿宋" w:cs="仿宋"/>
          <w:sz w:val="28"/>
          <w:szCs w:val="28"/>
          <w:highlight w:val="none"/>
        </w:rPr>
        <w:t>付</w:t>
      </w:r>
      <w:bookmarkEnd w:id="421"/>
      <w:bookmarkEnd w:id="422"/>
      <w:bookmarkEnd w:id="423"/>
      <w:bookmarkEnd w:id="424"/>
    </w:p>
    <w:bookmarkEnd w:id="425"/>
    <w:p w14:paraId="79465D3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.1 除专用合同条款另有约定外，付款周期应与第13.1款【计量原则和计量周期】约定的计量周期保持一致。</w:t>
      </w:r>
    </w:p>
    <w:p w14:paraId="64629BB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.2 除专用合同条款另有约定外，进度付款申请单应包括下列内容：</w:t>
      </w:r>
    </w:p>
    <w:p w14:paraId="397DDAC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（1）截至本次付款周期已完成工作对应的金额；</w:t>
      </w:r>
    </w:p>
    <w:p w14:paraId="4DB33E0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（2）根据第10条【分包合同变更】应增加和扣减的变更金额；</w:t>
      </w:r>
    </w:p>
    <w:p w14:paraId="70AFB7F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（3）根据第12条【价格调整】应增加和扣减的调整金额；</w:t>
      </w:r>
    </w:p>
    <w:p w14:paraId="02AB48C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（4）根据第14.1款【预付款】应支付的预付款和扣减的返还预付款；</w:t>
      </w:r>
    </w:p>
    <w:p w14:paraId="0E89077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（5）根据第20.3款【质量保证金】应扣减的质量保证金；</w:t>
      </w:r>
    </w:p>
    <w:p w14:paraId="4775285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（6）根据第24条【索赔】应增加和扣减的索赔金额；</w:t>
      </w:r>
    </w:p>
    <w:p w14:paraId="59B17F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（7）对已签发的进度款支付证书中出现错误的修正，应在本次进度付款中支付或扣除的金额；</w:t>
      </w:r>
    </w:p>
    <w:p w14:paraId="4C7557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（8）根据分包合同约定应增加和扣减的其他金额。</w:t>
      </w:r>
    </w:p>
    <w:p w14:paraId="532751E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分包人应按照第13.2款【计量程序】约定的时间按付款周期向承包人提交进度付款申请单，并附上已完成工程量报表和有关资料。</w:t>
      </w:r>
    </w:p>
    <w:p w14:paraId="6B6E7A0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.3 进度款审核和支付</w:t>
      </w:r>
    </w:p>
    <w:p w14:paraId="3955126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（1）除专用合同条款另有约定外，承包人应在收到分包人进度付款申请单后21天内完成审核并签发进度款支付证书。承包人逾期未完成审批且未提出异议的，视为已签发进度款支付证书。</w:t>
      </w:r>
    </w:p>
    <w:p w14:paraId="6AFDF68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14:paraId="4C566D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（2）除专用合同条款另有约定外，承包人应在进度款支付证书或临时进度款支付证书签发后7天内完成支付，承包人逾期支付进度款的，应按照中国人民银行发布的同期同类贷款基准利率支付违约金。</w:t>
      </w:r>
    </w:p>
    <w:p w14:paraId="2D0E00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（3）承包人签发进度款支付证书或临时进度款支付证书，不表明承包人已同意、批准或认可了分包人完成的相应部分的工作。</w:t>
      </w:r>
    </w:p>
    <w:p w14:paraId="1E3DD0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14.3.4 进度付款的修正</w:t>
      </w:r>
    </w:p>
    <w:p w14:paraId="231301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在对已签发的进度款支付证书进行阶段汇总和复核中发现错误、遗漏或重复的，承包人和分包人均有权提出修正申请。经承包人和分包人同意的修正，应在下期进度付款中支付或扣除。</w:t>
      </w:r>
    </w:p>
    <w:p w14:paraId="0CDB0EC6">
      <w:pPr>
        <w:pStyle w:val="4"/>
        <w:wordWrap w:val="0"/>
        <w:adjustRightInd w:val="0"/>
        <w:snapToGrid w:val="0"/>
        <w:spacing w:before="0" w:after="0" w:line="360" w:lineRule="auto"/>
        <w:rPr>
          <w:rFonts w:hint="eastAsia" w:ascii="仿宋" w:hAnsi="仿宋" w:eastAsia="仿宋" w:cs="仿宋"/>
          <w:sz w:val="28"/>
          <w:szCs w:val="28"/>
          <w:highlight w:val="none"/>
        </w:rPr>
      </w:pPr>
      <w:bookmarkStart w:id="426" w:name="_Toc371493235"/>
      <w:bookmarkStart w:id="427" w:name="_Toc351203585"/>
      <w:bookmarkStart w:id="428" w:name="_Toc18802"/>
      <w:bookmarkStart w:id="429" w:name="_Toc23875"/>
      <w:r>
        <w:rPr>
          <w:rFonts w:hint="eastAsia" w:ascii="仿宋" w:hAnsi="仿宋" w:eastAsia="仿宋" w:cs="仿宋"/>
          <w:sz w:val="28"/>
          <w:szCs w:val="28"/>
          <w:highlight w:val="none"/>
        </w:rPr>
        <w:t>14.4 支付账户</w:t>
      </w:r>
      <w:bookmarkEnd w:id="426"/>
      <w:bookmarkEnd w:id="427"/>
      <w:bookmarkEnd w:id="428"/>
      <w:bookmarkEnd w:id="429"/>
    </w:p>
    <w:p w14:paraId="66D934C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承包人应将合同价款支付至合同协议书中约定的分包人账户。</w:t>
      </w:r>
    </w:p>
    <w:p w14:paraId="539B417B">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30" w:name="_Toc13216"/>
      <w:bookmarkStart w:id="431" w:name="_Toc31861"/>
      <w:bookmarkStart w:id="432" w:name="_Toc351203586"/>
      <w:bookmarkStart w:id="433" w:name="_Toc371493236"/>
      <w:bookmarkStart w:id="434" w:name="_Toc296503106"/>
      <w:bookmarkStart w:id="435" w:name="_Toc337558804"/>
      <w:bookmarkStart w:id="436" w:name="_Toc322522574"/>
      <w:bookmarkStart w:id="437" w:name="_Toc296346607"/>
      <w:r>
        <w:rPr>
          <w:rFonts w:hint="eastAsia" w:ascii="仿宋" w:hAnsi="仿宋" w:eastAsia="仿宋" w:cs="仿宋"/>
          <w:sz w:val="28"/>
          <w:szCs w:val="28"/>
          <w:highlight w:val="none"/>
        </w:rPr>
        <w:t>15. 成品保护</w:t>
      </w:r>
      <w:bookmarkEnd w:id="430"/>
      <w:bookmarkEnd w:id="431"/>
    </w:p>
    <w:p w14:paraId="6AE457C0">
      <w:pPr>
        <w:pStyle w:val="4"/>
        <w:wordWrap w:val="0"/>
        <w:adjustRightInd w:val="0"/>
        <w:snapToGrid w:val="0"/>
        <w:spacing w:before="0" w:after="0" w:line="360" w:lineRule="auto"/>
        <w:rPr>
          <w:rFonts w:hint="eastAsia" w:ascii="仿宋" w:hAnsi="仿宋" w:eastAsia="仿宋" w:cs="仿宋"/>
          <w:sz w:val="28"/>
          <w:szCs w:val="28"/>
          <w:highlight w:val="none"/>
        </w:rPr>
      </w:pPr>
      <w:bookmarkStart w:id="438" w:name="_Toc23742"/>
      <w:bookmarkStart w:id="439" w:name="_Toc1863"/>
      <w:r>
        <w:rPr>
          <w:rFonts w:hint="eastAsia" w:ascii="仿宋" w:hAnsi="仿宋" w:eastAsia="仿宋" w:cs="仿宋"/>
          <w:sz w:val="28"/>
          <w:szCs w:val="28"/>
          <w:highlight w:val="none"/>
        </w:rPr>
        <w:t>15.1 分包工程的成品保护</w:t>
      </w:r>
      <w:bookmarkEnd w:id="438"/>
      <w:bookmarkEnd w:id="439"/>
    </w:p>
    <w:p w14:paraId="499C924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15.1.1 在分包工程移交承包人前，分包人负责分包工程的成品保护工作。分包人应采取妥善的保护措施确保已完成的分包工程在其他施工单位正常施工时不被损坏。</w:t>
      </w:r>
    </w:p>
    <w:p w14:paraId="0CF87C3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15.1.2 在分包工程移交承包人后，承包人负责分包工程的成品保护工作。承包人应采取妥善的保护措施确保分包工程不被损坏，因此发生的费用由承包人承担。</w:t>
      </w:r>
    </w:p>
    <w:p w14:paraId="4E64E64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分包工程因非分包人原因被损坏的，承包人可以自行修复，也可以要求分包人进行修复，因此发生的费用和（或）延误的工期由承包人承担。</w:t>
      </w:r>
    </w:p>
    <w:p w14:paraId="114FFF09">
      <w:pPr>
        <w:pStyle w:val="4"/>
        <w:wordWrap w:val="0"/>
        <w:adjustRightInd w:val="0"/>
        <w:snapToGrid w:val="0"/>
        <w:spacing w:before="0" w:after="0" w:line="360" w:lineRule="auto"/>
        <w:rPr>
          <w:rFonts w:hint="eastAsia" w:ascii="仿宋" w:hAnsi="仿宋" w:eastAsia="仿宋" w:cs="仿宋"/>
          <w:sz w:val="28"/>
          <w:szCs w:val="28"/>
          <w:highlight w:val="none"/>
        </w:rPr>
      </w:pPr>
      <w:bookmarkStart w:id="440" w:name="_Toc29678"/>
      <w:bookmarkStart w:id="441" w:name="_Toc27960"/>
      <w:r>
        <w:rPr>
          <w:rFonts w:hint="eastAsia" w:ascii="仿宋" w:hAnsi="仿宋" w:eastAsia="仿宋" w:cs="仿宋"/>
          <w:sz w:val="28"/>
          <w:szCs w:val="28"/>
          <w:highlight w:val="none"/>
        </w:rPr>
        <w:t>15.2 其它工程的成品保护</w:t>
      </w:r>
      <w:bookmarkEnd w:id="440"/>
      <w:bookmarkEnd w:id="441"/>
    </w:p>
    <w:p w14:paraId="3C729ED5">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分包人在施工过程中应采取合理措施对分包工程之外的已完工程予以保护，避免对已完工程造成损坏。分包工程之外的其他工程因分包人原因损坏的，承包人自行修复，因此发生的费用和（或）延误的工期由分包人承担。</w:t>
      </w:r>
    </w:p>
    <w:p w14:paraId="7154EF6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42" w:name="_Toc9976"/>
      <w:bookmarkStart w:id="443" w:name="_Toc23705"/>
      <w:r>
        <w:rPr>
          <w:rFonts w:hint="eastAsia" w:ascii="仿宋" w:hAnsi="仿宋" w:eastAsia="仿宋" w:cs="仿宋"/>
          <w:sz w:val="28"/>
          <w:szCs w:val="28"/>
          <w:highlight w:val="none"/>
        </w:rPr>
        <w:t>16. 试车</w:t>
      </w:r>
      <w:bookmarkEnd w:id="442"/>
      <w:bookmarkEnd w:id="443"/>
    </w:p>
    <w:p w14:paraId="0B83273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bCs/>
          <w:sz w:val="28"/>
          <w:szCs w:val="28"/>
          <w:highlight w:val="none"/>
        </w:rPr>
        <w:t xml:space="preserve">本工程无试车  </w:t>
      </w:r>
      <w:r>
        <w:rPr>
          <w:rFonts w:hint="eastAsia" w:ascii="仿宋" w:hAnsi="仿宋" w:eastAsia="仿宋" w:cs="仿宋"/>
          <w:b/>
          <w:sz w:val="28"/>
          <w:szCs w:val="28"/>
          <w:highlight w:val="none"/>
        </w:rPr>
        <w:t xml:space="preserve">  </w:t>
      </w:r>
    </w:p>
    <w:p w14:paraId="6E7E6144">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44" w:name="_Toc31390"/>
      <w:bookmarkStart w:id="445" w:name="_Toc26669"/>
      <w:r>
        <w:rPr>
          <w:rFonts w:hint="eastAsia" w:ascii="仿宋" w:hAnsi="仿宋" w:eastAsia="仿宋" w:cs="仿宋"/>
          <w:sz w:val="28"/>
          <w:szCs w:val="28"/>
          <w:highlight w:val="none"/>
        </w:rPr>
        <w:t>17. 完工验收</w:t>
      </w:r>
      <w:bookmarkEnd w:id="432"/>
      <w:bookmarkEnd w:id="433"/>
      <w:bookmarkEnd w:id="444"/>
      <w:bookmarkEnd w:id="445"/>
    </w:p>
    <w:bookmarkEnd w:id="434"/>
    <w:bookmarkEnd w:id="435"/>
    <w:bookmarkEnd w:id="436"/>
    <w:bookmarkEnd w:id="437"/>
    <w:p w14:paraId="50A4CFE3">
      <w:pPr>
        <w:pStyle w:val="4"/>
        <w:wordWrap w:val="0"/>
        <w:adjustRightInd w:val="0"/>
        <w:snapToGrid w:val="0"/>
        <w:spacing w:before="0" w:after="0" w:line="360" w:lineRule="auto"/>
        <w:rPr>
          <w:rFonts w:hint="eastAsia" w:ascii="仿宋" w:hAnsi="仿宋" w:eastAsia="仿宋" w:cs="仿宋"/>
          <w:sz w:val="28"/>
          <w:szCs w:val="28"/>
          <w:highlight w:val="none"/>
        </w:rPr>
      </w:pPr>
      <w:bookmarkStart w:id="446" w:name="_Toc371493237"/>
      <w:bookmarkStart w:id="447" w:name="_Toc351203588"/>
      <w:bookmarkStart w:id="448" w:name="_Toc14250"/>
      <w:bookmarkStart w:id="449" w:name="_Toc30122"/>
      <w:bookmarkStart w:id="450" w:name="_Toc296503110"/>
      <w:bookmarkStart w:id="451" w:name="_Toc337558806"/>
      <w:bookmarkStart w:id="452" w:name="_Toc296346611"/>
      <w:r>
        <w:rPr>
          <w:rFonts w:hint="eastAsia" w:ascii="仿宋" w:hAnsi="仿宋" w:eastAsia="仿宋" w:cs="仿宋"/>
          <w:sz w:val="28"/>
          <w:szCs w:val="28"/>
          <w:highlight w:val="none"/>
        </w:rPr>
        <w:t>17.1 完工验收</w:t>
      </w:r>
      <w:bookmarkEnd w:id="446"/>
      <w:bookmarkEnd w:id="447"/>
      <w:r>
        <w:rPr>
          <w:rFonts w:hint="eastAsia" w:ascii="仿宋" w:hAnsi="仿宋" w:eastAsia="仿宋" w:cs="仿宋"/>
          <w:sz w:val="28"/>
          <w:szCs w:val="28"/>
          <w:highlight w:val="none"/>
        </w:rPr>
        <w:t>条件</w:t>
      </w:r>
      <w:bookmarkEnd w:id="448"/>
      <w:bookmarkEnd w:id="449"/>
    </w:p>
    <w:bookmarkEnd w:id="450"/>
    <w:bookmarkEnd w:id="451"/>
    <w:bookmarkEnd w:id="452"/>
    <w:p w14:paraId="5E82438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分包工程具备以下条件的，分包人可以申请完工验收：</w:t>
      </w:r>
    </w:p>
    <w:p w14:paraId="1C3B062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（1）分包合同范围内的全部分包工程以及有关工作，包括分包合同要求的试验以及检验均已完成，并符合分包合同要求；</w:t>
      </w:r>
    </w:p>
    <w:p w14:paraId="1776554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（2）已按分包合同约定编制了缺陷修补工作清单以及相应的施工计划；</w:t>
      </w:r>
    </w:p>
    <w:p w14:paraId="55A067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（3）已按分包合同约定的内容和份数备齐完工资料；</w:t>
      </w:r>
    </w:p>
    <w:p w14:paraId="2AA2944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（4）专用合同条款约定的其他条件。</w:t>
      </w:r>
    </w:p>
    <w:p w14:paraId="6A8163B8">
      <w:pPr>
        <w:pStyle w:val="4"/>
        <w:wordWrap w:val="0"/>
        <w:adjustRightInd w:val="0"/>
        <w:snapToGrid w:val="0"/>
        <w:spacing w:before="0" w:after="0" w:line="360" w:lineRule="auto"/>
        <w:rPr>
          <w:rFonts w:hint="eastAsia" w:ascii="仿宋" w:hAnsi="仿宋" w:eastAsia="仿宋" w:cs="仿宋"/>
          <w:sz w:val="28"/>
          <w:szCs w:val="28"/>
          <w:highlight w:val="none"/>
        </w:rPr>
      </w:pPr>
      <w:bookmarkStart w:id="453" w:name="_Toc30847"/>
      <w:bookmarkStart w:id="454" w:name="_Toc30449"/>
      <w:r>
        <w:rPr>
          <w:rFonts w:hint="eastAsia" w:ascii="仿宋" w:hAnsi="仿宋" w:eastAsia="仿宋" w:cs="仿宋"/>
          <w:sz w:val="28"/>
          <w:szCs w:val="28"/>
          <w:highlight w:val="none"/>
        </w:rPr>
        <w:t>17.2 完工验收程序</w:t>
      </w:r>
      <w:bookmarkEnd w:id="453"/>
      <w:bookmarkEnd w:id="454"/>
    </w:p>
    <w:p w14:paraId="6125D4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除专用合同条款另有约定外，分包人申请完工验收的，应当按照以下程序进行：</w:t>
      </w:r>
    </w:p>
    <w:p w14:paraId="115913B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14:paraId="504DA2B6">
      <w:pPr>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（2）承包人审查后认为已具备完工验收条件的，应在收到完工验收申请报告后28天内按分部分项工程验收要求组织相关单位进行完工验收。</w:t>
      </w:r>
    </w:p>
    <w:p w14:paraId="00696545">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款约定的程序重新进行验收。</w:t>
      </w:r>
    </w:p>
    <w:p w14:paraId="0EB1FFF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（4）分包工程未经验收或验收不合格，承包人或发包人擅自使用的，自转移占有分包工程之日起，分包工程应被视为完工验收合格。</w:t>
      </w:r>
    </w:p>
    <w:p w14:paraId="7406AF8A">
      <w:pPr>
        <w:pStyle w:val="4"/>
        <w:wordWrap w:val="0"/>
        <w:adjustRightInd w:val="0"/>
        <w:snapToGrid w:val="0"/>
        <w:spacing w:before="0" w:after="0" w:line="360" w:lineRule="auto"/>
        <w:rPr>
          <w:rFonts w:hint="eastAsia" w:ascii="仿宋" w:hAnsi="仿宋" w:eastAsia="仿宋" w:cs="仿宋"/>
          <w:sz w:val="28"/>
          <w:szCs w:val="28"/>
          <w:highlight w:val="none"/>
        </w:rPr>
      </w:pPr>
      <w:bookmarkStart w:id="455" w:name="_Toc21058"/>
      <w:bookmarkStart w:id="456" w:name="_Toc23573"/>
      <w:r>
        <w:rPr>
          <w:rFonts w:hint="eastAsia" w:ascii="仿宋" w:hAnsi="仿宋" w:eastAsia="仿宋" w:cs="仿宋"/>
          <w:sz w:val="28"/>
          <w:szCs w:val="28"/>
          <w:highlight w:val="none"/>
        </w:rPr>
        <w:t>17.3 完工日期</w:t>
      </w:r>
      <w:bookmarkEnd w:id="455"/>
      <w:bookmarkEnd w:id="456"/>
    </w:p>
    <w:p w14:paraId="781DB3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分包工程经完工验收合格的，以分包人提交完工验收申请报告之日为实际完工日期；因承包人原因未在收到完工验收申请报告28天内进行完工验收的，以分包人提交完工验</w:t>
      </w:r>
      <w:bookmarkStart w:id="457" w:name="#go14"/>
      <w:bookmarkEnd w:id="457"/>
      <w:r>
        <w:rPr>
          <w:rFonts w:hint="eastAsia" w:ascii="仿宋" w:hAnsi="仿宋" w:eastAsia="仿宋" w:cs="仿宋"/>
          <w:kern w:val="0"/>
          <w:sz w:val="28"/>
          <w:szCs w:val="28"/>
          <w:highlight w:val="none"/>
        </w:rPr>
        <w:t>收申请报告的日期为实际完工日期；分包工程未经完工验收，承包人或发包人擅自使用的，以转移占有分包工程之日为实际完工日期。</w:t>
      </w:r>
    </w:p>
    <w:p w14:paraId="323C49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分包人应保证分包工程自完工验收合格至移交承包人的期间一直保持质量合格状态，否则分包人应按专用合同条款的约定承担违约责任。</w:t>
      </w:r>
    </w:p>
    <w:p w14:paraId="0387EFCC">
      <w:pPr>
        <w:pStyle w:val="4"/>
        <w:wordWrap w:val="0"/>
        <w:adjustRightInd w:val="0"/>
        <w:snapToGrid w:val="0"/>
        <w:spacing w:before="0" w:after="0" w:line="360" w:lineRule="auto"/>
        <w:rPr>
          <w:rFonts w:hint="eastAsia" w:ascii="仿宋" w:hAnsi="仿宋" w:eastAsia="仿宋" w:cs="仿宋"/>
          <w:sz w:val="28"/>
          <w:szCs w:val="28"/>
          <w:highlight w:val="none"/>
        </w:rPr>
      </w:pPr>
      <w:bookmarkStart w:id="458" w:name="_Toc296503112"/>
      <w:bookmarkStart w:id="459" w:name="_Toc296346613"/>
      <w:bookmarkStart w:id="460" w:name="_Toc32561"/>
      <w:bookmarkStart w:id="461" w:name="_Toc9121"/>
      <w:bookmarkStart w:id="462" w:name="_Toc371493239"/>
      <w:bookmarkStart w:id="463" w:name="_Toc351203592"/>
      <w:bookmarkStart w:id="464" w:name="_Toc337558809"/>
      <w:r>
        <w:rPr>
          <w:rFonts w:hint="eastAsia" w:ascii="仿宋" w:hAnsi="仿宋" w:eastAsia="仿宋" w:cs="仿宋"/>
          <w:sz w:val="28"/>
          <w:szCs w:val="28"/>
          <w:highlight w:val="none"/>
        </w:rPr>
        <w:t>17.4 完工退</w:t>
      </w:r>
      <w:bookmarkEnd w:id="458"/>
      <w:bookmarkEnd w:id="459"/>
      <w:r>
        <w:rPr>
          <w:rFonts w:hint="eastAsia" w:ascii="仿宋" w:hAnsi="仿宋" w:eastAsia="仿宋" w:cs="仿宋"/>
          <w:sz w:val="28"/>
          <w:szCs w:val="28"/>
          <w:highlight w:val="none"/>
        </w:rPr>
        <w:t>场</w:t>
      </w:r>
      <w:bookmarkEnd w:id="460"/>
      <w:bookmarkEnd w:id="461"/>
      <w:bookmarkEnd w:id="462"/>
      <w:bookmarkEnd w:id="463"/>
    </w:p>
    <w:bookmarkEnd w:id="464"/>
    <w:p w14:paraId="199E0C9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完工验收合格后，分包人应在专用合同条款约定的期限内对施工场地进行清理后退场；逾期未完成清理并退场的，承包人有权出售或另行处理分包人遗留的物品，由此发生的费用由分包人承担。经承包人书面同意，分包人可在承包人指定的地点保留分包人履行缺陷责任期内的各项义务所需要的材料、施工设备和临时工程。</w:t>
      </w:r>
    </w:p>
    <w:p w14:paraId="22470C0D">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65" w:name="_Toc17214"/>
      <w:bookmarkStart w:id="466" w:name="_Toc11253"/>
      <w:r>
        <w:rPr>
          <w:rFonts w:hint="eastAsia" w:ascii="仿宋" w:hAnsi="仿宋" w:eastAsia="仿宋" w:cs="仿宋"/>
          <w:sz w:val="28"/>
          <w:szCs w:val="28"/>
          <w:highlight w:val="none"/>
        </w:rPr>
        <w:t>18. 分包工程移交</w:t>
      </w:r>
      <w:bookmarkEnd w:id="465"/>
      <w:bookmarkEnd w:id="466"/>
    </w:p>
    <w:p w14:paraId="457AF97B">
      <w:pPr>
        <w:pStyle w:val="4"/>
        <w:wordWrap w:val="0"/>
        <w:adjustRightInd w:val="0"/>
        <w:snapToGrid w:val="0"/>
        <w:spacing w:before="0" w:after="0" w:line="360" w:lineRule="auto"/>
        <w:rPr>
          <w:rFonts w:hint="eastAsia" w:ascii="仿宋" w:hAnsi="仿宋" w:eastAsia="仿宋" w:cs="仿宋"/>
          <w:sz w:val="28"/>
          <w:szCs w:val="28"/>
          <w:highlight w:val="none"/>
        </w:rPr>
      </w:pPr>
      <w:bookmarkStart w:id="467" w:name="_Toc23088"/>
      <w:bookmarkStart w:id="468" w:name="_Toc31310"/>
      <w:r>
        <w:rPr>
          <w:rFonts w:hint="eastAsia" w:ascii="仿宋" w:hAnsi="仿宋" w:eastAsia="仿宋" w:cs="仿宋"/>
          <w:sz w:val="28"/>
          <w:szCs w:val="28"/>
          <w:highlight w:val="none"/>
        </w:rPr>
        <w:t>18.1 分包工程移交时间</w:t>
      </w:r>
      <w:bookmarkEnd w:id="467"/>
      <w:bookmarkEnd w:id="468"/>
    </w:p>
    <w:p w14:paraId="53C90933">
      <w:pPr>
        <w:wordWrap w:val="0"/>
        <w:adjustRightInd w:val="0"/>
        <w:snapToGrid w:val="0"/>
        <w:spacing w:line="360" w:lineRule="auto"/>
        <w:ind w:firstLine="46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于提前使用的分包工程，承包人应于分包工程完工验收合格后14天内向分包人颁发接收证书；对于其他分包工程，承包人应于总包工程竣工验收合格后14天内向分包人颁发分包工程接收证书。承包人无正当理由逾期不颁发分包工程接收证书，自总包工程竣工验收合格后第15天起视为已颁发分包工程接收证书。</w:t>
      </w:r>
    </w:p>
    <w:p w14:paraId="0509BCED">
      <w:pPr>
        <w:wordWrap w:val="0"/>
        <w:adjustRightInd w:val="0"/>
        <w:snapToGrid w:val="0"/>
        <w:spacing w:line="360" w:lineRule="auto"/>
        <w:ind w:firstLine="46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除专用合同条款另有约定外，合同当事人应当在颁发分包工程接收证书后7天内完成分包工程以及全部工程资料的移交，工程资料的套数、内容由合同当事人在专用合同条款中约定。</w:t>
      </w:r>
    </w:p>
    <w:p w14:paraId="267327D4">
      <w:pPr>
        <w:pStyle w:val="4"/>
        <w:wordWrap w:val="0"/>
        <w:adjustRightInd w:val="0"/>
        <w:snapToGrid w:val="0"/>
        <w:spacing w:before="0" w:after="0" w:line="360" w:lineRule="auto"/>
        <w:rPr>
          <w:rFonts w:hint="eastAsia" w:ascii="仿宋" w:hAnsi="仿宋" w:eastAsia="仿宋" w:cs="仿宋"/>
          <w:sz w:val="28"/>
          <w:szCs w:val="28"/>
          <w:highlight w:val="none"/>
        </w:rPr>
      </w:pPr>
      <w:bookmarkStart w:id="469" w:name="_Toc24875"/>
      <w:bookmarkStart w:id="470" w:name="_Toc3203"/>
      <w:r>
        <w:rPr>
          <w:rFonts w:hint="eastAsia" w:ascii="仿宋" w:hAnsi="仿宋" w:eastAsia="仿宋" w:cs="仿宋"/>
          <w:sz w:val="28"/>
          <w:szCs w:val="28"/>
          <w:highlight w:val="none"/>
        </w:rPr>
        <w:t>18.2 拒绝接收全部或部分分包工程</w:t>
      </w:r>
      <w:bookmarkEnd w:id="469"/>
      <w:bookmarkEnd w:id="470"/>
    </w:p>
    <w:p w14:paraId="7A9CCB4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对于完工验收不合格的分包工程，分包人完成整改后，经重新组织验收仍不合格且无法采取补救措施的，承包人可以拒绝接收，由此给承包人造成的损失由分包人承担。</w:t>
      </w:r>
    </w:p>
    <w:p w14:paraId="4094A245">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71" w:name="_Toc8496"/>
      <w:bookmarkStart w:id="472" w:name="_Toc11410"/>
      <w:bookmarkStart w:id="473" w:name="_Toc351203593"/>
      <w:bookmarkStart w:id="474" w:name="_Toc371493240"/>
      <w:bookmarkStart w:id="475" w:name="_Toc337558810"/>
      <w:bookmarkStart w:id="476" w:name="_Toc296346614"/>
      <w:bookmarkStart w:id="477" w:name="_Toc296503113"/>
      <w:r>
        <w:rPr>
          <w:rFonts w:hint="eastAsia" w:ascii="仿宋" w:hAnsi="仿宋" w:eastAsia="仿宋" w:cs="仿宋"/>
          <w:sz w:val="28"/>
          <w:szCs w:val="28"/>
          <w:highlight w:val="none"/>
        </w:rPr>
        <w:t>19. 结算</w:t>
      </w:r>
      <w:bookmarkEnd w:id="471"/>
      <w:bookmarkEnd w:id="472"/>
      <w:bookmarkEnd w:id="473"/>
      <w:bookmarkEnd w:id="474"/>
    </w:p>
    <w:bookmarkEnd w:id="475"/>
    <w:p w14:paraId="20844D73">
      <w:pPr>
        <w:pStyle w:val="4"/>
        <w:wordWrap w:val="0"/>
        <w:adjustRightInd w:val="0"/>
        <w:snapToGrid w:val="0"/>
        <w:spacing w:before="0" w:after="0" w:line="360" w:lineRule="auto"/>
        <w:rPr>
          <w:rFonts w:hint="eastAsia" w:ascii="仿宋" w:hAnsi="仿宋" w:eastAsia="仿宋" w:cs="仿宋"/>
          <w:sz w:val="28"/>
          <w:szCs w:val="28"/>
          <w:highlight w:val="none"/>
        </w:rPr>
      </w:pPr>
      <w:bookmarkStart w:id="478" w:name="_Toc7439"/>
      <w:bookmarkStart w:id="479" w:name="_Toc30960"/>
      <w:bookmarkStart w:id="480" w:name="_Toc351203594"/>
      <w:bookmarkStart w:id="481" w:name="_Toc371493241"/>
      <w:bookmarkStart w:id="482" w:name="_Toc337558811"/>
      <w:r>
        <w:rPr>
          <w:rFonts w:hint="eastAsia" w:ascii="仿宋" w:hAnsi="仿宋" w:eastAsia="仿宋" w:cs="仿宋"/>
          <w:sz w:val="28"/>
          <w:szCs w:val="28"/>
          <w:highlight w:val="none"/>
        </w:rPr>
        <w:t>19.1 结算申请</w:t>
      </w:r>
      <w:bookmarkEnd w:id="478"/>
      <w:bookmarkEnd w:id="479"/>
      <w:bookmarkEnd w:id="480"/>
      <w:bookmarkEnd w:id="481"/>
    </w:p>
    <w:bookmarkEnd w:id="482"/>
    <w:p w14:paraId="4FDCF10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除专用合同条款另有约定外，</w:t>
      </w:r>
      <w:r>
        <w:rPr>
          <w:rFonts w:hint="eastAsia" w:ascii="仿宋" w:hAnsi="仿宋" w:eastAsia="仿宋" w:cs="仿宋"/>
          <w:sz w:val="28"/>
          <w:szCs w:val="28"/>
          <w:highlight w:val="none"/>
        </w:rPr>
        <w:t>分包人应在分包工程完工验收合格后28天内向承包人提交分包工程结算申请单，并提交完整的结算资料，有关分包工程结算申请单的资料清单和份数等要求由合同当事人在专用合同条款中约定。</w:t>
      </w:r>
    </w:p>
    <w:p w14:paraId="73438BE3">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除专用合同条款另有约定外，分包工程结算申请单应包括以下内容：</w:t>
      </w:r>
    </w:p>
    <w:p w14:paraId="1AE2A2B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（1）分包工程结算价格；</w:t>
      </w:r>
    </w:p>
    <w:p w14:paraId="48124916">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（2）承包人已支付分包人的款项；</w:t>
      </w:r>
    </w:p>
    <w:p w14:paraId="2ADC428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（3）应扣留的质量保证金； </w:t>
      </w:r>
    </w:p>
    <w:p w14:paraId="0A5481A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（4）承包人应支付分包人的合同价款。</w:t>
      </w:r>
    </w:p>
    <w:p w14:paraId="7821E7D3">
      <w:pPr>
        <w:pStyle w:val="4"/>
        <w:wordWrap w:val="0"/>
        <w:adjustRightInd w:val="0"/>
        <w:snapToGrid w:val="0"/>
        <w:spacing w:before="0" w:after="0" w:line="360" w:lineRule="auto"/>
        <w:rPr>
          <w:rFonts w:hint="eastAsia" w:ascii="仿宋" w:hAnsi="仿宋" w:eastAsia="仿宋" w:cs="仿宋"/>
          <w:sz w:val="28"/>
          <w:szCs w:val="28"/>
          <w:highlight w:val="none"/>
        </w:rPr>
      </w:pPr>
      <w:bookmarkStart w:id="483" w:name="_Toc9782"/>
      <w:bookmarkStart w:id="484" w:name="_Toc351203595"/>
      <w:bookmarkStart w:id="485" w:name="_Toc371493242"/>
      <w:bookmarkStart w:id="486" w:name="_Toc7056"/>
      <w:bookmarkStart w:id="487" w:name="_Toc337558812"/>
      <w:r>
        <w:rPr>
          <w:rFonts w:hint="eastAsia" w:ascii="仿宋" w:hAnsi="仿宋" w:eastAsia="仿宋" w:cs="仿宋"/>
          <w:sz w:val="28"/>
          <w:szCs w:val="28"/>
          <w:highlight w:val="none"/>
        </w:rPr>
        <w:t>19.2 结算审核</w:t>
      </w:r>
      <w:bookmarkEnd w:id="483"/>
      <w:bookmarkEnd w:id="484"/>
      <w:bookmarkEnd w:id="485"/>
      <w:bookmarkEnd w:id="486"/>
    </w:p>
    <w:bookmarkEnd w:id="487"/>
    <w:p w14:paraId="3D7192E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19.2.1 除专用合同条款另有约定外，承包人应在收到结算申请单后28天内完成审核，并向分包人签发完工付款证书。承</w:t>
      </w:r>
      <w:r>
        <w:rPr>
          <w:rFonts w:hint="eastAsia" w:ascii="仿宋" w:hAnsi="仿宋" w:eastAsia="仿宋" w:cs="仿宋"/>
          <w:sz w:val="28"/>
          <w:szCs w:val="28"/>
          <w:highlight w:val="none"/>
        </w:rPr>
        <w:t>包人对</w:t>
      </w:r>
      <w:r>
        <w:rPr>
          <w:rFonts w:hint="eastAsia" w:ascii="仿宋" w:hAnsi="仿宋" w:eastAsia="仿宋" w:cs="仿宋"/>
          <w:kern w:val="0"/>
          <w:sz w:val="28"/>
          <w:szCs w:val="28"/>
          <w:highlight w:val="none"/>
        </w:rPr>
        <w:t>结算</w:t>
      </w:r>
      <w:r>
        <w:rPr>
          <w:rFonts w:hint="eastAsia" w:ascii="仿宋" w:hAnsi="仿宋" w:eastAsia="仿宋" w:cs="仿宋"/>
          <w:sz w:val="28"/>
          <w:szCs w:val="28"/>
          <w:highlight w:val="none"/>
        </w:rPr>
        <w:t>申请单有异议的，有权要求分包人进行修正和提供补充资料，分包人应提交修正后的</w:t>
      </w:r>
      <w:r>
        <w:rPr>
          <w:rFonts w:hint="eastAsia" w:ascii="仿宋" w:hAnsi="仿宋" w:eastAsia="仿宋" w:cs="仿宋"/>
          <w:kern w:val="0"/>
          <w:sz w:val="28"/>
          <w:szCs w:val="28"/>
          <w:highlight w:val="none"/>
        </w:rPr>
        <w:t>结算</w:t>
      </w:r>
      <w:r>
        <w:rPr>
          <w:rFonts w:hint="eastAsia" w:ascii="仿宋" w:hAnsi="仿宋" w:eastAsia="仿宋" w:cs="仿宋"/>
          <w:sz w:val="28"/>
          <w:szCs w:val="28"/>
          <w:highlight w:val="none"/>
        </w:rPr>
        <w:t>申请单。</w:t>
      </w:r>
    </w:p>
    <w:p w14:paraId="7CBDB55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承包人在收到分包人提交结算申请单后28天内未完成审核且未提出异议的，视为承包人认可分包人提交的结算申请单，并自承包人收到分包人提交的结算申请单后第29天起视为已签发完工付款证书。</w:t>
      </w:r>
    </w:p>
    <w:p w14:paraId="324B011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19.2.2 分包人对承包人签发的完工付款证书有异议的，对于有异议部分应在收到承包人签发的完工付款证书后7天内提出异议，按照第25条【争议解决】的约定处理。分包人逾期未提出异议的，视为认可承包人签发的完工付款证书。</w:t>
      </w:r>
    </w:p>
    <w:p w14:paraId="6AED6605">
      <w:pPr>
        <w:pStyle w:val="4"/>
        <w:wordWrap w:val="0"/>
        <w:adjustRightInd w:val="0"/>
        <w:snapToGrid w:val="0"/>
        <w:spacing w:before="0" w:after="0" w:line="360" w:lineRule="auto"/>
        <w:rPr>
          <w:rFonts w:hint="eastAsia" w:ascii="仿宋" w:hAnsi="仿宋" w:eastAsia="仿宋" w:cs="仿宋"/>
          <w:sz w:val="28"/>
          <w:szCs w:val="28"/>
          <w:highlight w:val="none"/>
        </w:rPr>
      </w:pPr>
      <w:bookmarkStart w:id="488" w:name="_Toc10834"/>
      <w:bookmarkStart w:id="489" w:name="_Toc351203597"/>
      <w:bookmarkStart w:id="490" w:name="_Toc19717"/>
      <w:bookmarkStart w:id="491" w:name="_Toc371493243"/>
      <w:bookmarkStart w:id="492" w:name="_Toc337558814"/>
      <w:r>
        <w:rPr>
          <w:rFonts w:hint="eastAsia" w:ascii="仿宋" w:hAnsi="仿宋" w:eastAsia="仿宋" w:cs="仿宋"/>
          <w:sz w:val="28"/>
          <w:szCs w:val="28"/>
          <w:highlight w:val="none"/>
        </w:rPr>
        <w:t>19.3 最终结清</w:t>
      </w:r>
      <w:bookmarkEnd w:id="488"/>
      <w:bookmarkEnd w:id="489"/>
      <w:bookmarkEnd w:id="490"/>
      <w:bookmarkEnd w:id="491"/>
    </w:p>
    <w:bookmarkEnd w:id="492"/>
    <w:p w14:paraId="6CEA2F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19.3.1 除专用合同条款另有约定外，分包人应在分包工程缺陷责任期终止证书颁发后7天内，按专用合同条款约定的份数向承包人提交最终结清申请单，并提供相关证明材料。</w:t>
      </w:r>
    </w:p>
    <w:p w14:paraId="474A872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w:t>
      </w:r>
      <w:r>
        <w:rPr>
          <w:rFonts w:hint="eastAsia" w:ascii="仿宋" w:hAnsi="仿宋" w:eastAsia="仿宋" w:cs="仿宋"/>
          <w:kern w:val="0"/>
          <w:sz w:val="28"/>
          <w:szCs w:val="28"/>
          <w:highlight w:val="none"/>
        </w:rPr>
        <w:t>最终结清申请单</w:t>
      </w:r>
      <w:r>
        <w:rPr>
          <w:rFonts w:hint="eastAsia" w:ascii="仿宋" w:hAnsi="仿宋" w:eastAsia="仿宋" w:cs="仿宋"/>
          <w:sz w:val="28"/>
          <w:szCs w:val="28"/>
          <w:highlight w:val="none"/>
        </w:rPr>
        <w:t>应列明质量保证金、应扣除的质量保证金、分包工程完工验收合格之日至缺陷责任期届满之日发生的增减费用。</w:t>
      </w:r>
    </w:p>
    <w:p w14:paraId="72C3F46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承包人对最终结清申请单内容有异议的，有权要求分包人进行修正和提供补充资料，分包人应向承包人提交修正后的最终结清申请单。</w:t>
      </w:r>
    </w:p>
    <w:p w14:paraId="2125B94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19.3.2 除专用合同条款另有约定外，承包人应在收到最终结清申请单后14天内完成审批并向分包人颁发最终结清证书。承包人逾期未完成审批且未提出异议的，视为承包人同意分包人提交的最终结清申请单，且自承包人收到最终结清申请单后第15天起视为已颁发最终结清证书。</w:t>
      </w:r>
    </w:p>
    <w:p w14:paraId="6930E59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除专用合同条款另有约定外，承包人应在最终结清证书颁发后7天内完成支付。承包人逾期支付的，按照中国人民银行发布的同期同类贷款基准利率支付违约金。</w:t>
      </w:r>
    </w:p>
    <w:p w14:paraId="64EFD0F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93" w:name="_Toc351203598"/>
      <w:bookmarkStart w:id="494" w:name="_Toc371493244"/>
      <w:bookmarkStart w:id="495" w:name="_Toc10278"/>
      <w:bookmarkStart w:id="496" w:name="_Toc12459"/>
      <w:bookmarkStart w:id="497" w:name="_Toc337558815"/>
      <w:r>
        <w:rPr>
          <w:rFonts w:hint="eastAsia" w:ascii="仿宋" w:hAnsi="仿宋" w:eastAsia="仿宋" w:cs="仿宋"/>
          <w:sz w:val="28"/>
          <w:szCs w:val="28"/>
          <w:highlight w:val="none"/>
        </w:rPr>
        <w:t>20. 缺陷责任期与</w:t>
      </w:r>
      <w:bookmarkEnd w:id="493"/>
      <w:bookmarkEnd w:id="494"/>
      <w:r>
        <w:rPr>
          <w:rFonts w:hint="eastAsia" w:ascii="仿宋" w:hAnsi="仿宋" w:eastAsia="仿宋" w:cs="仿宋"/>
          <w:sz w:val="28"/>
          <w:szCs w:val="28"/>
          <w:highlight w:val="none"/>
        </w:rPr>
        <w:t>保修期</w:t>
      </w:r>
      <w:bookmarkEnd w:id="495"/>
      <w:bookmarkEnd w:id="496"/>
    </w:p>
    <w:bookmarkEnd w:id="476"/>
    <w:bookmarkEnd w:id="477"/>
    <w:bookmarkEnd w:id="497"/>
    <w:p w14:paraId="0F028D9F">
      <w:pPr>
        <w:pStyle w:val="4"/>
        <w:wordWrap w:val="0"/>
        <w:adjustRightInd w:val="0"/>
        <w:snapToGrid w:val="0"/>
        <w:spacing w:before="0" w:after="0" w:line="360" w:lineRule="auto"/>
        <w:rPr>
          <w:rFonts w:hint="eastAsia" w:ascii="仿宋" w:hAnsi="仿宋" w:eastAsia="仿宋" w:cs="仿宋"/>
          <w:sz w:val="28"/>
          <w:szCs w:val="28"/>
          <w:highlight w:val="none"/>
        </w:rPr>
      </w:pPr>
      <w:bookmarkStart w:id="498" w:name="_Toc296503114"/>
      <w:bookmarkStart w:id="499" w:name="_Toc296346615"/>
      <w:bookmarkStart w:id="500" w:name="_Toc20849"/>
      <w:bookmarkStart w:id="501" w:name="_Toc371493246"/>
      <w:bookmarkStart w:id="502" w:name="_Toc21955"/>
      <w:bookmarkStart w:id="503" w:name="_Toc351203600"/>
      <w:bookmarkStart w:id="504" w:name="_Toc337558817"/>
      <w:r>
        <w:rPr>
          <w:rFonts w:hint="eastAsia" w:ascii="仿宋" w:hAnsi="仿宋" w:eastAsia="仿宋" w:cs="仿宋"/>
          <w:sz w:val="28"/>
          <w:szCs w:val="28"/>
          <w:highlight w:val="none"/>
        </w:rPr>
        <w:t>20.1 缺陷责任期</w:t>
      </w:r>
      <w:bookmarkEnd w:id="498"/>
      <w:bookmarkEnd w:id="499"/>
      <w:bookmarkEnd w:id="500"/>
      <w:bookmarkEnd w:id="501"/>
      <w:bookmarkEnd w:id="502"/>
      <w:bookmarkEnd w:id="503"/>
    </w:p>
    <w:bookmarkEnd w:id="504"/>
    <w:p w14:paraId="0350AA9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20.1.1 除专用合同条款另有约定外，提前使用分包工程的，分包工程缺陷责任期自开始使用之日起算；未提前使用的，分包工程缺陷责任期自总包工程实际竣工日期起计算，合同当事人应在专用合同条款约定缺陷责任期的具体期限，但该期限最长不超过24个月。</w:t>
      </w:r>
    </w:p>
    <w:p w14:paraId="76D3E7A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20.1.2 在分包工程缺陷责任期内，因分包人原因导致的缺陷或损坏致使分包工程或某项主要设备不能按原定目的使用的，承包人有权要求分</w:t>
      </w:r>
      <w:r>
        <w:rPr>
          <w:rFonts w:hint="eastAsia" w:ascii="仿宋" w:hAnsi="仿宋" w:eastAsia="仿宋" w:cs="仿宋"/>
          <w:bCs/>
          <w:sz w:val="28"/>
          <w:szCs w:val="28"/>
          <w:highlight w:val="none"/>
        </w:rPr>
        <w:t>包人延长缺陷责任期，</w:t>
      </w:r>
      <w:r>
        <w:rPr>
          <w:rFonts w:hint="eastAsia" w:ascii="仿宋" w:hAnsi="仿宋" w:eastAsia="仿宋" w:cs="仿宋"/>
          <w:kern w:val="0"/>
          <w:sz w:val="28"/>
          <w:szCs w:val="28"/>
          <w:highlight w:val="none"/>
        </w:rPr>
        <w:t>并应在原缺陷责任期届满前发出延长通知，</w:t>
      </w:r>
      <w:r>
        <w:rPr>
          <w:rFonts w:hint="eastAsia" w:ascii="仿宋" w:hAnsi="仿宋" w:eastAsia="仿宋" w:cs="仿宋"/>
          <w:bCs/>
          <w:sz w:val="28"/>
          <w:szCs w:val="28"/>
          <w:highlight w:val="none"/>
        </w:rPr>
        <w:t>但延长后的缺陷责任期也</w:t>
      </w:r>
      <w:r>
        <w:rPr>
          <w:rFonts w:hint="eastAsia" w:ascii="仿宋" w:hAnsi="仿宋" w:eastAsia="仿宋" w:cs="仿宋"/>
          <w:kern w:val="0"/>
          <w:sz w:val="28"/>
          <w:szCs w:val="28"/>
          <w:highlight w:val="none"/>
        </w:rPr>
        <w:t>不能超过24个月。</w:t>
      </w:r>
    </w:p>
    <w:p w14:paraId="5225E1B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20.1.3 除专用合同条款另有约定外，分包人应于缺陷责任期届满后7天内向承包人发出缺陷责任期届满通知，承包人应在收到缺陷责任期届满通知后14天内核实分包人是否履行缺陷修复义务，分包人未能履行缺陷修复义务的，承包人有权扣除相应金额的维修费用。承包人应在收到缺陷责任期届满通知后14天内，向分包人颁发缺陷责任期终止证书。</w:t>
      </w:r>
    </w:p>
    <w:p w14:paraId="61E1A04A">
      <w:pPr>
        <w:pStyle w:val="4"/>
        <w:wordWrap w:val="0"/>
        <w:adjustRightInd w:val="0"/>
        <w:snapToGrid w:val="0"/>
        <w:spacing w:before="0" w:after="0" w:line="360" w:lineRule="auto"/>
        <w:rPr>
          <w:rFonts w:hint="eastAsia" w:ascii="仿宋" w:hAnsi="仿宋" w:eastAsia="仿宋" w:cs="仿宋"/>
          <w:sz w:val="28"/>
          <w:szCs w:val="28"/>
          <w:highlight w:val="none"/>
        </w:rPr>
      </w:pPr>
      <w:bookmarkStart w:id="505" w:name="_Toc12440"/>
      <w:bookmarkStart w:id="506" w:name="_Toc18138"/>
      <w:bookmarkStart w:id="507" w:name="_Toc371493247"/>
      <w:bookmarkStart w:id="508" w:name="_Toc351203601"/>
      <w:bookmarkStart w:id="509" w:name="_Toc337558818"/>
      <w:bookmarkStart w:id="510" w:name="_Toc296503115"/>
      <w:bookmarkStart w:id="511" w:name="_Toc296346616"/>
      <w:r>
        <w:rPr>
          <w:rFonts w:hint="eastAsia" w:ascii="仿宋" w:hAnsi="仿宋" w:eastAsia="仿宋" w:cs="仿宋"/>
          <w:sz w:val="28"/>
          <w:szCs w:val="28"/>
          <w:highlight w:val="none"/>
        </w:rPr>
        <w:t>20.2 保修期</w:t>
      </w:r>
      <w:bookmarkEnd w:id="505"/>
      <w:bookmarkEnd w:id="506"/>
    </w:p>
    <w:p w14:paraId="49AD453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20.2.1 除专用合同条款另有约定外，提前使用分包工程的，分包工程保修期自开始使用之日起计算；未提前使用的，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和损失赔偿责任。</w:t>
      </w:r>
    </w:p>
    <w:p w14:paraId="36EC1BA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 xml:space="preserve">20.2.2 </w:t>
      </w:r>
      <w:r>
        <w:rPr>
          <w:rFonts w:hint="eastAsia" w:ascii="仿宋" w:hAnsi="仿宋" w:eastAsia="仿宋" w:cs="仿宋"/>
          <w:sz w:val="28"/>
          <w:szCs w:val="28"/>
          <w:highlight w:val="none"/>
        </w:rPr>
        <w:t>承包人或发包人未经完工验收擅自使用分包工程的，保修期自分包工程</w:t>
      </w:r>
      <w:r>
        <w:rPr>
          <w:rFonts w:hint="eastAsia" w:ascii="仿宋" w:hAnsi="仿宋" w:eastAsia="仿宋" w:cs="仿宋"/>
          <w:kern w:val="0"/>
          <w:sz w:val="28"/>
          <w:szCs w:val="28"/>
          <w:highlight w:val="none"/>
        </w:rPr>
        <w:t>转移占有之日起算</w:t>
      </w:r>
      <w:r>
        <w:rPr>
          <w:rFonts w:hint="eastAsia" w:ascii="仿宋" w:hAnsi="仿宋" w:eastAsia="仿宋" w:cs="仿宋"/>
          <w:sz w:val="28"/>
          <w:szCs w:val="28"/>
          <w:highlight w:val="none"/>
        </w:rPr>
        <w:t>。</w:t>
      </w:r>
    </w:p>
    <w:p w14:paraId="3A902819">
      <w:pPr>
        <w:pStyle w:val="4"/>
        <w:wordWrap w:val="0"/>
        <w:adjustRightInd w:val="0"/>
        <w:snapToGrid w:val="0"/>
        <w:spacing w:before="0" w:after="0" w:line="360" w:lineRule="auto"/>
        <w:rPr>
          <w:rFonts w:hint="eastAsia" w:ascii="仿宋" w:hAnsi="仿宋" w:eastAsia="仿宋" w:cs="仿宋"/>
          <w:sz w:val="28"/>
          <w:szCs w:val="28"/>
          <w:highlight w:val="none"/>
        </w:rPr>
      </w:pPr>
      <w:bookmarkStart w:id="512" w:name="_Toc8446"/>
      <w:bookmarkStart w:id="513" w:name="_Toc30699"/>
      <w:r>
        <w:rPr>
          <w:rFonts w:hint="eastAsia" w:ascii="仿宋" w:hAnsi="仿宋" w:eastAsia="仿宋" w:cs="仿宋"/>
          <w:sz w:val="28"/>
          <w:szCs w:val="28"/>
          <w:highlight w:val="none"/>
        </w:rPr>
        <w:t>20.3 质量保证金</w:t>
      </w:r>
      <w:bookmarkEnd w:id="507"/>
      <w:bookmarkEnd w:id="508"/>
      <w:bookmarkEnd w:id="512"/>
      <w:bookmarkEnd w:id="513"/>
    </w:p>
    <w:bookmarkEnd w:id="509"/>
    <w:p w14:paraId="4E6AAA3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20.3.1 合同当事人可以在专用合同条款中约定扣留质量保证金的金额和扣留方式。承包人累计扣留的质量保证金不得超过结算合同价格的3%。</w:t>
      </w:r>
    </w:p>
    <w:p w14:paraId="4B8629A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bookmarkStart w:id="514" w:name="#go4"/>
      <w:bookmarkEnd w:id="514"/>
      <w:r>
        <w:rPr>
          <w:rFonts w:hint="eastAsia" w:ascii="仿宋" w:hAnsi="仿宋" w:eastAsia="仿宋" w:cs="仿宋"/>
          <w:kern w:val="0"/>
          <w:sz w:val="28"/>
          <w:szCs w:val="28"/>
          <w:highlight w:val="none"/>
        </w:rPr>
        <w:t>20.3.2 承包人应按第19.3款【最终结清】的约定退还质量保证金。</w:t>
      </w:r>
    </w:p>
    <w:bookmarkEnd w:id="510"/>
    <w:bookmarkEnd w:id="511"/>
    <w:p w14:paraId="7A540C9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15" w:name="_Toc14350"/>
      <w:bookmarkStart w:id="516" w:name="_Toc371493249"/>
      <w:bookmarkStart w:id="517" w:name="_Toc30921"/>
      <w:bookmarkStart w:id="518" w:name="_Toc351203603"/>
      <w:bookmarkStart w:id="519" w:name="_Toc337558820"/>
      <w:r>
        <w:rPr>
          <w:rFonts w:hint="eastAsia" w:ascii="仿宋" w:hAnsi="仿宋" w:eastAsia="仿宋" w:cs="仿宋"/>
          <w:sz w:val="28"/>
          <w:szCs w:val="28"/>
          <w:highlight w:val="none"/>
        </w:rPr>
        <w:t>21. 违约</w:t>
      </w:r>
      <w:bookmarkEnd w:id="515"/>
      <w:bookmarkEnd w:id="516"/>
      <w:bookmarkEnd w:id="517"/>
      <w:bookmarkEnd w:id="518"/>
    </w:p>
    <w:bookmarkEnd w:id="519"/>
    <w:p w14:paraId="68D3D884">
      <w:pPr>
        <w:pStyle w:val="4"/>
        <w:wordWrap w:val="0"/>
        <w:adjustRightInd w:val="0"/>
        <w:snapToGrid w:val="0"/>
        <w:spacing w:before="0" w:after="0" w:line="360" w:lineRule="auto"/>
        <w:rPr>
          <w:rFonts w:hint="eastAsia" w:ascii="仿宋" w:hAnsi="仿宋" w:eastAsia="仿宋" w:cs="仿宋"/>
          <w:sz w:val="28"/>
          <w:szCs w:val="28"/>
          <w:highlight w:val="none"/>
        </w:rPr>
      </w:pPr>
      <w:bookmarkStart w:id="520" w:name="_Toc296503129"/>
      <w:bookmarkStart w:id="521" w:name="_Toc296346630"/>
      <w:bookmarkStart w:id="522" w:name="_Toc13175"/>
      <w:bookmarkStart w:id="523" w:name="_Toc10237"/>
      <w:bookmarkStart w:id="524" w:name="_Toc371493250"/>
      <w:bookmarkStart w:id="525" w:name="_Toc351203604"/>
      <w:bookmarkStart w:id="526" w:name="_Toc337558821"/>
      <w:r>
        <w:rPr>
          <w:rFonts w:hint="eastAsia" w:ascii="仿宋" w:hAnsi="仿宋" w:eastAsia="仿宋" w:cs="仿宋"/>
          <w:sz w:val="28"/>
          <w:szCs w:val="28"/>
          <w:highlight w:val="none"/>
        </w:rPr>
        <w:t xml:space="preserve">21.1 </w:t>
      </w:r>
      <w:bookmarkEnd w:id="520"/>
      <w:bookmarkEnd w:id="521"/>
      <w:r>
        <w:rPr>
          <w:rFonts w:hint="eastAsia" w:ascii="仿宋" w:hAnsi="仿宋" w:eastAsia="仿宋" w:cs="仿宋"/>
          <w:sz w:val="28"/>
          <w:szCs w:val="28"/>
          <w:highlight w:val="none"/>
        </w:rPr>
        <w:t>承包人违约</w:t>
      </w:r>
      <w:bookmarkEnd w:id="522"/>
      <w:bookmarkEnd w:id="523"/>
      <w:bookmarkEnd w:id="524"/>
      <w:bookmarkEnd w:id="525"/>
    </w:p>
    <w:bookmarkEnd w:id="526"/>
    <w:p w14:paraId="121ABAD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21.1.1 承包人未能按照分包合同约定履行合同义务的，分包人可向承包人发出通知，要求承包人采取有效措施纠正违约行为。承包人应赔偿其违约行为给分包人造成的损失。合同当事人可在专用合同条款中约定承包人应支付的违约金或违约金的计算方法。</w:t>
      </w:r>
    </w:p>
    <w:p w14:paraId="4BE544B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收到分包人通知后28天内仍不纠正违约行为且影响分包人正常施工的，分包人有权暂停相应部位工程施工，并通知承包人。除专用合同条款另有约定外，分包人因承包人违约暂停施工满28天后，承包人仍不纠正其违约行为的，分包人有权解除合同。</w:t>
      </w:r>
    </w:p>
    <w:p w14:paraId="0A2E326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21.1.2 分包人按照第21.1.1项的约定解除合同的，承包人应在分包合同解除后28天内解除分包人履约担保，分包合同当事人应按专用合同条款的约定完成已完工程估价、清算和付款。</w:t>
      </w:r>
    </w:p>
    <w:p w14:paraId="0BEB142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分包人应妥善做好已完分包工程和与分包工程有关的已购材料、工程设备、工程资料的保护和移交工作，并将施工设备和人员撤出施工场地，承包人应为分包人撤出提供必要条件。</w:t>
      </w:r>
    </w:p>
    <w:p w14:paraId="43A94C06">
      <w:pPr>
        <w:pStyle w:val="4"/>
        <w:wordWrap w:val="0"/>
        <w:adjustRightInd w:val="0"/>
        <w:snapToGrid w:val="0"/>
        <w:spacing w:before="0" w:after="0" w:line="360" w:lineRule="auto"/>
        <w:rPr>
          <w:rFonts w:hint="eastAsia" w:ascii="仿宋" w:hAnsi="仿宋" w:eastAsia="仿宋" w:cs="仿宋"/>
          <w:sz w:val="28"/>
          <w:szCs w:val="28"/>
          <w:highlight w:val="none"/>
        </w:rPr>
      </w:pPr>
      <w:bookmarkStart w:id="527" w:name="_Toc7983"/>
      <w:bookmarkStart w:id="528" w:name="_Toc371493251"/>
      <w:bookmarkStart w:id="529" w:name="_Toc12053"/>
      <w:bookmarkStart w:id="530" w:name="_Toc351203605"/>
      <w:bookmarkStart w:id="531" w:name="_Toc296503131"/>
      <w:bookmarkStart w:id="532" w:name="_Toc337558822"/>
      <w:bookmarkStart w:id="533" w:name="_Toc296346632"/>
      <w:r>
        <w:rPr>
          <w:rFonts w:hint="eastAsia" w:ascii="仿宋" w:hAnsi="仿宋" w:eastAsia="仿宋" w:cs="仿宋"/>
          <w:sz w:val="28"/>
          <w:szCs w:val="28"/>
          <w:highlight w:val="none"/>
        </w:rPr>
        <w:t>21.2 分包人违约</w:t>
      </w:r>
      <w:bookmarkEnd w:id="527"/>
      <w:bookmarkEnd w:id="528"/>
      <w:bookmarkEnd w:id="529"/>
      <w:bookmarkEnd w:id="530"/>
    </w:p>
    <w:bookmarkEnd w:id="531"/>
    <w:bookmarkEnd w:id="532"/>
    <w:bookmarkEnd w:id="533"/>
    <w:p w14:paraId="494A2B1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21.2.1 分包人未能按照分包合同约定履行合同义务的，承包人可向分包人发出整改通知，要求其在指定的期限内改正。分包人应赔偿其违约行为给承包人造成的损失。合同当事人可在专用合同条款中约定分包人应支付的违约金或违约金的计算方法。</w:t>
      </w:r>
    </w:p>
    <w:p w14:paraId="4B1F7D9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除专用合同条款另有约定外，承包人发出整改通知后，分包人在指定的合理期限内仍不纠正违约行为，承包人有权解除合同。</w:t>
      </w:r>
    </w:p>
    <w:p w14:paraId="78D40F8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21.2.2 承包人按照第21.2.1项的约定解除合同的，承包人有权暂停对分包人的付款；分包合同当事人应在分包合同解除后28天内按专用合同条款的约定完成分包工程估价、清算和付款；承包人有权要求分包人将其为实施分包合同而签订的材料和设备的采购合同的权益转让给承包人，分包人应在收到解除分包合同通知后14天内，协助承包人与采购合同的供应商达成相关的转让协议。</w:t>
      </w:r>
    </w:p>
    <w:p w14:paraId="0DA3C39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34" w:name="_Toc351203607"/>
      <w:bookmarkStart w:id="535" w:name="_Toc7506"/>
      <w:bookmarkStart w:id="536" w:name="_Toc371493252"/>
      <w:bookmarkStart w:id="537" w:name="_Toc8948"/>
      <w:bookmarkStart w:id="538" w:name="_Toc296346617"/>
      <w:bookmarkStart w:id="539" w:name="_Toc337558823"/>
      <w:bookmarkStart w:id="540" w:name="_Toc296503116"/>
      <w:r>
        <w:rPr>
          <w:rFonts w:hint="eastAsia" w:ascii="仿宋" w:hAnsi="仿宋" w:eastAsia="仿宋" w:cs="仿宋"/>
          <w:sz w:val="28"/>
          <w:szCs w:val="28"/>
          <w:highlight w:val="none"/>
        </w:rPr>
        <w:t>22. 不可抗力</w:t>
      </w:r>
      <w:bookmarkEnd w:id="534"/>
      <w:bookmarkEnd w:id="535"/>
      <w:bookmarkEnd w:id="536"/>
      <w:bookmarkEnd w:id="537"/>
      <w:r>
        <w:rPr>
          <w:rFonts w:hint="eastAsia" w:ascii="仿宋" w:hAnsi="仿宋" w:eastAsia="仿宋" w:cs="仿宋"/>
          <w:sz w:val="28"/>
          <w:szCs w:val="28"/>
          <w:highlight w:val="none"/>
        </w:rPr>
        <w:t xml:space="preserve"> </w:t>
      </w:r>
      <w:bookmarkEnd w:id="538"/>
      <w:bookmarkEnd w:id="539"/>
      <w:bookmarkEnd w:id="540"/>
    </w:p>
    <w:p w14:paraId="659A290F">
      <w:pPr>
        <w:pStyle w:val="4"/>
        <w:wordWrap w:val="0"/>
        <w:adjustRightInd w:val="0"/>
        <w:snapToGrid w:val="0"/>
        <w:spacing w:before="0" w:after="0" w:line="360" w:lineRule="auto"/>
        <w:rPr>
          <w:rFonts w:hint="eastAsia" w:ascii="仿宋" w:hAnsi="仿宋" w:eastAsia="仿宋" w:cs="仿宋"/>
          <w:sz w:val="28"/>
          <w:szCs w:val="28"/>
          <w:highlight w:val="none"/>
        </w:rPr>
      </w:pPr>
      <w:bookmarkStart w:id="541" w:name="_Toc371493253"/>
      <w:bookmarkStart w:id="542" w:name="_Toc351203608"/>
      <w:bookmarkStart w:id="543" w:name="_Toc13388"/>
      <w:bookmarkStart w:id="544" w:name="_Toc28546"/>
      <w:bookmarkStart w:id="545" w:name="_Toc337558824"/>
      <w:bookmarkStart w:id="546" w:name="_Toc296503117"/>
      <w:bookmarkStart w:id="547" w:name="_Toc296346618"/>
      <w:r>
        <w:rPr>
          <w:rFonts w:hint="eastAsia" w:ascii="仿宋" w:hAnsi="仿宋" w:eastAsia="仿宋" w:cs="仿宋"/>
          <w:sz w:val="28"/>
          <w:szCs w:val="28"/>
          <w:highlight w:val="none"/>
        </w:rPr>
        <w:t>22.1 不可抗力的确认</w:t>
      </w:r>
      <w:bookmarkEnd w:id="541"/>
      <w:bookmarkEnd w:id="542"/>
      <w:r>
        <w:rPr>
          <w:rFonts w:hint="eastAsia" w:ascii="仿宋" w:hAnsi="仿宋" w:eastAsia="仿宋" w:cs="仿宋"/>
          <w:sz w:val="28"/>
          <w:szCs w:val="28"/>
          <w:highlight w:val="none"/>
        </w:rPr>
        <w:t>和通知</w:t>
      </w:r>
      <w:bookmarkEnd w:id="543"/>
      <w:bookmarkEnd w:id="544"/>
    </w:p>
    <w:bookmarkEnd w:id="545"/>
    <w:bookmarkEnd w:id="546"/>
    <w:bookmarkEnd w:id="547"/>
    <w:p w14:paraId="3D2CA11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0930E4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分包合同一方当事人遇到不可抗力事件，使其履行合同义务受到阻碍时，应立即通知合同另一方当事人，书面说明不可抗力和受阻碍的详细情况，并提供必要的证明。</w:t>
      </w:r>
    </w:p>
    <w:p w14:paraId="469DF440">
      <w:pPr>
        <w:pStyle w:val="4"/>
        <w:wordWrap w:val="0"/>
        <w:adjustRightInd w:val="0"/>
        <w:snapToGrid w:val="0"/>
        <w:spacing w:before="0" w:after="0" w:line="360" w:lineRule="auto"/>
        <w:rPr>
          <w:rFonts w:hint="eastAsia" w:ascii="仿宋" w:hAnsi="仿宋" w:eastAsia="仿宋" w:cs="仿宋"/>
          <w:sz w:val="28"/>
          <w:szCs w:val="28"/>
          <w:highlight w:val="none"/>
        </w:rPr>
      </w:pPr>
      <w:bookmarkStart w:id="548" w:name="_Toc27629"/>
      <w:bookmarkStart w:id="549" w:name="_Toc5628"/>
      <w:bookmarkStart w:id="550" w:name="_Toc371493255"/>
      <w:bookmarkStart w:id="551" w:name="_Toc351203610"/>
      <w:bookmarkStart w:id="552" w:name="_Toc296346620"/>
      <w:bookmarkStart w:id="553" w:name="_Toc337558826"/>
      <w:bookmarkStart w:id="554" w:name="_Toc296503119"/>
      <w:r>
        <w:rPr>
          <w:rFonts w:hint="eastAsia" w:ascii="仿宋" w:hAnsi="仿宋" w:eastAsia="仿宋" w:cs="仿宋"/>
          <w:sz w:val="28"/>
          <w:szCs w:val="28"/>
          <w:highlight w:val="none"/>
        </w:rPr>
        <w:t>22.2 不可抗力风险的承担</w:t>
      </w:r>
      <w:bookmarkEnd w:id="548"/>
      <w:bookmarkEnd w:id="549"/>
      <w:bookmarkEnd w:id="550"/>
      <w:bookmarkEnd w:id="551"/>
    </w:p>
    <w:bookmarkEnd w:id="552"/>
    <w:bookmarkEnd w:id="553"/>
    <w:bookmarkEnd w:id="554"/>
    <w:p w14:paraId="4712A37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22.2.1 不可抗力发生前已完成的分包工程应当按照分包合同约定进行计量支付。</w:t>
      </w:r>
    </w:p>
    <w:p w14:paraId="71417DD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22.2.2 不可抗力风险由分包合同当事人按以下原则承担：</w:t>
      </w:r>
    </w:p>
    <w:p w14:paraId="601FE20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（1）永久工程、已运至施工场地的材料和工程设备的损坏，以及因分包工程损坏造成的第三人人员伤亡和财产损失由承包人承担；</w:t>
      </w:r>
    </w:p>
    <w:p w14:paraId="284031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（2）分包人施工设备的损坏由分包人承担；</w:t>
      </w:r>
    </w:p>
    <w:p w14:paraId="7A3004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（3）承包人和分包人承担各自人员伤亡和财产的损失；</w:t>
      </w:r>
    </w:p>
    <w:p w14:paraId="3B9DED3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（4）因不可抗力影响分包人履行合同约定的义务，已经引起或将引起工期延误的，应当顺延工期，由此导致分包人停工的费用损失由分包人承担；</w:t>
      </w:r>
    </w:p>
    <w:p w14:paraId="4AE39A7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（5）因不可抗力引起或将引起工期延误，承包人要求赶工的，由此增加的赶工费用由承包人承担；</w:t>
      </w:r>
    </w:p>
    <w:p w14:paraId="275223B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（6）分包人在停工期间按照承包人要求照管和清理分包工程的费用由承包人承担。</w:t>
      </w:r>
    </w:p>
    <w:p w14:paraId="590BB80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不可抗力发生后，合同当事人均应采取措施尽量避免和减少损失的扩大，任何一方当事人没有采取有效措施导致损失扩大的，应对扩大的损失承担责任。</w:t>
      </w:r>
    </w:p>
    <w:p w14:paraId="156C6BA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22.2.3 因合同一方迟延履行合同义务，在迟延履行期间遭遇不可抗力的，不免除其违约责任。</w:t>
      </w:r>
    </w:p>
    <w:p w14:paraId="6004F3FE">
      <w:pPr>
        <w:pStyle w:val="4"/>
        <w:wordWrap w:val="0"/>
        <w:adjustRightInd w:val="0"/>
        <w:snapToGrid w:val="0"/>
        <w:spacing w:before="0" w:after="0" w:line="360" w:lineRule="auto"/>
        <w:rPr>
          <w:rFonts w:hint="eastAsia" w:ascii="仿宋" w:hAnsi="仿宋" w:eastAsia="仿宋" w:cs="仿宋"/>
          <w:sz w:val="28"/>
          <w:szCs w:val="28"/>
          <w:highlight w:val="none"/>
        </w:rPr>
      </w:pPr>
      <w:bookmarkStart w:id="555" w:name="_Toc11437"/>
      <w:bookmarkStart w:id="556" w:name="_Toc351203611"/>
      <w:bookmarkStart w:id="557" w:name="_Toc167"/>
      <w:bookmarkStart w:id="558" w:name="_Toc371493256"/>
      <w:bookmarkStart w:id="559" w:name="_Toc337558827"/>
      <w:r>
        <w:rPr>
          <w:rFonts w:hint="eastAsia" w:ascii="仿宋" w:hAnsi="仿宋" w:eastAsia="仿宋" w:cs="仿宋"/>
          <w:sz w:val="28"/>
          <w:szCs w:val="28"/>
          <w:highlight w:val="none"/>
        </w:rPr>
        <w:t>22.3 因不可抗力解除合同</w:t>
      </w:r>
      <w:bookmarkEnd w:id="555"/>
      <w:bookmarkEnd w:id="556"/>
      <w:bookmarkEnd w:id="557"/>
      <w:bookmarkEnd w:id="558"/>
    </w:p>
    <w:bookmarkEnd w:id="559"/>
    <w:p w14:paraId="4D96409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因不可抗力导致分包合同无法履行连续超过84天或累计超过140天的，承包人和分包人均有权解除分包合同。分包合同解除后28天内，双方当事人应按专用合同条款的约定确定承包人应支付的款项并完成支付。</w:t>
      </w:r>
    </w:p>
    <w:p w14:paraId="5905063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60" w:name="_Toc351203612"/>
      <w:bookmarkStart w:id="561" w:name="_Toc371493257"/>
      <w:bookmarkStart w:id="562" w:name="_Toc32394"/>
      <w:bookmarkStart w:id="563" w:name="_Toc15285"/>
      <w:bookmarkStart w:id="564" w:name="_Toc337558828"/>
      <w:bookmarkStart w:id="565" w:name="_Toc296503120"/>
      <w:bookmarkStart w:id="566" w:name="_Toc296346621"/>
      <w:r>
        <w:rPr>
          <w:rFonts w:hint="eastAsia" w:ascii="仿宋" w:hAnsi="仿宋" w:eastAsia="仿宋" w:cs="仿宋"/>
          <w:sz w:val="28"/>
          <w:szCs w:val="28"/>
          <w:highlight w:val="none"/>
        </w:rPr>
        <w:t>23. 保险</w:t>
      </w:r>
      <w:bookmarkEnd w:id="560"/>
      <w:bookmarkEnd w:id="561"/>
      <w:bookmarkEnd w:id="562"/>
      <w:bookmarkEnd w:id="563"/>
    </w:p>
    <w:bookmarkEnd w:id="564"/>
    <w:bookmarkEnd w:id="565"/>
    <w:bookmarkEnd w:id="566"/>
    <w:p w14:paraId="4195BC67">
      <w:pPr>
        <w:pStyle w:val="4"/>
        <w:wordWrap w:val="0"/>
        <w:adjustRightInd w:val="0"/>
        <w:snapToGrid w:val="0"/>
        <w:spacing w:before="0" w:after="0" w:line="360" w:lineRule="auto"/>
        <w:rPr>
          <w:rFonts w:hint="eastAsia" w:ascii="仿宋" w:hAnsi="仿宋" w:eastAsia="仿宋" w:cs="仿宋"/>
          <w:sz w:val="28"/>
          <w:szCs w:val="28"/>
          <w:highlight w:val="none"/>
        </w:rPr>
      </w:pPr>
      <w:bookmarkStart w:id="567" w:name="_Toc351203613"/>
      <w:bookmarkStart w:id="568" w:name="_Toc296503121"/>
      <w:bookmarkStart w:id="569" w:name="_Toc337558829"/>
      <w:bookmarkStart w:id="570" w:name="_Toc296346622"/>
      <w:bookmarkStart w:id="571" w:name="_Toc6472"/>
      <w:bookmarkStart w:id="572" w:name="_Toc371493258"/>
      <w:bookmarkStart w:id="573" w:name="_Toc11161"/>
      <w:r>
        <w:rPr>
          <w:rFonts w:hint="eastAsia" w:ascii="仿宋" w:hAnsi="仿宋" w:eastAsia="仿宋" w:cs="仿宋"/>
          <w:sz w:val="28"/>
          <w:szCs w:val="28"/>
          <w:highlight w:val="none"/>
        </w:rPr>
        <w:t>23.1</w:t>
      </w:r>
      <w:bookmarkEnd w:id="567"/>
      <w:bookmarkEnd w:id="568"/>
      <w:bookmarkEnd w:id="569"/>
      <w:bookmarkEnd w:id="570"/>
      <w:bookmarkStart w:id="574" w:name="_Toc351203614"/>
      <w:bookmarkStart w:id="575" w:name="_Toc337558830"/>
      <w:bookmarkStart w:id="576" w:name="_Toc296346623"/>
      <w:bookmarkStart w:id="577" w:name="_Toc296503122"/>
      <w:r>
        <w:rPr>
          <w:rFonts w:hint="eastAsia" w:ascii="仿宋" w:hAnsi="仿宋" w:eastAsia="仿宋" w:cs="仿宋"/>
          <w:sz w:val="28"/>
          <w:szCs w:val="28"/>
          <w:highlight w:val="none"/>
        </w:rPr>
        <w:t xml:space="preserve"> 工伤保险</w:t>
      </w:r>
      <w:bookmarkEnd w:id="571"/>
      <w:bookmarkEnd w:id="572"/>
      <w:bookmarkEnd w:id="573"/>
      <w:bookmarkEnd w:id="574"/>
    </w:p>
    <w:bookmarkEnd w:id="575"/>
    <w:bookmarkEnd w:id="576"/>
    <w:bookmarkEnd w:id="577"/>
    <w:p w14:paraId="573FE80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分包人应依照法律规定参加工伤保险，并为其履行合同的全部员工办理工伤保险，缴纳工伤保险费，并要求其聘请的第三方依法参加工伤保险。</w:t>
      </w:r>
    </w:p>
    <w:p w14:paraId="6341C912">
      <w:pPr>
        <w:pStyle w:val="4"/>
        <w:wordWrap w:val="0"/>
        <w:adjustRightInd w:val="0"/>
        <w:snapToGrid w:val="0"/>
        <w:spacing w:before="0" w:after="0" w:line="360" w:lineRule="auto"/>
        <w:rPr>
          <w:rFonts w:hint="eastAsia" w:ascii="仿宋" w:hAnsi="仿宋" w:eastAsia="仿宋" w:cs="仿宋"/>
          <w:sz w:val="28"/>
          <w:szCs w:val="28"/>
          <w:highlight w:val="none"/>
        </w:rPr>
      </w:pPr>
      <w:bookmarkStart w:id="578" w:name="_Toc351203615"/>
      <w:bookmarkStart w:id="579" w:name="_Toc9482"/>
      <w:bookmarkStart w:id="580" w:name="_Toc20269"/>
      <w:bookmarkStart w:id="581" w:name="_Toc371493259"/>
      <w:bookmarkStart w:id="582" w:name="_Toc337558831"/>
      <w:bookmarkStart w:id="583" w:name="_Toc296346626"/>
      <w:bookmarkStart w:id="584" w:name="_Toc296503125"/>
      <w:r>
        <w:rPr>
          <w:rFonts w:hint="eastAsia" w:ascii="仿宋" w:hAnsi="仿宋" w:eastAsia="仿宋" w:cs="仿宋"/>
          <w:sz w:val="28"/>
          <w:szCs w:val="28"/>
          <w:highlight w:val="none"/>
        </w:rPr>
        <w:t>23.2 其他保险</w:t>
      </w:r>
      <w:bookmarkEnd w:id="578"/>
      <w:bookmarkEnd w:id="579"/>
      <w:bookmarkEnd w:id="580"/>
      <w:bookmarkEnd w:id="581"/>
    </w:p>
    <w:bookmarkEnd w:id="582"/>
    <w:bookmarkEnd w:id="583"/>
    <w:bookmarkEnd w:id="584"/>
    <w:p w14:paraId="10F2496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除专用合同条款另有约定外，分包人应为其雇佣的人员办理意外伤害保险，为其施工设备等办理财产保险。分包合同当事人应在专用合同条款约定保险金额等具体事项。</w:t>
      </w:r>
    </w:p>
    <w:p w14:paraId="293B45FE">
      <w:pPr>
        <w:pStyle w:val="4"/>
        <w:wordWrap w:val="0"/>
        <w:adjustRightInd w:val="0"/>
        <w:snapToGrid w:val="0"/>
        <w:spacing w:before="0" w:after="0" w:line="360" w:lineRule="auto"/>
        <w:rPr>
          <w:rFonts w:hint="eastAsia" w:ascii="仿宋" w:hAnsi="仿宋" w:eastAsia="仿宋" w:cs="仿宋"/>
          <w:sz w:val="28"/>
          <w:szCs w:val="28"/>
          <w:highlight w:val="none"/>
        </w:rPr>
      </w:pPr>
      <w:bookmarkStart w:id="585" w:name="_Toc25157"/>
      <w:bookmarkStart w:id="586" w:name="_Toc371493260"/>
      <w:bookmarkStart w:id="587" w:name="_Toc27676"/>
      <w:bookmarkStart w:id="588" w:name="_Toc351203617"/>
      <w:bookmarkStart w:id="589" w:name="_Toc296503126"/>
      <w:bookmarkStart w:id="590" w:name="_Toc296346627"/>
      <w:bookmarkStart w:id="591" w:name="_Toc337558832"/>
      <w:r>
        <w:rPr>
          <w:rFonts w:hint="eastAsia" w:ascii="仿宋" w:hAnsi="仿宋" w:eastAsia="仿宋" w:cs="仿宋"/>
          <w:sz w:val="28"/>
          <w:szCs w:val="28"/>
          <w:highlight w:val="none"/>
        </w:rPr>
        <w:t>23.3 保险凭证</w:t>
      </w:r>
      <w:bookmarkEnd w:id="585"/>
      <w:bookmarkEnd w:id="586"/>
      <w:bookmarkEnd w:id="587"/>
      <w:bookmarkEnd w:id="588"/>
    </w:p>
    <w:bookmarkEnd w:id="589"/>
    <w:bookmarkEnd w:id="590"/>
    <w:bookmarkEnd w:id="591"/>
    <w:p w14:paraId="0ED404A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分包人应在专用合同条款约定的期限内向承包人提交已投保的各项保险的凭证和保险单复印件。</w:t>
      </w:r>
    </w:p>
    <w:p w14:paraId="4A05D7F5">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92" w:name="_Toc9851"/>
      <w:bookmarkStart w:id="593" w:name="_Toc371493263"/>
      <w:bookmarkStart w:id="594" w:name="_Toc24389"/>
      <w:bookmarkStart w:id="595" w:name="_Toc351203620"/>
      <w:bookmarkStart w:id="596" w:name="_Toc337558835"/>
      <w:bookmarkStart w:id="597" w:name="_Toc296503140"/>
      <w:bookmarkStart w:id="598" w:name="_Toc296346641"/>
      <w:r>
        <w:rPr>
          <w:rFonts w:hint="eastAsia" w:ascii="仿宋" w:hAnsi="仿宋" w:eastAsia="仿宋" w:cs="仿宋"/>
          <w:sz w:val="28"/>
          <w:szCs w:val="28"/>
          <w:highlight w:val="none"/>
        </w:rPr>
        <w:t>24. 索赔</w:t>
      </w:r>
      <w:bookmarkEnd w:id="592"/>
      <w:bookmarkEnd w:id="593"/>
      <w:bookmarkEnd w:id="594"/>
      <w:bookmarkEnd w:id="595"/>
    </w:p>
    <w:bookmarkEnd w:id="596"/>
    <w:bookmarkEnd w:id="597"/>
    <w:bookmarkEnd w:id="598"/>
    <w:p w14:paraId="4ADCAF75">
      <w:pPr>
        <w:pStyle w:val="4"/>
        <w:wordWrap w:val="0"/>
        <w:adjustRightInd w:val="0"/>
        <w:snapToGrid w:val="0"/>
        <w:spacing w:before="0" w:after="0" w:line="360" w:lineRule="auto"/>
        <w:rPr>
          <w:rFonts w:hint="eastAsia" w:ascii="仿宋" w:hAnsi="仿宋" w:eastAsia="仿宋" w:cs="仿宋"/>
          <w:sz w:val="28"/>
          <w:szCs w:val="28"/>
          <w:highlight w:val="none"/>
        </w:rPr>
      </w:pPr>
      <w:bookmarkStart w:id="599" w:name="_Toc371493264"/>
      <w:bookmarkStart w:id="600" w:name="_Toc2893"/>
      <w:bookmarkStart w:id="601" w:name="_Toc351203621"/>
      <w:bookmarkStart w:id="602" w:name="_Toc1955"/>
      <w:bookmarkStart w:id="603" w:name="_Toc337558836"/>
      <w:bookmarkStart w:id="604" w:name="_Toc296346642"/>
      <w:bookmarkStart w:id="605" w:name="_Toc296503141"/>
      <w:r>
        <w:rPr>
          <w:rFonts w:hint="eastAsia" w:ascii="仿宋" w:hAnsi="仿宋" w:eastAsia="仿宋" w:cs="仿宋"/>
          <w:sz w:val="28"/>
          <w:szCs w:val="28"/>
          <w:highlight w:val="none"/>
        </w:rPr>
        <w:t>24.1 分包人的索赔</w:t>
      </w:r>
      <w:bookmarkEnd w:id="599"/>
      <w:bookmarkEnd w:id="600"/>
      <w:bookmarkEnd w:id="601"/>
      <w:bookmarkEnd w:id="602"/>
    </w:p>
    <w:bookmarkEnd w:id="603"/>
    <w:bookmarkEnd w:id="604"/>
    <w:bookmarkEnd w:id="605"/>
    <w:p w14:paraId="7394FB7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根据分包合同约定，分包人认为有权得到追加付款和（或）延长工期的，应按以下程序向承包人提出索赔：</w:t>
      </w:r>
    </w:p>
    <w:p w14:paraId="2FDBF6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（1）分包人应在知道或应当知道索赔事件发生后14天内，向承包人递交索赔意向通知书，并说明发生索赔事件的事由；分包人未在前述14天内发出索赔意向通知书的，丧失要求追加付款和（或）延长工期的权利；</w:t>
      </w:r>
    </w:p>
    <w:p w14:paraId="64638AF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（2）分包人应在发出索赔意向通知书后14天内，向承包人正式递交索赔报告；索赔报告应详细说明索赔理由以及要求追加的付款金额和（或）延长的工期，并附必要的记录和证明材料；</w:t>
      </w:r>
    </w:p>
    <w:p w14:paraId="05C8E42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（3）索赔事件具有持续影响的，分包人应按合理时间间隔继续递交延续索赔通知，说明持续影响的实际情况和记录，列出累计的追加付款金额和（或）工期延长天数；</w:t>
      </w:r>
    </w:p>
    <w:p w14:paraId="33E6491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（4）在索赔事件影响结束后14天内，分包人应向承包人递交最终索赔报告，说明最终要求索赔的追加付款金额和（或）延长的工期，并附必要的记录和证明材料。</w:t>
      </w:r>
    </w:p>
    <w:p w14:paraId="5A191F6B">
      <w:pPr>
        <w:pStyle w:val="4"/>
        <w:wordWrap w:val="0"/>
        <w:adjustRightInd w:val="0"/>
        <w:snapToGrid w:val="0"/>
        <w:spacing w:before="0" w:after="0" w:line="360" w:lineRule="auto"/>
        <w:rPr>
          <w:rFonts w:hint="eastAsia" w:ascii="仿宋" w:hAnsi="仿宋" w:eastAsia="仿宋" w:cs="仿宋"/>
          <w:sz w:val="28"/>
          <w:szCs w:val="28"/>
          <w:highlight w:val="none"/>
        </w:rPr>
      </w:pPr>
      <w:bookmarkStart w:id="606" w:name="_Toc371493265"/>
      <w:bookmarkStart w:id="607" w:name="_Toc14366"/>
      <w:bookmarkStart w:id="608" w:name="_Toc351203622"/>
      <w:bookmarkStart w:id="609" w:name="_Toc2747"/>
      <w:bookmarkStart w:id="610" w:name="_Toc296503142"/>
      <w:bookmarkStart w:id="611" w:name="_Toc337558837"/>
      <w:bookmarkStart w:id="612" w:name="_Toc296346643"/>
      <w:r>
        <w:rPr>
          <w:rFonts w:hint="eastAsia" w:ascii="仿宋" w:hAnsi="仿宋" w:eastAsia="仿宋" w:cs="仿宋"/>
          <w:sz w:val="28"/>
          <w:szCs w:val="28"/>
          <w:highlight w:val="none"/>
        </w:rPr>
        <w:t>24.2 对分包人索赔的处理</w:t>
      </w:r>
      <w:bookmarkEnd w:id="606"/>
      <w:bookmarkEnd w:id="607"/>
      <w:bookmarkEnd w:id="608"/>
      <w:bookmarkEnd w:id="609"/>
    </w:p>
    <w:bookmarkEnd w:id="610"/>
    <w:bookmarkEnd w:id="611"/>
    <w:bookmarkEnd w:id="612"/>
    <w:p w14:paraId="711A926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除专用合同条款另有约定外，对分包人的索赔处理如下：</w:t>
      </w:r>
    </w:p>
    <w:p w14:paraId="566855A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p>
    <w:p w14:paraId="70C8120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（2）分包人接受索赔处理结果的，索赔款项在当期进度款中进行支付；分包人不接受索赔处理结果的，按照第25条【争议解决】的约定处理。</w:t>
      </w:r>
    </w:p>
    <w:p w14:paraId="4D80B5A7">
      <w:pPr>
        <w:pStyle w:val="4"/>
        <w:wordWrap w:val="0"/>
        <w:adjustRightInd w:val="0"/>
        <w:snapToGrid w:val="0"/>
        <w:spacing w:before="0" w:after="0" w:line="360" w:lineRule="auto"/>
        <w:rPr>
          <w:rStyle w:val="21"/>
          <w:rFonts w:hint="eastAsia" w:ascii="仿宋" w:hAnsi="仿宋" w:eastAsia="仿宋" w:cs="仿宋"/>
          <w:sz w:val="28"/>
          <w:szCs w:val="28"/>
          <w:highlight w:val="none"/>
        </w:rPr>
      </w:pPr>
      <w:bookmarkStart w:id="613" w:name="_Toc371493266"/>
      <w:bookmarkStart w:id="614" w:name="_Toc1460"/>
      <w:bookmarkStart w:id="615" w:name="_Toc351203623"/>
      <w:bookmarkStart w:id="616" w:name="_Toc21212"/>
      <w:bookmarkStart w:id="617" w:name="_Toc296346644"/>
      <w:bookmarkStart w:id="618" w:name="_Toc296503143"/>
      <w:bookmarkStart w:id="619" w:name="_Toc337558838"/>
      <w:r>
        <w:rPr>
          <w:rStyle w:val="21"/>
          <w:rFonts w:hint="eastAsia" w:ascii="仿宋" w:hAnsi="仿宋" w:eastAsia="仿宋" w:cs="仿宋"/>
          <w:sz w:val="28"/>
          <w:szCs w:val="28"/>
          <w:highlight w:val="none"/>
        </w:rPr>
        <w:t>24.3 承包人的索赔</w:t>
      </w:r>
      <w:bookmarkEnd w:id="613"/>
      <w:bookmarkEnd w:id="614"/>
      <w:bookmarkEnd w:id="615"/>
      <w:bookmarkEnd w:id="616"/>
    </w:p>
    <w:bookmarkEnd w:id="617"/>
    <w:bookmarkEnd w:id="618"/>
    <w:bookmarkEnd w:id="619"/>
    <w:p w14:paraId="006434B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根据分包合同约定，承包人认为有权得到赔付金额和（或）延长缺陷责任期的，应向分包人发出通知并附有详细的证明。</w:t>
      </w:r>
    </w:p>
    <w:p w14:paraId="65A2B5F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承包人应在知道或应当知道索赔事件发生后向分包人提出索赔意向通知书。承包人应在发出索赔意向通知书后向分包人正式递交索赔报告。</w:t>
      </w:r>
    </w:p>
    <w:p w14:paraId="7ED8ADCB">
      <w:pPr>
        <w:pStyle w:val="4"/>
        <w:wordWrap w:val="0"/>
        <w:adjustRightInd w:val="0"/>
        <w:snapToGrid w:val="0"/>
        <w:spacing w:before="0" w:after="0" w:line="360" w:lineRule="auto"/>
        <w:rPr>
          <w:rFonts w:hint="eastAsia" w:ascii="仿宋" w:hAnsi="仿宋" w:eastAsia="仿宋" w:cs="仿宋"/>
          <w:sz w:val="28"/>
          <w:szCs w:val="28"/>
          <w:highlight w:val="none"/>
        </w:rPr>
      </w:pPr>
      <w:bookmarkStart w:id="620" w:name="_Toc24622"/>
      <w:bookmarkStart w:id="621" w:name="_Toc17220"/>
      <w:bookmarkStart w:id="622" w:name="_Toc351203624"/>
      <w:bookmarkStart w:id="623" w:name="_Toc371493267"/>
      <w:bookmarkStart w:id="624" w:name="_Toc296503144"/>
      <w:bookmarkStart w:id="625" w:name="_Toc296346645"/>
      <w:bookmarkStart w:id="626" w:name="_Toc337558839"/>
      <w:r>
        <w:rPr>
          <w:rFonts w:hint="eastAsia" w:ascii="仿宋" w:hAnsi="仿宋" w:eastAsia="仿宋" w:cs="仿宋"/>
          <w:sz w:val="28"/>
          <w:szCs w:val="28"/>
          <w:highlight w:val="none"/>
        </w:rPr>
        <w:t>24.4 对承包人索赔的处理</w:t>
      </w:r>
      <w:bookmarkEnd w:id="620"/>
      <w:bookmarkEnd w:id="621"/>
      <w:bookmarkEnd w:id="622"/>
      <w:bookmarkEnd w:id="623"/>
    </w:p>
    <w:bookmarkEnd w:id="624"/>
    <w:bookmarkEnd w:id="625"/>
    <w:bookmarkEnd w:id="626"/>
    <w:p w14:paraId="29B429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除专用合同条款另有约定外，对承包人的索赔处理如下：</w:t>
      </w:r>
    </w:p>
    <w:p w14:paraId="28E18CA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（1）分包人收到承包人提交的索赔报告后，应及时审查索赔报告的内容、查验承包人证明材料；</w:t>
      </w:r>
    </w:p>
    <w:p w14:paraId="457C74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（2）分包人应在收到索赔报告或有关索赔的进一步证明材料后35天内，将索赔处理结果答复承包人。如果分包人未在上述期限内作出答复的，则视为对承包人索赔要求的认可；</w:t>
      </w:r>
    </w:p>
    <w:p w14:paraId="0A2D7A1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（3）承包人接受索赔处理结果的，承包人可从应支付给分包人的合同价款中扣除赔付的金额或延长缺陷责任期；承包人不接受索赔处理结果的，按第25条【争议解决】的约定处理。</w:t>
      </w:r>
    </w:p>
    <w:p w14:paraId="3A2B7DEF">
      <w:pPr>
        <w:pStyle w:val="4"/>
        <w:wordWrap w:val="0"/>
        <w:adjustRightInd w:val="0"/>
        <w:snapToGrid w:val="0"/>
        <w:spacing w:before="0" w:after="0" w:line="360" w:lineRule="auto"/>
        <w:rPr>
          <w:rFonts w:hint="eastAsia" w:ascii="仿宋" w:hAnsi="仿宋" w:eastAsia="仿宋" w:cs="仿宋"/>
          <w:sz w:val="28"/>
          <w:szCs w:val="28"/>
          <w:highlight w:val="none"/>
        </w:rPr>
      </w:pPr>
      <w:bookmarkStart w:id="627" w:name="_Toc351203625"/>
      <w:bookmarkStart w:id="628" w:name="_Toc371493268"/>
      <w:bookmarkStart w:id="629" w:name="_Toc8343"/>
      <w:bookmarkStart w:id="630" w:name="_Toc2307"/>
      <w:r>
        <w:rPr>
          <w:rFonts w:hint="eastAsia" w:ascii="仿宋" w:hAnsi="仿宋" w:eastAsia="仿宋" w:cs="仿宋"/>
          <w:sz w:val="28"/>
          <w:szCs w:val="28"/>
          <w:highlight w:val="none"/>
        </w:rPr>
        <w:t>24.5 提出索赔的期限</w:t>
      </w:r>
      <w:bookmarkEnd w:id="627"/>
      <w:bookmarkEnd w:id="628"/>
      <w:bookmarkEnd w:id="629"/>
      <w:bookmarkEnd w:id="630"/>
    </w:p>
    <w:p w14:paraId="45ED690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（1）分包人按第19.2款【结算审核】的约定认可结算付款证书后，应被视为已无权就结算付款证书签发前所发生的事项提出任何索赔。</w:t>
      </w:r>
    </w:p>
    <w:p w14:paraId="41F2078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（2）分包人按第19.3款【最终结清】提交的最终结清申请单，只限于提出结算付款证书签发后发生的索赔。分包人提出索赔的期限自最终结清申请单被承包人确认时终止。</w:t>
      </w:r>
    </w:p>
    <w:p w14:paraId="48FC967B">
      <w:pPr>
        <w:pStyle w:val="4"/>
        <w:wordWrap w:val="0"/>
        <w:adjustRightInd w:val="0"/>
        <w:snapToGrid w:val="0"/>
        <w:spacing w:before="0" w:after="0" w:line="360" w:lineRule="auto"/>
        <w:rPr>
          <w:rFonts w:hint="eastAsia" w:ascii="仿宋" w:hAnsi="仿宋" w:eastAsia="仿宋" w:cs="仿宋"/>
          <w:sz w:val="28"/>
          <w:szCs w:val="28"/>
          <w:highlight w:val="none"/>
        </w:rPr>
      </w:pPr>
      <w:bookmarkStart w:id="631" w:name="_Toc27563"/>
      <w:bookmarkStart w:id="632" w:name="_Toc22119"/>
      <w:r>
        <w:rPr>
          <w:rFonts w:hint="eastAsia" w:ascii="仿宋" w:hAnsi="仿宋" w:eastAsia="仿宋" w:cs="仿宋"/>
          <w:sz w:val="28"/>
          <w:szCs w:val="28"/>
          <w:highlight w:val="none"/>
        </w:rPr>
        <w:t>24.6 分包人索赔配合</w:t>
      </w:r>
      <w:bookmarkEnd w:id="631"/>
      <w:bookmarkEnd w:id="632"/>
    </w:p>
    <w:p w14:paraId="71E4EE67">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当承包人与发包人之间发生的索赔事项涉及分包工程时，分包人应按承包人要求配合承包人处理前述索赔事项。</w:t>
      </w:r>
    </w:p>
    <w:p w14:paraId="18EA2DA8">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33" w:name="_Toc1154"/>
      <w:bookmarkStart w:id="634" w:name="_Toc351203626"/>
      <w:bookmarkStart w:id="635" w:name="_Toc371493269"/>
      <w:bookmarkStart w:id="636" w:name="_Toc21816"/>
      <w:bookmarkStart w:id="637" w:name="_Toc296346647"/>
      <w:bookmarkStart w:id="638" w:name="_Toc337558840"/>
      <w:bookmarkStart w:id="639" w:name="_Toc296503146"/>
      <w:r>
        <w:rPr>
          <w:rFonts w:hint="eastAsia" w:ascii="仿宋" w:hAnsi="仿宋" w:eastAsia="仿宋" w:cs="仿宋"/>
          <w:sz w:val="28"/>
          <w:szCs w:val="28"/>
          <w:highlight w:val="none"/>
        </w:rPr>
        <w:t>25. 争议解决</w:t>
      </w:r>
      <w:bookmarkEnd w:id="633"/>
      <w:bookmarkEnd w:id="634"/>
      <w:bookmarkEnd w:id="635"/>
      <w:bookmarkEnd w:id="636"/>
    </w:p>
    <w:bookmarkEnd w:id="637"/>
    <w:bookmarkEnd w:id="638"/>
    <w:bookmarkEnd w:id="639"/>
    <w:p w14:paraId="7FB20FD0">
      <w:pPr>
        <w:pStyle w:val="4"/>
        <w:wordWrap w:val="0"/>
        <w:adjustRightInd w:val="0"/>
        <w:snapToGrid w:val="0"/>
        <w:spacing w:before="0" w:after="0" w:line="360" w:lineRule="auto"/>
        <w:rPr>
          <w:rFonts w:hint="eastAsia" w:ascii="仿宋" w:hAnsi="仿宋" w:eastAsia="仿宋" w:cs="仿宋"/>
          <w:sz w:val="28"/>
          <w:szCs w:val="28"/>
          <w:highlight w:val="none"/>
        </w:rPr>
      </w:pPr>
      <w:bookmarkStart w:id="640" w:name="_Toc371493270"/>
      <w:bookmarkStart w:id="641" w:name="_Toc11659"/>
      <w:bookmarkStart w:id="642" w:name="_Toc351203628"/>
      <w:bookmarkStart w:id="643" w:name="_Toc7263"/>
      <w:bookmarkStart w:id="644" w:name="_Toc296346649"/>
      <w:bookmarkStart w:id="645" w:name="_Toc337558842"/>
      <w:bookmarkStart w:id="646" w:name="_Toc296503148"/>
      <w:r>
        <w:rPr>
          <w:rFonts w:hint="eastAsia" w:ascii="仿宋" w:hAnsi="仿宋" w:eastAsia="仿宋" w:cs="仿宋"/>
          <w:sz w:val="28"/>
          <w:szCs w:val="28"/>
          <w:highlight w:val="none"/>
        </w:rPr>
        <w:t>25.1 调解</w:t>
      </w:r>
      <w:bookmarkEnd w:id="640"/>
      <w:bookmarkEnd w:id="641"/>
      <w:bookmarkEnd w:id="642"/>
      <w:bookmarkEnd w:id="643"/>
    </w:p>
    <w:bookmarkEnd w:id="644"/>
    <w:bookmarkEnd w:id="645"/>
    <w:bookmarkEnd w:id="646"/>
    <w:p w14:paraId="1FCE6F8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分包合同当事人可以就争议请求</w:t>
      </w:r>
      <w:r>
        <w:rPr>
          <w:rFonts w:hint="eastAsia" w:ascii="仿宋" w:hAnsi="仿宋" w:eastAsia="仿宋" w:cs="仿宋"/>
          <w:kern w:val="0"/>
          <w:sz w:val="28"/>
          <w:szCs w:val="28"/>
          <w:highlight w:val="none"/>
          <w:lang w:val="en-US" w:eastAsia="zh-CN"/>
        </w:rPr>
        <w:t>长沙仲裁委</w:t>
      </w:r>
      <w:r>
        <w:rPr>
          <w:rFonts w:hint="eastAsia" w:ascii="仿宋" w:hAnsi="仿宋" w:eastAsia="仿宋" w:cs="仿宋"/>
          <w:kern w:val="0"/>
          <w:sz w:val="28"/>
          <w:szCs w:val="28"/>
          <w:highlight w:val="none"/>
        </w:rPr>
        <w:t>进行调解，调解达成协议的，经双方签字并盖章后作为合同补充文件，双方均应遵照执行。</w:t>
      </w:r>
    </w:p>
    <w:p w14:paraId="2B4343DB">
      <w:pPr>
        <w:pStyle w:val="4"/>
        <w:wordWrap w:val="0"/>
        <w:adjustRightInd w:val="0"/>
        <w:snapToGrid w:val="0"/>
        <w:spacing w:before="0" w:after="0" w:line="360" w:lineRule="auto"/>
        <w:rPr>
          <w:rFonts w:hint="eastAsia" w:ascii="仿宋" w:hAnsi="仿宋" w:eastAsia="仿宋" w:cs="仿宋"/>
          <w:sz w:val="28"/>
          <w:szCs w:val="28"/>
          <w:highlight w:val="none"/>
        </w:rPr>
      </w:pPr>
      <w:bookmarkStart w:id="647" w:name="_Toc30165"/>
      <w:bookmarkStart w:id="648" w:name="_Toc351203630"/>
      <w:bookmarkStart w:id="649" w:name="_Toc371493271"/>
      <w:bookmarkStart w:id="650" w:name="_Toc20208"/>
      <w:bookmarkStart w:id="651" w:name="_Toc337558844"/>
      <w:bookmarkStart w:id="652" w:name="_Toc296346651"/>
      <w:bookmarkStart w:id="653" w:name="_Toc296503150"/>
      <w:r>
        <w:rPr>
          <w:rFonts w:hint="eastAsia" w:ascii="仿宋" w:hAnsi="仿宋" w:eastAsia="仿宋" w:cs="仿宋"/>
          <w:sz w:val="28"/>
          <w:szCs w:val="28"/>
          <w:highlight w:val="none"/>
        </w:rPr>
        <w:t>25.2 仲裁或诉讼</w:t>
      </w:r>
      <w:bookmarkEnd w:id="647"/>
      <w:bookmarkEnd w:id="648"/>
      <w:bookmarkEnd w:id="649"/>
      <w:bookmarkEnd w:id="650"/>
    </w:p>
    <w:bookmarkEnd w:id="651"/>
    <w:bookmarkEnd w:id="652"/>
    <w:bookmarkEnd w:id="653"/>
    <w:p w14:paraId="504341B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因分包合同及合同有关事项产生的争议，分包合同当事人可以在专用合同条款中约定以下列任意一种方式解决争议：</w:t>
      </w:r>
    </w:p>
    <w:p w14:paraId="06EA0E2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（1）向专用合同条款约定的</w:t>
      </w:r>
      <w:r>
        <w:rPr>
          <w:rFonts w:hint="eastAsia" w:ascii="仿宋" w:hAnsi="仿宋" w:eastAsia="仿宋" w:cs="仿宋"/>
          <w:kern w:val="0"/>
          <w:sz w:val="28"/>
          <w:szCs w:val="28"/>
          <w:highlight w:val="none"/>
          <w:lang w:val="en-US" w:eastAsia="zh-CN"/>
        </w:rPr>
        <w:t>长沙仲裁委</w:t>
      </w:r>
      <w:r>
        <w:rPr>
          <w:rFonts w:hint="eastAsia" w:ascii="仿宋" w:hAnsi="仿宋" w:eastAsia="仿宋" w:cs="仿宋"/>
          <w:kern w:val="0"/>
          <w:sz w:val="28"/>
          <w:szCs w:val="28"/>
          <w:highlight w:val="none"/>
        </w:rPr>
        <w:t>申请仲裁；</w:t>
      </w:r>
    </w:p>
    <w:p w14:paraId="0FEB3F1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（2）向专用合同条款约定的有管辖权的人民法院起诉。</w:t>
      </w:r>
    </w:p>
    <w:p w14:paraId="2107AC2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654" w:name="_Toc31349"/>
      <w:bookmarkStart w:id="655" w:name="_Toc9437"/>
      <w:r>
        <w:rPr>
          <w:rFonts w:hint="eastAsia" w:ascii="仿宋" w:hAnsi="仿宋" w:eastAsia="仿宋" w:cs="仿宋"/>
          <w:sz w:val="28"/>
          <w:szCs w:val="28"/>
          <w:highlight w:val="none"/>
        </w:rPr>
        <w:t>25.3 与争议解决有关的事项</w:t>
      </w:r>
      <w:bookmarkEnd w:id="654"/>
      <w:bookmarkEnd w:id="655"/>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 xml:space="preserve"> </w:t>
      </w:r>
    </w:p>
    <w:p w14:paraId="1BDDC7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在承包人与发包人进入争议解决程序且争议事项涉及分包工程时，分包人应配合承包人处理争议事项。</w:t>
      </w:r>
      <w:bookmarkStart w:id="656" w:name="_Toc351203652"/>
    </w:p>
    <w:p w14:paraId="5A657A4B">
      <w:pPr>
        <w:pStyle w:val="20"/>
        <w:rPr>
          <w:rFonts w:hint="eastAsia" w:ascii="仿宋" w:hAnsi="仿宋" w:eastAsia="仿宋" w:cs="仿宋"/>
          <w:kern w:val="0"/>
          <w:sz w:val="30"/>
          <w:szCs w:val="30"/>
          <w:highlight w:val="none"/>
        </w:rPr>
      </w:pPr>
    </w:p>
    <w:p w14:paraId="33BEC010">
      <w:pPr>
        <w:pStyle w:val="20"/>
        <w:rPr>
          <w:rFonts w:hint="eastAsia" w:ascii="仿宋" w:hAnsi="仿宋" w:eastAsia="仿宋" w:cs="仿宋"/>
          <w:kern w:val="0"/>
          <w:sz w:val="30"/>
          <w:szCs w:val="30"/>
          <w:highlight w:val="none"/>
        </w:rPr>
      </w:pPr>
    </w:p>
    <w:p w14:paraId="31089387">
      <w:pPr>
        <w:pStyle w:val="20"/>
        <w:rPr>
          <w:rFonts w:hint="eastAsia" w:ascii="仿宋" w:hAnsi="仿宋" w:eastAsia="仿宋" w:cs="仿宋"/>
          <w:kern w:val="0"/>
          <w:sz w:val="30"/>
          <w:szCs w:val="30"/>
          <w:highlight w:val="none"/>
        </w:rPr>
      </w:pPr>
    </w:p>
    <w:p w14:paraId="302C26A1">
      <w:pPr>
        <w:pStyle w:val="20"/>
        <w:rPr>
          <w:rFonts w:hint="eastAsia" w:ascii="仿宋" w:hAnsi="仿宋" w:eastAsia="仿宋" w:cs="仿宋"/>
          <w:kern w:val="0"/>
          <w:sz w:val="30"/>
          <w:szCs w:val="30"/>
          <w:highlight w:val="none"/>
        </w:rPr>
      </w:pPr>
    </w:p>
    <w:p w14:paraId="6EDB49B9">
      <w:pPr>
        <w:pStyle w:val="20"/>
        <w:rPr>
          <w:rFonts w:hint="eastAsia" w:ascii="仿宋" w:hAnsi="仿宋" w:eastAsia="仿宋" w:cs="仿宋"/>
          <w:kern w:val="0"/>
          <w:sz w:val="30"/>
          <w:szCs w:val="30"/>
          <w:highlight w:val="none"/>
        </w:rPr>
      </w:pPr>
    </w:p>
    <w:p w14:paraId="36F2F16E">
      <w:pPr>
        <w:pStyle w:val="20"/>
        <w:rPr>
          <w:rFonts w:hint="eastAsia" w:ascii="仿宋" w:hAnsi="仿宋" w:eastAsia="仿宋" w:cs="仿宋"/>
          <w:kern w:val="0"/>
          <w:sz w:val="30"/>
          <w:szCs w:val="30"/>
          <w:highlight w:val="none"/>
        </w:rPr>
      </w:pPr>
    </w:p>
    <w:p w14:paraId="1A26CA3D">
      <w:pPr>
        <w:pStyle w:val="20"/>
        <w:rPr>
          <w:rFonts w:hint="eastAsia" w:ascii="仿宋" w:hAnsi="仿宋" w:eastAsia="仿宋" w:cs="仿宋"/>
          <w:kern w:val="0"/>
          <w:sz w:val="30"/>
          <w:szCs w:val="30"/>
          <w:highlight w:val="none"/>
        </w:rPr>
      </w:pPr>
    </w:p>
    <w:p w14:paraId="682A3336">
      <w:pPr>
        <w:pStyle w:val="20"/>
        <w:rPr>
          <w:rFonts w:hint="eastAsia" w:ascii="仿宋" w:hAnsi="仿宋" w:eastAsia="仿宋" w:cs="仿宋"/>
          <w:kern w:val="0"/>
          <w:sz w:val="30"/>
          <w:szCs w:val="30"/>
          <w:highlight w:val="none"/>
        </w:rPr>
      </w:pPr>
    </w:p>
    <w:p w14:paraId="476AC514">
      <w:pPr>
        <w:pStyle w:val="20"/>
        <w:rPr>
          <w:rFonts w:hint="eastAsia" w:ascii="仿宋" w:hAnsi="仿宋" w:eastAsia="仿宋" w:cs="仿宋"/>
          <w:kern w:val="0"/>
          <w:sz w:val="30"/>
          <w:szCs w:val="30"/>
          <w:highlight w:val="none"/>
        </w:rPr>
      </w:pPr>
    </w:p>
    <w:p w14:paraId="19853CA9">
      <w:pPr>
        <w:pStyle w:val="20"/>
        <w:rPr>
          <w:rFonts w:hint="eastAsia" w:ascii="仿宋" w:hAnsi="仿宋" w:eastAsia="仿宋" w:cs="仿宋"/>
          <w:kern w:val="0"/>
          <w:sz w:val="30"/>
          <w:szCs w:val="30"/>
          <w:highlight w:val="none"/>
        </w:rPr>
      </w:pPr>
    </w:p>
    <w:p w14:paraId="0C21331B">
      <w:pPr>
        <w:pStyle w:val="20"/>
        <w:rPr>
          <w:rFonts w:hint="eastAsia" w:ascii="仿宋" w:hAnsi="仿宋" w:eastAsia="仿宋" w:cs="仿宋"/>
          <w:kern w:val="0"/>
          <w:sz w:val="30"/>
          <w:szCs w:val="30"/>
          <w:highlight w:val="none"/>
        </w:rPr>
      </w:pPr>
    </w:p>
    <w:p w14:paraId="5FA8FDE5">
      <w:pPr>
        <w:pStyle w:val="20"/>
        <w:rPr>
          <w:rFonts w:hint="eastAsia" w:ascii="仿宋" w:hAnsi="仿宋" w:eastAsia="仿宋" w:cs="仿宋"/>
          <w:kern w:val="0"/>
          <w:sz w:val="30"/>
          <w:szCs w:val="30"/>
          <w:highlight w:val="none"/>
        </w:rPr>
      </w:pPr>
    </w:p>
    <w:p w14:paraId="486CAD62">
      <w:pPr>
        <w:pStyle w:val="20"/>
        <w:rPr>
          <w:rFonts w:hint="eastAsia" w:ascii="仿宋" w:hAnsi="仿宋" w:eastAsia="仿宋" w:cs="仿宋"/>
          <w:kern w:val="0"/>
          <w:sz w:val="30"/>
          <w:szCs w:val="30"/>
          <w:highlight w:val="none"/>
        </w:rPr>
      </w:pPr>
    </w:p>
    <w:p w14:paraId="464DAAA6">
      <w:pPr>
        <w:pStyle w:val="20"/>
        <w:rPr>
          <w:rFonts w:hint="eastAsia" w:ascii="仿宋" w:hAnsi="仿宋" w:eastAsia="仿宋" w:cs="仿宋"/>
          <w:kern w:val="0"/>
          <w:sz w:val="30"/>
          <w:szCs w:val="30"/>
          <w:highlight w:val="none"/>
        </w:rPr>
      </w:pPr>
    </w:p>
    <w:p w14:paraId="6E44A9DF">
      <w:pPr>
        <w:pStyle w:val="2"/>
        <w:numPr>
          <w:ilvl w:val="0"/>
          <w:numId w:val="5"/>
        </w:numPr>
        <w:wordWrap w:val="0"/>
        <w:adjustRightInd w:val="0"/>
        <w:snapToGrid w:val="0"/>
        <w:spacing w:before="0" w:after="0" w:line="276" w:lineRule="auto"/>
        <w:jc w:val="center"/>
        <w:rPr>
          <w:rFonts w:hint="eastAsia" w:ascii="仿宋" w:hAnsi="仿宋" w:eastAsia="仿宋" w:cs="仿宋"/>
          <w:sz w:val="30"/>
          <w:szCs w:val="30"/>
          <w:highlight w:val="none"/>
        </w:rPr>
      </w:pPr>
      <w:bookmarkStart w:id="657" w:name="_Toc7437"/>
      <w:bookmarkStart w:id="658" w:name="_Toc2344"/>
      <w:r>
        <w:rPr>
          <w:rFonts w:hint="eastAsia" w:ascii="仿宋" w:hAnsi="仿宋" w:eastAsia="仿宋" w:cs="仿宋"/>
          <w:sz w:val="30"/>
          <w:szCs w:val="30"/>
          <w:highlight w:val="none"/>
        </w:rPr>
        <w:t>专用合同条款</w:t>
      </w:r>
      <w:bookmarkEnd w:id="657"/>
      <w:bookmarkEnd w:id="658"/>
    </w:p>
    <w:p w14:paraId="03CF7CB2">
      <w:pPr>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（注：本条款序号与第二部分通用条款一一对应）</w:t>
      </w:r>
    </w:p>
    <w:p w14:paraId="63EA2280">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59" w:name="_Toc2318"/>
      <w:bookmarkStart w:id="660" w:name="_Toc23871"/>
      <w:r>
        <w:rPr>
          <w:rFonts w:hint="eastAsia" w:ascii="仿宋" w:hAnsi="仿宋" w:eastAsia="仿宋" w:cs="仿宋"/>
          <w:sz w:val="28"/>
          <w:szCs w:val="28"/>
          <w:highlight w:val="none"/>
        </w:rPr>
        <w:t>1. 一般约定</w:t>
      </w:r>
      <w:bookmarkEnd w:id="659"/>
      <w:bookmarkEnd w:id="660"/>
    </w:p>
    <w:p w14:paraId="6019FE63">
      <w:pPr>
        <w:pStyle w:val="4"/>
        <w:wordWrap w:val="0"/>
        <w:adjustRightInd w:val="0"/>
        <w:snapToGrid w:val="0"/>
        <w:spacing w:before="0" w:after="0" w:line="360" w:lineRule="auto"/>
        <w:rPr>
          <w:rFonts w:hint="eastAsia" w:ascii="仿宋" w:hAnsi="仿宋" w:eastAsia="仿宋" w:cs="仿宋"/>
          <w:sz w:val="28"/>
          <w:szCs w:val="28"/>
          <w:highlight w:val="none"/>
        </w:rPr>
      </w:pPr>
      <w:bookmarkStart w:id="661" w:name="_Toc23072"/>
      <w:bookmarkStart w:id="662" w:name="_Toc1158"/>
      <w:r>
        <w:rPr>
          <w:rFonts w:hint="eastAsia" w:ascii="仿宋" w:hAnsi="仿宋" w:eastAsia="仿宋" w:cs="仿宋"/>
          <w:sz w:val="28"/>
          <w:szCs w:val="28"/>
          <w:highlight w:val="none"/>
        </w:rPr>
        <w:t>1.1 词语定义与解释</w:t>
      </w:r>
      <w:bookmarkEnd w:id="661"/>
      <w:bookmarkEnd w:id="662"/>
    </w:p>
    <w:p w14:paraId="29A411A5">
      <w:pPr>
        <w:wordWrap w:val="0"/>
        <w:adjustRightInd w:val="0"/>
        <w:snapToGrid w:val="0"/>
        <w:spacing w:line="360" w:lineRule="auto"/>
        <w:ind w:firstLine="48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1.1.2 总包合同是指：</w:t>
      </w:r>
      <w:r>
        <w:rPr>
          <w:rFonts w:hint="eastAsia" w:ascii="仿宋" w:hAnsi="仿宋" w:eastAsia="仿宋" w:cs="仿宋"/>
          <w:sz w:val="28"/>
          <w:szCs w:val="28"/>
          <w:highlight w:val="none"/>
          <w:u w:val="single"/>
        </w:rPr>
        <w:t xml:space="preserve"> 兰州新区年产30GWh 新能源电池生产基地项目（一期）  </w:t>
      </w:r>
      <w:r>
        <w:rPr>
          <w:rFonts w:hint="eastAsia" w:ascii="仿宋" w:hAnsi="仿宋" w:eastAsia="仿宋" w:cs="仿宋"/>
          <w:sz w:val="28"/>
          <w:szCs w:val="28"/>
          <w:highlight w:val="none"/>
        </w:rPr>
        <w:t>。</w:t>
      </w:r>
    </w:p>
    <w:p w14:paraId="60522452">
      <w:pPr>
        <w:wordWrap w:val="0"/>
        <w:adjustRightInd w:val="0"/>
        <w:snapToGrid w:val="0"/>
        <w:spacing w:line="360" w:lineRule="auto"/>
        <w:ind w:firstLine="48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1.1.6 发包人是指：</w:t>
      </w:r>
      <w:r>
        <w:rPr>
          <w:rFonts w:hint="eastAsia" w:ascii="仿宋" w:hAnsi="仿宋" w:eastAsia="仿宋" w:cs="仿宋"/>
          <w:sz w:val="28"/>
          <w:szCs w:val="28"/>
          <w:highlight w:val="none"/>
          <w:u w:val="single"/>
        </w:rPr>
        <w:t xml:space="preserve">  国科能源（兰州新区）有限公司   。</w:t>
      </w:r>
    </w:p>
    <w:p w14:paraId="49348D3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1.1.17 作为施工场地组成部分的其他场所包括：</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283E3595">
      <w:pPr>
        <w:pStyle w:val="4"/>
        <w:wordWrap w:val="0"/>
        <w:adjustRightInd w:val="0"/>
        <w:snapToGrid w:val="0"/>
        <w:spacing w:before="0" w:after="0" w:line="360" w:lineRule="auto"/>
        <w:rPr>
          <w:rFonts w:hint="eastAsia" w:ascii="仿宋" w:hAnsi="仿宋" w:eastAsia="仿宋" w:cs="仿宋"/>
          <w:sz w:val="28"/>
          <w:szCs w:val="28"/>
          <w:highlight w:val="none"/>
        </w:rPr>
      </w:pPr>
      <w:bookmarkStart w:id="663" w:name="_Toc13917"/>
      <w:bookmarkStart w:id="664" w:name="_Toc28862"/>
      <w:r>
        <w:rPr>
          <w:rFonts w:hint="eastAsia" w:ascii="仿宋" w:hAnsi="仿宋" w:eastAsia="仿宋" w:cs="仿宋"/>
          <w:sz w:val="28"/>
          <w:szCs w:val="28"/>
          <w:highlight w:val="none"/>
        </w:rPr>
        <w:t>1.3 标准和规范</w:t>
      </w:r>
      <w:bookmarkEnd w:id="663"/>
      <w:bookmarkEnd w:id="664"/>
    </w:p>
    <w:p w14:paraId="21FF191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1.3.1 适用于分包工程的标准和规范包括：</w:t>
      </w:r>
    </w:p>
    <w:p w14:paraId="38193337">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分包工程质量应符合以下质量验收标准：工程质量标准满足图纸要求及国家、行业、地方等验收标准。 </w:t>
      </w:r>
    </w:p>
    <w:p w14:paraId="1E4AE105">
      <w:pPr>
        <w:wordWrap w:val="0"/>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《建筑照明设计标准》GB/T50034-2024</w:t>
      </w:r>
    </w:p>
    <w:p w14:paraId="405A67D6">
      <w:pPr>
        <w:wordWrap w:val="0"/>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《工业建筑节能设计统一标准》GB 51245-2017</w:t>
      </w:r>
    </w:p>
    <w:p w14:paraId="452ABD05">
      <w:pPr>
        <w:wordWrap w:val="0"/>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《建筑机电工程抗震设计规范》GB 50981-2014</w:t>
      </w:r>
    </w:p>
    <w:p w14:paraId="629299B9">
      <w:pPr>
        <w:wordWrap w:val="0"/>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《建筑电气工程施工质量验收规范》 GB50303-2015</w:t>
      </w:r>
    </w:p>
    <w:p w14:paraId="17E1EC65">
      <w:pPr>
        <w:wordWrap w:val="0"/>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《建筑电气照明装置施工与验收规范》GB 50617-2010</w:t>
      </w:r>
    </w:p>
    <w:p w14:paraId="083B932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中华人民共和国国家、行业其他现行的有效设计标准、规范、规程和标准图集。</w:t>
      </w:r>
    </w:p>
    <w:p w14:paraId="795200B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1.3.2 分包人对前述标准和要求的了解程度：</w:t>
      </w:r>
      <w:r>
        <w:rPr>
          <w:rFonts w:hint="eastAsia" w:ascii="仿宋" w:hAnsi="仿宋" w:eastAsia="仿宋" w:cs="仿宋"/>
          <w:sz w:val="28"/>
          <w:szCs w:val="28"/>
          <w:highlight w:val="none"/>
          <w:u w:val="single"/>
        </w:rPr>
        <w:t xml:space="preserve">  分包人知晓总包合同中关于本分包工程的相关标准，并承诺按照上述标准完成本分包工程  </w:t>
      </w:r>
      <w:r>
        <w:rPr>
          <w:rFonts w:hint="eastAsia" w:ascii="仿宋" w:hAnsi="仿宋" w:eastAsia="仿宋" w:cs="仿宋"/>
          <w:sz w:val="28"/>
          <w:szCs w:val="28"/>
          <w:highlight w:val="none"/>
        </w:rPr>
        <w:t>。</w:t>
      </w:r>
    </w:p>
    <w:p w14:paraId="25D6D963">
      <w:pPr>
        <w:pStyle w:val="4"/>
        <w:wordWrap w:val="0"/>
        <w:adjustRightInd w:val="0"/>
        <w:snapToGrid w:val="0"/>
        <w:spacing w:before="0" w:after="0" w:line="360" w:lineRule="auto"/>
        <w:rPr>
          <w:rFonts w:hint="eastAsia" w:ascii="仿宋" w:hAnsi="仿宋" w:eastAsia="仿宋" w:cs="仿宋"/>
          <w:sz w:val="28"/>
          <w:szCs w:val="28"/>
          <w:highlight w:val="none"/>
        </w:rPr>
      </w:pPr>
      <w:bookmarkStart w:id="665" w:name="_Toc18234"/>
      <w:bookmarkStart w:id="666" w:name="_Toc24541"/>
      <w:r>
        <w:rPr>
          <w:rFonts w:hint="eastAsia" w:ascii="仿宋" w:hAnsi="仿宋" w:eastAsia="仿宋" w:cs="仿宋"/>
          <w:sz w:val="28"/>
          <w:szCs w:val="28"/>
          <w:highlight w:val="none"/>
        </w:rPr>
        <w:t>1.4 分包合同文件的优先顺序</w:t>
      </w:r>
      <w:bookmarkEnd w:id="665"/>
      <w:bookmarkEnd w:id="666"/>
    </w:p>
    <w:p w14:paraId="2927212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解释分包合同文件的优先顺序为：</w:t>
      </w:r>
    </w:p>
    <w:p w14:paraId="37B2CD05">
      <w:pPr>
        <w:numPr>
          <w:ilvl w:val="0"/>
          <w:numId w:val="6"/>
        </w:num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合同协议书；</w:t>
      </w:r>
    </w:p>
    <w:p w14:paraId="1BE16CD6">
      <w:pPr>
        <w:numPr>
          <w:ilvl w:val="0"/>
          <w:numId w:val="6"/>
        </w:num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专用合同条款及其附件；</w:t>
      </w:r>
    </w:p>
    <w:p w14:paraId="7973CB5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（2）通用合同条款；</w:t>
      </w:r>
    </w:p>
    <w:p w14:paraId="643A2517">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（3）中标通知书（如果有）；</w:t>
      </w:r>
    </w:p>
    <w:p w14:paraId="49F377C5">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（4）投标函及其附录（如果有）；</w:t>
      </w:r>
    </w:p>
    <w:p w14:paraId="28B3990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（5）技术标准和要求；</w:t>
      </w:r>
    </w:p>
    <w:p w14:paraId="0AC48E6E">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（6）图纸；</w:t>
      </w:r>
    </w:p>
    <w:p w14:paraId="61CC52C6">
      <w:pPr>
        <w:wordWrap w:val="0"/>
        <w:autoSpaceDE w:val="0"/>
        <w:autoSpaceDN w:val="0"/>
        <w:adjustRightInd w:val="0"/>
        <w:snapToGrid w:val="0"/>
        <w:spacing w:line="4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（7）已标价工程量清单或预算书；</w:t>
      </w:r>
    </w:p>
    <w:p w14:paraId="5C6217C9">
      <w:pPr>
        <w:wordWrap w:val="0"/>
        <w:autoSpaceDE w:val="0"/>
        <w:autoSpaceDN w:val="0"/>
        <w:adjustRightInd w:val="0"/>
        <w:snapToGrid w:val="0"/>
        <w:spacing w:line="4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（8）其他分包合同文件。</w:t>
      </w:r>
    </w:p>
    <w:p w14:paraId="05EBAC28">
      <w:pPr>
        <w:pStyle w:val="4"/>
        <w:wordWrap w:val="0"/>
        <w:adjustRightInd w:val="0"/>
        <w:snapToGrid w:val="0"/>
        <w:spacing w:before="0" w:after="0" w:line="360" w:lineRule="auto"/>
        <w:rPr>
          <w:rFonts w:hint="eastAsia" w:ascii="仿宋" w:hAnsi="仿宋" w:eastAsia="仿宋" w:cs="仿宋"/>
          <w:sz w:val="30"/>
          <w:szCs w:val="30"/>
          <w:highlight w:val="none"/>
        </w:rPr>
      </w:pPr>
      <w:bookmarkStart w:id="667" w:name="_Toc10587"/>
      <w:bookmarkStart w:id="668" w:name="_Toc10265"/>
      <w:r>
        <w:rPr>
          <w:rFonts w:hint="eastAsia" w:ascii="仿宋" w:hAnsi="仿宋" w:eastAsia="仿宋" w:cs="仿宋"/>
          <w:sz w:val="30"/>
          <w:szCs w:val="30"/>
          <w:highlight w:val="none"/>
        </w:rPr>
        <w:t>1.5 图纸</w:t>
      </w:r>
      <w:bookmarkEnd w:id="667"/>
      <w:bookmarkEnd w:id="668"/>
      <w:r>
        <w:rPr>
          <w:rFonts w:hint="eastAsia" w:ascii="仿宋" w:hAnsi="仿宋" w:eastAsia="仿宋" w:cs="仿宋"/>
          <w:sz w:val="30"/>
          <w:szCs w:val="30"/>
          <w:highlight w:val="none"/>
        </w:rPr>
        <w:tab/>
      </w:r>
    </w:p>
    <w:p w14:paraId="2704D305">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1.5.1 承包人向分包人提供图纸的期限：</w:t>
      </w:r>
      <w:r>
        <w:rPr>
          <w:rFonts w:hint="eastAsia" w:ascii="仿宋" w:hAnsi="仿宋" w:eastAsia="仿宋" w:cs="仿宋"/>
          <w:sz w:val="30"/>
          <w:szCs w:val="30"/>
          <w:highlight w:val="none"/>
          <w:u w:val="single"/>
        </w:rPr>
        <w:t xml:space="preserve">  同通用条款    </w:t>
      </w:r>
      <w:r>
        <w:rPr>
          <w:rFonts w:hint="eastAsia" w:ascii="仿宋" w:hAnsi="仿宋" w:eastAsia="仿宋" w:cs="仿宋"/>
          <w:sz w:val="30"/>
          <w:szCs w:val="30"/>
          <w:highlight w:val="none"/>
        </w:rPr>
        <w:t>；</w:t>
      </w:r>
    </w:p>
    <w:p w14:paraId="3C7787A5">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承包人向分包人提供图纸的数量：</w:t>
      </w:r>
      <w:r>
        <w:rPr>
          <w:rFonts w:hint="eastAsia" w:ascii="仿宋" w:hAnsi="仿宋" w:eastAsia="仿宋" w:cs="仿宋"/>
          <w:sz w:val="30"/>
          <w:szCs w:val="30"/>
          <w:highlight w:val="none"/>
          <w:u w:val="single"/>
        </w:rPr>
        <w:t xml:space="preserve">  1套                </w:t>
      </w:r>
      <w:r>
        <w:rPr>
          <w:rFonts w:hint="eastAsia" w:ascii="仿宋" w:hAnsi="仿宋" w:eastAsia="仿宋" w:cs="仿宋"/>
          <w:sz w:val="30"/>
          <w:szCs w:val="30"/>
          <w:highlight w:val="none"/>
        </w:rPr>
        <w:t>；</w:t>
      </w:r>
    </w:p>
    <w:p w14:paraId="1429112F">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承包人向分包人提供图纸的内容：</w:t>
      </w:r>
      <w:r>
        <w:rPr>
          <w:rFonts w:hint="eastAsia" w:ascii="仿宋" w:hAnsi="仿宋" w:eastAsia="仿宋" w:cs="仿宋"/>
          <w:sz w:val="30"/>
          <w:szCs w:val="30"/>
          <w:highlight w:val="none"/>
          <w:u w:val="single"/>
        </w:rPr>
        <w:t xml:space="preserve">  纸质版一套，配套电子文件</w:t>
      </w:r>
      <w:r>
        <w:rPr>
          <w:rFonts w:hint="eastAsia" w:ascii="仿宋" w:hAnsi="仿宋" w:eastAsia="仿宋" w:cs="仿宋"/>
          <w:sz w:val="30"/>
          <w:szCs w:val="30"/>
          <w:highlight w:val="none"/>
        </w:rPr>
        <w:t>；</w:t>
      </w:r>
    </w:p>
    <w:p w14:paraId="32B63EE2">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分包人应在施工场地保存图纸的份数：</w:t>
      </w:r>
      <w:r>
        <w:rPr>
          <w:rFonts w:hint="eastAsia" w:ascii="仿宋" w:hAnsi="仿宋" w:eastAsia="仿宋" w:cs="仿宋"/>
          <w:sz w:val="30"/>
          <w:szCs w:val="30"/>
          <w:highlight w:val="none"/>
          <w:u w:val="single"/>
        </w:rPr>
        <w:t xml:space="preserve"> 1套             </w:t>
      </w:r>
      <w:r>
        <w:rPr>
          <w:rFonts w:hint="eastAsia" w:ascii="仿宋" w:hAnsi="仿宋" w:eastAsia="仿宋" w:cs="仿宋"/>
          <w:sz w:val="30"/>
          <w:szCs w:val="30"/>
          <w:highlight w:val="none"/>
        </w:rPr>
        <w:t>。</w:t>
      </w:r>
    </w:p>
    <w:p w14:paraId="683902B6">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1.5.3 深化设计</w:t>
      </w:r>
    </w:p>
    <w:p w14:paraId="57B4DD33">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承包人委托分包人进行深化设计的范围及费用承担：</w:t>
      </w:r>
      <w:r>
        <w:rPr>
          <w:rFonts w:hint="eastAsia" w:ascii="仿宋" w:hAnsi="仿宋" w:eastAsia="仿宋" w:cs="仿宋"/>
          <w:sz w:val="30"/>
          <w:szCs w:val="30"/>
          <w:highlight w:val="none"/>
          <w:u w:val="single"/>
        </w:rPr>
        <w:t xml:space="preserve">   分包人需对兰州新区年产30GWh新能源电池生产基地项目(一期)的</w:t>
      </w:r>
      <w:r>
        <w:rPr>
          <w:rFonts w:hint="eastAsia" w:ascii="仿宋" w:hAnsi="仿宋" w:eastAsia="仿宋" w:cs="仿宋"/>
          <w:sz w:val="30"/>
          <w:szCs w:val="30"/>
          <w:highlight w:val="none"/>
          <w:u w:val="single"/>
          <w:lang w:val="en-US" w:eastAsia="zh-CN"/>
        </w:rPr>
        <w:t>电气（一标段）</w:t>
      </w:r>
      <w:r>
        <w:rPr>
          <w:rFonts w:hint="eastAsia" w:ascii="仿宋" w:hAnsi="仿宋" w:eastAsia="仿宋" w:cs="仿宋"/>
          <w:sz w:val="30"/>
          <w:szCs w:val="30"/>
          <w:highlight w:val="none"/>
          <w:u w:val="single"/>
        </w:rPr>
        <w:t>图纸进行二次设计与优化，相关费用在报价中综合考虑，承包人不再对其进行单列或签证。</w:t>
      </w:r>
    </w:p>
    <w:p w14:paraId="3ED03637">
      <w:pPr>
        <w:pStyle w:val="4"/>
        <w:wordWrap w:val="0"/>
        <w:adjustRightInd w:val="0"/>
        <w:snapToGrid w:val="0"/>
        <w:spacing w:before="0" w:after="0" w:line="360" w:lineRule="auto"/>
        <w:rPr>
          <w:rFonts w:hint="eastAsia" w:ascii="仿宋" w:hAnsi="仿宋" w:eastAsia="仿宋" w:cs="仿宋"/>
          <w:sz w:val="30"/>
          <w:szCs w:val="30"/>
          <w:highlight w:val="none"/>
        </w:rPr>
      </w:pPr>
      <w:bookmarkStart w:id="669" w:name="_Toc32392"/>
      <w:bookmarkStart w:id="670" w:name="_Toc12736"/>
      <w:r>
        <w:rPr>
          <w:rFonts w:hint="eastAsia" w:ascii="仿宋" w:hAnsi="仿宋" w:eastAsia="仿宋" w:cs="仿宋"/>
          <w:sz w:val="30"/>
          <w:szCs w:val="30"/>
          <w:highlight w:val="none"/>
        </w:rPr>
        <w:t>1.6 联络</w:t>
      </w:r>
      <w:bookmarkEnd w:id="669"/>
      <w:bookmarkEnd w:id="670"/>
    </w:p>
    <w:p w14:paraId="12AE81B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1" w:name="_Toc32328"/>
      <w:r>
        <w:rPr>
          <w:rFonts w:hint="eastAsia" w:ascii="仿宋" w:hAnsi="仿宋" w:eastAsia="仿宋" w:cs="仿宋"/>
          <w:sz w:val="28"/>
          <w:szCs w:val="28"/>
          <w:highlight w:val="none"/>
        </w:rPr>
        <w:t>在本合同中,除非另有规定或双方另行书面约定,任何一方向对方发出的通知、指令或函件以及诉讼文书（如有）均应采用书面形式,双方确认本合同以下地址为各自的送达地址。</w:t>
      </w:r>
      <w:bookmarkEnd w:id="671"/>
    </w:p>
    <w:p w14:paraId="6411E8E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2" w:name="_Toc20087"/>
      <w:r>
        <w:rPr>
          <w:rFonts w:hint="eastAsia" w:ascii="仿宋" w:hAnsi="仿宋" w:eastAsia="仿宋" w:cs="仿宋"/>
          <w:sz w:val="28"/>
          <w:szCs w:val="28"/>
          <w:highlight w:val="none"/>
        </w:rPr>
        <w:t>承包人接收文件的地点：</w:t>
      </w:r>
      <w:r>
        <w:rPr>
          <w:rFonts w:hint="eastAsia" w:ascii="仿宋" w:hAnsi="仿宋" w:eastAsia="仿宋" w:cs="仿宋"/>
          <w:sz w:val="28"/>
          <w:szCs w:val="28"/>
          <w:highlight w:val="none"/>
          <w:u w:val="single"/>
        </w:rPr>
        <w:t xml:space="preserve">  兰州新区年产30GWh新能源电池生产基地项目(一期)中机国际项目部</w:t>
      </w:r>
      <w:r>
        <w:rPr>
          <w:rFonts w:hint="eastAsia" w:ascii="仿宋" w:hAnsi="仿宋" w:eastAsia="仿宋" w:cs="仿宋"/>
          <w:sz w:val="28"/>
          <w:szCs w:val="28"/>
          <w:highlight w:val="none"/>
        </w:rPr>
        <w:t>；</w:t>
      </w:r>
      <w:bookmarkEnd w:id="672"/>
    </w:p>
    <w:p w14:paraId="5F6B097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3" w:name="_Toc22006"/>
      <w:r>
        <w:rPr>
          <w:rFonts w:hint="eastAsia" w:ascii="仿宋" w:hAnsi="仿宋" w:eastAsia="仿宋" w:cs="仿宋"/>
          <w:sz w:val="28"/>
          <w:szCs w:val="28"/>
          <w:highlight w:val="none"/>
        </w:rPr>
        <w:t>承包人指定的接收人为：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u w:val="single"/>
        </w:rPr>
        <w:t xml:space="preserve">      </w:t>
      </w:r>
      <w:bookmarkEnd w:id="673"/>
      <w:r>
        <w:rPr>
          <w:rFonts w:hint="eastAsia" w:ascii="仿宋" w:hAnsi="仿宋" w:eastAsia="仿宋" w:cs="仿宋"/>
          <w:sz w:val="28"/>
          <w:szCs w:val="28"/>
          <w:highlight w:val="none"/>
        </w:rPr>
        <w:t xml:space="preserve">，电子信箱：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C0BBB2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4" w:name="_Toc18569"/>
      <w:r>
        <w:rPr>
          <w:rFonts w:hint="eastAsia" w:ascii="仿宋" w:hAnsi="仿宋" w:eastAsia="仿宋" w:cs="仿宋"/>
          <w:sz w:val="28"/>
          <w:szCs w:val="28"/>
          <w:highlight w:val="none"/>
        </w:rPr>
        <w:t>分包人接收文件的地点：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bookmarkEnd w:id="674"/>
    </w:p>
    <w:p w14:paraId="28E7D98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5" w:name="_Toc16909"/>
      <w:r>
        <w:rPr>
          <w:rFonts w:hint="eastAsia" w:ascii="仿宋" w:hAnsi="仿宋" w:eastAsia="仿宋" w:cs="仿宋"/>
          <w:sz w:val="28"/>
          <w:szCs w:val="28"/>
          <w:highlight w:val="none"/>
        </w:rPr>
        <w:t>分包人指定的接收人为：              ，联系方式：             ，电子信箱：                     。</w:t>
      </w:r>
      <w:bookmarkEnd w:id="675"/>
      <w:bookmarkStart w:id="676" w:name="_Toc23668"/>
    </w:p>
    <w:p w14:paraId="44A3537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任何一方如发生其名称、相关收件人、地址、联系方式的变更情况，但未书面通知另一方的，视为未发生变更，通知和送达仍以本合同的相关约定为准，由此造成的一切损失及责任均由未通知方自行承担。</w:t>
      </w:r>
      <w:bookmarkEnd w:id="676"/>
    </w:p>
    <w:p w14:paraId="4A294CC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7" w:name="_Toc18519"/>
      <w:r>
        <w:rPr>
          <w:rFonts w:hint="eastAsia" w:ascii="仿宋" w:hAnsi="仿宋" w:eastAsia="仿宋" w:cs="仿宋"/>
          <w:sz w:val="28"/>
          <w:szCs w:val="28"/>
          <w:highlight w:val="none"/>
        </w:rPr>
        <w:t>以手机短信或电子邮件方式通知的，自通知方发出手机短信或电子邮件时送达。以书面邮件通知的，自被通知方签收（含公司前台、同事、他人代收的）时送达；当出现被通知方拒绝签收、被通知方不在收件地址、被通知方联系不上等原因而发生退回的，自邮件退回之日视为送达。</w:t>
      </w:r>
      <w:bookmarkEnd w:id="677"/>
    </w:p>
    <w:p w14:paraId="13EDB7FB">
      <w:pPr>
        <w:pStyle w:val="4"/>
        <w:wordWrap w:val="0"/>
        <w:adjustRightInd w:val="0"/>
        <w:snapToGrid w:val="0"/>
        <w:spacing w:before="0" w:after="0" w:line="360" w:lineRule="auto"/>
        <w:rPr>
          <w:rFonts w:hint="eastAsia" w:ascii="仿宋" w:hAnsi="仿宋" w:eastAsia="仿宋" w:cs="仿宋"/>
          <w:sz w:val="28"/>
          <w:szCs w:val="28"/>
          <w:highlight w:val="none"/>
        </w:rPr>
      </w:pPr>
      <w:bookmarkStart w:id="678" w:name="_Toc11689"/>
      <w:bookmarkStart w:id="679" w:name="_Toc13763"/>
      <w:r>
        <w:rPr>
          <w:rFonts w:hint="eastAsia" w:ascii="仿宋" w:hAnsi="仿宋" w:eastAsia="仿宋" w:cs="仿宋"/>
          <w:sz w:val="28"/>
          <w:szCs w:val="28"/>
          <w:highlight w:val="none"/>
        </w:rPr>
        <w:t>1.8 知识产权</w:t>
      </w:r>
      <w:bookmarkEnd w:id="678"/>
      <w:bookmarkEnd w:id="679"/>
    </w:p>
    <w:p w14:paraId="039920B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1.8.3 分包人在合同签订前和签订时已确定采用的专利、专有技术、技术秘密的使用费：</w:t>
      </w:r>
      <w:r>
        <w:rPr>
          <w:rFonts w:hint="eastAsia" w:ascii="仿宋" w:hAnsi="仿宋" w:eastAsia="仿宋" w:cs="仿宋"/>
          <w:sz w:val="28"/>
          <w:szCs w:val="28"/>
          <w:highlight w:val="none"/>
          <w:u w:val="single"/>
        </w:rPr>
        <w:t xml:space="preserve">按通用条款执行           </w:t>
      </w:r>
      <w:r>
        <w:rPr>
          <w:rFonts w:hint="eastAsia" w:ascii="仿宋" w:hAnsi="仿宋" w:eastAsia="仿宋" w:cs="仿宋"/>
          <w:sz w:val="28"/>
          <w:szCs w:val="28"/>
          <w:highlight w:val="none"/>
        </w:rPr>
        <w:t>。</w:t>
      </w:r>
    </w:p>
    <w:p w14:paraId="3D764C4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80" w:name="_Toc12141"/>
      <w:bookmarkStart w:id="681" w:name="_Toc28564"/>
      <w:r>
        <w:rPr>
          <w:rFonts w:hint="eastAsia" w:ascii="仿宋" w:hAnsi="仿宋" w:eastAsia="仿宋" w:cs="仿宋"/>
          <w:sz w:val="28"/>
          <w:szCs w:val="28"/>
          <w:highlight w:val="none"/>
        </w:rPr>
        <w:t>2. 承包人</w:t>
      </w:r>
      <w:bookmarkEnd w:id="680"/>
      <w:bookmarkEnd w:id="681"/>
    </w:p>
    <w:p w14:paraId="4EFC2486">
      <w:pPr>
        <w:pStyle w:val="4"/>
        <w:wordWrap w:val="0"/>
        <w:adjustRightInd w:val="0"/>
        <w:snapToGrid w:val="0"/>
        <w:spacing w:before="0" w:after="0" w:line="360" w:lineRule="auto"/>
        <w:rPr>
          <w:rFonts w:hint="eastAsia" w:ascii="仿宋" w:hAnsi="仿宋" w:eastAsia="仿宋" w:cs="仿宋"/>
          <w:sz w:val="28"/>
          <w:szCs w:val="28"/>
          <w:highlight w:val="none"/>
        </w:rPr>
      </w:pPr>
      <w:bookmarkStart w:id="682" w:name="_Toc14223"/>
      <w:bookmarkStart w:id="683" w:name="_Toc27152"/>
      <w:r>
        <w:rPr>
          <w:rFonts w:hint="eastAsia" w:ascii="仿宋" w:hAnsi="仿宋" w:eastAsia="仿宋" w:cs="仿宋"/>
          <w:sz w:val="28"/>
          <w:szCs w:val="28"/>
          <w:highlight w:val="none"/>
        </w:rPr>
        <w:t>2.2 提供基础资料、施工条件</w:t>
      </w:r>
      <w:bookmarkEnd w:id="682"/>
      <w:bookmarkEnd w:id="683"/>
    </w:p>
    <w:p w14:paraId="5E99B56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2.2.2 承包人移交施工场地的期限：</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1EBD6FD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（4）承包人负责提供的其他设施和条件：</w:t>
      </w:r>
      <w:r>
        <w:rPr>
          <w:rFonts w:hint="eastAsia" w:ascii="仿宋" w:hAnsi="仿宋" w:eastAsia="仿宋" w:cs="仿宋"/>
          <w:sz w:val="28"/>
          <w:szCs w:val="28"/>
          <w:highlight w:val="none"/>
          <w:u w:val="single"/>
        </w:rPr>
        <w:t xml:space="preserve"> 总包单位不提供分包管理人员与工人的食宿条件以及办公场所，由分包方自行解决      </w:t>
      </w:r>
      <w:r>
        <w:rPr>
          <w:rFonts w:hint="eastAsia" w:ascii="仿宋" w:hAnsi="仿宋" w:eastAsia="仿宋" w:cs="仿宋"/>
          <w:sz w:val="28"/>
          <w:szCs w:val="28"/>
          <w:highlight w:val="none"/>
        </w:rPr>
        <w:t>。</w:t>
      </w:r>
    </w:p>
    <w:p w14:paraId="7674AB21">
      <w:pPr>
        <w:pStyle w:val="4"/>
        <w:wordWrap w:val="0"/>
        <w:adjustRightInd w:val="0"/>
        <w:snapToGrid w:val="0"/>
        <w:spacing w:before="0" w:after="0" w:line="360" w:lineRule="auto"/>
        <w:rPr>
          <w:rFonts w:hint="eastAsia" w:ascii="仿宋" w:hAnsi="仿宋" w:eastAsia="仿宋" w:cs="仿宋"/>
          <w:sz w:val="28"/>
          <w:szCs w:val="28"/>
          <w:highlight w:val="none"/>
        </w:rPr>
      </w:pPr>
      <w:bookmarkStart w:id="684" w:name="_Toc1596"/>
      <w:bookmarkStart w:id="685" w:name="_Toc22103"/>
      <w:r>
        <w:rPr>
          <w:rFonts w:hint="eastAsia" w:ascii="仿宋" w:hAnsi="仿宋" w:eastAsia="仿宋" w:cs="仿宋"/>
          <w:sz w:val="28"/>
          <w:szCs w:val="28"/>
          <w:highlight w:val="none"/>
        </w:rPr>
        <w:t>2.3 承包人项目经理</w:t>
      </w:r>
      <w:bookmarkEnd w:id="684"/>
      <w:bookmarkEnd w:id="685"/>
    </w:p>
    <w:p w14:paraId="2814606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    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B52BB7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    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C0C23E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46426CA3">
      <w:pPr>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承包人对项目经理的授权范围：</w:t>
      </w:r>
      <w:r>
        <w:rPr>
          <w:rFonts w:hint="eastAsia" w:ascii="仿宋" w:hAnsi="仿宋" w:eastAsia="仿宋" w:cs="仿宋"/>
          <w:sz w:val="28"/>
          <w:szCs w:val="28"/>
          <w:highlight w:val="none"/>
          <w:u w:val="single"/>
        </w:rPr>
        <w:t>承包人委托其全面负责工程的组织、联络、管理、监督与协调工作。除非承包人委托的书面认可，其它任何人员签发、签认的可能引起合同纠纷的书面材料在本合同中均属无效，同时不会对合同单价或总价形成调整。除非承包人另有书面授权或事后书面确认，项目经理不得作出构成本合同合同量、合同单价、合同价款增加的口头承诺或书面文件；已经作出的，不得纳入承包人、分包人双方结算范围。</w:t>
      </w:r>
    </w:p>
    <w:p w14:paraId="626F016D">
      <w:pPr>
        <w:pStyle w:val="4"/>
        <w:wordWrap w:val="0"/>
        <w:adjustRightInd w:val="0"/>
        <w:snapToGrid w:val="0"/>
        <w:spacing w:before="0" w:after="0" w:line="360" w:lineRule="auto"/>
        <w:rPr>
          <w:rFonts w:hint="eastAsia" w:ascii="仿宋" w:hAnsi="仿宋" w:eastAsia="仿宋" w:cs="仿宋"/>
          <w:sz w:val="28"/>
          <w:szCs w:val="28"/>
          <w:highlight w:val="none"/>
        </w:rPr>
      </w:pPr>
      <w:bookmarkStart w:id="686" w:name="_Toc26881"/>
      <w:bookmarkStart w:id="687" w:name="_Toc20905"/>
      <w:r>
        <w:rPr>
          <w:rFonts w:hint="eastAsia" w:ascii="仿宋" w:hAnsi="仿宋" w:eastAsia="仿宋" w:cs="仿宋"/>
          <w:sz w:val="28"/>
          <w:szCs w:val="28"/>
          <w:highlight w:val="none"/>
        </w:rPr>
        <w:t>2.4 指令</w:t>
      </w:r>
      <w:bookmarkEnd w:id="686"/>
      <w:bookmarkEnd w:id="687"/>
    </w:p>
    <w:p w14:paraId="34ED7A36">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就分包工程范围内的有关工作，承包人随时可以向分包人发出指令，分包人应执行；若分包人拒不执行指令，承包人可委托其他施工单位完成该指令事项，发生的费用从应付分包人的相应款项中扣除；若分包人完成工作不符合要求或承包人认为分包人无力完成分包工程，承包人可单方终止合同。</w:t>
      </w:r>
    </w:p>
    <w:p w14:paraId="4416FAAC">
      <w:pPr>
        <w:pStyle w:val="4"/>
        <w:wordWrap w:val="0"/>
        <w:adjustRightInd w:val="0"/>
        <w:snapToGrid w:val="0"/>
        <w:spacing w:before="0" w:after="0" w:line="360" w:lineRule="auto"/>
        <w:rPr>
          <w:rFonts w:hint="eastAsia" w:ascii="仿宋" w:hAnsi="仿宋" w:eastAsia="仿宋" w:cs="仿宋"/>
          <w:sz w:val="28"/>
          <w:szCs w:val="28"/>
          <w:highlight w:val="none"/>
        </w:rPr>
      </w:pPr>
      <w:bookmarkStart w:id="688" w:name="_Toc17137"/>
      <w:bookmarkStart w:id="689" w:name="_Toc10869"/>
      <w:r>
        <w:rPr>
          <w:rFonts w:hint="eastAsia" w:ascii="仿宋" w:hAnsi="仿宋" w:eastAsia="仿宋" w:cs="仿宋"/>
          <w:sz w:val="28"/>
          <w:szCs w:val="28"/>
          <w:highlight w:val="none"/>
        </w:rPr>
        <w:t>3. 分包人</w:t>
      </w:r>
      <w:bookmarkEnd w:id="688"/>
      <w:bookmarkEnd w:id="689"/>
    </w:p>
    <w:p w14:paraId="489A8B6F">
      <w:pPr>
        <w:pStyle w:val="4"/>
        <w:wordWrap w:val="0"/>
        <w:adjustRightInd w:val="0"/>
        <w:snapToGrid w:val="0"/>
        <w:spacing w:before="0" w:after="0" w:line="360" w:lineRule="auto"/>
        <w:rPr>
          <w:rFonts w:hint="eastAsia" w:ascii="仿宋" w:hAnsi="仿宋" w:eastAsia="仿宋" w:cs="仿宋"/>
          <w:sz w:val="28"/>
          <w:szCs w:val="28"/>
          <w:highlight w:val="none"/>
        </w:rPr>
      </w:pPr>
      <w:bookmarkStart w:id="690" w:name="_Toc18078"/>
      <w:bookmarkStart w:id="691" w:name="_Toc14835"/>
      <w:r>
        <w:rPr>
          <w:rFonts w:hint="eastAsia" w:ascii="仿宋" w:hAnsi="仿宋" w:eastAsia="仿宋" w:cs="仿宋"/>
          <w:sz w:val="28"/>
          <w:szCs w:val="28"/>
          <w:highlight w:val="none"/>
        </w:rPr>
        <w:t>3.1 分包人的一般义务</w:t>
      </w:r>
      <w:bookmarkEnd w:id="690"/>
      <w:bookmarkEnd w:id="691"/>
    </w:p>
    <w:p w14:paraId="7400AED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3.1.1 由分包人</w:t>
      </w:r>
      <w:r>
        <w:rPr>
          <w:rFonts w:hint="eastAsia" w:ascii="仿宋" w:hAnsi="仿宋" w:eastAsia="仿宋" w:cs="仿宋"/>
          <w:kern w:val="0"/>
          <w:sz w:val="28"/>
          <w:szCs w:val="28"/>
          <w:highlight w:val="none"/>
        </w:rPr>
        <w:t>办理的许可和批准手续包括</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60642829">
      <w:pPr>
        <w:pStyle w:val="4"/>
        <w:wordWrap w:val="0"/>
        <w:adjustRightInd w:val="0"/>
        <w:snapToGrid w:val="0"/>
        <w:spacing w:before="0" w:after="0" w:line="360" w:lineRule="auto"/>
        <w:rPr>
          <w:rFonts w:hint="eastAsia" w:ascii="仿宋" w:hAnsi="仿宋" w:eastAsia="仿宋" w:cs="仿宋"/>
          <w:sz w:val="28"/>
          <w:szCs w:val="28"/>
          <w:highlight w:val="none"/>
        </w:rPr>
      </w:pPr>
      <w:bookmarkStart w:id="692" w:name="_Toc3932"/>
      <w:bookmarkStart w:id="693" w:name="_Toc32379"/>
      <w:r>
        <w:rPr>
          <w:rFonts w:hint="eastAsia" w:ascii="仿宋" w:hAnsi="仿宋" w:eastAsia="仿宋" w:cs="仿宋"/>
          <w:sz w:val="28"/>
          <w:szCs w:val="28"/>
          <w:highlight w:val="none"/>
        </w:rPr>
        <w:t>3.2 分包人项目经理和其他主要项目管理人员</w:t>
      </w:r>
      <w:bookmarkEnd w:id="692"/>
      <w:bookmarkEnd w:id="693"/>
    </w:p>
    <w:p w14:paraId="391DCE3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3.2.1 分包人提交项目管理机构及施工人员安排报告的期限：</w:t>
      </w:r>
      <w:r>
        <w:rPr>
          <w:rFonts w:hint="eastAsia" w:ascii="仿宋" w:hAnsi="仿宋" w:eastAsia="仿宋" w:cs="仿宋"/>
          <w:sz w:val="28"/>
          <w:szCs w:val="28"/>
          <w:highlight w:val="none"/>
          <w:u w:val="single"/>
        </w:rPr>
        <w:t xml:space="preserve">  同通用合同   </w:t>
      </w:r>
      <w:r>
        <w:rPr>
          <w:rFonts w:hint="eastAsia" w:ascii="仿宋" w:hAnsi="仿宋" w:eastAsia="仿宋" w:cs="仿宋"/>
          <w:sz w:val="28"/>
          <w:szCs w:val="28"/>
          <w:highlight w:val="none"/>
        </w:rPr>
        <w:t>。</w:t>
      </w:r>
    </w:p>
    <w:p w14:paraId="67D06D7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分包人项目经理信息：</w:t>
      </w:r>
    </w:p>
    <w:p w14:paraId="2C5796D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    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77048A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    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178019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身份证号：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2B612C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建造师执业资格等级：</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E71004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建造师注册证书号：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115EDC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4B7E6A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电子信箱：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C56835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通信地址：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A85FD5">
      <w:pPr>
        <w:wordWrap w:val="0"/>
        <w:spacing w:before="156" w:beforeLines="50" w:after="156" w:afterLines="50"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分包人对分包人项目经理的授权范围：</w:t>
      </w:r>
      <w:r>
        <w:rPr>
          <w:rFonts w:hint="eastAsia" w:ascii="仿宋" w:hAnsi="仿宋" w:eastAsia="仿宋" w:cs="仿宋"/>
          <w:sz w:val="28"/>
          <w:szCs w:val="28"/>
          <w:highlight w:val="none"/>
          <w:u w:val="single"/>
        </w:rPr>
        <w:t>详见附件4分包人主要项目管理人员表。</w:t>
      </w:r>
    </w:p>
    <w:p w14:paraId="5DF6DA3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3.2.2 分包人项目经理是否可以兼任其他项目的项目经理：</w:t>
      </w:r>
      <w:r>
        <w:rPr>
          <w:rFonts w:hint="eastAsia" w:ascii="仿宋" w:hAnsi="仿宋" w:eastAsia="仿宋" w:cs="仿宋"/>
          <w:sz w:val="28"/>
          <w:szCs w:val="28"/>
          <w:highlight w:val="none"/>
          <w:u w:val="single"/>
        </w:rPr>
        <w:t xml:space="preserve">   不可以 </w:t>
      </w:r>
      <w:r>
        <w:rPr>
          <w:rFonts w:hint="eastAsia" w:ascii="仿宋" w:hAnsi="仿宋" w:eastAsia="仿宋" w:cs="仿宋"/>
          <w:sz w:val="28"/>
          <w:szCs w:val="28"/>
          <w:highlight w:val="none"/>
        </w:rPr>
        <w:t>。</w:t>
      </w:r>
    </w:p>
    <w:p w14:paraId="1D5C1E2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分包人项目经理兼任其他项目的项目经理的违约责任：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145C3A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3.2.3 分包人项目经理和其他主要项目管理人员擅自离开施工场地的违约责任：</w:t>
      </w:r>
      <w:r>
        <w:rPr>
          <w:rFonts w:hint="eastAsia" w:ascii="仿宋" w:hAnsi="仿宋" w:eastAsia="仿宋" w:cs="仿宋"/>
          <w:sz w:val="28"/>
          <w:szCs w:val="28"/>
          <w:highlight w:val="none"/>
          <w:u w:val="single"/>
        </w:rPr>
        <w:t>如工作时间一次不在岗超过2小时，分包人自愿承担违约金500元/次。五次以上的，承包人有权要求分包人更换项目经理，负责办理相关更换手续及承担相应费用，并向承包人支付50000元违约金</w:t>
      </w:r>
      <w:r>
        <w:rPr>
          <w:rFonts w:hint="eastAsia" w:ascii="仿宋" w:hAnsi="仿宋" w:eastAsia="仿宋" w:cs="仿宋"/>
          <w:sz w:val="28"/>
          <w:szCs w:val="28"/>
          <w:highlight w:val="none"/>
        </w:rPr>
        <w:t>。</w:t>
      </w:r>
    </w:p>
    <w:p w14:paraId="1D72E7B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3.2.4 分包人擅自更换</w:t>
      </w:r>
      <w:r>
        <w:rPr>
          <w:rFonts w:hint="eastAsia" w:ascii="仿宋" w:hAnsi="仿宋" w:eastAsia="仿宋" w:cs="仿宋"/>
          <w:kern w:val="0"/>
          <w:sz w:val="28"/>
          <w:szCs w:val="28"/>
          <w:highlight w:val="none"/>
        </w:rPr>
        <w:t>分包人项目经理或其他主要项目管理人员的违约责任：</w:t>
      </w:r>
      <w:r>
        <w:rPr>
          <w:rFonts w:hint="eastAsia" w:ascii="仿宋" w:hAnsi="仿宋" w:eastAsia="仿宋" w:cs="仿宋"/>
          <w:kern w:val="0"/>
          <w:sz w:val="28"/>
          <w:szCs w:val="28"/>
          <w:highlight w:val="none"/>
          <w:u w:val="single"/>
        </w:rPr>
        <w:t>承包人有权解除本合同，分包人应向承包人支付本合同总价款20%违约金，由此给承包人造成的损失分包人应全额赔偿。</w:t>
      </w:r>
    </w:p>
    <w:p w14:paraId="6C9E8D2E">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分包人无正当理由拒绝更换分包人项目经理</w:t>
      </w:r>
      <w:r>
        <w:rPr>
          <w:rFonts w:hint="eastAsia" w:ascii="仿宋" w:hAnsi="仿宋" w:eastAsia="仿宋" w:cs="仿宋"/>
          <w:kern w:val="0"/>
          <w:sz w:val="28"/>
          <w:szCs w:val="28"/>
          <w:highlight w:val="none"/>
        </w:rPr>
        <w:t>或其他主要项目管理人员</w:t>
      </w:r>
      <w:r>
        <w:rPr>
          <w:rFonts w:hint="eastAsia" w:ascii="仿宋" w:hAnsi="仿宋" w:eastAsia="仿宋" w:cs="仿宋"/>
          <w:sz w:val="28"/>
          <w:szCs w:val="28"/>
          <w:highlight w:val="none"/>
        </w:rPr>
        <w:t>的违约责任：</w:t>
      </w:r>
      <w:r>
        <w:rPr>
          <w:rFonts w:hint="eastAsia" w:ascii="仿宋" w:hAnsi="仿宋" w:eastAsia="仿宋" w:cs="仿宋"/>
          <w:sz w:val="28"/>
          <w:szCs w:val="28"/>
          <w:highlight w:val="none"/>
          <w:u w:val="single"/>
        </w:rPr>
        <w:t>承包人有权解除本合同，分包人应向承包人支付本合同总价款20%违约金，由此给承包人造成的损失分包人应全额赔偿。</w:t>
      </w:r>
    </w:p>
    <w:p w14:paraId="4A0DF7E5">
      <w:pPr>
        <w:pStyle w:val="4"/>
        <w:wordWrap w:val="0"/>
        <w:adjustRightInd w:val="0"/>
        <w:snapToGrid w:val="0"/>
        <w:spacing w:before="0" w:after="0" w:line="360" w:lineRule="auto"/>
        <w:rPr>
          <w:rFonts w:hint="eastAsia" w:ascii="仿宋" w:hAnsi="仿宋" w:eastAsia="仿宋" w:cs="仿宋"/>
          <w:sz w:val="28"/>
          <w:szCs w:val="28"/>
          <w:highlight w:val="none"/>
        </w:rPr>
      </w:pPr>
      <w:bookmarkStart w:id="694" w:name="_Toc29156"/>
      <w:bookmarkStart w:id="695" w:name="_Toc17698"/>
      <w:r>
        <w:rPr>
          <w:rFonts w:hint="eastAsia" w:ascii="仿宋" w:hAnsi="仿宋" w:eastAsia="仿宋" w:cs="仿宋"/>
          <w:sz w:val="28"/>
          <w:szCs w:val="28"/>
          <w:highlight w:val="none"/>
        </w:rPr>
        <w:t>3.3 特殊工种上岗作业要求</w:t>
      </w:r>
      <w:bookmarkEnd w:id="694"/>
      <w:bookmarkEnd w:id="695"/>
    </w:p>
    <w:p w14:paraId="33D754A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特殊工种作业人员无证上岗的违约责任：</w:t>
      </w:r>
      <w:r>
        <w:rPr>
          <w:rFonts w:hint="eastAsia" w:ascii="仿宋" w:hAnsi="仿宋" w:eastAsia="仿宋" w:cs="仿宋"/>
          <w:sz w:val="28"/>
          <w:szCs w:val="28"/>
          <w:highlight w:val="none"/>
          <w:u w:val="single"/>
        </w:rPr>
        <w:t>本工程特种作业人员(如高处作业、电力作业、施工机械等)进场施工前，分包人必须将特种作业人员身份证明原件、已购保险证明原件、特种作业证书等资料报承包人代表审核。未经审核或经审核不合格，特种作业人员进场施工的，视为分包人违约，分包人支付承包人2000元/人/次的违约金，如造成其他严重后果的，由分包人承担一切责任，由此给承包人造成损失的应自损失发生之日起3日内全额赔偿，逾期未赔偿的按应赔偿金额的5‰/天承担违约金</w:t>
      </w:r>
      <w:r>
        <w:rPr>
          <w:rFonts w:hint="eastAsia" w:ascii="仿宋" w:hAnsi="仿宋" w:eastAsia="仿宋" w:cs="仿宋"/>
          <w:sz w:val="28"/>
          <w:szCs w:val="28"/>
          <w:highlight w:val="none"/>
        </w:rPr>
        <w:t>。</w:t>
      </w:r>
    </w:p>
    <w:p w14:paraId="6F179338">
      <w:pPr>
        <w:pStyle w:val="4"/>
        <w:wordWrap w:val="0"/>
        <w:adjustRightInd w:val="0"/>
        <w:snapToGrid w:val="0"/>
        <w:spacing w:before="0" w:after="0" w:line="360" w:lineRule="auto"/>
        <w:rPr>
          <w:rFonts w:hint="eastAsia" w:ascii="仿宋" w:hAnsi="仿宋" w:eastAsia="仿宋" w:cs="仿宋"/>
          <w:sz w:val="28"/>
          <w:szCs w:val="28"/>
          <w:highlight w:val="none"/>
        </w:rPr>
      </w:pPr>
      <w:bookmarkStart w:id="696" w:name="_Toc23450"/>
      <w:bookmarkStart w:id="697" w:name="_Toc31930"/>
      <w:r>
        <w:rPr>
          <w:rFonts w:hint="eastAsia" w:ascii="仿宋" w:hAnsi="仿宋" w:eastAsia="仿宋" w:cs="仿宋"/>
          <w:sz w:val="28"/>
          <w:szCs w:val="28"/>
          <w:highlight w:val="none"/>
        </w:rPr>
        <w:t>3.4 禁止转包和再分包</w:t>
      </w:r>
      <w:bookmarkEnd w:id="696"/>
      <w:bookmarkEnd w:id="697"/>
    </w:p>
    <w:p w14:paraId="6F3D8FE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3.4.1 分包人转包分包工程的违约责任：</w:t>
      </w:r>
      <w:r>
        <w:rPr>
          <w:rFonts w:hint="eastAsia" w:ascii="仿宋" w:hAnsi="仿宋" w:eastAsia="仿宋" w:cs="仿宋"/>
          <w:kern w:val="0"/>
          <w:sz w:val="28"/>
          <w:szCs w:val="28"/>
          <w:highlight w:val="none"/>
          <w:u w:val="single"/>
        </w:rPr>
        <w:t>分包人应及时纠正，赔偿由此给承包人造成的全部损失，并向承包人支付合同总价10%的违约金。如分包人经通知后仍不纠正，承包人有权单方解除合同。</w:t>
      </w:r>
    </w:p>
    <w:p w14:paraId="6F7856D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3.4.2 分包人违法分包工程的违约责任：</w:t>
      </w:r>
      <w:r>
        <w:rPr>
          <w:rFonts w:hint="eastAsia" w:ascii="仿宋" w:hAnsi="仿宋" w:eastAsia="仿宋" w:cs="仿宋"/>
          <w:kern w:val="0"/>
          <w:sz w:val="28"/>
          <w:szCs w:val="28"/>
          <w:highlight w:val="none"/>
          <w:u w:val="single"/>
        </w:rPr>
        <w:t>分包人应及时纠正，赔偿由此给承包人造成的全部损失，并向承包人支付合同总价10%的违约金。如分包人经通知后仍不纠正，承包人有权单方解除合同。</w:t>
      </w:r>
    </w:p>
    <w:p w14:paraId="0FA43721">
      <w:pPr>
        <w:pStyle w:val="4"/>
        <w:wordWrap w:val="0"/>
        <w:adjustRightInd w:val="0"/>
        <w:snapToGrid w:val="0"/>
        <w:spacing w:before="0" w:after="0" w:line="360" w:lineRule="auto"/>
        <w:rPr>
          <w:rFonts w:hint="eastAsia" w:ascii="仿宋" w:hAnsi="仿宋" w:eastAsia="仿宋" w:cs="仿宋"/>
          <w:sz w:val="28"/>
          <w:szCs w:val="28"/>
          <w:highlight w:val="none"/>
        </w:rPr>
      </w:pPr>
      <w:bookmarkStart w:id="698" w:name="_Toc21468"/>
      <w:r>
        <w:rPr>
          <w:rFonts w:hint="eastAsia" w:ascii="仿宋" w:hAnsi="仿宋" w:eastAsia="仿宋" w:cs="仿宋"/>
          <w:sz w:val="28"/>
          <w:szCs w:val="28"/>
          <w:highlight w:val="none"/>
        </w:rPr>
        <w:t>3.5 履约担保</w:t>
      </w:r>
      <w:bookmarkEnd w:id="698"/>
    </w:p>
    <w:p w14:paraId="09A8C541">
      <w:pPr>
        <w:wordWrap w:val="0"/>
        <w:adjustRightInd w:val="0"/>
        <w:snapToGrid w:val="0"/>
        <w:spacing w:line="360" w:lineRule="auto"/>
        <w:ind w:firstLine="560" w:firstLineChars="200"/>
        <w:jc w:val="left"/>
        <w:rPr>
          <w:rFonts w:hint="default"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无履约担保</w:t>
      </w:r>
    </w:p>
    <w:p w14:paraId="655B63D1">
      <w:pPr>
        <w:pStyle w:val="4"/>
        <w:wordWrap w:val="0"/>
        <w:adjustRightInd w:val="0"/>
        <w:snapToGrid w:val="0"/>
        <w:spacing w:before="0" w:after="0" w:line="360" w:lineRule="auto"/>
        <w:rPr>
          <w:rFonts w:hint="eastAsia" w:ascii="仿宋" w:hAnsi="仿宋" w:eastAsia="仿宋" w:cs="仿宋"/>
          <w:sz w:val="28"/>
          <w:szCs w:val="28"/>
          <w:highlight w:val="none"/>
        </w:rPr>
      </w:pPr>
      <w:bookmarkStart w:id="699" w:name="_Toc1880"/>
      <w:bookmarkStart w:id="700" w:name="_Toc18045"/>
      <w:r>
        <w:rPr>
          <w:rFonts w:hint="eastAsia" w:ascii="仿宋" w:hAnsi="仿宋" w:eastAsia="仿宋" w:cs="仿宋"/>
          <w:sz w:val="28"/>
          <w:szCs w:val="28"/>
          <w:highlight w:val="none"/>
        </w:rPr>
        <w:t>3.7 农民工工资的支付</w:t>
      </w:r>
      <w:bookmarkEnd w:id="699"/>
      <w:bookmarkEnd w:id="700"/>
    </w:p>
    <w:p w14:paraId="42F8F2DF">
      <w:pPr>
        <w:pStyle w:val="2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3.7.1 分包人必须优先支付农民工工资，确保任何纠纷均不得影响承包人工作。分包人应在合同签订前向承包人出具代发农民工工资委托书及承诺函（详见附件7）；承包人有权利审核分包人提交的农民工工资支付表，每期的农民工工资支付表中的总额不得高于该期应付分包款总额。</w:t>
      </w:r>
    </w:p>
    <w:p w14:paraId="022D0408">
      <w:pPr>
        <w:pStyle w:val="2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3.7.2 分包人对其所招用农民工的工资支付负直接责任，不得以工程款未到位等理由克扣或拖欠农民工工资，不得将合同应收工程款等经营风险转嫁给农民工。分包人发生各种形式的劳务人员工资拖欠问题，造成民工上访、聚众闹事等不良事件，影响到发包人正常工作秩序的，其全部责任由</w:t>
      </w:r>
      <w:r>
        <w:rPr>
          <w:rFonts w:hint="eastAsia" w:ascii="仿宋" w:hAnsi="仿宋" w:eastAsia="仿宋" w:cs="仿宋"/>
          <w:color w:val="auto"/>
          <w:sz w:val="28"/>
          <w:szCs w:val="28"/>
          <w:highlight w:val="none"/>
          <w:u w:val="single"/>
          <w:lang w:eastAsia="zh-CN"/>
        </w:rPr>
        <w:t>分包</w:t>
      </w:r>
      <w:r>
        <w:rPr>
          <w:rFonts w:hint="eastAsia" w:ascii="仿宋" w:hAnsi="仿宋" w:eastAsia="仿宋" w:cs="仿宋"/>
          <w:color w:val="auto"/>
          <w:sz w:val="28"/>
          <w:szCs w:val="28"/>
          <w:highlight w:val="none"/>
          <w:u w:val="single"/>
        </w:rPr>
        <w:t>人承担，每发生一次考核</w:t>
      </w:r>
      <w:r>
        <w:rPr>
          <w:rFonts w:hint="eastAsia" w:ascii="仿宋" w:hAnsi="仿宋" w:eastAsia="仿宋" w:cs="仿宋"/>
          <w:color w:val="auto"/>
          <w:sz w:val="28"/>
          <w:szCs w:val="28"/>
          <w:highlight w:val="none"/>
          <w:u w:val="single"/>
          <w:lang w:val="en-US" w:eastAsia="zh-CN"/>
        </w:rPr>
        <w:t>分</w:t>
      </w:r>
      <w:r>
        <w:rPr>
          <w:rFonts w:hint="eastAsia" w:ascii="仿宋" w:hAnsi="仿宋" w:eastAsia="仿宋" w:cs="仿宋"/>
          <w:color w:val="auto"/>
          <w:sz w:val="28"/>
          <w:szCs w:val="28"/>
          <w:highlight w:val="none"/>
          <w:u w:val="single"/>
        </w:rPr>
        <w:t>包人10-20万元，从工程进度款中扣除。</w:t>
      </w:r>
    </w:p>
    <w:p w14:paraId="5D9AF00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01" w:name="_Toc31640"/>
      <w:bookmarkStart w:id="702" w:name="_Toc8908"/>
      <w:r>
        <w:rPr>
          <w:rFonts w:hint="eastAsia" w:ascii="仿宋" w:hAnsi="仿宋" w:eastAsia="仿宋" w:cs="仿宋"/>
          <w:sz w:val="28"/>
          <w:szCs w:val="28"/>
          <w:highlight w:val="none"/>
        </w:rPr>
        <w:t>5. 分包工程质量</w:t>
      </w:r>
      <w:bookmarkEnd w:id="701"/>
      <w:bookmarkEnd w:id="702"/>
    </w:p>
    <w:p w14:paraId="05194E8D">
      <w:pPr>
        <w:pStyle w:val="4"/>
        <w:wordWrap w:val="0"/>
        <w:adjustRightInd w:val="0"/>
        <w:snapToGrid w:val="0"/>
        <w:spacing w:before="0" w:after="0" w:line="360" w:lineRule="auto"/>
        <w:rPr>
          <w:rFonts w:hint="eastAsia" w:ascii="仿宋" w:hAnsi="仿宋" w:eastAsia="仿宋" w:cs="仿宋"/>
          <w:sz w:val="28"/>
          <w:szCs w:val="28"/>
          <w:highlight w:val="none"/>
        </w:rPr>
      </w:pPr>
      <w:bookmarkStart w:id="703" w:name="_Toc20136"/>
      <w:bookmarkStart w:id="704" w:name="_Toc5651"/>
      <w:r>
        <w:rPr>
          <w:rFonts w:hint="eastAsia" w:ascii="仿宋" w:hAnsi="仿宋" w:eastAsia="仿宋" w:cs="仿宋"/>
          <w:sz w:val="28"/>
          <w:szCs w:val="28"/>
          <w:highlight w:val="none"/>
        </w:rPr>
        <w:t>5.1 质量要求</w:t>
      </w:r>
      <w:bookmarkEnd w:id="703"/>
      <w:bookmarkEnd w:id="704"/>
    </w:p>
    <w:p w14:paraId="4A8DDCF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 xml:space="preserve">对于分包工程质量的特殊标准或要求： </w:t>
      </w:r>
      <w:r>
        <w:rPr>
          <w:rFonts w:hint="eastAsia" w:ascii="仿宋" w:hAnsi="仿宋" w:eastAsia="仿宋" w:cs="仿宋"/>
          <w:sz w:val="28"/>
          <w:szCs w:val="28"/>
          <w:highlight w:val="none"/>
          <w:u w:val="single"/>
        </w:rPr>
        <w:t>符合本合同专业条款1.3条载明的标准和规范</w:t>
      </w:r>
      <w:r>
        <w:rPr>
          <w:rFonts w:hint="eastAsia" w:ascii="仿宋" w:hAnsi="仿宋" w:eastAsia="仿宋" w:cs="仿宋"/>
          <w:kern w:val="0"/>
          <w:sz w:val="28"/>
          <w:szCs w:val="28"/>
          <w:highlight w:val="none"/>
          <w:u w:val="single"/>
        </w:rPr>
        <w:t>，分包工程一次达到验收标准。</w:t>
      </w:r>
    </w:p>
    <w:p w14:paraId="417338C7">
      <w:pPr>
        <w:pStyle w:val="3"/>
        <w:numPr>
          <w:ilvl w:val="0"/>
          <w:numId w:val="7"/>
        </w:numPr>
        <w:wordWrap w:val="0"/>
        <w:adjustRightInd w:val="0"/>
        <w:spacing w:before="156" w:beforeLines="50" w:after="156" w:afterLines="50" w:line="360" w:lineRule="auto"/>
        <w:rPr>
          <w:rFonts w:hint="eastAsia" w:ascii="仿宋" w:hAnsi="仿宋" w:eastAsia="仿宋" w:cs="仿宋"/>
          <w:b/>
          <w:bCs/>
          <w:sz w:val="28"/>
          <w:szCs w:val="28"/>
          <w:highlight w:val="none"/>
        </w:rPr>
      </w:pPr>
      <w:bookmarkStart w:id="705" w:name="_Toc12438"/>
      <w:bookmarkStart w:id="706" w:name="_Toc10089"/>
      <w:r>
        <w:rPr>
          <w:rFonts w:hint="eastAsia" w:ascii="仿宋" w:hAnsi="仿宋" w:eastAsia="仿宋" w:cs="仿宋"/>
          <w:b/>
          <w:bCs/>
          <w:sz w:val="28"/>
          <w:szCs w:val="28"/>
          <w:highlight w:val="none"/>
        </w:rPr>
        <w:t>安全文明施工、环境保护与劳动用工管理</w:t>
      </w:r>
      <w:bookmarkEnd w:id="705"/>
      <w:bookmarkEnd w:id="706"/>
    </w:p>
    <w:p w14:paraId="64EDE2B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07" w:name="_Toc31162"/>
      <w:bookmarkStart w:id="708" w:name="_Toc26244"/>
      <w:r>
        <w:rPr>
          <w:rFonts w:hint="eastAsia" w:ascii="仿宋" w:hAnsi="仿宋" w:eastAsia="仿宋" w:cs="仿宋"/>
          <w:sz w:val="28"/>
          <w:szCs w:val="28"/>
          <w:highlight w:val="none"/>
        </w:rPr>
        <w:t>6.1 安全文明施工</w:t>
      </w:r>
      <w:bookmarkEnd w:id="707"/>
      <w:bookmarkEnd w:id="708"/>
    </w:p>
    <w:p w14:paraId="01B29415">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6.1.1 </w:t>
      </w:r>
      <w:r>
        <w:rPr>
          <w:rFonts w:hint="eastAsia" w:ascii="仿宋" w:hAnsi="仿宋" w:eastAsia="仿宋" w:cs="仿宋"/>
          <w:sz w:val="28"/>
          <w:szCs w:val="28"/>
          <w:highlight w:val="none"/>
        </w:rPr>
        <w:t>施工过程中，非承包人原因导致劳务分包人与其他施工单位人员之间发生人身财产损害或安全事故，应由责任方及时予以赔偿；承包人可视情况组织责任方与受害方进行协商。</w:t>
      </w:r>
    </w:p>
    <w:p w14:paraId="6C196DE9">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 xml:space="preserve">6.1.2 </w:t>
      </w:r>
      <w:r>
        <w:rPr>
          <w:rFonts w:hint="eastAsia" w:ascii="仿宋" w:hAnsi="仿宋" w:eastAsia="仿宋" w:cs="仿宋"/>
          <w:color w:val="000000"/>
          <w:sz w:val="28"/>
          <w:szCs w:val="28"/>
          <w:highlight w:val="none"/>
        </w:rPr>
        <w:t>分包人在施工现场内使用的安全保护用品，安全帽和反光背心从承包方项目领取，交付押金，施工完成后退还（无论新旧破碎，但丢失则从押金中扣除相应费用）。严禁分包方或个人私自采购、佩戴不合要求的安全防护用品进场。安全带、安全网、漏触电保护器等有分包人自行采购，如分包人人员使用不符合国家标准的安全防护用品，一经发现承包人给予500元/次处罚，并责令改正。因违规使用安全防护用品原因发生安全事故，均由分包人承担损害赔偿责任。</w:t>
      </w:r>
    </w:p>
    <w:p w14:paraId="4F532D1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6.1.3因分包人原因导致本项目施工现场发生人身损害事故时，分包人应积极通过保险途径进行处理；无法通过保险处理的，应及时办理赔偿或补偿。施工完毕撤场后，因分包人撤离时遗留了安全隐患或安全交接不到位导致人身财产损害或安全事故的，分包人应按责任大小承担损害赔偿责任。上述事故自发生之日起超过30日分包人未妥善处理的，承包人无需经分包人同意即可按当地相关赔偿标准代分包人进行赔偿或补偿。上述赔偿或补偿费用承包人可在分包人的任意一笔工程进度款、结算款或保证金中扣除，且分包人仍需按专用条款第14.3.4条的约定向承包人开具发票。</w:t>
      </w:r>
    </w:p>
    <w:p w14:paraId="0E09E710">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6.1.4.临时用电的一级箱、二级箱由承包人提供。三级箱、开关箱由分包人自行采购，费用不另计。</w:t>
      </w:r>
    </w:p>
    <w:p w14:paraId="7E10C31F">
      <w:pPr>
        <w:pStyle w:val="20"/>
        <w:spacing w:line="360" w:lineRule="auto"/>
        <w:ind w:firstLine="560" w:firstLineChars="200"/>
        <w:rPr>
          <w:rFonts w:hint="eastAsia" w:ascii="仿宋" w:hAnsi="仿宋" w:eastAsia="仿宋" w:cs="仿宋"/>
          <w:kern w:val="2"/>
          <w:sz w:val="28"/>
          <w:szCs w:val="28"/>
          <w:highlight w:val="none"/>
        </w:rPr>
      </w:pPr>
      <w:r>
        <w:rPr>
          <w:rFonts w:hint="eastAsia" w:ascii="仿宋" w:hAnsi="仿宋" w:eastAsia="仿宋" w:cs="仿宋"/>
          <w:color w:val="auto"/>
          <w:sz w:val="28"/>
          <w:szCs w:val="28"/>
          <w:highlight w:val="none"/>
        </w:rPr>
        <w:t>6.1</w:t>
      </w:r>
      <w:r>
        <w:rPr>
          <w:rFonts w:hint="eastAsia" w:ascii="仿宋" w:hAnsi="仿宋" w:eastAsia="仿宋" w:cs="仿宋"/>
          <w:kern w:val="2"/>
          <w:sz w:val="28"/>
          <w:szCs w:val="28"/>
          <w:highlight w:val="none"/>
        </w:rPr>
        <w:t>.5.当分包人在承包人的项目承揽业务时（包括本项目和其它项目），若出现施工过程中不能按合同正常履约或履约能力明显不足等情况，承包人有权终止合同，由此所产生的一切损失由分包人自行承担。</w:t>
      </w:r>
    </w:p>
    <w:p w14:paraId="5F52ABFD">
      <w:pPr>
        <w:pStyle w:val="20"/>
        <w:spacing w:line="360" w:lineRule="auto"/>
        <w:rPr>
          <w:rFonts w:hint="eastAsia" w:ascii="仿宋" w:hAnsi="仿宋" w:eastAsia="仿宋" w:cs="仿宋"/>
          <w:color w:val="auto"/>
          <w:sz w:val="28"/>
          <w:szCs w:val="28"/>
          <w:highlight w:val="none"/>
        </w:rPr>
      </w:pPr>
    </w:p>
    <w:p w14:paraId="5A13B945">
      <w:pPr>
        <w:pStyle w:val="4"/>
        <w:wordWrap w:val="0"/>
        <w:adjustRightInd w:val="0"/>
        <w:snapToGrid w:val="0"/>
        <w:spacing w:before="0" w:after="0" w:line="360" w:lineRule="auto"/>
        <w:rPr>
          <w:rFonts w:hint="eastAsia" w:ascii="仿宋" w:hAnsi="仿宋" w:eastAsia="仿宋" w:cs="仿宋"/>
          <w:sz w:val="28"/>
          <w:szCs w:val="28"/>
          <w:highlight w:val="none"/>
        </w:rPr>
      </w:pPr>
      <w:bookmarkStart w:id="709" w:name="_Toc13112"/>
      <w:bookmarkStart w:id="710" w:name="_Toc20368"/>
      <w:r>
        <w:rPr>
          <w:rFonts w:hint="eastAsia" w:ascii="仿宋" w:hAnsi="仿宋" w:eastAsia="仿宋" w:cs="仿宋"/>
          <w:sz w:val="28"/>
          <w:szCs w:val="28"/>
          <w:highlight w:val="none"/>
        </w:rPr>
        <w:t>6.3 劳动用工管理</w:t>
      </w:r>
      <w:bookmarkEnd w:id="709"/>
      <w:bookmarkEnd w:id="710"/>
    </w:p>
    <w:p w14:paraId="57BBD03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6.3.2 分包人雇佣的人员所需必要膳宿条件的提供方：</w:t>
      </w:r>
      <w:r>
        <w:rPr>
          <w:rFonts w:hint="eastAsia" w:ascii="仿宋" w:hAnsi="仿宋" w:eastAsia="仿宋" w:cs="仿宋"/>
          <w:sz w:val="28"/>
          <w:szCs w:val="28"/>
          <w:highlight w:val="none"/>
          <w:u w:val="single"/>
        </w:rPr>
        <w:t xml:space="preserve"> 分包人自行提供       </w:t>
      </w:r>
      <w:r>
        <w:rPr>
          <w:rFonts w:hint="eastAsia" w:ascii="仿宋" w:hAnsi="仿宋" w:eastAsia="仿宋" w:cs="仿宋"/>
          <w:sz w:val="28"/>
          <w:szCs w:val="28"/>
          <w:highlight w:val="none"/>
        </w:rPr>
        <w:t>。</w:t>
      </w:r>
    </w:p>
    <w:p w14:paraId="394A01A7">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6.3.3 分包人拖欠其雇佣人员的劳动报酬或分包单位的劳务费用应承担的违约责任：</w:t>
      </w:r>
      <w:r>
        <w:rPr>
          <w:rFonts w:hint="eastAsia" w:ascii="仿宋" w:hAnsi="仿宋" w:eastAsia="仿宋" w:cs="仿宋"/>
          <w:sz w:val="28"/>
          <w:szCs w:val="28"/>
          <w:highlight w:val="none"/>
          <w:u w:val="single"/>
        </w:rPr>
        <w:t>分包人应依法予以清偿。若发生因拖欠工人工资导致的信访、停工、媒体曝光等不良事件（非分包人原因除外）, 承包人有权无须分包人同意直接向分包人雇员及欠薪主体直接支付工资，所花费用在分包人合同总额中直接扣减，分包人不得对承包人代付金额与主体等有异议，同时后续工程款延期半年支付，且分包人还须向承包人支付违约金（每发生一次考核分包人10-20万元，从工程进度款中扣除）。同时，承包人有权单方解除合同。</w:t>
      </w:r>
    </w:p>
    <w:p w14:paraId="4F4B549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11" w:name="_Toc25161"/>
      <w:bookmarkStart w:id="712" w:name="_Toc25327"/>
      <w:r>
        <w:rPr>
          <w:rFonts w:hint="eastAsia" w:ascii="仿宋" w:hAnsi="仿宋" w:eastAsia="仿宋" w:cs="仿宋"/>
          <w:sz w:val="28"/>
          <w:szCs w:val="28"/>
          <w:highlight w:val="none"/>
        </w:rPr>
        <w:t>7. 工期和进度</w:t>
      </w:r>
      <w:bookmarkEnd w:id="711"/>
      <w:bookmarkEnd w:id="712"/>
    </w:p>
    <w:p w14:paraId="509CDEF1">
      <w:pPr>
        <w:pStyle w:val="4"/>
        <w:wordWrap w:val="0"/>
        <w:adjustRightInd w:val="0"/>
        <w:snapToGrid w:val="0"/>
        <w:spacing w:before="0" w:after="0" w:line="360" w:lineRule="auto"/>
        <w:rPr>
          <w:rFonts w:hint="eastAsia" w:ascii="仿宋" w:hAnsi="仿宋" w:eastAsia="仿宋" w:cs="仿宋"/>
          <w:sz w:val="28"/>
          <w:szCs w:val="28"/>
          <w:highlight w:val="none"/>
        </w:rPr>
      </w:pPr>
      <w:bookmarkStart w:id="713" w:name="_Toc11876"/>
      <w:bookmarkStart w:id="714" w:name="_Toc15795"/>
      <w:r>
        <w:rPr>
          <w:rFonts w:hint="eastAsia" w:ascii="仿宋" w:hAnsi="仿宋" w:eastAsia="仿宋" w:cs="仿宋"/>
          <w:sz w:val="28"/>
          <w:szCs w:val="28"/>
          <w:highlight w:val="none"/>
        </w:rPr>
        <w:t>7.1 施工组织</w:t>
      </w:r>
      <w:bookmarkEnd w:id="713"/>
      <w:bookmarkEnd w:id="714"/>
    </w:p>
    <w:p w14:paraId="1E172F13">
      <w:pPr>
        <w:wordWrap w:val="0"/>
        <w:adjustRightInd w:val="0"/>
        <w:snapToGrid w:val="0"/>
        <w:spacing w:line="360" w:lineRule="auto"/>
        <w:ind w:firstLine="46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 xml:space="preserve"> 劳动力保障</w:t>
      </w:r>
    </w:p>
    <w:p w14:paraId="5CC7F427">
      <w:pPr>
        <w:wordWrap w:val="0"/>
        <w:adjustRightInd w:val="0"/>
        <w:snapToGrid w:val="0"/>
        <w:spacing w:line="360" w:lineRule="auto"/>
        <w:ind w:firstLine="46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分包人未按时补足劳动力的违约责任：</w:t>
      </w:r>
      <w:r>
        <w:rPr>
          <w:rFonts w:hint="eastAsia" w:ascii="仿宋" w:hAnsi="仿宋" w:eastAsia="仿宋" w:cs="仿宋"/>
          <w:kern w:val="0"/>
          <w:sz w:val="28"/>
          <w:szCs w:val="28"/>
          <w:highlight w:val="none"/>
          <w:u w:val="single"/>
        </w:rPr>
        <w:t>及时补足，承担由此新增的全部费用，由于未按时补足劳动力而导致施工进度滞后的按本合同有关约定承担违约责任。</w:t>
      </w:r>
    </w:p>
    <w:p w14:paraId="50391C05">
      <w:pPr>
        <w:pStyle w:val="4"/>
        <w:wordWrap w:val="0"/>
        <w:adjustRightInd w:val="0"/>
        <w:snapToGrid w:val="0"/>
        <w:spacing w:before="0" w:after="0" w:line="360" w:lineRule="auto"/>
        <w:rPr>
          <w:rFonts w:hint="eastAsia" w:ascii="仿宋" w:hAnsi="仿宋" w:eastAsia="仿宋" w:cs="仿宋"/>
          <w:sz w:val="28"/>
          <w:szCs w:val="28"/>
          <w:highlight w:val="none"/>
        </w:rPr>
      </w:pPr>
      <w:bookmarkStart w:id="715" w:name="_Toc11942"/>
      <w:bookmarkStart w:id="716" w:name="_Toc14624"/>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 xml:space="preserve"> 测量放线</w:t>
      </w:r>
      <w:bookmarkEnd w:id="715"/>
      <w:bookmarkEnd w:id="716"/>
    </w:p>
    <w:p w14:paraId="60153F5C">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 承包人提供测量基准点、基准线和水准点及其书面资料的期限：</w:t>
      </w:r>
      <w:r>
        <w:rPr>
          <w:rFonts w:hint="eastAsia" w:ascii="仿宋" w:hAnsi="仿宋" w:eastAsia="仿宋" w:cs="仿宋"/>
          <w:sz w:val="28"/>
          <w:szCs w:val="28"/>
          <w:highlight w:val="none"/>
          <w:u w:val="single"/>
        </w:rPr>
        <w:t>同通用条款</w:t>
      </w:r>
      <w:r>
        <w:rPr>
          <w:rFonts w:hint="eastAsia" w:ascii="仿宋" w:hAnsi="仿宋" w:eastAsia="仿宋" w:cs="仿宋"/>
          <w:sz w:val="28"/>
          <w:szCs w:val="28"/>
          <w:highlight w:val="none"/>
        </w:rPr>
        <w:t>。</w:t>
      </w:r>
    </w:p>
    <w:p w14:paraId="47FE3C85">
      <w:pPr>
        <w:pStyle w:val="4"/>
        <w:wordWrap w:val="0"/>
        <w:adjustRightInd w:val="0"/>
        <w:snapToGrid w:val="0"/>
        <w:spacing w:before="0" w:after="0" w:line="360" w:lineRule="auto"/>
        <w:rPr>
          <w:rFonts w:hint="eastAsia" w:ascii="仿宋" w:hAnsi="仿宋" w:eastAsia="仿宋" w:cs="仿宋"/>
          <w:sz w:val="28"/>
          <w:szCs w:val="28"/>
          <w:highlight w:val="none"/>
        </w:rPr>
      </w:pPr>
      <w:bookmarkStart w:id="717" w:name="_Toc28330"/>
      <w:bookmarkStart w:id="718" w:name="_Toc1163"/>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工期延误</w:t>
      </w:r>
      <w:bookmarkEnd w:id="717"/>
      <w:bookmarkEnd w:id="718"/>
    </w:p>
    <w:p w14:paraId="77E9C300">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 xml:space="preserve"> 非因不可抗力或承包人原因造成工期延误，由分包人承担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因此给承包人、建设单位及其他相关单位造成的一切损失，同时每延误一日，分包人应向承包人支付</w:t>
      </w:r>
      <w:r>
        <w:rPr>
          <w:rFonts w:hint="eastAsia" w:ascii="仿宋" w:hAnsi="仿宋" w:eastAsia="仿宋" w:cs="仿宋"/>
          <w:sz w:val="28"/>
          <w:szCs w:val="28"/>
          <w:highlight w:val="none"/>
          <w:lang w:val="en-US" w:eastAsia="zh-CN"/>
        </w:rPr>
        <w:t>10万元违约金，最高赔偿150万元；</w:t>
      </w:r>
      <w:r>
        <w:rPr>
          <w:rFonts w:hint="eastAsia" w:ascii="仿宋" w:hAnsi="仿宋" w:eastAsia="仿宋" w:cs="仿宋"/>
          <w:sz w:val="28"/>
          <w:szCs w:val="28"/>
          <w:highlight w:val="none"/>
        </w:rPr>
        <w:t>工期延误累计</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0</w:t>
      </w:r>
      <w:r>
        <w:rPr>
          <w:rFonts w:hint="eastAsia" w:ascii="仿宋" w:hAnsi="仿宋" w:eastAsia="仿宋" w:cs="仿宋"/>
          <w:sz w:val="28"/>
          <w:szCs w:val="28"/>
          <w:highlight w:val="none"/>
        </w:rPr>
        <w:t>日的，承包人有权解除合同。</w:t>
      </w:r>
    </w:p>
    <w:p w14:paraId="131CC847">
      <w:pPr>
        <w:pStyle w:val="4"/>
        <w:wordWrap w:val="0"/>
        <w:adjustRightInd w:val="0"/>
        <w:snapToGrid w:val="0"/>
        <w:spacing w:before="0" w:after="0" w:line="360" w:lineRule="auto"/>
        <w:rPr>
          <w:rFonts w:hint="eastAsia" w:ascii="仿宋" w:hAnsi="仿宋" w:eastAsia="仿宋" w:cs="仿宋"/>
          <w:sz w:val="28"/>
          <w:szCs w:val="28"/>
          <w:highlight w:val="none"/>
        </w:rPr>
      </w:pPr>
      <w:bookmarkStart w:id="719" w:name="_Toc29237"/>
      <w:bookmarkStart w:id="720" w:name="_Toc29986"/>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 不利物质条件</w:t>
      </w:r>
      <w:bookmarkEnd w:id="719"/>
      <w:bookmarkEnd w:id="720"/>
    </w:p>
    <w:p w14:paraId="372051F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不利物质条件的其他情形：</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2E7D3DCD">
      <w:pPr>
        <w:pStyle w:val="4"/>
        <w:wordWrap w:val="0"/>
        <w:adjustRightInd w:val="0"/>
        <w:snapToGrid w:val="0"/>
        <w:spacing w:before="0" w:after="0" w:line="360" w:lineRule="auto"/>
        <w:rPr>
          <w:rFonts w:hint="eastAsia" w:ascii="仿宋" w:hAnsi="仿宋" w:eastAsia="仿宋" w:cs="仿宋"/>
          <w:sz w:val="28"/>
          <w:szCs w:val="28"/>
          <w:highlight w:val="none"/>
        </w:rPr>
      </w:pPr>
      <w:bookmarkStart w:id="721" w:name="_Toc19201"/>
      <w:bookmarkStart w:id="722" w:name="_Toc18178"/>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 xml:space="preserve"> 异常恶劣的气候条件</w:t>
      </w:r>
      <w:bookmarkEnd w:id="721"/>
      <w:bookmarkEnd w:id="722"/>
    </w:p>
    <w:p w14:paraId="5040ACE9">
      <w:pPr>
        <w:snapToGrid w:val="0"/>
        <w:spacing w:line="360" w:lineRule="auto"/>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异常恶劣的气候条件包括：</w:t>
      </w:r>
      <w:r>
        <w:rPr>
          <w:rFonts w:hint="eastAsia" w:ascii="仿宋" w:hAnsi="仿宋" w:eastAsia="仿宋" w:cs="仿宋"/>
          <w:sz w:val="28"/>
          <w:szCs w:val="28"/>
          <w:highlight w:val="none"/>
          <w:u w:val="single"/>
        </w:rPr>
        <w:t>政府及气象部门公开发布信息的气候灾害。对本项目而言，是指发生六级（含六级）以上地震、龙卷风、工地受淹、超过桥梁设计洪水位以及30年一遇的罕见气候现象（包括温度、降水、降雪、风等）等引起延误的情况。承包人同意顺延工期</w:t>
      </w:r>
      <w:r>
        <w:rPr>
          <w:rFonts w:hint="eastAsia" w:ascii="仿宋" w:hAnsi="仿宋" w:eastAsia="仿宋" w:cs="仿宋"/>
          <w:sz w:val="28"/>
          <w:szCs w:val="28"/>
          <w:highlight w:val="none"/>
        </w:rPr>
        <w:t>。</w:t>
      </w:r>
    </w:p>
    <w:p w14:paraId="238CD8D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23" w:name="_Toc20968"/>
      <w:bookmarkStart w:id="724" w:name="_Toc19393"/>
      <w:r>
        <w:rPr>
          <w:rFonts w:hint="eastAsia" w:ascii="仿宋" w:hAnsi="仿宋" w:eastAsia="仿宋" w:cs="仿宋"/>
          <w:sz w:val="28"/>
          <w:szCs w:val="28"/>
          <w:highlight w:val="none"/>
        </w:rPr>
        <w:t>8. 材料与设备</w:t>
      </w:r>
      <w:bookmarkEnd w:id="723"/>
      <w:bookmarkEnd w:id="724"/>
    </w:p>
    <w:p w14:paraId="571477A6">
      <w:pPr>
        <w:pStyle w:val="4"/>
        <w:wordWrap w:val="0"/>
        <w:adjustRightInd w:val="0"/>
        <w:snapToGrid w:val="0"/>
        <w:spacing w:before="0" w:after="0" w:line="360" w:lineRule="auto"/>
        <w:rPr>
          <w:rFonts w:hint="eastAsia" w:ascii="仿宋" w:hAnsi="仿宋" w:eastAsia="仿宋" w:cs="仿宋"/>
          <w:sz w:val="28"/>
          <w:szCs w:val="28"/>
          <w:highlight w:val="none"/>
        </w:rPr>
      </w:pPr>
      <w:bookmarkStart w:id="725" w:name="_Toc18374"/>
      <w:bookmarkStart w:id="726" w:name="_Toc8367"/>
      <w:r>
        <w:rPr>
          <w:rFonts w:hint="eastAsia" w:ascii="仿宋" w:hAnsi="仿宋" w:eastAsia="仿宋" w:cs="仿宋"/>
          <w:sz w:val="28"/>
          <w:szCs w:val="28"/>
          <w:highlight w:val="none"/>
        </w:rPr>
        <w:t>8.4 样品</w:t>
      </w:r>
      <w:bookmarkEnd w:id="725"/>
      <w:bookmarkEnd w:id="726"/>
    </w:p>
    <w:p w14:paraId="0EE8139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需要分包人报送样品的材料或工程设备，样品的种类、名称、规格、数量要求：</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ABFC68A">
      <w:pPr>
        <w:pStyle w:val="4"/>
        <w:wordWrap w:val="0"/>
        <w:adjustRightInd w:val="0"/>
        <w:snapToGrid w:val="0"/>
        <w:spacing w:before="0" w:after="0" w:line="360" w:lineRule="auto"/>
        <w:rPr>
          <w:rFonts w:hint="eastAsia" w:ascii="仿宋" w:hAnsi="仿宋" w:eastAsia="仿宋" w:cs="仿宋"/>
          <w:sz w:val="28"/>
          <w:szCs w:val="28"/>
          <w:highlight w:val="none"/>
        </w:rPr>
      </w:pPr>
      <w:bookmarkStart w:id="727" w:name="_Toc26438"/>
      <w:bookmarkStart w:id="728" w:name="_Toc14812"/>
      <w:r>
        <w:rPr>
          <w:rFonts w:hint="eastAsia" w:ascii="仿宋" w:hAnsi="仿宋" w:eastAsia="仿宋" w:cs="仿宋"/>
          <w:sz w:val="28"/>
          <w:szCs w:val="28"/>
          <w:highlight w:val="none"/>
        </w:rPr>
        <w:t>8.</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 xml:space="preserve"> 施工设备和临时设施</w:t>
      </w:r>
      <w:bookmarkEnd w:id="727"/>
      <w:bookmarkEnd w:id="728"/>
    </w:p>
    <w:p w14:paraId="3D40907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.1承包人提供的施工设备和临时设施包括：</w:t>
      </w:r>
      <w:r>
        <w:rPr>
          <w:rFonts w:hint="eastAsia" w:ascii="仿宋" w:hAnsi="仿宋" w:eastAsia="仿宋" w:cs="仿宋"/>
          <w:sz w:val="28"/>
          <w:szCs w:val="28"/>
          <w:highlight w:val="none"/>
          <w:u w:val="single"/>
        </w:rPr>
        <w:t xml:space="preserve">   场内道路   </w:t>
      </w:r>
      <w:r>
        <w:rPr>
          <w:rFonts w:hint="eastAsia" w:ascii="仿宋" w:hAnsi="仿宋" w:eastAsia="仿宋" w:cs="仿宋"/>
          <w:sz w:val="28"/>
          <w:szCs w:val="28"/>
          <w:highlight w:val="none"/>
        </w:rPr>
        <w:t>。</w:t>
      </w:r>
    </w:p>
    <w:p w14:paraId="389B635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29" w:name="_Toc5087"/>
      <w:bookmarkStart w:id="730" w:name="_Toc20058"/>
      <w:r>
        <w:rPr>
          <w:rFonts w:hint="eastAsia" w:ascii="仿宋" w:hAnsi="仿宋" w:eastAsia="仿宋" w:cs="仿宋"/>
          <w:sz w:val="28"/>
          <w:szCs w:val="28"/>
          <w:highlight w:val="none"/>
        </w:rPr>
        <w:t>9. 试验和检验</w:t>
      </w:r>
      <w:bookmarkEnd w:id="729"/>
      <w:bookmarkEnd w:id="730"/>
      <w:r>
        <w:rPr>
          <w:rFonts w:hint="eastAsia" w:ascii="仿宋" w:hAnsi="仿宋" w:eastAsia="仿宋" w:cs="仿宋"/>
          <w:sz w:val="28"/>
          <w:szCs w:val="28"/>
          <w:highlight w:val="none"/>
        </w:rPr>
        <w:t xml:space="preserve"> </w:t>
      </w:r>
    </w:p>
    <w:p w14:paraId="5D38061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关于试验和检验的约定：</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2F5DA4E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31" w:name="_Toc14608"/>
      <w:bookmarkStart w:id="732" w:name="_Toc20613"/>
      <w:r>
        <w:rPr>
          <w:rFonts w:hint="eastAsia" w:ascii="仿宋" w:hAnsi="仿宋" w:eastAsia="仿宋" w:cs="仿宋"/>
          <w:sz w:val="28"/>
          <w:szCs w:val="28"/>
          <w:highlight w:val="none"/>
        </w:rPr>
        <w:t>10. 分包合同变更</w:t>
      </w:r>
      <w:bookmarkEnd w:id="731"/>
      <w:bookmarkEnd w:id="732"/>
    </w:p>
    <w:p w14:paraId="50E63EDC">
      <w:pPr>
        <w:pStyle w:val="4"/>
        <w:wordWrap w:val="0"/>
        <w:adjustRightInd w:val="0"/>
        <w:snapToGrid w:val="0"/>
        <w:spacing w:before="0" w:after="0" w:line="360" w:lineRule="auto"/>
        <w:rPr>
          <w:rFonts w:hint="eastAsia" w:ascii="仿宋" w:hAnsi="仿宋" w:eastAsia="仿宋" w:cs="仿宋"/>
          <w:sz w:val="28"/>
          <w:szCs w:val="28"/>
          <w:highlight w:val="none"/>
        </w:rPr>
      </w:pPr>
      <w:bookmarkStart w:id="733" w:name="_Toc1801"/>
      <w:bookmarkStart w:id="734" w:name="_Toc21679"/>
      <w:r>
        <w:rPr>
          <w:rFonts w:hint="eastAsia" w:ascii="仿宋" w:hAnsi="仿宋" w:eastAsia="仿宋" w:cs="仿宋"/>
          <w:sz w:val="28"/>
          <w:szCs w:val="28"/>
          <w:highlight w:val="none"/>
        </w:rPr>
        <w:t>10.1 分包合同变更的范围</w:t>
      </w:r>
      <w:bookmarkEnd w:id="733"/>
      <w:bookmarkEnd w:id="734"/>
    </w:p>
    <w:p w14:paraId="0AC1503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关于分包合同变更范围的约定：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58997AB4">
      <w:pPr>
        <w:pStyle w:val="4"/>
        <w:wordWrap w:val="0"/>
        <w:adjustRightInd w:val="0"/>
        <w:snapToGrid w:val="0"/>
        <w:spacing w:before="0" w:after="0" w:line="360" w:lineRule="auto"/>
        <w:rPr>
          <w:rFonts w:hint="eastAsia" w:ascii="仿宋" w:hAnsi="仿宋" w:eastAsia="仿宋" w:cs="仿宋"/>
          <w:sz w:val="28"/>
          <w:szCs w:val="28"/>
          <w:highlight w:val="none"/>
        </w:rPr>
      </w:pPr>
      <w:bookmarkStart w:id="735" w:name="_Toc21903"/>
      <w:bookmarkStart w:id="736" w:name="_Toc7873"/>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 xml:space="preserve"> 分包合同变更估价</w:t>
      </w:r>
      <w:bookmarkEnd w:id="735"/>
      <w:bookmarkEnd w:id="736"/>
    </w:p>
    <w:p w14:paraId="6E2E91C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 变更估价原则</w:t>
      </w:r>
    </w:p>
    <w:p w14:paraId="3B78A86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关于变更估价原则的约定：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固定</w:t>
      </w:r>
      <w:r>
        <w:rPr>
          <w:rFonts w:hint="eastAsia" w:ascii="仿宋" w:hAnsi="仿宋" w:eastAsia="仿宋" w:cs="仿宋"/>
          <w:sz w:val="28"/>
          <w:szCs w:val="28"/>
          <w:highlight w:val="none"/>
          <w:u w:val="single"/>
        </w:rPr>
        <w:t xml:space="preserve">综合单价，工程量按实结算 </w:t>
      </w:r>
      <w:r>
        <w:rPr>
          <w:rFonts w:hint="eastAsia" w:ascii="仿宋" w:hAnsi="仿宋" w:eastAsia="仿宋" w:cs="仿宋"/>
          <w:sz w:val="28"/>
          <w:szCs w:val="28"/>
          <w:highlight w:val="none"/>
        </w:rPr>
        <w:t>。</w:t>
      </w:r>
    </w:p>
    <w:p w14:paraId="4798AA9B">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 变更估价程序</w:t>
      </w:r>
    </w:p>
    <w:p w14:paraId="1FC0C717">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关于变更估价程序的约定：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52DA8152">
      <w:pPr>
        <w:pStyle w:val="4"/>
        <w:wordWrap w:val="0"/>
        <w:adjustRightInd w:val="0"/>
        <w:snapToGrid w:val="0"/>
        <w:spacing w:before="0" w:after="0" w:line="360" w:lineRule="auto"/>
        <w:rPr>
          <w:rFonts w:hint="eastAsia" w:ascii="仿宋" w:hAnsi="仿宋" w:eastAsia="仿宋" w:cs="仿宋"/>
          <w:sz w:val="28"/>
          <w:szCs w:val="28"/>
          <w:highlight w:val="none"/>
        </w:rPr>
      </w:pPr>
      <w:bookmarkStart w:id="737" w:name="_Toc31699"/>
      <w:bookmarkStart w:id="738" w:name="_Toc3813"/>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xml:space="preserve"> 变更引起的工期调整</w:t>
      </w:r>
      <w:bookmarkEnd w:id="737"/>
      <w:bookmarkEnd w:id="738"/>
    </w:p>
    <w:p w14:paraId="07D74D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因变更引起工期变化的，确定增减工期天数的方法：</w:t>
      </w:r>
      <w:r>
        <w:rPr>
          <w:rFonts w:hint="eastAsia" w:ascii="仿宋" w:hAnsi="仿宋" w:eastAsia="仿宋" w:cs="仿宋"/>
          <w:kern w:val="0"/>
          <w:sz w:val="28"/>
          <w:szCs w:val="28"/>
          <w:highlight w:val="none"/>
          <w:u w:val="single"/>
        </w:rPr>
        <w:t>根据实际情况双方另行确定</w:t>
      </w:r>
      <w:r>
        <w:rPr>
          <w:rFonts w:hint="eastAsia" w:ascii="仿宋" w:hAnsi="仿宋" w:eastAsia="仿宋" w:cs="仿宋"/>
          <w:kern w:val="0"/>
          <w:sz w:val="28"/>
          <w:szCs w:val="28"/>
          <w:highlight w:val="none"/>
        </w:rPr>
        <w:t>。</w:t>
      </w:r>
    </w:p>
    <w:p w14:paraId="50B41CE4">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 合同价格</w:t>
      </w:r>
    </w:p>
    <w:p w14:paraId="348EF5F5">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11.1本合同价款采用第</w:t>
      </w:r>
      <w:r>
        <w:rPr>
          <w:rFonts w:hint="eastAsia" w:ascii="仿宋" w:hAnsi="仿宋" w:eastAsia="仿宋" w:cs="仿宋"/>
          <w:sz w:val="28"/>
          <w:szCs w:val="28"/>
          <w:highlight w:val="none"/>
          <w:u w:val="single"/>
        </w:rPr>
        <w:t xml:space="preserve"> （2） </w:t>
      </w:r>
      <w:r>
        <w:rPr>
          <w:rFonts w:hint="eastAsia" w:ascii="仿宋" w:hAnsi="仿宋" w:eastAsia="仿宋" w:cs="仿宋"/>
          <w:sz w:val="28"/>
          <w:szCs w:val="28"/>
          <w:highlight w:val="none"/>
        </w:rPr>
        <w:t xml:space="preserve">种方式确定。   </w:t>
      </w:r>
    </w:p>
    <w:p w14:paraId="179CD915">
      <w:pPr>
        <w:numPr>
          <w:ilvl w:val="0"/>
          <w:numId w:val="8"/>
        </w:numPr>
        <w:wordWrap w:val="0"/>
        <w:adjustRightInd w:val="0"/>
        <w:snapToGrid w:val="0"/>
        <w:spacing w:line="360" w:lineRule="auto"/>
        <w:ind w:firstLine="48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采用固定总价</w:t>
      </w:r>
    </w:p>
    <w:p w14:paraId="15D3DD4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（2）固定</w:t>
      </w:r>
      <w:r>
        <w:rPr>
          <w:rFonts w:hint="eastAsia" w:ascii="仿宋" w:hAnsi="仿宋" w:eastAsia="仿宋" w:cs="仿宋"/>
          <w:kern w:val="0"/>
          <w:sz w:val="28"/>
          <w:szCs w:val="28"/>
          <w:highlight w:val="none"/>
          <w:lang w:val="en-US" w:eastAsia="zh-CN"/>
        </w:rPr>
        <w:t>综合</w:t>
      </w:r>
      <w:r>
        <w:rPr>
          <w:rFonts w:hint="eastAsia" w:ascii="仿宋" w:hAnsi="仿宋" w:eastAsia="仿宋" w:cs="仿宋"/>
          <w:kern w:val="0"/>
          <w:sz w:val="28"/>
          <w:szCs w:val="28"/>
          <w:highlight w:val="none"/>
        </w:rPr>
        <w:t>单价。</w:t>
      </w:r>
    </w:p>
    <w:p w14:paraId="5320671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详见：合同附件1</w:t>
      </w:r>
    </w:p>
    <w:p w14:paraId="1C9C646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u w:val="single"/>
        </w:rPr>
        <w:t>承包人认为分包人考察并熟悉了图纸和现场内外的所有情况，在施工中除因市场价格波动以外的任何其他问题，综合单价不做任何调整。综合单价包含</w:t>
      </w:r>
      <w:r>
        <w:rPr>
          <w:rFonts w:hint="eastAsia" w:ascii="仿宋" w:hAnsi="仿宋" w:eastAsia="仿宋" w:cs="仿宋"/>
          <w:kern w:val="0"/>
          <w:sz w:val="28"/>
          <w:szCs w:val="28"/>
          <w:highlight w:val="none"/>
          <w:u w:val="single"/>
          <w:lang w:val="en-US" w:eastAsia="zh-CN"/>
        </w:rPr>
        <w:t>包括但不限于劳务费（各种工资、津贴、补贴、节假日加班、夜班、赶工补贴、差旅费、劳保费、保险费、医疗费）、材料费（电气（一标段）主材料及辅材料费、材料加工及损耗费费、钢结构围护抛丸除锈除锈、防火涂料及防腐涂料、设备费、装卸费、水平及垂直运输费、现场所有与承包范围有关的材料二次转运费、各种原因导致的材料涨幅风险）、机械费(含完成承包范围内所有分部分项工程所需的小型机具、塔吊范围之外的垂直运输费)、冬雨季及夜间施工费、冬施措施费、成品保护费、加班赶工费、现场取样检测费、验收费、工程资料费、图纸二次设计与优化费用、备案手续费、措施费、安全文明施工费、</w:t>
      </w:r>
      <w:r>
        <w:rPr>
          <w:rFonts w:hint="eastAsia" w:ascii="仿宋" w:hAnsi="仿宋" w:eastAsia="仿宋" w:cs="仿宋"/>
          <w:kern w:val="0"/>
          <w:sz w:val="28"/>
          <w:szCs w:val="28"/>
          <w:highlight w:val="none"/>
          <w:u w:val="single"/>
        </w:rPr>
        <w:t>检查发生用工</w:t>
      </w:r>
      <w:r>
        <w:rPr>
          <w:rFonts w:hint="eastAsia" w:ascii="仿宋" w:hAnsi="仿宋" w:eastAsia="仿宋" w:cs="仿宋"/>
          <w:kern w:val="0"/>
          <w:sz w:val="28"/>
          <w:szCs w:val="28"/>
          <w:highlight w:val="none"/>
          <w:u w:val="single"/>
          <w:lang w:val="en-US" w:eastAsia="zh-CN"/>
        </w:rPr>
        <w:t>费</w:t>
      </w:r>
      <w:r>
        <w:rPr>
          <w:rFonts w:hint="eastAsia" w:ascii="仿宋" w:hAnsi="仿宋" w:eastAsia="仿宋" w:cs="仿宋"/>
          <w:kern w:val="0"/>
          <w:sz w:val="28"/>
          <w:szCs w:val="28"/>
          <w:highlight w:val="none"/>
          <w:u w:val="single"/>
          <w:lang w:eastAsia="zh-CN"/>
        </w:rPr>
        <w:t>、</w:t>
      </w:r>
      <w:r>
        <w:rPr>
          <w:rFonts w:hint="eastAsia" w:ascii="仿宋" w:hAnsi="仿宋" w:eastAsia="仿宋" w:cs="仿宋"/>
          <w:kern w:val="0"/>
          <w:sz w:val="28"/>
          <w:szCs w:val="28"/>
          <w:highlight w:val="none"/>
          <w:u w:val="single"/>
          <w:lang w:val="en-US" w:eastAsia="zh-CN"/>
        </w:rPr>
        <w:t>管理费、利润、税金等及其它一切费用。</w:t>
      </w:r>
    </w:p>
    <w:p w14:paraId="28867DC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u w:val="single"/>
        </w:rPr>
        <w:t>分包合同外计日工的计价办法：双方约定签证与索赔计时工单价按 260元/工日（小/普工）、350元/日（大/技工），计时工为</w:t>
      </w:r>
      <w:r>
        <w:rPr>
          <w:rFonts w:hint="eastAsia" w:ascii="仿宋" w:hAnsi="仿宋" w:eastAsia="仿宋" w:cs="仿宋"/>
          <w:kern w:val="0"/>
          <w:sz w:val="28"/>
          <w:szCs w:val="28"/>
          <w:highlight w:val="none"/>
          <w:u w:val="single"/>
          <w:lang w:val="en-US" w:eastAsia="zh-CN"/>
        </w:rPr>
        <w:t>8</w:t>
      </w:r>
      <w:r>
        <w:rPr>
          <w:rFonts w:hint="eastAsia" w:ascii="仿宋" w:hAnsi="仿宋" w:eastAsia="仿宋" w:cs="仿宋"/>
          <w:kern w:val="0"/>
          <w:sz w:val="28"/>
          <w:szCs w:val="28"/>
          <w:highlight w:val="none"/>
          <w:u w:val="single"/>
        </w:rPr>
        <w:t>小时一个工日计算，计时工单价含增值税</w:t>
      </w:r>
      <w:r>
        <w:rPr>
          <w:rFonts w:hint="eastAsia" w:ascii="仿宋" w:hAnsi="仿宋" w:eastAsia="仿宋" w:cs="仿宋"/>
          <w:kern w:val="0"/>
          <w:sz w:val="28"/>
          <w:szCs w:val="28"/>
          <w:highlight w:val="none"/>
          <w:u w:val="single"/>
          <w:lang w:val="en-US" w:eastAsia="zh-CN"/>
        </w:rPr>
        <w:t>9%</w:t>
      </w:r>
      <w:r>
        <w:rPr>
          <w:rFonts w:hint="eastAsia" w:ascii="仿宋" w:hAnsi="仿宋" w:eastAsia="仿宋" w:cs="仿宋"/>
          <w:kern w:val="0"/>
          <w:sz w:val="28"/>
          <w:szCs w:val="28"/>
          <w:highlight w:val="none"/>
          <w:u w:val="single"/>
        </w:rPr>
        <w:t>。</w:t>
      </w:r>
    </w:p>
    <w:p w14:paraId="5AFAAA94">
      <w:pPr>
        <w:pStyle w:val="20"/>
        <w:spacing w:line="360" w:lineRule="auto"/>
        <w:ind w:firstLine="560" w:firstLineChars="200"/>
        <w:rPr>
          <w:rFonts w:hint="eastAsia" w:ascii="仿宋" w:hAnsi="仿宋" w:eastAsia="仿宋" w:cs="仿宋"/>
          <w:color w:val="auto"/>
          <w:kern w:val="0"/>
          <w:sz w:val="28"/>
          <w:szCs w:val="28"/>
          <w:highlight w:val="none"/>
          <w:u w:val="single"/>
          <w:lang w:val="en-US" w:eastAsia="zh-CN" w:bidi="ar-SA"/>
        </w:rPr>
      </w:pPr>
      <w:r>
        <w:rPr>
          <w:rFonts w:hint="eastAsia" w:ascii="仿宋" w:hAnsi="仿宋" w:eastAsia="仿宋" w:cs="仿宋"/>
          <w:color w:val="auto"/>
          <w:kern w:val="0"/>
          <w:sz w:val="28"/>
          <w:szCs w:val="28"/>
          <w:highlight w:val="none"/>
          <w:u w:val="single"/>
          <w:lang w:val="en-US" w:eastAsia="zh-CN" w:bidi="ar-SA"/>
        </w:rPr>
        <w:t>综合单价含税，分包人需提供增值税专用发票。</w:t>
      </w:r>
    </w:p>
    <w:p w14:paraId="655FE7F7">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除因市场价格波动以外，其他无论何种因素的影响，上述包干综合单价在本合同履行期内均不作任何调整；工程量为暂定工程量，结算时根据图纸计量。</w:t>
      </w:r>
    </w:p>
    <w:p w14:paraId="766C44F9">
      <w:pPr>
        <w:wordWrap w:val="0"/>
        <w:adjustRightInd w:val="0"/>
        <w:snapToGrid w:val="0"/>
        <w:spacing w:line="360" w:lineRule="auto"/>
        <w:ind w:left="63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（3）其他形式的合同价格形式</w:t>
      </w:r>
    </w:p>
    <w:p w14:paraId="6D42FF4B">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11.2分包人应积极协助并参与以下工作，费用已经在价格中包含：</w:t>
      </w:r>
    </w:p>
    <w:p w14:paraId="5A63B7E0">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（1）配合承包人关于工程评优的各项工作；</w:t>
      </w:r>
    </w:p>
    <w:p w14:paraId="6B065D59">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（2）配合承包人上级主管部门，政府部门及其他各种形式的检查、考察、参观等活动；</w:t>
      </w:r>
    </w:p>
    <w:p w14:paraId="4B923BA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（3）配合承包人办理工程所在地建设工程承发包交易中心关于合同备案及管理的事宜。</w:t>
      </w:r>
    </w:p>
    <w:p w14:paraId="3F5854D3">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11.3签证管理</w:t>
      </w:r>
    </w:p>
    <w:p w14:paraId="69D2D7F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11.3.1 洽商变更签证的限额约定： 施工过程中原则上不发生变更和签证，如因施工需要必须办理变更或现场签证时，分包人单项变更或签证金额超过500元的予以办理，变更金额计入结算，单项变更或签证金额在500元（含500元）以内的不予办理。</w:t>
      </w:r>
    </w:p>
    <w:p w14:paraId="5B8FBE5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11.3.2 签证工作要按规定的审批程序、制式表格进行签证，自发生之日起一个月内办理完毕，当月有效过期作废。不按规定进行签证的，签证单一律无效。</w:t>
      </w:r>
    </w:p>
    <w:p w14:paraId="7B7B7E0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11.3.3 签证单必须有承包人书面委托的项目经理签字认可方能生效，单次超过【 5000】金额，或累计超过【20000】金额的，需承包人签章确认，其余任何人签证均不能作为结算依据。</w:t>
      </w:r>
    </w:p>
    <w:p w14:paraId="08B11997">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12. 价格调整</w:t>
      </w:r>
    </w:p>
    <w:p w14:paraId="39002B7E">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12.1 市场价格波动引起的调整</w:t>
      </w:r>
    </w:p>
    <w:p w14:paraId="262C114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市场价格波动</w:t>
      </w:r>
      <w:r>
        <w:rPr>
          <w:rFonts w:hint="eastAsia" w:ascii="仿宋" w:hAnsi="仿宋" w:eastAsia="仿宋" w:cs="仿宋"/>
          <w:sz w:val="28"/>
          <w:szCs w:val="28"/>
          <w:highlight w:val="none"/>
        </w:rPr>
        <w:t>是否调整分包合同价格的约定：</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14:paraId="00479BA1">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 计量</w:t>
      </w:r>
    </w:p>
    <w:p w14:paraId="7477CAC6">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13.1 计量原则和计量周期</w:t>
      </w:r>
    </w:p>
    <w:p w14:paraId="2D371CAA">
      <w:pPr>
        <w:wordWrap w:val="0"/>
        <w:adjustRightInd w:val="0"/>
        <w:snapToGrid w:val="0"/>
        <w:spacing w:line="360" w:lineRule="auto"/>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13.1.1 工程量计算规则：</w:t>
      </w:r>
      <w:r>
        <w:rPr>
          <w:rFonts w:hint="eastAsia" w:ascii="仿宋" w:hAnsi="仿宋" w:eastAsia="仿宋" w:cs="仿宋"/>
          <w:sz w:val="28"/>
          <w:szCs w:val="28"/>
          <w:highlight w:val="none"/>
          <w:u w:val="single"/>
        </w:rPr>
        <w:t xml:space="preserve"> 按照分包人完成的合格工程量计算，与施工图一致的按图纸，与施工图不一致的按现场授权人员书面确认为准 </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lang w:val="en-US" w:eastAsia="zh-CN"/>
        </w:rPr>
        <w:t>钢结构围护在加工制作前，乙方应将优化后的图纸及拟加工的钢结构围护图纸交甲方的项目技术部、商务部认可后方可施工，未经甲方认可的图纸加工件，甲方可以不予认可。</w:t>
      </w:r>
    </w:p>
    <w:p w14:paraId="1B5156A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13.1.2 工程量计量周期：</w:t>
      </w:r>
      <w:r>
        <w:rPr>
          <w:rFonts w:hint="eastAsia" w:ascii="仿宋" w:hAnsi="仿宋" w:eastAsia="仿宋" w:cs="仿宋"/>
          <w:sz w:val="28"/>
          <w:szCs w:val="28"/>
          <w:highlight w:val="none"/>
          <w:u w:val="single"/>
        </w:rPr>
        <w:t xml:space="preserve">  每月2</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 xml:space="preserve">日        </w:t>
      </w:r>
      <w:r>
        <w:rPr>
          <w:rFonts w:hint="eastAsia" w:ascii="仿宋" w:hAnsi="仿宋" w:eastAsia="仿宋" w:cs="仿宋"/>
          <w:sz w:val="28"/>
          <w:szCs w:val="28"/>
          <w:highlight w:val="none"/>
        </w:rPr>
        <w:t>。</w:t>
      </w:r>
    </w:p>
    <w:p w14:paraId="251154F7">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13.2 计量程序</w:t>
      </w:r>
    </w:p>
    <w:p w14:paraId="5AD3DC4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关于计量程序的约定：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376EDDF6">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 工程款支付</w:t>
      </w:r>
    </w:p>
    <w:p w14:paraId="6F69A252">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14.1 预付款</w:t>
      </w:r>
    </w:p>
    <w:p w14:paraId="3AF4EA4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预付款支付比例或金额：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无预付款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37053F7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预付款支付期限：</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8788B96">
      <w:pPr>
        <w:wordWrap w:val="0"/>
        <w:adjustRightInd w:val="0"/>
        <w:snapToGrid w:val="0"/>
        <w:spacing w:line="360" w:lineRule="auto"/>
        <w:ind w:firstLine="48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关于预付款扣回的约定：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8203CA6">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14.2 安全文明施工费的支付</w:t>
      </w:r>
    </w:p>
    <w:p w14:paraId="7DBFEBE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承包人支付安全文明施工费的比例及期限：</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73C7FA7F">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14.3 工程进度款支付</w:t>
      </w:r>
    </w:p>
    <w:p w14:paraId="28D25B9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 xml:space="preserve">.2 </w:t>
      </w:r>
      <w:r>
        <w:rPr>
          <w:rFonts w:hint="eastAsia" w:ascii="仿宋" w:hAnsi="仿宋" w:eastAsia="仿宋" w:cs="仿宋"/>
          <w:sz w:val="28"/>
          <w:szCs w:val="28"/>
          <w:highlight w:val="none"/>
        </w:rPr>
        <w:t>进度付款申请单应包括的内容：</w:t>
      </w:r>
      <w:r>
        <w:rPr>
          <w:rFonts w:hint="eastAsia" w:ascii="仿宋" w:hAnsi="仿宋" w:eastAsia="仿宋" w:cs="仿宋"/>
          <w:sz w:val="28"/>
          <w:szCs w:val="28"/>
          <w:highlight w:val="none"/>
          <w:u w:val="single"/>
        </w:rPr>
        <w:t xml:space="preserve">  1、截至本次付款周期已完成工作对应的工程量和金额；2、如承包人违约，应承担的违约金数额等。</w:t>
      </w:r>
    </w:p>
    <w:p w14:paraId="7E1C500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 进度款审核和支付</w:t>
      </w:r>
    </w:p>
    <w:p w14:paraId="558FEAF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14.3.3.1承包人对完成审核并签发进度款支付证书的期限：</w:t>
      </w:r>
      <w:r>
        <w:rPr>
          <w:rFonts w:hint="eastAsia" w:ascii="仿宋" w:hAnsi="仿宋" w:eastAsia="仿宋" w:cs="仿宋"/>
          <w:sz w:val="28"/>
          <w:szCs w:val="28"/>
          <w:highlight w:val="none"/>
          <w:u w:val="single"/>
        </w:rPr>
        <w:t xml:space="preserve">同通用条款 </w:t>
      </w:r>
      <w:r>
        <w:rPr>
          <w:rFonts w:hint="eastAsia" w:ascii="仿宋" w:hAnsi="仿宋" w:eastAsia="仿宋" w:cs="仿宋"/>
          <w:sz w:val="28"/>
          <w:szCs w:val="28"/>
          <w:highlight w:val="none"/>
        </w:rPr>
        <w:t>。</w:t>
      </w:r>
    </w:p>
    <w:p w14:paraId="77BAE25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14.3.3.2承包人完成支付的期限：</w:t>
      </w:r>
    </w:p>
    <w:p w14:paraId="7F307838">
      <w:pPr>
        <w:pStyle w:val="8"/>
        <w:numPr>
          <w:ilvl w:val="0"/>
          <w:numId w:val="9"/>
        </w:numPr>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每月完成进度款结算手续，支付当期完成产值的70%，现场完工后支付至完工产值的70%。</w:t>
      </w:r>
    </w:p>
    <w:p w14:paraId="02507E92">
      <w:pPr>
        <w:pStyle w:val="8"/>
        <w:numPr>
          <w:ilvl w:val="0"/>
          <w:numId w:val="9"/>
        </w:numPr>
        <w:adjustRightInd w:val="0"/>
        <w:spacing w:line="360" w:lineRule="auto"/>
        <w:ind w:left="0" w:leftChars="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本分包工程验收合格，支付至累计完成产值的80%，分包人按承包人的要求提供完整的结算资料，承包人对分包人办理完毕最终结算且项目整体竣工验收承包人收到发包人的结算款后30日内支付至结算金额的97%</w:t>
      </w:r>
    </w:p>
    <w:p w14:paraId="797F694B">
      <w:pPr>
        <w:pStyle w:val="8"/>
        <w:numPr>
          <w:ilvl w:val="0"/>
          <w:numId w:val="9"/>
        </w:numPr>
        <w:adjustRightInd w:val="0"/>
        <w:spacing w:line="360" w:lineRule="auto"/>
        <w:ind w:left="0" w:leftChars="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（3）质保金为合同最终结算金额的</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%，质保期2年，缺陷责任期从兰州新区年产30GWh 新能源电池生产基地项目（一期）项目竣工验收完成备案之日开始计算，缺陷责任期满后承包人无息支付。</w:t>
      </w:r>
    </w:p>
    <w:p w14:paraId="2A244EA7">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（4）分包人在每次领取进度款及结算款时，须向承包人提交已计价（结算）相应金额的增值税专用发票。承包人支付至合同结算总价款9</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%时，分包人在承包人支付款项前，必须提供经承包人确认的结算总价款全额增值税专用发票。</w:t>
      </w:r>
    </w:p>
    <w:p w14:paraId="03CB8B9D">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付款方式：需方通过银行转账、银行承兑汇票、建信融通等方式支付供方货款项，需方采用银承、建信融通等非现金方式支付时，供方应予以配合，相关贴息费用由供方承担。</w:t>
      </w:r>
    </w:p>
    <w:p w14:paraId="598D6DB6">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14.3.4 工程款支付分包人时，分包人应在</w:t>
      </w:r>
      <w:r>
        <w:rPr>
          <w:rFonts w:hint="eastAsia" w:ascii="仿宋" w:hAnsi="仿宋" w:eastAsia="仿宋" w:cs="仿宋"/>
          <w:sz w:val="28"/>
          <w:szCs w:val="28"/>
          <w:highlight w:val="none"/>
          <w:lang w:eastAsia="zh-CN"/>
        </w:rPr>
        <w:t>付款</w:t>
      </w:r>
      <w:r>
        <w:rPr>
          <w:rFonts w:hint="eastAsia" w:ascii="仿宋" w:hAnsi="仿宋" w:eastAsia="仿宋" w:cs="仿宋"/>
          <w:sz w:val="28"/>
          <w:szCs w:val="28"/>
          <w:highlight w:val="none"/>
        </w:rPr>
        <w:t>之</w:t>
      </w:r>
      <w:r>
        <w:rPr>
          <w:rFonts w:hint="eastAsia" w:ascii="仿宋" w:hAnsi="仿宋" w:eastAsia="仿宋" w:cs="仿宋"/>
          <w:sz w:val="28"/>
          <w:szCs w:val="28"/>
          <w:highlight w:val="none"/>
          <w:lang w:eastAsia="zh-CN"/>
        </w:rPr>
        <w:t>前</w:t>
      </w:r>
      <w:r>
        <w:rPr>
          <w:rFonts w:hint="eastAsia" w:ascii="仿宋" w:hAnsi="仿宋" w:eastAsia="仿宋" w:cs="仿宋"/>
          <w:sz w:val="28"/>
          <w:szCs w:val="28"/>
          <w:highlight w:val="none"/>
        </w:rPr>
        <w:t>【7】个工作日内提供与已计价（结算）金额相应的真实、有效、合格的增值税专用发票，并在税法规定完税时间内提供完税凭证。承包人在认证增值税专用发票无误后进行付款，如发现分包人提供的增值税专用发票不及时、不规范、不合法等原因导致不能抵扣税款或被认定为虚开发票等情况，则承包人有权延迟支付应付款项，分包人需依法向承包人重新开具增值税专用发票，并按应开具发票合同金额（含增值税）的20%向承包人支付违约金。</w:t>
      </w:r>
    </w:p>
    <w:p w14:paraId="3403A838">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39" w:name="_Toc9183"/>
      <w:bookmarkStart w:id="740" w:name="_Toc15889"/>
      <w:r>
        <w:rPr>
          <w:rFonts w:hint="eastAsia" w:ascii="仿宋" w:hAnsi="仿宋" w:eastAsia="仿宋" w:cs="仿宋"/>
          <w:sz w:val="28"/>
          <w:szCs w:val="28"/>
          <w:highlight w:val="none"/>
        </w:rPr>
        <w:t>14.4 支付账户</w:t>
      </w:r>
      <w:bookmarkEnd w:id="739"/>
      <w:bookmarkEnd w:id="740"/>
    </w:p>
    <w:p w14:paraId="16D8941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承包人应将合同价款支付至以下分包人账户。</w:t>
      </w:r>
    </w:p>
    <w:p w14:paraId="4C53CE1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户名：                           </w:t>
      </w:r>
    </w:p>
    <w:p w14:paraId="151F7E0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账号：                             </w:t>
      </w:r>
    </w:p>
    <w:p w14:paraId="06238DF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开户行：                           </w:t>
      </w:r>
    </w:p>
    <w:p w14:paraId="2CF6EC7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如分包人的账户资料发生变更，须提前10个工作日书面通知承包人，否则一切后果由分包人承担。</w:t>
      </w:r>
    </w:p>
    <w:p w14:paraId="6A71444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1" w:name="_Toc7765"/>
      <w:bookmarkStart w:id="742" w:name="_Toc26908"/>
      <w:r>
        <w:rPr>
          <w:rFonts w:hint="eastAsia" w:ascii="仿宋" w:hAnsi="仿宋" w:eastAsia="仿宋" w:cs="仿宋"/>
          <w:sz w:val="28"/>
          <w:szCs w:val="28"/>
          <w:highlight w:val="none"/>
        </w:rPr>
        <w:t>15.成品保护</w:t>
      </w:r>
      <w:bookmarkEnd w:id="741"/>
      <w:bookmarkEnd w:id="742"/>
    </w:p>
    <w:p w14:paraId="27BD9C6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3" w:name="_Toc21053"/>
      <w:bookmarkStart w:id="744" w:name="_Toc15698"/>
      <w:r>
        <w:rPr>
          <w:rFonts w:hint="eastAsia" w:ascii="仿宋" w:hAnsi="仿宋" w:eastAsia="仿宋" w:cs="仿宋"/>
          <w:sz w:val="28"/>
          <w:szCs w:val="28"/>
          <w:highlight w:val="none"/>
        </w:rPr>
        <w:t>15.1分包工程的成品保护</w:t>
      </w:r>
      <w:bookmarkEnd w:id="743"/>
      <w:bookmarkEnd w:id="744"/>
    </w:p>
    <w:p w14:paraId="1729EF9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 xml:space="preserve">已完工程成品保护的特殊要求及费用承担： </w:t>
      </w:r>
      <w:r>
        <w:rPr>
          <w:rFonts w:hint="eastAsia" w:ascii="仿宋" w:hAnsi="仿宋" w:eastAsia="仿宋" w:cs="仿宋"/>
          <w:kern w:val="0"/>
          <w:sz w:val="28"/>
          <w:szCs w:val="28"/>
          <w:highlight w:val="none"/>
          <w:u w:val="single"/>
        </w:rPr>
        <w:t xml:space="preserve">做好施工场地周围建筑物、构筑物和地下管线的成品保护工作，因分包人责任发生损坏，需自行承担由此引起的一切经济损失，并处 1000-5000 元/次违约金。  </w:t>
      </w:r>
    </w:p>
    <w:p w14:paraId="06836D3B">
      <w:pPr>
        <w:pStyle w:val="3"/>
        <w:wordWrap w:val="0"/>
        <w:adjustRightInd w:val="0"/>
        <w:snapToGrid w:val="0"/>
        <w:spacing w:before="156" w:beforeLines="50" w:after="156" w:afterLines="50" w:line="360" w:lineRule="auto"/>
        <w:rPr>
          <w:rFonts w:hint="eastAsia" w:ascii="仿宋" w:hAnsi="仿宋" w:eastAsia="仿宋" w:cs="仿宋"/>
          <w:color w:val="auto"/>
          <w:sz w:val="28"/>
          <w:szCs w:val="28"/>
          <w:highlight w:val="none"/>
        </w:rPr>
      </w:pPr>
      <w:bookmarkStart w:id="745" w:name="_Toc32691"/>
      <w:r>
        <w:rPr>
          <w:rFonts w:hint="eastAsia" w:ascii="仿宋" w:hAnsi="仿宋" w:eastAsia="仿宋" w:cs="仿宋"/>
          <w:color w:val="auto"/>
          <w:sz w:val="28"/>
          <w:szCs w:val="28"/>
          <w:highlight w:val="none"/>
        </w:rPr>
        <w:t>16. 试车</w:t>
      </w:r>
      <w:bookmarkEnd w:id="745"/>
    </w:p>
    <w:p w14:paraId="489FFB4F">
      <w:pPr>
        <w:pStyle w:val="4"/>
        <w:wordWrap w:val="0"/>
        <w:adjustRightInd w:val="0"/>
        <w:snapToGrid w:val="0"/>
        <w:spacing w:before="0" w:after="0" w:line="360" w:lineRule="auto"/>
        <w:rPr>
          <w:rFonts w:hint="eastAsia" w:ascii="仿宋" w:hAnsi="仿宋" w:eastAsia="仿宋" w:cs="仿宋"/>
          <w:color w:val="auto"/>
          <w:sz w:val="28"/>
          <w:szCs w:val="28"/>
          <w:highlight w:val="none"/>
        </w:rPr>
      </w:pPr>
      <w:bookmarkStart w:id="746" w:name="_Toc32375"/>
      <w:r>
        <w:rPr>
          <w:rFonts w:hint="eastAsia" w:ascii="仿宋" w:hAnsi="仿宋" w:eastAsia="仿宋" w:cs="仿宋"/>
          <w:color w:val="auto"/>
          <w:sz w:val="28"/>
          <w:szCs w:val="28"/>
          <w:highlight w:val="none"/>
        </w:rPr>
        <w:t>16.1 试车的组织和配合</w:t>
      </w:r>
      <w:bookmarkEnd w:id="746"/>
    </w:p>
    <w:p w14:paraId="326BA697">
      <w:pPr>
        <w:wordWrap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关于试车内容的约定：</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无</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p>
    <w:p w14:paraId="41243D45">
      <w:pPr>
        <w:pStyle w:val="4"/>
        <w:wordWrap w:val="0"/>
        <w:adjustRightInd w:val="0"/>
        <w:snapToGrid w:val="0"/>
        <w:spacing w:before="0" w:after="0" w:line="360" w:lineRule="auto"/>
        <w:rPr>
          <w:rFonts w:hint="eastAsia" w:ascii="仿宋" w:hAnsi="仿宋" w:eastAsia="仿宋" w:cs="仿宋"/>
          <w:color w:val="auto"/>
          <w:kern w:val="0"/>
          <w:sz w:val="28"/>
          <w:szCs w:val="28"/>
          <w:highlight w:val="none"/>
        </w:rPr>
      </w:pPr>
      <w:bookmarkStart w:id="747" w:name="_Toc1187"/>
      <w:r>
        <w:rPr>
          <w:rFonts w:hint="eastAsia" w:ascii="仿宋" w:hAnsi="仿宋" w:eastAsia="仿宋" w:cs="仿宋"/>
          <w:color w:val="auto"/>
          <w:kern w:val="0"/>
          <w:sz w:val="28"/>
          <w:szCs w:val="28"/>
          <w:highlight w:val="none"/>
        </w:rPr>
        <w:t>16.2 试车的费用承担</w:t>
      </w:r>
      <w:bookmarkEnd w:id="747"/>
    </w:p>
    <w:p w14:paraId="599DD55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color w:val="auto"/>
          <w:kern w:val="0"/>
          <w:sz w:val="28"/>
          <w:szCs w:val="28"/>
          <w:highlight w:val="none"/>
        </w:rPr>
        <w:t>关于试车费用明细及试车费用承担的约定：</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无</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p>
    <w:p w14:paraId="0D9072B0">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8" w:name="_Toc11809"/>
      <w:bookmarkStart w:id="749" w:name="_Toc25540"/>
      <w:r>
        <w:rPr>
          <w:rFonts w:hint="eastAsia" w:ascii="仿宋" w:hAnsi="仿宋" w:eastAsia="仿宋" w:cs="仿宋"/>
          <w:sz w:val="28"/>
          <w:szCs w:val="28"/>
          <w:highlight w:val="none"/>
        </w:rPr>
        <w:t>17. 完工验收</w:t>
      </w:r>
      <w:bookmarkEnd w:id="748"/>
      <w:bookmarkEnd w:id="749"/>
    </w:p>
    <w:p w14:paraId="23C97156">
      <w:pPr>
        <w:pStyle w:val="4"/>
        <w:wordWrap w:val="0"/>
        <w:adjustRightInd w:val="0"/>
        <w:snapToGrid w:val="0"/>
        <w:spacing w:before="0" w:after="0" w:line="360" w:lineRule="auto"/>
        <w:rPr>
          <w:rFonts w:hint="eastAsia" w:ascii="仿宋" w:hAnsi="仿宋" w:eastAsia="仿宋" w:cs="仿宋"/>
          <w:sz w:val="28"/>
          <w:szCs w:val="28"/>
          <w:highlight w:val="none"/>
        </w:rPr>
      </w:pPr>
      <w:bookmarkStart w:id="750" w:name="_Toc29522"/>
      <w:bookmarkStart w:id="751" w:name="_Toc8733"/>
      <w:r>
        <w:rPr>
          <w:rFonts w:hint="eastAsia" w:ascii="仿宋" w:hAnsi="仿宋" w:eastAsia="仿宋" w:cs="仿宋"/>
          <w:sz w:val="28"/>
          <w:szCs w:val="28"/>
          <w:highlight w:val="none"/>
        </w:rPr>
        <w:t>17.1 完工验收条件</w:t>
      </w:r>
      <w:bookmarkEnd w:id="750"/>
      <w:bookmarkEnd w:id="751"/>
    </w:p>
    <w:p w14:paraId="77EA7B3A">
      <w:pPr>
        <w:spacing w:line="360" w:lineRule="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（4）申请完工验收应具备的其他条件：</w:t>
      </w:r>
      <w:r>
        <w:rPr>
          <w:rFonts w:hint="eastAsia" w:ascii="仿宋" w:hAnsi="仿宋" w:eastAsia="仿宋" w:cs="仿宋"/>
          <w:kern w:val="0"/>
          <w:sz w:val="28"/>
          <w:szCs w:val="28"/>
          <w:highlight w:val="none"/>
          <w:u w:val="single"/>
        </w:rPr>
        <w:t xml:space="preserve">     无  </w:t>
      </w:r>
      <w:r>
        <w:rPr>
          <w:rFonts w:hint="eastAsia" w:ascii="仿宋" w:hAnsi="仿宋" w:eastAsia="仿宋" w:cs="仿宋"/>
          <w:kern w:val="0"/>
          <w:sz w:val="28"/>
          <w:szCs w:val="28"/>
          <w:highlight w:val="none"/>
        </w:rPr>
        <w:t>。</w:t>
      </w:r>
    </w:p>
    <w:p w14:paraId="4888BDFC">
      <w:pPr>
        <w:pStyle w:val="4"/>
        <w:wordWrap w:val="0"/>
        <w:adjustRightInd w:val="0"/>
        <w:snapToGrid w:val="0"/>
        <w:spacing w:before="0" w:after="0" w:line="360" w:lineRule="auto"/>
        <w:rPr>
          <w:rFonts w:hint="eastAsia" w:ascii="仿宋" w:hAnsi="仿宋" w:eastAsia="仿宋" w:cs="仿宋"/>
          <w:sz w:val="28"/>
          <w:szCs w:val="28"/>
          <w:highlight w:val="none"/>
        </w:rPr>
      </w:pPr>
      <w:bookmarkStart w:id="752" w:name="_Toc15791"/>
      <w:bookmarkStart w:id="753" w:name="_Toc16690"/>
      <w:r>
        <w:rPr>
          <w:rFonts w:hint="eastAsia" w:ascii="仿宋" w:hAnsi="仿宋" w:eastAsia="仿宋" w:cs="仿宋"/>
          <w:sz w:val="28"/>
          <w:szCs w:val="28"/>
          <w:highlight w:val="none"/>
        </w:rPr>
        <w:t>17.2 完工验收程序</w:t>
      </w:r>
      <w:bookmarkEnd w:id="752"/>
      <w:bookmarkEnd w:id="753"/>
    </w:p>
    <w:p w14:paraId="538FBD1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分包人申请完工验收的程序：</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1302A550">
      <w:pPr>
        <w:pStyle w:val="4"/>
        <w:wordWrap w:val="0"/>
        <w:adjustRightInd w:val="0"/>
        <w:snapToGrid w:val="0"/>
        <w:spacing w:before="0" w:after="0" w:line="360" w:lineRule="auto"/>
        <w:rPr>
          <w:rFonts w:hint="eastAsia" w:ascii="仿宋" w:hAnsi="仿宋" w:eastAsia="仿宋" w:cs="仿宋"/>
          <w:sz w:val="28"/>
          <w:szCs w:val="28"/>
          <w:highlight w:val="none"/>
        </w:rPr>
      </w:pPr>
      <w:bookmarkStart w:id="754" w:name="_Toc31939"/>
      <w:bookmarkStart w:id="755" w:name="_Toc13307"/>
      <w:r>
        <w:rPr>
          <w:rFonts w:hint="eastAsia" w:ascii="仿宋" w:hAnsi="仿宋" w:eastAsia="仿宋" w:cs="仿宋"/>
          <w:sz w:val="28"/>
          <w:szCs w:val="28"/>
          <w:highlight w:val="none"/>
        </w:rPr>
        <w:t>17.3 完工日期</w:t>
      </w:r>
      <w:bookmarkEnd w:id="754"/>
      <w:bookmarkEnd w:id="755"/>
    </w:p>
    <w:p w14:paraId="49A9760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分包工程自完工验收合格至移交承包人的期间未能保持质量合格状态的，分包人应承担的违约责任：</w:t>
      </w:r>
      <w:r>
        <w:rPr>
          <w:rFonts w:hint="eastAsia" w:ascii="仿宋" w:hAnsi="仿宋" w:eastAsia="仿宋" w:cs="仿宋"/>
          <w:kern w:val="0"/>
          <w:sz w:val="28"/>
          <w:szCs w:val="28"/>
          <w:highlight w:val="none"/>
          <w:u w:val="single"/>
        </w:rPr>
        <w:t>分包人负责整改，整改费用由分包人负责，整改验收通过之日起，质保期顺延，由此造成的逾期完工，分包人应按本合同专用条款第21.2条承担违约责任</w:t>
      </w:r>
      <w:r>
        <w:rPr>
          <w:rFonts w:hint="eastAsia" w:ascii="仿宋" w:hAnsi="仿宋" w:eastAsia="仿宋" w:cs="仿宋"/>
          <w:kern w:val="0"/>
          <w:sz w:val="28"/>
          <w:szCs w:val="28"/>
          <w:highlight w:val="none"/>
        </w:rPr>
        <w:t>。</w:t>
      </w:r>
    </w:p>
    <w:p w14:paraId="227F62F8">
      <w:pPr>
        <w:pStyle w:val="4"/>
        <w:wordWrap w:val="0"/>
        <w:adjustRightInd w:val="0"/>
        <w:snapToGrid w:val="0"/>
        <w:spacing w:before="0" w:after="0" w:line="360" w:lineRule="auto"/>
        <w:rPr>
          <w:rFonts w:hint="eastAsia" w:ascii="仿宋" w:hAnsi="仿宋" w:eastAsia="仿宋" w:cs="仿宋"/>
          <w:sz w:val="28"/>
          <w:szCs w:val="28"/>
          <w:highlight w:val="none"/>
        </w:rPr>
      </w:pPr>
      <w:bookmarkStart w:id="756" w:name="_Toc10078"/>
      <w:bookmarkStart w:id="757" w:name="_Toc18960"/>
      <w:r>
        <w:rPr>
          <w:rFonts w:hint="eastAsia" w:ascii="仿宋" w:hAnsi="仿宋" w:eastAsia="仿宋" w:cs="仿宋"/>
          <w:sz w:val="28"/>
          <w:szCs w:val="28"/>
          <w:highlight w:val="none"/>
        </w:rPr>
        <w:t>17.4 完工退场</w:t>
      </w:r>
      <w:bookmarkEnd w:id="756"/>
      <w:bookmarkEnd w:id="757"/>
    </w:p>
    <w:p w14:paraId="36BFB98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分包人对施工场地进行清理并退场的期限：</w:t>
      </w:r>
      <w:r>
        <w:rPr>
          <w:rFonts w:hint="eastAsia" w:ascii="仿宋" w:hAnsi="仿宋" w:eastAsia="仿宋" w:cs="仿宋"/>
          <w:kern w:val="0"/>
          <w:sz w:val="28"/>
          <w:szCs w:val="28"/>
          <w:highlight w:val="none"/>
          <w:u w:val="single"/>
        </w:rPr>
        <w:t>工程竣工验收合格后【7】天。</w:t>
      </w:r>
    </w:p>
    <w:p w14:paraId="668033D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58" w:name="_Toc1807"/>
      <w:bookmarkStart w:id="759" w:name="_Toc17113"/>
      <w:r>
        <w:rPr>
          <w:rFonts w:hint="eastAsia" w:ascii="仿宋" w:hAnsi="仿宋" w:eastAsia="仿宋" w:cs="仿宋"/>
          <w:sz w:val="28"/>
          <w:szCs w:val="28"/>
          <w:highlight w:val="none"/>
        </w:rPr>
        <w:t>18. 分包工程移交</w:t>
      </w:r>
      <w:bookmarkEnd w:id="758"/>
      <w:bookmarkEnd w:id="759"/>
    </w:p>
    <w:p w14:paraId="275480B9">
      <w:pPr>
        <w:pStyle w:val="4"/>
        <w:wordWrap w:val="0"/>
        <w:adjustRightInd w:val="0"/>
        <w:snapToGrid w:val="0"/>
        <w:spacing w:before="0" w:after="0" w:line="360" w:lineRule="auto"/>
        <w:rPr>
          <w:rFonts w:hint="eastAsia" w:ascii="仿宋" w:hAnsi="仿宋" w:eastAsia="仿宋" w:cs="仿宋"/>
          <w:sz w:val="28"/>
          <w:szCs w:val="28"/>
          <w:highlight w:val="none"/>
        </w:rPr>
      </w:pPr>
      <w:bookmarkStart w:id="760" w:name="_Toc21601"/>
      <w:bookmarkStart w:id="761" w:name="_Toc17502"/>
      <w:r>
        <w:rPr>
          <w:rFonts w:hint="eastAsia" w:ascii="仿宋" w:hAnsi="仿宋" w:eastAsia="仿宋" w:cs="仿宋"/>
          <w:sz w:val="28"/>
          <w:szCs w:val="28"/>
          <w:highlight w:val="none"/>
        </w:rPr>
        <w:t>18.1 分包工程移交时间</w:t>
      </w:r>
      <w:bookmarkEnd w:id="760"/>
      <w:bookmarkEnd w:id="761"/>
    </w:p>
    <w:p w14:paraId="1016358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w:t>
      </w:r>
      <w:r>
        <w:rPr>
          <w:rFonts w:hint="eastAsia" w:ascii="仿宋" w:hAnsi="仿宋" w:eastAsia="仿宋" w:cs="仿宋"/>
          <w:kern w:val="0"/>
          <w:sz w:val="28"/>
          <w:szCs w:val="28"/>
          <w:highlight w:val="none"/>
        </w:rPr>
        <w:t>向分包人颁发分包工程接收证书的期限：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6D04295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合同当事人完成分包工程以及全部工程资料移交的期限：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0E6ACF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工程资料的套数、内容：</w:t>
      </w:r>
      <w:r>
        <w:rPr>
          <w:rFonts w:hint="eastAsia" w:ascii="仿宋" w:hAnsi="仿宋" w:eastAsia="仿宋" w:cs="仿宋"/>
          <w:kern w:val="0"/>
          <w:sz w:val="28"/>
          <w:szCs w:val="28"/>
          <w:highlight w:val="none"/>
          <w:u w:val="single"/>
        </w:rPr>
        <w:t xml:space="preserve"> 以承包人后续通知为准，满足承包人的验收要求 </w:t>
      </w:r>
      <w:r>
        <w:rPr>
          <w:rFonts w:hint="eastAsia" w:ascii="仿宋" w:hAnsi="仿宋" w:eastAsia="仿宋" w:cs="仿宋"/>
          <w:kern w:val="0"/>
          <w:sz w:val="28"/>
          <w:szCs w:val="28"/>
          <w:highlight w:val="none"/>
        </w:rPr>
        <w:t>。</w:t>
      </w:r>
    </w:p>
    <w:p w14:paraId="38FE620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62" w:name="_Toc6521"/>
      <w:bookmarkStart w:id="763" w:name="_Toc4685"/>
      <w:r>
        <w:rPr>
          <w:rFonts w:hint="eastAsia" w:ascii="仿宋" w:hAnsi="仿宋" w:eastAsia="仿宋" w:cs="仿宋"/>
          <w:sz w:val="28"/>
          <w:szCs w:val="28"/>
          <w:highlight w:val="none"/>
        </w:rPr>
        <w:t>19. 结算</w:t>
      </w:r>
      <w:bookmarkEnd w:id="762"/>
      <w:bookmarkEnd w:id="763"/>
    </w:p>
    <w:p w14:paraId="0D908CCF">
      <w:pPr>
        <w:pStyle w:val="4"/>
        <w:wordWrap w:val="0"/>
        <w:adjustRightInd w:val="0"/>
        <w:snapToGrid w:val="0"/>
        <w:spacing w:before="0" w:after="0" w:line="360" w:lineRule="auto"/>
        <w:rPr>
          <w:rFonts w:hint="eastAsia" w:ascii="仿宋" w:hAnsi="仿宋" w:eastAsia="仿宋" w:cs="仿宋"/>
          <w:sz w:val="28"/>
          <w:szCs w:val="28"/>
          <w:highlight w:val="none"/>
        </w:rPr>
      </w:pPr>
      <w:bookmarkStart w:id="764" w:name="_Toc3692"/>
      <w:bookmarkStart w:id="765" w:name="_Toc19586"/>
      <w:r>
        <w:rPr>
          <w:rFonts w:hint="eastAsia" w:ascii="仿宋" w:hAnsi="仿宋" w:eastAsia="仿宋" w:cs="仿宋"/>
          <w:sz w:val="28"/>
          <w:szCs w:val="28"/>
          <w:highlight w:val="none"/>
        </w:rPr>
        <w:t>19.1 结算申请</w:t>
      </w:r>
      <w:bookmarkEnd w:id="764"/>
      <w:bookmarkEnd w:id="765"/>
    </w:p>
    <w:p w14:paraId="1C3D3B0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分包人提交分包工程结算申请单的期限：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0DD8C51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分包工程结算申请单需要的资料清单和份数：</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4952600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分包工程结算申请单应包括的内容：</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4165295">
      <w:pPr>
        <w:pStyle w:val="4"/>
        <w:wordWrap w:val="0"/>
        <w:adjustRightInd w:val="0"/>
        <w:snapToGrid w:val="0"/>
        <w:spacing w:before="0" w:after="0" w:line="360" w:lineRule="auto"/>
        <w:rPr>
          <w:rFonts w:hint="eastAsia" w:ascii="仿宋" w:hAnsi="仿宋" w:eastAsia="仿宋" w:cs="仿宋"/>
          <w:sz w:val="28"/>
          <w:szCs w:val="28"/>
          <w:highlight w:val="none"/>
        </w:rPr>
      </w:pPr>
      <w:bookmarkStart w:id="766" w:name="_Toc4121"/>
      <w:bookmarkStart w:id="767" w:name="_Toc20490"/>
      <w:r>
        <w:rPr>
          <w:rFonts w:hint="eastAsia" w:ascii="仿宋" w:hAnsi="仿宋" w:eastAsia="仿宋" w:cs="仿宋"/>
          <w:sz w:val="28"/>
          <w:szCs w:val="28"/>
          <w:highlight w:val="none"/>
        </w:rPr>
        <w:t>19.2 结算审核</w:t>
      </w:r>
      <w:bookmarkEnd w:id="766"/>
      <w:bookmarkEnd w:id="767"/>
    </w:p>
    <w:p w14:paraId="52BEA0A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19.2.1 承包人完成结算申请单审核并签发完工付款证书的期限：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53F32E1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19.2.2 承包人完成完工付款的期限：</w:t>
      </w:r>
      <w:r>
        <w:rPr>
          <w:rFonts w:hint="eastAsia" w:ascii="仿宋" w:hAnsi="仿宋" w:eastAsia="仿宋" w:cs="仿宋"/>
          <w:kern w:val="0"/>
          <w:sz w:val="28"/>
          <w:szCs w:val="28"/>
          <w:highlight w:val="none"/>
          <w:u w:val="single"/>
        </w:rPr>
        <w:t xml:space="preserve">  缺陷责任期为2年，兰州新区年产30GWh 新能源电池生产基地项目（一期）项目竣工验收完成备案之日开始计算，缺陷责任期满后承包人无息支付。 </w:t>
      </w:r>
    </w:p>
    <w:p w14:paraId="670F1596">
      <w:pPr>
        <w:pStyle w:val="4"/>
        <w:wordWrap w:val="0"/>
        <w:adjustRightInd w:val="0"/>
        <w:snapToGrid w:val="0"/>
        <w:spacing w:before="0" w:after="0" w:line="360" w:lineRule="auto"/>
        <w:rPr>
          <w:rFonts w:hint="eastAsia" w:ascii="仿宋" w:hAnsi="仿宋" w:eastAsia="仿宋" w:cs="仿宋"/>
          <w:sz w:val="28"/>
          <w:szCs w:val="28"/>
          <w:highlight w:val="none"/>
        </w:rPr>
      </w:pPr>
      <w:bookmarkStart w:id="768" w:name="_Toc8676"/>
      <w:bookmarkStart w:id="769" w:name="_Toc5237"/>
      <w:r>
        <w:rPr>
          <w:rFonts w:hint="eastAsia" w:ascii="仿宋" w:hAnsi="仿宋" w:eastAsia="仿宋" w:cs="仿宋"/>
          <w:sz w:val="28"/>
          <w:szCs w:val="28"/>
          <w:highlight w:val="none"/>
        </w:rPr>
        <w:t>19.3 最终结清</w:t>
      </w:r>
      <w:bookmarkEnd w:id="768"/>
      <w:bookmarkEnd w:id="769"/>
    </w:p>
    <w:p w14:paraId="46A8430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19.3.1 分包人提交最终结清申请单的期限：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4F59A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分包人提交最终结清申请单的份数：</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C5069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关于最终结清申请单内容的特殊约定：</w:t>
      </w:r>
      <w:r>
        <w:rPr>
          <w:rFonts w:hint="eastAsia" w:ascii="仿宋" w:hAnsi="仿宋" w:eastAsia="仿宋" w:cs="仿宋"/>
          <w:kern w:val="0"/>
          <w:sz w:val="28"/>
          <w:szCs w:val="28"/>
          <w:highlight w:val="none"/>
          <w:u w:val="single"/>
        </w:rPr>
        <w:t xml:space="preserve">    无               </w:t>
      </w:r>
      <w:r>
        <w:rPr>
          <w:rFonts w:hint="eastAsia" w:ascii="仿宋" w:hAnsi="仿宋" w:eastAsia="仿宋" w:cs="仿宋"/>
          <w:kern w:val="0"/>
          <w:sz w:val="28"/>
          <w:szCs w:val="28"/>
          <w:highlight w:val="none"/>
        </w:rPr>
        <w:t>。</w:t>
      </w:r>
    </w:p>
    <w:p w14:paraId="20567D24">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19.3.2 承包人完成最终结清申请单的审批并颁发最终结清证书的期限：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D8F92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承包人完成最终支付的期限：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5AD2863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19.3.3 若承包人、分包人双方办理最终结算后，或承包人根据本合同约定有权单方确认结算金额后，发现实际已支付分包人金额超过结算金额时，分包人承诺在收到承包人通知后3日内退还超付金额，否则还应向承包人支付资金占用利息：以承包人超付的金额为基数，按人民银行同期贷款利率的4倍计算，计算期限为承包人超付之日至分包人清偿之日。分包人法定代表人和项目负责人自愿为上述分包人的所有责任提供个人担保，并承担连带清偿责任，担保期限至分包人债务清偿完毕之日止。</w:t>
      </w:r>
    </w:p>
    <w:p w14:paraId="1E590AF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70" w:name="_Toc32058"/>
      <w:bookmarkStart w:id="771" w:name="_Toc1692"/>
      <w:r>
        <w:rPr>
          <w:rFonts w:hint="eastAsia" w:ascii="仿宋" w:hAnsi="仿宋" w:eastAsia="仿宋" w:cs="仿宋"/>
          <w:sz w:val="28"/>
          <w:szCs w:val="28"/>
          <w:highlight w:val="none"/>
        </w:rPr>
        <w:t>20. 缺陷责任期与保修期</w:t>
      </w:r>
      <w:bookmarkEnd w:id="770"/>
      <w:bookmarkEnd w:id="771"/>
    </w:p>
    <w:p w14:paraId="5405D373">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772" w:name="_Toc28585"/>
      <w:bookmarkStart w:id="773" w:name="_Toc31113"/>
      <w:r>
        <w:rPr>
          <w:rFonts w:hint="eastAsia" w:ascii="仿宋" w:hAnsi="仿宋" w:eastAsia="仿宋" w:cs="仿宋"/>
          <w:kern w:val="0"/>
          <w:sz w:val="28"/>
          <w:szCs w:val="28"/>
          <w:highlight w:val="none"/>
        </w:rPr>
        <w:t>20.1 缺陷责任期</w:t>
      </w:r>
      <w:bookmarkEnd w:id="772"/>
      <w:bookmarkEnd w:id="773"/>
    </w:p>
    <w:p w14:paraId="1111CA4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20.1.1 缺陷责任期的起算日：</w:t>
      </w:r>
      <w:r>
        <w:rPr>
          <w:rFonts w:hint="eastAsia" w:ascii="仿宋" w:hAnsi="仿宋" w:eastAsia="仿宋" w:cs="仿宋"/>
          <w:kern w:val="0"/>
          <w:sz w:val="28"/>
          <w:szCs w:val="28"/>
          <w:highlight w:val="none"/>
          <w:u w:val="single"/>
        </w:rPr>
        <w:t>兰州新区年产30GWh 新能源电池生产基地项目（一期）项目竣工验收之日起</w:t>
      </w:r>
      <w:r>
        <w:rPr>
          <w:rFonts w:hint="eastAsia" w:ascii="仿宋" w:hAnsi="仿宋" w:eastAsia="仿宋" w:cs="仿宋"/>
          <w:kern w:val="0"/>
          <w:sz w:val="28"/>
          <w:szCs w:val="28"/>
          <w:highlight w:val="none"/>
        </w:rPr>
        <w:t>。</w:t>
      </w:r>
    </w:p>
    <w:p w14:paraId="6769FA9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缺陷责任期的具体期限：</w:t>
      </w:r>
      <w:r>
        <w:rPr>
          <w:rFonts w:hint="eastAsia" w:ascii="仿宋" w:hAnsi="仿宋" w:eastAsia="仿宋" w:cs="仿宋"/>
          <w:kern w:val="0"/>
          <w:sz w:val="28"/>
          <w:szCs w:val="28"/>
          <w:highlight w:val="none"/>
          <w:u w:val="single"/>
        </w:rPr>
        <w:t xml:space="preserve"> 按国家相关规定执行 </w:t>
      </w:r>
      <w:r>
        <w:rPr>
          <w:rFonts w:hint="eastAsia" w:ascii="仿宋" w:hAnsi="仿宋" w:eastAsia="仿宋" w:cs="仿宋"/>
          <w:kern w:val="0"/>
          <w:sz w:val="28"/>
          <w:szCs w:val="28"/>
          <w:highlight w:val="none"/>
        </w:rPr>
        <w:t>。</w:t>
      </w:r>
    </w:p>
    <w:p w14:paraId="73D6D276">
      <w:pPr>
        <w:pStyle w:val="4"/>
        <w:wordWrap w:val="0"/>
        <w:adjustRightInd w:val="0"/>
        <w:snapToGrid w:val="0"/>
        <w:spacing w:before="0" w:after="0" w:line="360" w:lineRule="auto"/>
        <w:rPr>
          <w:rFonts w:hint="eastAsia" w:ascii="仿宋" w:hAnsi="仿宋" w:eastAsia="仿宋" w:cs="仿宋"/>
          <w:sz w:val="28"/>
          <w:szCs w:val="28"/>
          <w:highlight w:val="none"/>
        </w:rPr>
      </w:pPr>
      <w:bookmarkStart w:id="774" w:name="_Toc22620"/>
      <w:bookmarkStart w:id="775" w:name="_Toc29712"/>
      <w:r>
        <w:rPr>
          <w:rFonts w:hint="eastAsia" w:ascii="仿宋" w:hAnsi="仿宋" w:eastAsia="仿宋" w:cs="仿宋"/>
          <w:sz w:val="28"/>
          <w:szCs w:val="28"/>
          <w:highlight w:val="none"/>
        </w:rPr>
        <w:t>20.2 保修期</w:t>
      </w:r>
      <w:bookmarkEnd w:id="774"/>
      <w:bookmarkEnd w:id="775"/>
    </w:p>
    <w:p w14:paraId="50DA02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20.2.1 保修期的起算日：</w:t>
      </w:r>
      <w:r>
        <w:rPr>
          <w:rFonts w:hint="eastAsia" w:ascii="仿宋" w:hAnsi="仿宋" w:eastAsia="仿宋" w:cs="仿宋"/>
          <w:sz w:val="28"/>
          <w:szCs w:val="28"/>
          <w:highlight w:val="none"/>
          <w:u w:val="single"/>
        </w:rPr>
        <w:t xml:space="preserve"> 兰州新区年产30GWh 新能源电池生产基地项目（一期）</w:t>
      </w:r>
      <w:r>
        <w:rPr>
          <w:rFonts w:hint="eastAsia" w:ascii="仿宋" w:hAnsi="仿宋" w:eastAsia="仿宋" w:cs="仿宋"/>
          <w:kern w:val="0"/>
          <w:sz w:val="28"/>
          <w:szCs w:val="28"/>
          <w:highlight w:val="none"/>
          <w:u w:val="single"/>
        </w:rPr>
        <w:t>竣工验收之日</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594839A5">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保修期具体期限：</w:t>
      </w:r>
      <w:r>
        <w:rPr>
          <w:rFonts w:hint="eastAsia" w:ascii="仿宋" w:hAnsi="仿宋" w:eastAsia="仿宋" w:cs="仿宋"/>
          <w:kern w:val="0"/>
          <w:sz w:val="28"/>
          <w:szCs w:val="28"/>
          <w:highlight w:val="none"/>
          <w:u w:val="single"/>
        </w:rPr>
        <w:t xml:space="preserve">     2年   </w:t>
      </w:r>
      <w:r>
        <w:rPr>
          <w:rFonts w:hint="eastAsia" w:ascii="仿宋" w:hAnsi="仿宋" w:eastAsia="仿宋" w:cs="仿宋"/>
          <w:kern w:val="0"/>
          <w:sz w:val="28"/>
          <w:szCs w:val="28"/>
          <w:highlight w:val="none"/>
        </w:rPr>
        <w:t>。</w:t>
      </w:r>
    </w:p>
    <w:p w14:paraId="3901F72A">
      <w:pPr>
        <w:pStyle w:val="4"/>
        <w:wordWrap w:val="0"/>
        <w:adjustRightInd w:val="0"/>
        <w:snapToGrid w:val="0"/>
        <w:spacing w:before="0" w:after="0" w:line="360" w:lineRule="auto"/>
        <w:rPr>
          <w:rFonts w:hint="eastAsia" w:ascii="仿宋" w:hAnsi="仿宋" w:eastAsia="仿宋" w:cs="仿宋"/>
          <w:sz w:val="28"/>
          <w:szCs w:val="28"/>
          <w:highlight w:val="none"/>
        </w:rPr>
      </w:pPr>
      <w:bookmarkStart w:id="776" w:name="_Toc1170"/>
      <w:bookmarkStart w:id="777" w:name="_Toc22624"/>
      <w:r>
        <w:rPr>
          <w:rFonts w:hint="eastAsia" w:ascii="仿宋" w:hAnsi="仿宋" w:eastAsia="仿宋" w:cs="仿宋"/>
          <w:sz w:val="28"/>
          <w:szCs w:val="28"/>
          <w:highlight w:val="none"/>
        </w:rPr>
        <w:t>20.3 质量保证金</w:t>
      </w:r>
      <w:bookmarkEnd w:id="776"/>
      <w:bookmarkEnd w:id="777"/>
    </w:p>
    <w:p w14:paraId="2313482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20.3.1 质量保证金的扣留金额和扣留方式：</w:t>
      </w:r>
      <w:r>
        <w:rPr>
          <w:rFonts w:hint="eastAsia" w:ascii="仿宋" w:hAnsi="仿宋" w:eastAsia="仿宋" w:cs="仿宋"/>
          <w:sz w:val="28"/>
          <w:szCs w:val="28"/>
          <w:highlight w:val="none"/>
          <w:u w:val="single"/>
        </w:rPr>
        <w:t>最终结算价的</w:t>
      </w:r>
      <w:r>
        <w:rPr>
          <w:rFonts w:hint="eastAsia" w:ascii="仿宋" w:hAnsi="仿宋" w:eastAsia="仿宋" w:cs="仿宋"/>
          <w:kern w:val="0"/>
          <w:sz w:val="28"/>
          <w:szCs w:val="28"/>
          <w:highlight w:val="none"/>
          <w:u w:val="single"/>
          <w:lang w:val="en-US" w:eastAsia="zh-CN"/>
        </w:rPr>
        <w:t>3</w:t>
      </w:r>
      <w:r>
        <w:rPr>
          <w:rFonts w:hint="eastAsia" w:ascii="仿宋" w:hAnsi="仿宋" w:eastAsia="仿宋" w:cs="仿宋"/>
          <w:kern w:val="0"/>
          <w:sz w:val="28"/>
          <w:szCs w:val="28"/>
          <w:highlight w:val="none"/>
          <w:u w:val="single"/>
        </w:rPr>
        <w:t>%工程款，工程竣工结算时一次性预留。</w:t>
      </w:r>
    </w:p>
    <w:p w14:paraId="34E6BC1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20.3.2 质量保证金的返还方式：缺陷责任</w:t>
      </w:r>
      <w:r>
        <w:rPr>
          <w:rFonts w:hint="eastAsia" w:ascii="仿宋" w:hAnsi="仿宋" w:eastAsia="仿宋" w:cs="仿宋"/>
          <w:sz w:val="28"/>
          <w:szCs w:val="28"/>
          <w:highlight w:val="none"/>
          <w:u w:val="single"/>
        </w:rPr>
        <w:t>期满</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个月内无息返还剩余的</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%。若分包人在缺陷责任期内维修不及时，承包人有权利直接扣除质量保证金。</w:t>
      </w:r>
    </w:p>
    <w:p w14:paraId="172FB28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78" w:name="_Toc6673"/>
      <w:bookmarkStart w:id="779" w:name="_Toc1617"/>
      <w:r>
        <w:rPr>
          <w:rFonts w:hint="eastAsia" w:ascii="仿宋" w:hAnsi="仿宋" w:eastAsia="仿宋" w:cs="仿宋"/>
          <w:sz w:val="28"/>
          <w:szCs w:val="28"/>
          <w:highlight w:val="none"/>
        </w:rPr>
        <w:t>21. 违约</w:t>
      </w:r>
      <w:bookmarkEnd w:id="778"/>
      <w:bookmarkEnd w:id="779"/>
    </w:p>
    <w:p w14:paraId="5EA63ADA">
      <w:pPr>
        <w:pStyle w:val="4"/>
        <w:wordWrap w:val="0"/>
        <w:adjustRightInd w:val="0"/>
        <w:snapToGrid w:val="0"/>
        <w:spacing w:before="0" w:after="0" w:line="360" w:lineRule="auto"/>
        <w:rPr>
          <w:rFonts w:hint="eastAsia" w:ascii="仿宋" w:hAnsi="仿宋" w:eastAsia="仿宋" w:cs="仿宋"/>
          <w:sz w:val="28"/>
          <w:szCs w:val="28"/>
          <w:highlight w:val="none"/>
        </w:rPr>
      </w:pPr>
      <w:bookmarkStart w:id="780" w:name="_Toc28319"/>
      <w:bookmarkStart w:id="781" w:name="_Toc7565"/>
      <w:r>
        <w:rPr>
          <w:rFonts w:hint="eastAsia" w:ascii="仿宋" w:hAnsi="仿宋" w:eastAsia="仿宋" w:cs="仿宋"/>
          <w:sz w:val="28"/>
          <w:szCs w:val="28"/>
          <w:highlight w:val="none"/>
        </w:rPr>
        <w:t>21.1 承包人违约</w:t>
      </w:r>
      <w:bookmarkEnd w:id="780"/>
      <w:bookmarkEnd w:id="781"/>
    </w:p>
    <w:p w14:paraId="1A5D7FE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21.1.1 承包人违约时应支付的违约金或违约金的计算方法： </w:t>
      </w:r>
    </w:p>
    <w:p w14:paraId="2DEF595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如因承包人未能及时支付工程款，双方确认自应付款之日起一年内不计利息及违约金。超过一年，由承包人按同期全国银行间同业拆借中心公布的贷款市场报价利率（LPR）计付利息。</w:t>
      </w:r>
    </w:p>
    <w:p w14:paraId="57FBF07F">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21.2 分包人违约</w:t>
      </w:r>
    </w:p>
    <w:p w14:paraId="7EF6687C">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 分包人应承担违约责任：</w:t>
      </w:r>
    </w:p>
    <w:p w14:paraId="4DC1EF75">
      <w:pPr>
        <w:wordWrap w:val="0"/>
        <w:adjustRightInd w:val="0"/>
        <w:snapToGrid w:val="0"/>
        <w:spacing w:line="360" w:lineRule="auto"/>
        <w:ind w:firstLine="465"/>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rPr>
        <w:t>21.2.1.1非因不可抗力或承包人原因造成分包人延期竣工或任一施工计划延期完成的，每延误一日，分包人应向承包人支付</w:t>
      </w:r>
      <w:r>
        <w:rPr>
          <w:rFonts w:hint="eastAsia" w:ascii="仿宋" w:hAnsi="仿宋" w:eastAsia="仿宋" w:cs="仿宋"/>
          <w:sz w:val="28"/>
          <w:szCs w:val="28"/>
          <w:highlight w:val="none"/>
          <w:lang w:val="en-US" w:eastAsia="zh-CN"/>
        </w:rPr>
        <w:t>10万元违约金，最高赔偿150万元；</w:t>
      </w:r>
      <w:r>
        <w:rPr>
          <w:rFonts w:hint="eastAsia" w:ascii="仿宋" w:hAnsi="仿宋" w:eastAsia="仿宋" w:cs="仿宋"/>
          <w:sz w:val="28"/>
          <w:szCs w:val="28"/>
          <w:highlight w:val="none"/>
          <w:u w:val="none"/>
        </w:rPr>
        <w:t xml:space="preserve">工期延误累计 </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0日的，承包人有权解除合同。</w:t>
      </w:r>
    </w:p>
    <w:p w14:paraId="25DFE7D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21.2.1.2 分包人未按本合同约定或承包人指令向承包人提供竣工验收档案、竣工结算资料等文件的，逾期未交或补交的结算资料不予受理，造成的损失由分包人自行负责。若分包人不能及时配合承包人在约定的期限内完成结算工作，则结算金额无需征得分包人同意，按照承包人单方核定的金额执行，分包人不得有异议。</w:t>
      </w:r>
    </w:p>
    <w:p w14:paraId="1271FB1D">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21.2.1.3 分包人未达到本合同约定的质量标准应承担的违约责任：向承包人支付本合同价款5%违约金，并承担承包人一切损失。</w:t>
      </w:r>
    </w:p>
    <w:p w14:paraId="7C2926F8">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21.2.1.4分包人不按国家法律、法规规定或本合同约定履行质量保证义务的，每次应向承包人支付违约金</w:t>
      </w:r>
      <w:r>
        <w:rPr>
          <w:rFonts w:hint="eastAsia" w:ascii="仿宋" w:hAnsi="仿宋" w:eastAsia="仿宋" w:cs="仿宋"/>
          <w:sz w:val="28"/>
          <w:szCs w:val="28"/>
          <w:highlight w:val="none"/>
          <w:u w:val="single"/>
        </w:rPr>
        <w:t xml:space="preserve"> 2000 </w:t>
      </w:r>
      <w:r>
        <w:rPr>
          <w:rFonts w:hint="eastAsia" w:ascii="仿宋" w:hAnsi="仿宋" w:eastAsia="仿宋" w:cs="仿宋"/>
          <w:sz w:val="28"/>
          <w:szCs w:val="28"/>
          <w:highlight w:val="none"/>
        </w:rPr>
        <w:t>元；累计</w:t>
      </w:r>
      <w:r>
        <w:rPr>
          <w:rFonts w:hint="eastAsia" w:ascii="仿宋" w:hAnsi="仿宋" w:eastAsia="仿宋" w:cs="仿宋"/>
          <w:sz w:val="28"/>
          <w:szCs w:val="28"/>
          <w:highlight w:val="none"/>
          <w:u w:val="single"/>
        </w:rPr>
        <w:t xml:space="preserve">  2  </w:t>
      </w:r>
      <w:r>
        <w:rPr>
          <w:rFonts w:hint="eastAsia" w:ascii="仿宋" w:hAnsi="仿宋" w:eastAsia="仿宋" w:cs="仿宋"/>
          <w:sz w:val="28"/>
          <w:szCs w:val="28"/>
          <w:highlight w:val="none"/>
        </w:rPr>
        <w:t>次未完全履行质量保证义务的，承包人有权自行或委托第三方提供修理、整改服务，所需费用（以承包人财务审定为准）由分包人承担，在质量保证金中扣除。</w:t>
      </w:r>
    </w:p>
    <w:p w14:paraId="434EE58B">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21.2.1.5 除承包人通知或双方协商一致的情形外，分包人不得以任何理由擅自停工。如有违反，分包人须按1万元/天向承包人支付违约金，并承担由此给承包人造成的全部损失。累计停工超过3天的，承包人无须征得分包人同意即有权单方解除合同，分包人须无条件退场。</w:t>
      </w:r>
    </w:p>
    <w:p w14:paraId="3C59D8A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21.2.1.6 本合同提前终止的，分包人未在承包人指令期限内撤场的，每日应向承包人支付违约金</w:t>
      </w:r>
      <w:r>
        <w:rPr>
          <w:rFonts w:hint="eastAsia" w:ascii="仿宋" w:hAnsi="仿宋" w:eastAsia="仿宋" w:cs="仿宋"/>
          <w:sz w:val="28"/>
          <w:szCs w:val="28"/>
          <w:highlight w:val="none"/>
          <w:u w:val="single"/>
        </w:rPr>
        <w:t xml:space="preserve">1000 </w:t>
      </w:r>
      <w:r>
        <w:rPr>
          <w:rFonts w:hint="eastAsia" w:ascii="仿宋" w:hAnsi="仿宋" w:eastAsia="仿宋" w:cs="仿宋"/>
          <w:sz w:val="28"/>
          <w:szCs w:val="28"/>
          <w:highlight w:val="none"/>
        </w:rPr>
        <w:t>元；分包人撤场时未按承包人要求办理工程、设备、材料、资料等清点移交的，逾期移交每日应支付违约金</w:t>
      </w:r>
      <w:r>
        <w:rPr>
          <w:rFonts w:hint="eastAsia" w:ascii="仿宋" w:hAnsi="仿宋" w:eastAsia="仿宋" w:cs="仿宋"/>
          <w:sz w:val="28"/>
          <w:szCs w:val="28"/>
          <w:highlight w:val="none"/>
          <w:u w:val="single"/>
        </w:rPr>
        <w:t>1000</w:t>
      </w:r>
      <w:r>
        <w:rPr>
          <w:rFonts w:hint="eastAsia" w:ascii="仿宋" w:hAnsi="仿宋" w:eastAsia="仿宋" w:cs="仿宋"/>
          <w:sz w:val="28"/>
          <w:szCs w:val="28"/>
          <w:highlight w:val="none"/>
        </w:rPr>
        <w:t>元，直至全部移交完毕之日止。</w:t>
      </w:r>
    </w:p>
    <w:p w14:paraId="48BD11A9">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21.2.1.7 分包人不履行或不按约定履行合同的其他义务时，应向承包人支付合同总额 </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%违约金，分包人尚应赔偿因其违约给承包人造成的经济损失，延误的分包人工作时间不予顺延。</w:t>
      </w:r>
    </w:p>
    <w:p w14:paraId="69DA3F6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21.2.1.8 按本合同约定应由分包人承担违约金，经承包人确认，承包人可直接在工程进度款中等额扣除 。</w:t>
      </w:r>
    </w:p>
    <w:p w14:paraId="15D2B11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21.2.3 一方违约后，另一方要求违约方继续履行合同时，违约方承担上述违约责任后仍应继续履行合同。</w:t>
      </w:r>
    </w:p>
    <w:p w14:paraId="3EE7BF5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21.2.4 分包人违约的，应赔偿承包人全部损失，该损失包括但不限于对承包人所造成的直接损失、可得利益损失、承包人支付给第三方的赔偿费用/违约金/罚款、调查取证费用/公证费、诉讼费用、律师费用以及因此而支付的其他合理费用。</w:t>
      </w:r>
    </w:p>
    <w:p w14:paraId="5EAACAFC">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21.3 分包合同解除</w:t>
      </w:r>
    </w:p>
    <w:p w14:paraId="2AD668F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21.3.1 如在分包人没有完全履行本合同义务之前，总包合同终止，承包人应通知分包人终止本合同。分包人接到通知后尽快撤离现场，承包人应支付分包人已完工程的报酬，因分包人原因导致总包合同终止的除外。</w:t>
      </w:r>
    </w:p>
    <w:p w14:paraId="18886F7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21.3.2 如因不可抗力致使本合同无法履行，或因一方违约致使合同无法履行的，承包人和分包人可以解除合同，分包人自愿承担由此引起的风险和损失。</w:t>
      </w:r>
    </w:p>
    <w:p w14:paraId="61E8348F">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21.3.3 分包人任一施工计划或竣工逾期</w:t>
      </w:r>
      <w:r>
        <w:rPr>
          <w:rFonts w:hint="eastAsia" w:ascii="仿宋" w:hAnsi="仿宋" w:eastAsia="仿宋" w:cs="仿宋"/>
          <w:sz w:val="28"/>
          <w:szCs w:val="28"/>
          <w:highlight w:val="none"/>
          <w:u w:val="single"/>
        </w:rPr>
        <w:t xml:space="preserve"> 10</w:t>
      </w:r>
      <w:r>
        <w:rPr>
          <w:rFonts w:hint="eastAsia" w:ascii="仿宋" w:hAnsi="仿宋" w:eastAsia="仿宋" w:cs="仿宋"/>
          <w:sz w:val="28"/>
          <w:szCs w:val="28"/>
          <w:highlight w:val="none"/>
        </w:rPr>
        <w:t>日仍未竣工验收合格的，承包人有权解除合同。</w:t>
      </w:r>
    </w:p>
    <w:p w14:paraId="7841108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分包人违反法律、行政法规规定或本合同约定，转包或分包的，承包人有权解除合同。</w:t>
      </w:r>
    </w:p>
    <w:p w14:paraId="6CFA7B1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分包人未按时、足额支付其所聘用的工作人员工资，导致其工作人员停工，或窝工，或罢工，或聚众的，承包人有权解除合同。</w:t>
      </w:r>
    </w:p>
    <w:p w14:paraId="69D9DDA3">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分包人擅自停工累计</w:t>
      </w:r>
      <w:r>
        <w:rPr>
          <w:rFonts w:hint="eastAsia" w:ascii="仿宋" w:hAnsi="仿宋" w:eastAsia="仿宋" w:cs="仿宋"/>
          <w:color w:val="auto"/>
          <w:sz w:val="28"/>
          <w:szCs w:val="28"/>
          <w:highlight w:val="none"/>
          <w:u w:val="single"/>
        </w:rPr>
        <w:t>3</w:t>
      </w:r>
      <w:r>
        <w:rPr>
          <w:rFonts w:hint="eastAsia" w:ascii="仿宋" w:hAnsi="仿宋" w:eastAsia="仿宋" w:cs="仿宋"/>
          <w:color w:val="auto"/>
          <w:sz w:val="28"/>
          <w:szCs w:val="28"/>
          <w:highlight w:val="none"/>
        </w:rPr>
        <w:t>天的，承包人有权解除合同。</w:t>
      </w:r>
    </w:p>
    <w:p w14:paraId="71211A99">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分包人违反条款约定及发生其他严重违约行为时，承包人有权根据实际情况决定解除合同。</w:t>
      </w:r>
    </w:p>
    <w:p w14:paraId="578248F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本合同其他条款约定的承包人有权单方解除合同的情形。</w:t>
      </w:r>
    </w:p>
    <w:p w14:paraId="0672E85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21.3.4 因分包人违约导致合同解除后，分包人应承担如下责任：</w:t>
      </w:r>
    </w:p>
    <w:p w14:paraId="5B227A05">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分包人应妥善做好已完工程和剩余材料、设备的保护和移交工作，按承包人要求撤出施工场地，承包人应为分包人撤出提供必要条件，但所需费用由分包人承担。</w:t>
      </w:r>
    </w:p>
    <w:p w14:paraId="3B42B803">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分包人已完工部分且经承包人验收合格的，由承包人据实结算。</w:t>
      </w:r>
    </w:p>
    <w:p w14:paraId="483D20A1">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分包人除按本合同其他约定支付违约金外，还应向承包人支付解除违约金，违约金按本合同总价款20%计。</w:t>
      </w:r>
    </w:p>
    <w:p w14:paraId="7537BF53">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合同解除给承包人造成其他损失的，分包人还应据实赔偿。</w:t>
      </w:r>
    </w:p>
    <w:p w14:paraId="0C263A4F">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合同解除后，不影响双方在合同中约定的结算条款的效力。</w:t>
      </w:r>
    </w:p>
    <w:p w14:paraId="28F6A630">
      <w:pPr>
        <w:pStyle w:val="4"/>
        <w:wordWrap w:val="0"/>
        <w:adjustRightInd w:val="0"/>
        <w:snapToGrid w:val="0"/>
        <w:spacing w:before="0" w:after="0" w:line="360" w:lineRule="auto"/>
        <w:rPr>
          <w:rFonts w:hint="eastAsia" w:ascii="仿宋" w:hAnsi="仿宋" w:eastAsia="仿宋" w:cs="仿宋"/>
          <w:sz w:val="28"/>
          <w:szCs w:val="28"/>
          <w:highlight w:val="none"/>
        </w:rPr>
      </w:pPr>
      <w:bookmarkStart w:id="782" w:name="_Toc14359"/>
      <w:bookmarkStart w:id="783" w:name="_Toc10017"/>
      <w:r>
        <w:rPr>
          <w:rFonts w:hint="eastAsia" w:ascii="仿宋" w:hAnsi="仿宋" w:eastAsia="仿宋" w:cs="仿宋"/>
          <w:sz w:val="28"/>
          <w:szCs w:val="28"/>
          <w:highlight w:val="none"/>
        </w:rPr>
        <w:t>21.4合同终止</w:t>
      </w:r>
      <w:bookmarkEnd w:id="782"/>
      <w:bookmarkEnd w:id="783"/>
    </w:p>
    <w:p w14:paraId="15D719CB">
      <w:pPr>
        <w:wordWrap w:val="0"/>
        <w:adjustRightInd w:val="0"/>
        <w:snapToGrid w:val="0"/>
        <w:spacing w:line="360" w:lineRule="auto"/>
        <w:ind w:left="105" w:leftChars="50"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21.4.1双方履行完合同全部义务，报酬价款支付完毕，分包人向承包人交付作业成果，并经承包人验收合格且缺陷责任期届满后，本合同即告终止。</w:t>
      </w:r>
    </w:p>
    <w:p w14:paraId="76C295A7">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84" w:name="_Toc14770"/>
      <w:bookmarkStart w:id="785" w:name="_Toc3525"/>
      <w:r>
        <w:rPr>
          <w:rFonts w:hint="eastAsia" w:ascii="仿宋" w:hAnsi="仿宋" w:eastAsia="仿宋" w:cs="仿宋"/>
          <w:sz w:val="28"/>
          <w:szCs w:val="28"/>
          <w:highlight w:val="none"/>
        </w:rPr>
        <w:t>22. 不可抗力</w:t>
      </w:r>
      <w:bookmarkEnd w:id="784"/>
      <w:bookmarkEnd w:id="785"/>
      <w:r>
        <w:rPr>
          <w:rFonts w:hint="eastAsia" w:ascii="仿宋" w:hAnsi="仿宋" w:eastAsia="仿宋" w:cs="仿宋"/>
          <w:sz w:val="28"/>
          <w:szCs w:val="28"/>
          <w:highlight w:val="none"/>
        </w:rPr>
        <w:t xml:space="preserve"> </w:t>
      </w:r>
    </w:p>
    <w:p w14:paraId="0BF51AB5">
      <w:pPr>
        <w:pStyle w:val="4"/>
        <w:wordWrap w:val="0"/>
        <w:adjustRightInd w:val="0"/>
        <w:snapToGrid w:val="0"/>
        <w:spacing w:before="0" w:after="0" w:line="360" w:lineRule="auto"/>
        <w:rPr>
          <w:rFonts w:hint="eastAsia" w:ascii="仿宋" w:hAnsi="仿宋" w:eastAsia="仿宋" w:cs="仿宋"/>
          <w:sz w:val="28"/>
          <w:szCs w:val="28"/>
          <w:highlight w:val="none"/>
        </w:rPr>
      </w:pPr>
      <w:bookmarkStart w:id="786" w:name="_Toc26435"/>
      <w:bookmarkStart w:id="787" w:name="_Toc3106"/>
      <w:r>
        <w:rPr>
          <w:rFonts w:hint="eastAsia" w:ascii="仿宋" w:hAnsi="仿宋" w:eastAsia="仿宋" w:cs="仿宋"/>
          <w:sz w:val="28"/>
          <w:szCs w:val="28"/>
          <w:highlight w:val="none"/>
        </w:rPr>
        <w:t>22.1 不可抗力的确认和通知</w:t>
      </w:r>
      <w:bookmarkEnd w:id="786"/>
      <w:bookmarkEnd w:id="787"/>
    </w:p>
    <w:p w14:paraId="1A197FD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不可抗力的其他情形</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14:paraId="44E4DB22">
      <w:pPr>
        <w:pStyle w:val="4"/>
        <w:wordWrap w:val="0"/>
        <w:adjustRightInd w:val="0"/>
        <w:snapToGrid w:val="0"/>
        <w:spacing w:before="0" w:after="0" w:line="360" w:lineRule="auto"/>
        <w:rPr>
          <w:rFonts w:hint="eastAsia" w:ascii="仿宋" w:hAnsi="仿宋" w:eastAsia="仿宋" w:cs="仿宋"/>
          <w:sz w:val="28"/>
          <w:szCs w:val="28"/>
          <w:highlight w:val="none"/>
        </w:rPr>
      </w:pPr>
      <w:bookmarkStart w:id="788" w:name="_Toc14587"/>
      <w:bookmarkStart w:id="789" w:name="_Toc12475"/>
      <w:r>
        <w:rPr>
          <w:rFonts w:hint="eastAsia" w:ascii="仿宋" w:hAnsi="仿宋" w:eastAsia="仿宋" w:cs="仿宋"/>
          <w:sz w:val="28"/>
          <w:szCs w:val="28"/>
          <w:highlight w:val="none"/>
        </w:rPr>
        <w:t>22.3 因不可抗力解除合同</w:t>
      </w:r>
      <w:bookmarkEnd w:id="788"/>
      <w:bookmarkEnd w:id="789"/>
    </w:p>
    <w:p w14:paraId="5C3F1D18">
      <w:pPr>
        <w:wordWrap w:val="0"/>
        <w:adjustRightInd w:val="0"/>
        <w:snapToGrid w:val="0"/>
        <w:spacing w:line="360" w:lineRule="auto"/>
        <w:ind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因不可抗力解除合同，承包人应支付款项包括：</w:t>
      </w:r>
      <w:r>
        <w:rPr>
          <w:rFonts w:hint="eastAsia" w:ascii="仿宋" w:hAnsi="仿宋" w:eastAsia="仿宋" w:cs="仿宋"/>
          <w:sz w:val="28"/>
          <w:szCs w:val="28"/>
          <w:highlight w:val="none"/>
          <w:u w:val="single"/>
        </w:rPr>
        <w:t xml:space="preserve">已完工的合格工程对应工程款项 </w:t>
      </w:r>
      <w:r>
        <w:rPr>
          <w:rFonts w:hint="eastAsia" w:ascii="仿宋" w:hAnsi="仿宋" w:eastAsia="仿宋" w:cs="仿宋"/>
          <w:sz w:val="28"/>
          <w:szCs w:val="28"/>
          <w:highlight w:val="none"/>
        </w:rPr>
        <w:t>。</w:t>
      </w:r>
    </w:p>
    <w:p w14:paraId="704BFC3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90" w:name="_Toc6124"/>
      <w:bookmarkStart w:id="791" w:name="_Toc2080"/>
      <w:r>
        <w:rPr>
          <w:rFonts w:hint="eastAsia" w:ascii="仿宋" w:hAnsi="仿宋" w:eastAsia="仿宋" w:cs="仿宋"/>
          <w:sz w:val="28"/>
          <w:szCs w:val="28"/>
          <w:highlight w:val="none"/>
        </w:rPr>
        <w:t>23. 保险</w:t>
      </w:r>
      <w:bookmarkEnd w:id="790"/>
      <w:bookmarkEnd w:id="791"/>
      <w:r>
        <w:rPr>
          <w:rFonts w:hint="eastAsia" w:ascii="仿宋" w:hAnsi="仿宋" w:eastAsia="仿宋" w:cs="仿宋"/>
          <w:sz w:val="28"/>
          <w:szCs w:val="28"/>
          <w:highlight w:val="none"/>
        </w:rPr>
        <w:t xml:space="preserve"> </w:t>
      </w:r>
    </w:p>
    <w:p w14:paraId="3A5018C3">
      <w:pPr>
        <w:pStyle w:val="4"/>
        <w:wordWrap w:val="0"/>
        <w:adjustRightInd w:val="0"/>
        <w:snapToGrid w:val="0"/>
        <w:spacing w:before="0" w:after="0" w:line="360" w:lineRule="auto"/>
        <w:rPr>
          <w:rFonts w:hint="eastAsia" w:ascii="仿宋" w:hAnsi="仿宋" w:eastAsia="仿宋" w:cs="仿宋"/>
          <w:sz w:val="28"/>
          <w:szCs w:val="28"/>
          <w:highlight w:val="none"/>
        </w:rPr>
      </w:pPr>
      <w:bookmarkStart w:id="792" w:name="_Toc4884"/>
      <w:bookmarkStart w:id="793" w:name="_Toc1857"/>
      <w:r>
        <w:rPr>
          <w:rFonts w:hint="eastAsia" w:ascii="仿宋" w:hAnsi="仿宋" w:eastAsia="仿宋" w:cs="仿宋"/>
          <w:sz w:val="28"/>
          <w:szCs w:val="28"/>
          <w:highlight w:val="none"/>
        </w:rPr>
        <w:t>23.2 其他保险</w:t>
      </w:r>
      <w:bookmarkEnd w:id="792"/>
      <w:bookmarkEnd w:id="793"/>
    </w:p>
    <w:p w14:paraId="66B0654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关于意外伤害保险、财产保险的特别约定：</w:t>
      </w:r>
      <w:r>
        <w:rPr>
          <w:rFonts w:hint="eastAsia" w:ascii="仿宋" w:hAnsi="仿宋" w:eastAsia="仿宋" w:cs="仿宋"/>
          <w:sz w:val="28"/>
          <w:szCs w:val="28"/>
          <w:highlight w:val="none"/>
          <w:u w:val="single"/>
        </w:rPr>
        <w:t xml:space="preserve"> 分包人必须为从事危险作业的施工人员办理意外伤害保险等相关保险，分包人应以本企业名义为本分包项目购买工伤保险，并为施工场地内自有人员生命财产和施工机械设备办理保险，支付保险费用。保险事故发生时，有责任尽力采取必要的措施，防止或者减少损失。承担由于自身责任造成的质量修改、返工、工期拖延、安全事故、现场脏乱造成的损失及各种罚款。若在施工期间出现人身、财产安全事故问题或员工伤病问题，责任由分包人自行承担，造成承包人损失的，分包人另行承担赔偿责任。分包人员与承包人不存在任何劳务、劳动关系  </w:t>
      </w:r>
      <w:r>
        <w:rPr>
          <w:rFonts w:hint="eastAsia" w:ascii="仿宋" w:hAnsi="仿宋" w:eastAsia="仿宋" w:cs="仿宋"/>
          <w:sz w:val="28"/>
          <w:szCs w:val="28"/>
          <w:highlight w:val="none"/>
        </w:rPr>
        <w:t>。</w:t>
      </w:r>
    </w:p>
    <w:p w14:paraId="2B611E5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办理意外伤害保险的具体事项：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000DC5D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办理财产保险的具体事项：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38403A0">
      <w:pPr>
        <w:pStyle w:val="4"/>
        <w:wordWrap w:val="0"/>
        <w:adjustRightInd w:val="0"/>
        <w:snapToGrid w:val="0"/>
        <w:spacing w:before="0" w:after="0" w:line="360" w:lineRule="auto"/>
        <w:rPr>
          <w:rFonts w:hint="eastAsia" w:ascii="仿宋" w:hAnsi="仿宋" w:eastAsia="仿宋" w:cs="仿宋"/>
          <w:sz w:val="28"/>
          <w:szCs w:val="28"/>
          <w:highlight w:val="none"/>
        </w:rPr>
      </w:pPr>
      <w:bookmarkStart w:id="794" w:name="_Toc23748"/>
      <w:bookmarkStart w:id="795" w:name="_Toc15227"/>
      <w:r>
        <w:rPr>
          <w:rFonts w:hint="eastAsia" w:ascii="仿宋" w:hAnsi="仿宋" w:eastAsia="仿宋" w:cs="仿宋"/>
          <w:sz w:val="28"/>
          <w:szCs w:val="28"/>
          <w:highlight w:val="none"/>
        </w:rPr>
        <w:t>23.3 保险凭证</w:t>
      </w:r>
      <w:bookmarkEnd w:id="794"/>
      <w:bookmarkEnd w:id="795"/>
    </w:p>
    <w:p w14:paraId="40442D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分包人提交保险凭证和保险单复印件的期限：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合同签订后30天内</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33CBB777">
      <w:pPr>
        <w:pStyle w:val="3"/>
        <w:numPr>
          <w:ilvl w:val="0"/>
          <w:numId w:val="0"/>
        </w:numPr>
        <w:wordWrap w:val="0"/>
        <w:adjustRightInd w:val="0"/>
        <w:spacing w:before="156" w:beforeLines="50" w:after="156" w:afterLines="50" w:line="360" w:lineRule="auto"/>
        <w:rPr>
          <w:rFonts w:hint="eastAsia" w:ascii="仿宋" w:hAnsi="仿宋" w:eastAsia="仿宋" w:cs="仿宋"/>
          <w:sz w:val="28"/>
          <w:szCs w:val="28"/>
          <w:highlight w:val="none"/>
        </w:rPr>
      </w:pPr>
      <w:bookmarkStart w:id="796" w:name="_Toc1361"/>
      <w:bookmarkStart w:id="797" w:name="_Toc1276"/>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争议解决</w:t>
      </w:r>
      <w:bookmarkEnd w:id="796"/>
      <w:bookmarkEnd w:id="797"/>
    </w:p>
    <w:p w14:paraId="65B746B0">
      <w:pPr>
        <w:pStyle w:val="4"/>
        <w:wordWrap w:val="0"/>
        <w:adjustRightInd w:val="0"/>
        <w:snapToGrid w:val="0"/>
        <w:spacing w:before="0" w:after="0" w:line="360" w:lineRule="auto"/>
        <w:rPr>
          <w:rFonts w:hint="eastAsia" w:ascii="仿宋" w:hAnsi="仿宋" w:eastAsia="仿宋" w:cs="仿宋"/>
          <w:sz w:val="28"/>
          <w:szCs w:val="28"/>
          <w:highlight w:val="none"/>
        </w:rPr>
      </w:pPr>
      <w:bookmarkStart w:id="798" w:name="_Toc28069"/>
      <w:bookmarkStart w:id="799" w:name="_Toc27828"/>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.1 调解</w:t>
      </w:r>
      <w:bookmarkEnd w:id="798"/>
      <w:bookmarkEnd w:id="799"/>
    </w:p>
    <w:p w14:paraId="36BD845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分包合同当事人可以就争议请求长沙仲裁委进行调解，调解达成协议的，经双方签字并盖章后作为合同补充文件，双方均应遵照执行。</w:t>
      </w:r>
    </w:p>
    <w:p w14:paraId="509701E7">
      <w:pPr>
        <w:pStyle w:val="4"/>
        <w:wordWrap w:val="0"/>
        <w:adjustRightInd w:val="0"/>
        <w:snapToGrid w:val="0"/>
        <w:spacing w:before="0" w:after="0" w:line="360" w:lineRule="auto"/>
        <w:rPr>
          <w:rFonts w:hint="eastAsia" w:ascii="仿宋" w:hAnsi="仿宋" w:eastAsia="仿宋" w:cs="仿宋"/>
          <w:sz w:val="28"/>
          <w:szCs w:val="28"/>
          <w:highlight w:val="none"/>
        </w:rPr>
      </w:pPr>
      <w:bookmarkStart w:id="800" w:name="_Toc16009"/>
      <w:bookmarkStart w:id="801" w:name="_Toc31787"/>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.2 仲裁或诉讼</w:t>
      </w:r>
      <w:bookmarkEnd w:id="800"/>
      <w:bookmarkEnd w:id="801"/>
    </w:p>
    <w:p w14:paraId="489C2551">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.2.1</w:t>
      </w:r>
      <w:bookmarkEnd w:id="656"/>
      <w:r>
        <w:rPr>
          <w:rFonts w:hint="eastAsia" w:ascii="仿宋" w:hAnsi="仿宋" w:eastAsia="仿宋" w:cs="仿宋"/>
          <w:sz w:val="28"/>
          <w:szCs w:val="28"/>
          <w:highlight w:val="none"/>
        </w:rPr>
        <w:t>因分包合同及合同有关事项产生的争议，约定以下列</w:t>
      </w:r>
      <w:r>
        <w:rPr>
          <w:rFonts w:hint="eastAsia" w:ascii="仿宋" w:hAnsi="仿宋" w:eastAsia="仿宋" w:cs="仿宋"/>
          <w:sz w:val="28"/>
          <w:szCs w:val="28"/>
          <w:highlight w:val="none"/>
          <w:lang w:eastAsia="zh-CN"/>
        </w:rPr>
        <w:t>第</w:t>
      </w:r>
      <w:r>
        <w:rPr>
          <w:rFonts w:hint="eastAsia" w:ascii="仿宋" w:hAnsi="仿宋" w:eastAsia="仿宋" w:cs="仿宋"/>
          <w:sz w:val="28"/>
          <w:szCs w:val="28"/>
          <w:highlight w:val="none"/>
        </w:rPr>
        <w:t>一种方式解决争议：</w:t>
      </w:r>
    </w:p>
    <w:p w14:paraId="33F01D36">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（1）向专用合同条款约定的长沙仲裁委申请仲裁；</w:t>
      </w:r>
    </w:p>
    <w:p w14:paraId="28B27CB8">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（2）向专用合同条款约定的有管辖权的人民法院起诉。</w:t>
      </w:r>
    </w:p>
    <w:p w14:paraId="7C87B10E">
      <w:pPr>
        <w:pStyle w:val="8"/>
        <w:adjustRightInd w:val="0"/>
        <w:spacing w:line="360" w:lineRule="auto"/>
        <w:ind w:firstLine="560" w:firstLineChars="20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.2.2 分包人违约的，还应当负担承包人实现合同权利，或抗辩分包人主张而发生的律师费、鉴定费、评估费、诉讼保全费、保全保险费等合理费用。</w:t>
      </w:r>
    </w:p>
    <w:p w14:paraId="5F278E98">
      <w:pPr>
        <w:pStyle w:val="3"/>
        <w:numPr>
          <w:ilvl w:val="0"/>
          <w:numId w:val="11"/>
        </w:numPr>
        <w:wordWrap w:val="0"/>
        <w:adjustRightInd w:val="0"/>
        <w:spacing w:before="156" w:beforeLines="50" w:after="156" w:afterLines="50" w:line="360" w:lineRule="auto"/>
        <w:rPr>
          <w:rFonts w:hint="eastAsia" w:ascii="仿宋" w:hAnsi="仿宋" w:eastAsia="仿宋" w:cs="仿宋"/>
          <w:sz w:val="28"/>
          <w:szCs w:val="28"/>
          <w:highlight w:val="none"/>
        </w:rPr>
      </w:pPr>
      <w:bookmarkStart w:id="802" w:name="_Toc29132"/>
      <w:bookmarkStart w:id="803" w:name="_Toc27903"/>
      <w:r>
        <w:rPr>
          <w:rFonts w:hint="eastAsia" w:ascii="仿宋" w:hAnsi="仿宋" w:eastAsia="仿宋" w:cs="仿宋"/>
          <w:sz w:val="28"/>
          <w:szCs w:val="28"/>
          <w:highlight w:val="none"/>
        </w:rPr>
        <w:t>其他</w:t>
      </w:r>
      <w:bookmarkEnd w:id="802"/>
      <w:bookmarkEnd w:id="803"/>
    </w:p>
    <w:p w14:paraId="2D0847E5">
      <w:pPr>
        <w:pStyle w:val="4"/>
        <w:wordWrap w:val="0"/>
        <w:adjustRightInd w:val="0"/>
        <w:snapToGrid w:val="0"/>
        <w:spacing w:before="0" w:after="0" w:line="360" w:lineRule="auto"/>
        <w:rPr>
          <w:rFonts w:hint="eastAsia" w:ascii="仿宋" w:hAnsi="仿宋" w:eastAsia="仿宋" w:cs="仿宋"/>
          <w:sz w:val="28"/>
          <w:szCs w:val="28"/>
          <w:highlight w:val="none"/>
        </w:rPr>
      </w:pPr>
      <w:bookmarkStart w:id="804" w:name="_Toc32062"/>
      <w:bookmarkStart w:id="805" w:name="_Toc493"/>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.1 材料设备供应</w:t>
      </w:r>
      <w:bookmarkEnd w:id="804"/>
      <w:bookmarkEnd w:id="805"/>
    </w:p>
    <w:p w14:paraId="32D7187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1.1由分包人采购材料设备的约定：因分包人欠付第三方的材料款、租赁费等，导致第三方向承包人连带追偿，视为分包人违约，每发生一次分包人应承担违约金5万元，因此给承包人造成的损失，由分包人承担，承包人有权直接在分包结算款中扣除。</w:t>
      </w:r>
    </w:p>
    <w:p w14:paraId="5B1F7BD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.1.2分包人应保证，承包人使用分包人所供材料设备时，免受第三方提出的侵犯其专利权、商标权、著作权或其他知识产权的起诉。如有发生，分包人将承担全部责任以及由此所发生的全部费用。</w:t>
      </w:r>
    </w:p>
    <w:p w14:paraId="000F7A6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.1.3由于分包人所供材料设备中对商标及知识产权的侵权，被有关部门查处，承包人不承担任何连带责任，所产生的损失全部由分包人承担。</w:t>
      </w:r>
    </w:p>
    <w:p w14:paraId="1E84F7B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1.4分包人应保证，其提供的材料、设备必须为原厂生产，禁止使用委托第三人生产后贴用品牌或翻新的材料、设备，一经发现按假冒伪劣材料、设备处理，分包人应按该部分合同约定使用材料、设备总价的2倍，向承包人支付违约金。分包人支付违约金后，仍应按照承包人要求的期限予以整改；如未按期整改，承包人有权委托他人更换该材料、设备，所发生的费用及损失全部由分包人承担，因整改导致工期延误的，分包人还需承担工期延误的违约责任。</w:t>
      </w:r>
    </w:p>
    <w:p w14:paraId="6EBB882B">
      <w:pPr>
        <w:numPr>
          <w:ilvl w:val="0"/>
          <w:numId w:val="11"/>
        </w:numPr>
        <w:wordWrap w:val="0"/>
        <w:adjustRightInd w:val="0"/>
        <w:snapToGrid w:val="0"/>
        <w:spacing w:line="360" w:lineRule="auto"/>
        <w:ind w:left="0" w:leftChars="0" w:firstLine="0" w:firstLineChars="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工程质量管理细则</w:t>
      </w:r>
    </w:p>
    <w:p w14:paraId="175EAC72">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违反本规定，施工单位有下列行为之一的， 责令改正，并处一万元以上十万元以下的罚款。</w:t>
      </w:r>
    </w:p>
    <w:p w14:paraId="0B59E7B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(一)未对建设工程的隐蔽工程或者每一检验批进行检查的。 </w:t>
      </w:r>
    </w:p>
    <w:p w14:paraId="09B92EEF">
      <w:pPr>
        <w:numPr>
          <w:ilvl w:val="0"/>
          <w:numId w:val="0"/>
        </w:numPr>
        <w:wordWrap w:val="0"/>
        <w:adjustRightInd w:val="0"/>
        <w:snapToGrid w:val="0"/>
        <w:spacing w:line="360" w:lineRule="auto"/>
        <w:ind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（二）未经工程总承包单位、监理单位或者建设单位验收或者验收不合格，进入下一道工序施工的。 </w:t>
      </w:r>
    </w:p>
    <w:p w14:paraId="1A86622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（三）建设工程质量控制资料记录不真实、不准确、不完整或者与建设工程进度不同步的。</w:t>
      </w:r>
    </w:p>
    <w:p w14:paraId="68357F1A">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(四)监视测量工具必须到法定的检测单位进行检测，有检测合格证明。施工机械设备如塔吊、施工电梯等未经检测或检测不合格严禁使用。 </w:t>
      </w:r>
    </w:p>
    <w:p w14:paraId="7E4E1446">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（五）施工过程中不服从业主代表和监理部管理的，施工现场负责人玩忽职守，对存在的工程质量问题不制止，不汇报的。 </w:t>
      </w:r>
    </w:p>
    <w:p w14:paraId="26079E23">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(六)主体工程存在的质量缺陷不积极整改或整改不彻底， </w:t>
      </w:r>
    </w:p>
    <w:p w14:paraId="44E95B8E">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留下质量隐患的；施工过程中粗制滥造、以次充好、偷工减料者。</w:t>
      </w:r>
    </w:p>
    <w:p w14:paraId="6A55D25F">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(七)混凝土、砂浆试块及原材料或半成品取样未按规定制作，弄虚作假，不能真实反映工程质量的。 </w:t>
      </w:r>
    </w:p>
    <w:p w14:paraId="1819C22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（八）未按施工规范、规程和标准施工或因使用不符合质量要求的原材料、构配件、成品、半成品造成工程质量事故，隐瞒不报或作伪证者。 </w:t>
      </w:r>
    </w:p>
    <w:p w14:paraId="125C9ED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(九)在政府主管部门质量检查过程中发现质量问题或被勒 </w:t>
      </w:r>
    </w:p>
    <w:p w14:paraId="0C7D5E14">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令返工，影响恶劣的。</w:t>
      </w:r>
    </w:p>
    <w:p w14:paraId="1157701B">
      <w:pPr>
        <w:pStyle w:val="4"/>
        <w:shd w:val="clear" w:color="auto" w:fill="auto"/>
        <w:wordWrap w:val="0"/>
        <w:adjustRightInd w:val="0"/>
        <w:snapToGrid w:val="0"/>
        <w:spacing w:before="0" w:after="0" w:line="400" w:lineRule="exac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28. 附件</w:t>
      </w:r>
    </w:p>
    <w:p w14:paraId="75399266">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附件1：分包工程工程量清单</w:t>
      </w:r>
    </w:p>
    <w:p w14:paraId="5A235E57">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附件2：分包人用于分包工程施工的材料及机械设备表</w:t>
      </w:r>
    </w:p>
    <w:p w14:paraId="6CEA11B9">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附件3：分包人主要项目管理人员表</w:t>
      </w:r>
    </w:p>
    <w:p w14:paraId="792011B8">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附件4：授权委托书</w:t>
      </w:r>
    </w:p>
    <w:p w14:paraId="0AA027BC">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附件5：代发农民工工资委托书及承诺函</w:t>
      </w:r>
    </w:p>
    <w:p w14:paraId="10B8855C">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附件6：作业人员工资支付要求</w:t>
      </w:r>
    </w:p>
    <w:p w14:paraId="65FB677F">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附件7：安全生产责任协议书</w:t>
      </w:r>
    </w:p>
    <w:p w14:paraId="711B0A40">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附件8：安全文明措施分配表</w:t>
      </w:r>
    </w:p>
    <w:p w14:paraId="24DFCC0C">
      <w:pPr>
        <w:keepNext w:val="0"/>
        <w:keepLines w:val="0"/>
        <w:pageBreakBefore w:val="0"/>
        <w:widowControl/>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附件9：</w:t>
      </w:r>
      <w:r>
        <w:rPr>
          <w:rFonts w:hint="eastAsia" w:ascii="Times New Roman" w:hAnsi="Times New Roman" w:eastAsia="宋体" w:cs="Times New Roman"/>
          <w:b/>
          <w:bCs/>
          <w:color w:val="auto"/>
          <w:kern w:val="0"/>
          <w:sz w:val="24"/>
          <w:szCs w:val="24"/>
          <w:highlight w:val="none"/>
        </w:rPr>
        <w:t>施工现场安全生产奖罚细则</w:t>
      </w:r>
    </w:p>
    <w:p w14:paraId="59F9B4CF">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附件10：工程质量保修书</w:t>
      </w:r>
    </w:p>
    <w:p w14:paraId="1D74C1DD">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附件11：分包/采购廉政确认函</w:t>
      </w:r>
    </w:p>
    <w:p w14:paraId="48AB98E8">
      <w:pPr>
        <w:shd w:val="clear" w:color="auto" w:fill="auto"/>
        <w:wordWrap/>
        <w:spacing w:line="440" w:lineRule="exact"/>
        <w:jc w:val="left"/>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lang w:val="en-US" w:eastAsia="zh-CN"/>
        </w:rPr>
        <w:t>附件12：</w:t>
      </w:r>
      <w:r>
        <w:rPr>
          <w:rFonts w:hint="eastAsia" w:ascii="宋体" w:hAnsi="宋体" w:eastAsia="宋体" w:cs="宋体"/>
          <w:b/>
          <w:color w:val="auto"/>
          <w:kern w:val="2"/>
          <w:sz w:val="24"/>
          <w:szCs w:val="24"/>
          <w:highlight w:val="none"/>
          <w:lang w:val="en-US" w:eastAsia="zh-CN"/>
        </w:rPr>
        <w:t>质量管理奖惩细则</w:t>
      </w:r>
    </w:p>
    <w:p w14:paraId="38B30AE3">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sectPr>
          <w:pgSz w:w="11906" w:h="16838"/>
          <w:pgMar w:top="1440" w:right="1800" w:bottom="1440" w:left="1800" w:header="851" w:footer="992" w:gutter="0"/>
          <w:cols w:space="425" w:num="1"/>
          <w:docGrid w:type="lines" w:linePitch="312" w:charSpace="0"/>
        </w:sectPr>
      </w:pPr>
    </w:p>
    <w:p w14:paraId="5B320795">
      <w:pPr>
        <w:pStyle w:val="20"/>
        <w:rPr>
          <w:rFonts w:hint="eastAsia" w:ascii="宋体" w:hAnsi="宋体"/>
          <w:bCs w:val="0"/>
          <w:sz w:val="32"/>
          <w:szCs w:val="32"/>
          <w:lang w:val="en-US" w:eastAsia="zh-CN"/>
        </w:rPr>
      </w:pPr>
      <w:r>
        <w:rPr>
          <w:rFonts w:hint="eastAsia" w:ascii="仿宋" w:hAnsi="仿宋" w:eastAsia="仿宋" w:cs="仿宋"/>
          <w:kern w:val="0"/>
          <w:sz w:val="28"/>
          <w:szCs w:val="28"/>
          <w:highlight w:val="none"/>
          <w:lang w:val="en-US" w:eastAsia="zh-CN"/>
        </w:rPr>
        <w:t>附件1.</w:t>
      </w:r>
      <w:r>
        <w:rPr>
          <w:rFonts w:hint="eastAsia" w:hAnsi="宋体"/>
          <w:bCs w:val="0"/>
          <w:sz w:val="32"/>
          <w:szCs w:val="32"/>
          <w:lang w:val="en-US" w:eastAsia="zh-CN"/>
        </w:rPr>
        <w:t>分包工程工程量清单</w:t>
      </w:r>
      <w:r>
        <w:rPr>
          <w:rFonts w:hint="eastAsia" w:ascii="宋体" w:hAnsi="宋体"/>
          <w:bCs w:val="0"/>
          <w:sz w:val="32"/>
          <w:szCs w:val="32"/>
          <w:lang w:val="en-US" w:eastAsia="zh-CN"/>
        </w:rPr>
        <w:t xml:space="preserve"> </w:t>
      </w:r>
    </w:p>
    <w:p w14:paraId="64322CBB">
      <w:pPr>
        <w:pStyle w:val="20"/>
        <w:rPr>
          <w:rFonts w:hint="eastAsia" w:ascii="宋体" w:hAnsi="宋体"/>
          <w:b/>
          <w:bCs/>
          <w:sz w:val="28"/>
          <w:szCs w:val="28"/>
          <w:lang w:val="en-US" w:eastAsia="zh-CN"/>
        </w:rPr>
      </w:pPr>
      <w:r>
        <w:rPr>
          <w:rFonts w:hint="eastAsia" w:hAnsi="宋体"/>
          <w:b/>
          <w:bCs/>
          <w:sz w:val="28"/>
          <w:szCs w:val="28"/>
          <w:lang w:val="en-US" w:eastAsia="zh-CN"/>
        </w:rPr>
        <w:t>1、</w:t>
      </w:r>
      <w:r>
        <w:rPr>
          <w:rFonts w:hint="eastAsia" w:ascii="宋体" w:hAnsi="宋体"/>
          <w:b/>
          <w:bCs/>
          <w:sz w:val="28"/>
          <w:szCs w:val="28"/>
          <w:lang w:val="en-US" w:eastAsia="zh-CN"/>
        </w:rPr>
        <w:t>电芯厂房电气工程</w:t>
      </w:r>
    </w:p>
    <w:tbl>
      <w:tblPr>
        <w:tblStyle w:val="16"/>
        <w:tblW w:w="101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729"/>
        <w:gridCol w:w="4359"/>
        <w:gridCol w:w="656"/>
        <w:gridCol w:w="936"/>
        <w:gridCol w:w="873"/>
        <w:gridCol w:w="978"/>
        <w:gridCol w:w="960"/>
      </w:tblGrid>
      <w:tr w14:paraId="00DF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5DAA4">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612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800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D8E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23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726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F78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7C5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38C8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D5D3704">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一、动力电部分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70690">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DDA2D">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D92C5">
            <w:pPr>
              <w:jc w:val="center"/>
              <w:rPr>
                <w:rFonts w:hint="eastAsia" w:ascii="仿宋" w:hAnsi="仿宋" w:eastAsia="仿宋" w:cs="仿宋"/>
                <w:i w:val="0"/>
                <w:iCs w:val="0"/>
                <w:color w:val="000000"/>
                <w:sz w:val="18"/>
                <w:szCs w:val="18"/>
                <w:u w:val="none"/>
              </w:rPr>
            </w:pPr>
          </w:p>
        </w:tc>
      </w:tr>
      <w:tr w14:paraId="7B76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BC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52B6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D4C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2.规格:600*150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495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5B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1258.06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69BE">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A394">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39EF3">
            <w:pPr>
              <w:jc w:val="center"/>
              <w:rPr>
                <w:rFonts w:hint="eastAsia" w:ascii="仿宋" w:hAnsi="仿宋" w:eastAsia="仿宋" w:cs="仿宋"/>
                <w:i w:val="0"/>
                <w:iCs w:val="0"/>
                <w:color w:val="000000"/>
                <w:sz w:val="18"/>
                <w:szCs w:val="18"/>
                <w:u w:val="none"/>
              </w:rPr>
            </w:pPr>
          </w:p>
        </w:tc>
      </w:tr>
      <w:tr w14:paraId="55F4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20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C22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E43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2.规格:400*150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E47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74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04FB">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E34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8E276">
            <w:pPr>
              <w:jc w:val="center"/>
              <w:rPr>
                <w:rFonts w:hint="eastAsia" w:ascii="仿宋" w:hAnsi="仿宋" w:eastAsia="仿宋" w:cs="仿宋"/>
                <w:i w:val="0"/>
                <w:iCs w:val="0"/>
                <w:color w:val="000000"/>
                <w:sz w:val="18"/>
                <w:szCs w:val="18"/>
                <w:u w:val="none"/>
              </w:rPr>
            </w:pPr>
          </w:p>
        </w:tc>
      </w:tr>
      <w:tr w14:paraId="711E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EBD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005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D87E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C1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DA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1749.09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2E10">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3E64">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2C51B">
            <w:pPr>
              <w:jc w:val="center"/>
              <w:rPr>
                <w:rFonts w:hint="eastAsia" w:ascii="仿宋" w:hAnsi="仿宋" w:eastAsia="仿宋" w:cs="仿宋"/>
                <w:i w:val="0"/>
                <w:iCs w:val="0"/>
                <w:color w:val="000000"/>
                <w:sz w:val="18"/>
                <w:szCs w:val="18"/>
                <w:u w:val="none"/>
              </w:rPr>
            </w:pPr>
          </w:p>
        </w:tc>
      </w:tr>
      <w:tr w14:paraId="373E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A5F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4D4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029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DDF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1B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E0F4">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651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CF770">
            <w:pPr>
              <w:jc w:val="center"/>
              <w:rPr>
                <w:rFonts w:hint="eastAsia" w:ascii="仿宋" w:hAnsi="仿宋" w:eastAsia="仿宋" w:cs="仿宋"/>
                <w:i w:val="0"/>
                <w:iCs w:val="0"/>
                <w:color w:val="000000"/>
                <w:sz w:val="18"/>
                <w:szCs w:val="18"/>
                <w:u w:val="none"/>
              </w:rPr>
            </w:pPr>
          </w:p>
        </w:tc>
      </w:tr>
      <w:tr w14:paraId="62B4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CCF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414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1F5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EBB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1E2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230.64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11E8">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506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D168F">
            <w:pPr>
              <w:jc w:val="center"/>
              <w:rPr>
                <w:rFonts w:hint="eastAsia" w:ascii="仿宋" w:hAnsi="仿宋" w:eastAsia="仿宋" w:cs="仿宋"/>
                <w:i w:val="0"/>
                <w:iCs w:val="0"/>
                <w:color w:val="000000"/>
                <w:sz w:val="18"/>
                <w:szCs w:val="18"/>
                <w:u w:val="none"/>
              </w:rPr>
            </w:pPr>
          </w:p>
        </w:tc>
      </w:tr>
      <w:tr w14:paraId="0938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F05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796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A2B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2.规格:600*150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85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BC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410.42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0813">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3E5E">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047B3">
            <w:pPr>
              <w:jc w:val="center"/>
              <w:rPr>
                <w:rFonts w:hint="eastAsia" w:ascii="仿宋" w:hAnsi="仿宋" w:eastAsia="仿宋" w:cs="仿宋"/>
                <w:i w:val="0"/>
                <w:iCs w:val="0"/>
                <w:color w:val="000000"/>
                <w:sz w:val="18"/>
                <w:szCs w:val="18"/>
                <w:u w:val="none"/>
              </w:rPr>
            </w:pPr>
          </w:p>
        </w:tc>
      </w:tr>
      <w:tr w14:paraId="1682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95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84A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878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2.规格:400*150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6FC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00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255.73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7D3F">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049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4D568">
            <w:pPr>
              <w:jc w:val="center"/>
              <w:rPr>
                <w:rFonts w:hint="eastAsia" w:ascii="仿宋" w:hAnsi="仿宋" w:eastAsia="仿宋" w:cs="仿宋"/>
                <w:i w:val="0"/>
                <w:iCs w:val="0"/>
                <w:color w:val="000000"/>
                <w:sz w:val="18"/>
                <w:szCs w:val="18"/>
                <w:u w:val="none"/>
              </w:rPr>
            </w:pPr>
          </w:p>
        </w:tc>
      </w:tr>
      <w:tr w14:paraId="0B23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5A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965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518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C57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B9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253.22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03FF">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621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08656">
            <w:pPr>
              <w:jc w:val="center"/>
              <w:rPr>
                <w:rFonts w:hint="eastAsia" w:ascii="仿宋" w:hAnsi="仿宋" w:eastAsia="仿宋" w:cs="仿宋"/>
                <w:i w:val="0"/>
                <w:iCs w:val="0"/>
                <w:color w:val="000000"/>
                <w:sz w:val="18"/>
                <w:szCs w:val="18"/>
                <w:u w:val="none"/>
              </w:rPr>
            </w:pPr>
          </w:p>
        </w:tc>
      </w:tr>
      <w:tr w14:paraId="373C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F8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6B8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7CD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836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615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182.75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0E85">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497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D480C">
            <w:pPr>
              <w:jc w:val="center"/>
              <w:rPr>
                <w:rFonts w:hint="eastAsia" w:ascii="仿宋" w:hAnsi="仿宋" w:eastAsia="仿宋" w:cs="仿宋"/>
                <w:i w:val="0"/>
                <w:iCs w:val="0"/>
                <w:color w:val="000000"/>
                <w:sz w:val="18"/>
                <w:szCs w:val="18"/>
                <w:u w:val="none"/>
              </w:rPr>
            </w:pPr>
          </w:p>
        </w:tc>
      </w:tr>
      <w:tr w14:paraId="10BE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569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751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EE2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1.名称:消防强电线槽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2.规格:600*150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AA8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48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743.12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6FD7">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F0E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6091F">
            <w:pPr>
              <w:jc w:val="center"/>
              <w:rPr>
                <w:rFonts w:hint="eastAsia" w:ascii="仿宋" w:hAnsi="仿宋" w:eastAsia="仿宋" w:cs="仿宋"/>
                <w:i w:val="0"/>
                <w:iCs w:val="0"/>
                <w:color w:val="000000"/>
                <w:sz w:val="18"/>
                <w:szCs w:val="18"/>
                <w:u w:val="none"/>
              </w:rPr>
            </w:pPr>
          </w:p>
        </w:tc>
      </w:tr>
      <w:tr w14:paraId="4DCB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FAA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0A1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CB5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1.名称:消防强电线槽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2.规格:400*150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D23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A9C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66.58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CB4D">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511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3FEC4">
            <w:pPr>
              <w:jc w:val="center"/>
              <w:rPr>
                <w:rFonts w:hint="eastAsia" w:ascii="仿宋" w:hAnsi="仿宋" w:eastAsia="仿宋" w:cs="仿宋"/>
                <w:i w:val="0"/>
                <w:iCs w:val="0"/>
                <w:color w:val="000000"/>
                <w:sz w:val="18"/>
                <w:szCs w:val="18"/>
                <w:u w:val="none"/>
              </w:rPr>
            </w:pPr>
          </w:p>
        </w:tc>
      </w:tr>
      <w:tr w14:paraId="6E2B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B55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FE0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34C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1.名称:消防强电线槽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4E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6D3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511.15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6BA2">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075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B17DC">
            <w:pPr>
              <w:jc w:val="center"/>
              <w:rPr>
                <w:rFonts w:hint="eastAsia" w:ascii="仿宋" w:hAnsi="仿宋" w:eastAsia="仿宋" w:cs="仿宋"/>
                <w:i w:val="0"/>
                <w:iCs w:val="0"/>
                <w:color w:val="000000"/>
                <w:sz w:val="18"/>
                <w:szCs w:val="18"/>
                <w:u w:val="none"/>
              </w:rPr>
            </w:pPr>
          </w:p>
        </w:tc>
      </w:tr>
      <w:tr w14:paraId="67BE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B0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839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FC0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1.名称:消防强电线槽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121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715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659.56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9B0E">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D32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E25B7">
            <w:pPr>
              <w:jc w:val="center"/>
              <w:rPr>
                <w:rFonts w:hint="eastAsia" w:ascii="仿宋" w:hAnsi="仿宋" w:eastAsia="仿宋" w:cs="仿宋"/>
                <w:i w:val="0"/>
                <w:iCs w:val="0"/>
                <w:color w:val="000000"/>
                <w:sz w:val="18"/>
                <w:szCs w:val="18"/>
                <w:u w:val="none"/>
              </w:rPr>
            </w:pPr>
          </w:p>
        </w:tc>
      </w:tr>
      <w:tr w14:paraId="7B45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C16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71B44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0B7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1.名称:消防强电线槽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2.规格:150*100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F9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F2E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32.95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CFC4">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639E">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98680">
            <w:pPr>
              <w:jc w:val="center"/>
              <w:rPr>
                <w:rFonts w:hint="eastAsia" w:ascii="仿宋" w:hAnsi="仿宋" w:eastAsia="仿宋" w:cs="仿宋"/>
                <w:i w:val="0"/>
                <w:iCs w:val="0"/>
                <w:color w:val="000000"/>
                <w:sz w:val="18"/>
                <w:szCs w:val="18"/>
                <w:u w:val="none"/>
              </w:rPr>
            </w:pPr>
          </w:p>
        </w:tc>
      </w:tr>
      <w:tr w14:paraId="202A9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6FF3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B8C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813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1.名称:消防强电线槽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2.规格:100*50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69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E2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480.26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8722">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C33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7BF85">
            <w:pPr>
              <w:jc w:val="center"/>
              <w:rPr>
                <w:rFonts w:hint="eastAsia" w:ascii="仿宋" w:hAnsi="仿宋" w:eastAsia="仿宋" w:cs="仿宋"/>
                <w:i w:val="0"/>
                <w:iCs w:val="0"/>
                <w:color w:val="000000"/>
                <w:sz w:val="18"/>
                <w:szCs w:val="18"/>
                <w:u w:val="none"/>
              </w:rPr>
            </w:pPr>
          </w:p>
        </w:tc>
      </w:tr>
      <w:tr w14:paraId="2860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A22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F05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E1F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2.规格:ZC-YJV-4x120+1x70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57B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A02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145.28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A30">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D96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C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2000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9D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0CC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AE7F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2.规格:YJV-3x120+2x70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C1C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E3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4948.16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5146">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F36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04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3585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12C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C5B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1C16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2.规格:ZC-YJV-4x150+1x70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EC5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54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145.28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B66E">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D11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2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55C4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A8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1ED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7D6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2.规格:YJV-3x150+2x70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1B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6C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1686.64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FC5C">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F1B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A1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0C1C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9D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839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48A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2.规格:ZC-YJV-4x35+1x16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E9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1F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162.68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CC95">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D56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24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2C6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8AC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326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C38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2.规格:ZC-YJV-4x185+1x95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585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EE5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44FD">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627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C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35D4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9FE9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391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BB9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2.规格:ZC-YJV-5x16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3.敷设方式、部位:CT/MR</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D06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A2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1566.77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84F">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2BC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3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1CE7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CD9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20F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8BF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2.规格:YJV-3x185+2x95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3.敷设方式、部位:CT/MR</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44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A77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18292.16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C7E9">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233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EB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466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98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B16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3E8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2.规格:YJV-3x240+2x120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3.敷设方式、部位:CT/MR</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0F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D0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692.98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A3A9">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F0A5">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B5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3428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236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B2B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E8C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2.规格:ZCN-YJV-3x95+2x50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E35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7E6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1053.53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334D">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089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A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50FB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ACB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AC5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E9A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2.规格:ZCN-YJV-4x185+1x95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095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866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143.33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B892">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256E">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0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8C9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AE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289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6B9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2.规格:ZCN-YJV-3x25+2x16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15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40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4080.39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A822">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94CA">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3E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130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EF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86B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2BA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2.规格:YJV-3x35+2x16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91A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1D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3099.41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FE61">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F4D4">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6D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DDC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B63A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0A7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370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2.规格:ZC-YJV-4x25+1x16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46D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80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1314.32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FBC4">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670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7D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65F3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EEC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894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1A7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2.规格:ZCN-YJV-3x50+2x25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3C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190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2650.05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6C33">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8F9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1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6F7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2A6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81F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111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2.规格:YJV-3x70+2x35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66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D0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2876.6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4B95">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432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8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1302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21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484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E5E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2.规格:ZC-YJV-5x10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196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EF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4133.8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0AC9">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2DFE">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CF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600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C841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DC4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909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2.规格:ZC-YJV-5x6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336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DB3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5659.42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D7F9">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5EF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4F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6649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79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786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D0EC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2.规格:YJV-5x4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9E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0E7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1519.07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A8E5">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473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9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591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8A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43C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26B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2.规格:YJV-5x16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674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7CE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876.83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96F5">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7044">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B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0499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22A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B10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EC7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2.规格:ZC-YJV-4x10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B7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AE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8F18">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4EC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AA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2572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C10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2B8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0D6B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2.规格:ZCN-YJV-3x95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3.敷设方式、部位:WS/CE</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313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9B3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E2F6">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AE9A">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AF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3277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F7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AE2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9C6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2.规格:ZCN-YJV-4x95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3.敷设方式、部位:WS/CE</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4B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EAB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7B4C">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0B4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9F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1C82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08C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77D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571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2.规格:ZCN-YJV-3x4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3.敷设方式、部位:WS</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58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D4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633.6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6D64">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3FF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B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C06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C5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940C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017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2.规格:ZCN-YJV-3x25+1x16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699F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19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13E5">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9334">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A5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57F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089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0A8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77B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2.规格:ZC-YJV-4x35+1x16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A5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E3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5902">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F16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39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25F0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AFB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BBD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9A3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2.规格:ZC-YJV-5x2.5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3.敷设方式、部位:CT/WC/CE</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E2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57F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1473.46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0FE3">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CC6C">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3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6F11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954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6F7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A61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3.敷设方式、部位:CT/WC/CE</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5A5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D71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539.74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4E94">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D6EA">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D5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22D3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68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B75E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8D4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2.规格:ZC-YJV-5x4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3.敷设方式、部位:CT/WC/CE</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0CF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2BF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1327.15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385A">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FBCA">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9F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0611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5C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C45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870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A9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FBE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521.43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D149">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A31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A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55E0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68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677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FE9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902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DA9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160.54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F718">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2AAE">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4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E715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5E37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43E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5AB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2.规格:ZC-YJV-4x120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3.敷设方式、部位:WS.CE</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5F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E1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AC47">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861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E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6565E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462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AC1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9C8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2.规格:ZC-YJV-3x120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3.敷设方式、部位:WS.CE</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DF0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6F5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CDD0">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55A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E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EFB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AE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0371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B93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3.敷设方式、部位:WS.CE</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D52B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54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2C0C">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025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51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0B9F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96C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0FA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CDA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2.规格:ZC-YJV-3x150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3.敷设方式、部位:WS.CE</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68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AEE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6105">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3B5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67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2CC1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0F6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FE9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A03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2.型号:10mm2以内</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BB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EA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14D3">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613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B5CD">
            <w:pPr>
              <w:jc w:val="center"/>
              <w:rPr>
                <w:rFonts w:hint="eastAsia" w:ascii="仿宋" w:hAnsi="仿宋" w:eastAsia="仿宋" w:cs="仿宋"/>
                <w:i w:val="0"/>
                <w:iCs w:val="0"/>
                <w:color w:val="000000"/>
                <w:sz w:val="18"/>
                <w:szCs w:val="18"/>
                <w:u w:val="none"/>
              </w:rPr>
            </w:pPr>
          </w:p>
        </w:tc>
      </w:tr>
      <w:tr w14:paraId="517B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E32D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CEC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9DC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2.型号:35mm2以内</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C4A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5FA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EB0D">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35B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CBDA">
            <w:pPr>
              <w:jc w:val="center"/>
              <w:rPr>
                <w:rFonts w:hint="eastAsia" w:ascii="仿宋" w:hAnsi="仿宋" w:eastAsia="仿宋" w:cs="仿宋"/>
                <w:i w:val="0"/>
                <w:iCs w:val="0"/>
                <w:color w:val="000000"/>
                <w:sz w:val="18"/>
                <w:szCs w:val="18"/>
                <w:u w:val="none"/>
              </w:rPr>
            </w:pPr>
          </w:p>
        </w:tc>
      </w:tr>
      <w:tr w14:paraId="3D5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EC44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7DC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ABA1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2.型号:120mm2以内</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48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7C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C3AF">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270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0026">
            <w:pPr>
              <w:jc w:val="center"/>
              <w:rPr>
                <w:rFonts w:hint="eastAsia" w:ascii="仿宋" w:hAnsi="仿宋" w:eastAsia="仿宋" w:cs="仿宋"/>
                <w:i w:val="0"/>
                <w:iCs w:val="0"/>
                <w:color w:val="000000"/>
                <w:sz w:val="18"/>
                <w:szCs w:val="18"/>
                <w:u w:val="none"/>
              </w:rPr>
            </w:pPr>
          </w:p>
        </w:tc>
      </w:tr>
      <w:tr w14:paraId="330CB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1F80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338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44C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2.型号:240mm2以内</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C98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06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BCA0">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4B8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B5EB">
            <w:pPr>
              <w:jc w:val="center"/>
              <w:rPr>
                <w:rFonts w:hint="eastAsia" w:ascii="仿宋" w:hAnsi="仿宋" w:eastAsia="仿宋" w:cs="仿宋"/>
                <w:i w:val="0"/>
                <w:iCs w:val="0"/>
                <w:color w:val="000000"/>
                <w:sz w:val="18"/>
                <w:szCs w:val="18"/>
                <w:u w:val="none"/>
              </w:rPr>
            </w:pPr>
          </w:p>
        </w:tc>
      </w:tr>
      <w:tr w14:paraId="5120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F3C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0DA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E8B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2.型号:120mm2以内</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4FB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E0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7424">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22E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2DC0">
            <w:pPr>
              <w:jc w:val="center"/>
              <w:rPr>
                <w:rFonts w:hint="eastAsia" w:ascii="仿宋" w:hAnsi="仿宋" w:eastAsia="仿宋" w:cs="仿宋"/>
                <w:i w:val="0"/>
                <w:iCs w:val="0"/>
                <w:color w:val="000000"/>
                <w:sz w:val="18"/>
                <w:szCs w:val="18"/>
                <w:u w:val="none"/>
              </w:rPr>
            </w:pPr>
          </w:p>
        </w:tc>
      </w:tr>
      <w:tr w14:paraId="1EDC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FF50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4CB3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1FD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2.型号:240mm2以内</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22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6E8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0901">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3FBA">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72EA">
            <w:pPr>
              <w:jc w:val="center"/>
              <w:rPr>
                <w:rFonts w:hint="eastAsia" w:ascii="仿宋" w:hAnsi="仿宋" w:eastAsia="仿宋" w:cs="仿宋"/>
                <w:i w:val="0"/>
                <w:iCs w:val="0"/>
                <w:color w:val="000000"/>
                <w:sz w:val="18"/>
                <w:szCs w:val="18"/>
                <w:u w:val="none"/>
              </w:rPr>
            </w:pPr>
          </w:p>
        </w:tc>
      </w:tr>
      <w:tr w14:paraId="1417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FDAF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9DF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85A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2.规格:KVV-4X1.5</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0D9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BD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1750.94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4D29">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0DF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7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03CF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4734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29C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D46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2.规格:KVV-3X1.5</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8F4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3F8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1175.59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76E9">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552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0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B9A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EEA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F1EB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077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2.规格:WDZBN-KYJY-3x1.5</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213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4F9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D22B">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B5E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3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F09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0EB3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2D9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53E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2.规格:WDZBN-KYJY-2x1.5</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70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56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36.16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A541">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DC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4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1507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AC67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DB2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C60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2.规格:NH-KVV-12x1.5</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3F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6C9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134.42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8B59">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FAE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81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3325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9E5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CDF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B2E5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2.规格:NH-KVV-3x1.5</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B5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BCBC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133.91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73EB">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396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5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0D45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7551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71F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3DA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2.规格:NH-KVV-2x1.5</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D03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439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133.99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6BBB">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CFD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BE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3EBA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A33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3FD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控制电缆头</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CA0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2.型号:6芯以下</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46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EB7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4707">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0265">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FA96">
            <w:pPr>
              <w:jc w:val="center"/>
              <w:rPr>
                <w:rFonts w:hint="eastAsia" w:ascii="仿宋" w:hAnsi="仿宋" w:eastAsia="仿宋" w:cs="仿宋"/>
                <w:i w:val="0"/>
                <w:iCs w:val="0"/>
                <w:color w:val="000000"/>
                <w:sz w:val="18"/>
                <w:szCs w:val="18"/>
                <w:u w:val="none"/>
              </w:rPr>
            </w:pPr>
          </w:p>
        </w:tc>
      </w:tr>
      <w:tr w14:paraId="6CF4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F4F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DAF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控制电缆头</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190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2.型号:14芯以下</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924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415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C966">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F9C1">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6165">
            <w:pPr>
              <w:jc w:val="center"/>
              <w:rPr>
                <w:rFonts w:hint="eastAsia" w:ascii="仿宋" w:hAnsi="仿宋" w:eastAsia="仿宋" w:cs="仿宋"/>
                <w:i w:val="0"/>
                <w:iCs w:val="0"/>
                <w:color w:val="000000"/>
                <w:sz w:val="18"/>
                <w:szCs w:val="18"/>
                <w:u w:val="none"/>
              </w:rPr>
            </w:pPr>
          </w:p>
        </w:tc>
      </w:tr>
      <w:tr w14:paraId="7BE0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4626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D92C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CFE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2.型号:ZCN-RYJS-1.5mm2</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B4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97D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6302.62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BFD9">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154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2756">
            <w:pPr>
              <w:jc w:val="center"/>
              <w:rPr>
                <w:rFonts w:hint="eastAsia" w:ascii="仿宋" w:hAnsi="仿宋" w:eastAsia="仿宋" w:cs="仿宋"/>
                <w:i w:val="0"/>
                <w:iCs w:val="0"/>
                <w:color w:val="000000"/>
                <w:sz w:val="18"/>
                <w:szCs w:val="18"/>
                <w:u w:val="none"/>
              </w:rPr>
            </w:pPr>
          </w:p>
        </w:tc>
      </w:tr>
      <w:tr w14:paraId="2F37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265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392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A2C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074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23B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3821.29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7761">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63F1">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3B0DF">
            <w:pPr>
              <w:jc w:val="center"/>
              <w:rPr>
                <w:rFonts w:hint="eastAsia" w:ascii="仿宋" w:hAnsi="仿宋" w:eastAsia="仿宋" w:cs="仿宋"/>
                <w:i w:val="0"/>
                <w:iCs w:val="0"/>
                <w:color w:val="000000"/>
                <w:sz w:val="18"/>
                <w:szCs w:val="18"/>
                <w:u w:val="none"/>
              </w:rPr>
            </w:pPr>
          </w:p>
        </w:tc>
      </w:tr>
      <w:tr w14:paraId="3C13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B38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031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D92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3.规格:DN32</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48D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F22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0682">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52F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60B43">
            <w:pPr>
              <w:jc w:val="center"/>
              <w:rPr>
                <w:rFonts w:hint="eastAsia" w:ascii="仿宋" w:hAnsi="仿宋" w:eastAsia="仿宋" w:cs="仿宋"/>
                <w:i w:val="0"/>
                <w:iCs w:val="0"/>
                <w:color w:val="000000"/>
                <w:sz w:val="18"/>
                <w:szCs w:val="18"/>
                <w:u w:val="none"/>
              </w:rPr>
            </w:pPr>
          </w:p>
        </w:tc>
      </w:tr>
      <w:tr w14:paraId="48CD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D9F9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D2A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65E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3.规格:DN40</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81E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681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57D1">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9475">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DD0E8">
            <w:pPr>
              <w:jc w:val="center"/>
              <w:rPr>
                <w:rFonts w:hint="eastAsia" w:ascii="仿宋" w:hAnsi="仿宋" w:eastAsia="仿宋" w:cs="仿宋"/>
                <w:i w:val="0"/>
                <w:iCs w:val="0"/>
                <w:color w:val="000000"/>
                <w:sz w:val="18"/>
                <w:szCs w:val="18"/>
                <w:u w:val="none"/>
              </w:rPr>
            </w:pPr>
          </w:p>
        </w:tc>
      </w:tr>
      <w:tr w14:paraId="48C7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4260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7A39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4D6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27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012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BA45">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9FB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C75A5">
            <w:pPr>
              <w:jc w:val="center"/>
              <w:rPr>
                <w:rFonts w:hint="eastAsia" w:ascii="仿宋" w:hAnsi="仿宋" w:eastAsia="仿宋" w:cs="仿宋"/>
                <w:i w:val="0"/>
                <w:iCs w:val="0"/>
                <w:color w:val="000000"/>
                <w:sz w:val="18"/>
                <w:szCs w:val="18"/>
                <w:u w:val="none"/>
              </w:rPr>
            </w:pPr>
          </w:p>
        </w:tc>
      </w:tr>
      <w:tr w14:paraId="4431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EA73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62E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B3C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BF2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66C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6604.36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5453">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E83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3824C">
            <w:pPr>
              <w:jc w:val="center"/>
              <w:rPr>
                <w:rFonts w:hint="eastAsia" w:ascii="仿宋" w:hAnsi="仿宋" w:eastAsia="仿宋" w:cs="仿宋"/>
                <w:i w:val="0"/>
                <w:iCs w:val="0"/>
                <w:color w:val="000000"/>
                <w:sz w:val="18"/>
                <w:szCs w:val="18"/>
                <w:u w:val="none"/>
              </w:rPr>
            </w:pPr>
          </w:p>
        </w:tc>
      </w:tr>
      <w:tr w14:paraId="0516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5E6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C15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891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3.规格:DN32</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41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965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7075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12F1">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CC75">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0C691">
            <w:pPr>
              <w:jc w:val="center"/>
              <w:rPr>
                <w:rFonts w:hint="eastAsia" w:ascii="仿宋" w:hAnsi="仿宋" w:eastAsia="仿宋" w:cs="仿宋"/>
                <w:i w:val="0"/>
                <w:iCs w:val="0"/>
                <w:color w:val="000000"/>
                <w:sz w:val="18"/>
                <w:szCs w:val="18"/>
                <w:u w:val="none"/>
              </w:rPr>
            </w:pPr>
          </w:p>
        </w:tc>
      </w:tr>
      <w:tr w14:paraId="4025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F66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554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AFBC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3.规格:DN40</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E88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FA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887.03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0087">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5AF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47A2E">
            <w:pPr>
              <w:jc w:val="center"/>
              <w:rPr>
                <w:rFonts w:hint="eastAsia" w:ascii="仿宋" w:hAnsi="仿宋" w:eastAsia="仿宋" w:cs="仿宋"/>
                <w:i w:val="0"/>
                <w:iCs w:val="0"/>
                <w:color w:val="000000"/>
                <w:sz w:val="18"/>
                <w:szCs w:val="18"/>
                <w:u w:val="none"/>
              </w:rPr>
            </w:pPr>
          </w:p>
        </w:tc>
      </w:tr>
      <w:tr w14:paraId="46CC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F202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861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A26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AC0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790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2D21">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1B2E">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8C85A">
            <w:pPr>
              <w:jc w:val="center"/>
              <w:rPr>
                <w:rFonts w:hint="eastAsia" w:ascii="仿宋" w:hAnsi="仿宋" w:eastAsia="仿宋" w:cs="仿宋"/>
                <w:i w:val="0"/>
                <w:iCs w:val="0"/>
                <w:color w:val="000000"/>
                <w:sz w:val="18"/>
                <w:szCs w:val="18"/>
                <w:u w:val="none"/>
              </w:rPr>
            </w:pPr>
          </w:p>
        </w:tc>
      </w:tr>
      <w:tr w14:paraId="2ADE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B153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827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860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3.规格:DN80</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23E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F70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8730">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D2A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563B6">
            <w:pPr>
              <w:jc w:val="center"/>
              <w:rPr>
                <w:rFonts w:hint="eastAsia" w:ascii="仿宋" w:hAnsi="仿宋" w:eastAsia="仿宋" w:cs="仿宋"/>
                <w:i w:val="0"/>
                <w:iCs w:val="0"/>
                <w:color w:val="000000"/>
                <w:sz w:val="18"/>
                <w:szCs w:val="18"/>
                <w:u w:val="none"/>
              </w:rPr>
            </w:pPr>
          </w:p>
        </w:tc>
      </w:tr>
      <w:tr w14:paraId="6F56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84BC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030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6E6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9FC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B4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48.32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D435">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5CB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35210">
            <w:pPr>
              <w:jc w:val="center"/>
              <w:rPr>
                <w:rFonts w:hint="eastAsia" w:ascii="仿宋" w:hAnsi="仿宋" w:eastAsia="仿宋" w:cs="仿宋"/>
                <w:i w:val="0"/>
                <w:iCs w:val="0"/>
                <w:color w:val="000000"/>
                <w:sz w:val="18"/>
                <w:szCs w:val="18"/>
                <w:u w:val="none"/>
              </w:rPr>
            </w:pPr>
          </w:p>
        </w:tc>
      </w:tr>
      <w:tr w14:paraId="2169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BE4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75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桥架支架</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1C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1.名称：桥架支架制作安装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3.综合：含除锈、刷油防腐、螺栓等满足设计及使用要求的内容</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CE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2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237D">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2AB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94C05">
            <w:pPr>
              <w:jc w:val="center"/>
              <w:rPr>
                <w:rFonts w:hint="eastAsia" w:ascii="仿宋" w:hAnsi="仿宋" w:eastAsia="仿宋" w:cs="仿宋"/>
                <w:i w:val="0"/>
                <w:iCs w:val="0"/>
                <w:color w:val="000000"/>
                <w:sz w:val="18"/>
                <w:szCs w:val="18"/>
                <w:u w:val="none"/>
              </w:rPr>
            </w:pPr>
          </w:p>
        </w:tc>
      </w:tr>
      <w:tr w14:paraId="4C8A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397C59E">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二、照明部分</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5D74">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4795">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92F77">
            <w:pPr>
              <w:jc w:val="center"/>
              <w:rPr>
                <w:rFonts w:hint="eastAsia" w:ascii="仿宋" w:hAnsi="仿宋" w:eastAsia="仿宋" w:cs="仿宋"/>
                <w:i w:val="0"/>
                <w:iCs w:val="0"/>
                <w:color w:val="000000"/>
                <w:sz w:val="18"/>
                <w:szCs w:val="18"/>
                <w:u w:val="none"/>
              </w:rPr>
            </w:pPr>
          </w:p>
        </w:tc>
      </w:tr>
      <w:tr w14:paraId="5BBB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0B0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C2E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8453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2.型号:ZC-BV-2.5mm2</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94D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037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19053.42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7B11">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0D25">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BC3A">
            <w:pPr>
              <w:jc w:val="center"/>
              <w:rPr>
                <w:rFonts w:hint="eastAsia" w:ascii="仿宋" w:hAnsi="仿宋" w:eastAsia="仿宋" w:cs="仿宋"/>
                <w:i w:val="0"/>
                <w:iCs w:val="0"/>
                <w:color w:val="000000"/>
                <w:sz w:val="18"/>
                <w:szCs w:val="18"/>
                <w:u w:val="none"/>
              </w:rPr>
            </w:pPr>
          </w:p>
        </w:tc>
      </w:tr>
      <w:tr w14:paraId="4418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650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9C0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EF5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2.型号:ZC-BV-4mm2</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0A9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1B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68076.47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0428">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2A0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61E2">
            <w:pPr>
              <w:jc w:val="center"/>
              <w:rPr>
                <w:rFonts w:hint="eastAsia" w:ascii="仿宋" w:hAnsi="仿宋" w:eastAsia="仿宋" w:cs="仿宋"/>
                <w:i w:val="0"/>
                <w:iCs w:val="0"/>
                <w:color w:val="000000"/>
                <w:sz w:val="18"/>
                <w:szCs w:val="18"/>
                <w:u w:val="none"/>
              </w:rPr>
            </w:pPr>
          </w:p>
        </w:tc>
      </w:tr>
      <w:tr w14:paraId="1D12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BAE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8A5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34E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3E4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A90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21709.92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6EF8">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EB9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3E50B">
            <w:pPr>
              <w:jc w:val="center"/>
              <w:rPr>
                <w:rFonts w:hint="eastAsia" w:ascii="仿宋" w:hAnsi="仿宋" w:eastAsia="仿宋" w:cs="仿宋"/>
                <w:i w:val="0"/>
                <w:iCs w:val="0"/>
                <w:color w:val="000000"/>
                <w:sz w:val="18"/>
                <w:szCs w:val="18"/>
                <w:u w:val="none"/>
              </w:rPr>
            </w:pPr>
          </w:p>
        </w:tc>
      </w:tr>
      <w:tr w14:paraId="59B6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C36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87E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AA3B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1.名称:LED洁净灯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2.详细参数:L=1200mm LED 45W,6500K,5400lm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6.安装方式:吸顶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7.适用区域:洁净间等</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50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31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2E49">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29C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C457F">
            <w:pPr>
              <w:jc w:val="center"/>
              <w:rPr>
                <w:rFonts w:hint="eastAsia" w:ascii="仿宋" w:hAnsi="仿宋" w:eastAsia="仿宋" w:cs="仿宋"/>
                <w:i w:val="0"/>
                <w:iCs w:val="0"/>
                <w:color w:val="000000"/>
                <w:sz w:val="18"/>
                <w:szCs w:val="18"/>
                <w:u w:val="none"/>
              </w:rPr>
            </w:pPr>
          </w:p>
        </w:tc>
      </w:tr>
      <w:tr w14:paraId="5901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979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652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B86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1.名称:LED平板灯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2.详细参数:1200x300mm LED 45W,6500K,5400lm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6.安装方式:嵌入/吸顶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7.适用区域:厂房、参观通道等</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30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A58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2638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7BC4">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EBB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23F39">
            <w:pPr>
              <w:jc w:val="center"/>
              <w:rPr>
                <w:rFonts w:hint="eastAsia" w:ascii="仿宋" w:hAnsi="仿宋" w:eastAsia="仿宋" w:cs="仿宋"/>
                <w:i w:val="0"/>
                <w:iCs w:val="0"/>
                <w:color w:val="000000"/>
                <w:sz w:val="18"/>
                <w:szCs w:val="18"/>
                <w:u w:val="none"/>
              </w:rPr>
            </w:pPr>
          </w:p>
        </w:tc>
      </w:tr>
      <w:tr w14:paraId="218E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BC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7FF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FCB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1.名称:LED面板灯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2.详细参数:LED 10W,6500K,1200lm 300x300mm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6.安装方式:嵌入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7.适用区域:卫生间</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D8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412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1620">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A3C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239FC">
            <w:pPr>
              <w:jc w:val="center"/>
              <w:rPr>
                <w:rFonts w:hint="eastAsia" w:ascii="仿宋" w:hAnsi="仿宋" w:eastAsia="仿宋" w:cs="仿宋"/>
                <w:i w:val="0"/>
                <w:iCs w:val="0"/>
                <w:color w:val="000000"/>
                <w:sz w:val="18"/>
                <w:szCs w:val="18"/>
                <w:u w:val="none"/>
              </w:rPr>
            </w:pPr>
          </w:p>
        </w:tc>
      </w:tr>
      <w:tr w14:paraId="405B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6CA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004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930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1.名称:LED面板灯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2.详细参数:LED 40W,6500K,4800lm 600x600mm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6.安装方式:嵌入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7.适用区域:卫生间</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5A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7C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C530">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617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CB9F4">
            <w:pPr>
              <w:jc w:val="center"/>
              <w:rPr>
                <w:rFonts w:hint="eastAsia" w:ascii="仿宋" w:hAnsi="仿宋" w:eastAsia="仿宋" w:cs="仿宋"/>
                <w:i w:val="0"/>
                <w:iCs w:val="0"/>
                <w:color w:val="000000"/>
                <w:sz w:val="18"/>
                <w:szCs w:val="18"/>
                <w:u w:val="none"/>
              </w:rPr>
            </w:pPr>
          </w:p>
        </w:tc>
      </w:tr>
      <w:tr w14:paraId="7E59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4D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4DF8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荧光灯</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ACC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1.名称:LED支架灯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2.详细参数:L=1200mm LED 2X24W,6500K,单管2800lm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6.安装方式:吸顶/吊装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7.适用区域:辅房、配电间等</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8A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FEF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0C9D">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43B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F0A20">
            <w:pPr>
              <w:jc w:val="center"/>
              <w:rPr>
                <w:rFonts w:hint="eastAsia" w:ascii="仿宋" w:hAnsi="仿宋" w:eastAsia="仿宋" w:cs="仿宋"/>
                <w:i w:val="0"/>
                <w:iCs w:val="0"/>
                <w:color w:val="000000"/>
                <w:sz w:val="18"/>
                <w:szCs w:val="18"/>
                <w:u w:val="none"/>
              </w:rPr>
            </w:pPr>
          </w:p>
        </w:tc>
      </w:tr>
      <w:tr w14:paraId="1449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6D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3EE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荧光灯</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57C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1.名称:LED支架灯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2.详细参数:L=1200mm LED 24W,6500K,单管2800lm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6.安装方式:吸顶/吊装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7.适用区域:辅房、配电间等</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324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553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DF66">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4B3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33FD6">
            <w:pPr>
              <w:jc w:val="center"/>
              <w:rPr>
                <w:rFonts w:hint="eastAsia" w:ascii="仿宋" w:hAnsi="仿宋" w:eastAsia="仿宋" w:cs="仿宋"/>
                <w:i w:val="0"/>
                <w:iCs w:val="0"/>
                <w:color w:val="000000"/>
                <w:sz w:val="18"/>
                <w:szCs w:val="18"/>
                <w:u w:val="none"/>
              </w:rPr>
            </w:pPr>
          </w:p>
        </w:tc>
      </w:tr>
      <w:tr w14:paraId="650A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350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454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4D7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1.名称:LED工矿灯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2.详细参数:LED 100W,6500K,12000lm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6.安装方式:壁装H+4.5m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7.适用区域:辅房等</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136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B4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FF12">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019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D79E8">
            <w:pPr>
              <w:jc w:val="center"/>
              <w:rPr>
                <w:rFonts w:hint="eastAsia" w:ascii="仿宋" w:hAnsi="仿宋" w:eastAsia="仿宋" w:cs="仿宋"/>
                <w:i w:val="0"/>
                <w:iCs w:val="0"/>
                <w:color w:val="000000"/>
                <w:sz w:val="18"/>
                <w:szCs w:val="18"/>
                <w:u w:val="none"/>
              </w:rPr>
            </w:pPr>
          </w:p>
        </w:tc>
      </w:tr>
      <w:tr w14:paraId="2AFA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3F3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93E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08DC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1.名称:LED工矿灯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2.详细参数:LED 150W,6500K,18000lm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6.安装方式:吊装平台标高+5.5m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7.适用区域:车间等</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4D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91F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4EF3">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C63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CA568">
            <w:pPr>
              <w:jc w:val="center"/>
              <w:rPr>
                <w:rFonts w:hint="eastAsia" w:ascii="仿宋" w:hAnsi="仿宋" w:eastAsia="仿宋" w:cs="仿宋"/>
                <w:i w:val="0"/>
                <w:iCs w:val="0"/>
                <w:color w:val="000000"/>
                <w:sz w:val="18"/>
                <w:szCs w:val="18"/>
                <w:u w:val="none"/>
              </w:rPr>
            </w:pPr>
          </w:p>
        </w:tc>
      </w:tr>
      <w:tr w14:paraId="7AC7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41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E91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16F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1.名称:LED工矿灯-洁净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2.详细参数:LED 150W,6500K,18000lm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6.安装方式:吊装平台标高+5.5m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7.适用区域:车间等</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ACB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BE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BF14">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41D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A50C72">
            <w:pPr>
              <w:jc w:val="center"/>
              <w:rPr>
                <w:rFonts w:hint="eastAsia" w:ascii="仿宋" w:hAnsi="仿宋" w:eastAsia="仿宋" w:cs="仿宋"/>
                <w:i w:val="0"/>
                <w:iCs w:val="0"/>
                <w:color w:val="000000"/>
                <w:sz w:val="18"/>
                <w:szCs w:val="18"/>
                <w:u w:val="none"/>
              </w:rPr>
            </w:pPr>
          </w:p>
        </w:tc>
      </w:tr>
      <w:tr w14:paraId="11B9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11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9C8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54D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1.名称:LED壁装灯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2.详细参数:L=1200mm LED 24W,6500K,单管2800lm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3.IP等级:54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6.安装方式:壁装H+3.5m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7.适用区域:辅房等</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7F8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57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A554">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1C2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2A7F3">
            <w:pPr>
              <w:jc w:val="center"/>
              <w:rPr>
                <w:rFonts w:hint="eastAsia" w:ascii="仿宋" w:hAnsi="仿宋" w:eastAsia="仿宋" w:cs="仿宋"/>
                <w:i w:val="0"/>
                <w:iCs w:val="0"/>
                <w:color w:val="000000"/>
                <w:sz w:val="18"/>
                <w:szCs w:val="18"/>
                <w:u w:val="none"/>
              </w:rPr>
            </w:pPr>
          </w:p>
        </w:tc>
      </w:tr>
      <w:tr w14:paraId="6A80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0F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196</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D1C6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39B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1.名称:LED壁装灯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2.详细参数:L=1200mm LED 24W,6500K,单管2800lm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6.安装方式:壁装H+3.5m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7.适用区域:辅房等</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8A9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9B4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A59A">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1EA4">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42C02">
            <w:pPr>
              <w:jc w:val="center"/>
              <w:rPr>
                <w:rFonts w:hint="eastAsia" w:ascii="仿宋" w:hAnsi="仿宋" w:eastAsia="仿宋" w:cs="仿宋"/>
                <w:i w:val="0"/>
                <w:iCs w:val="0"/>
                <w:color w:val="000000"/>
                <w:sz w:val="18"/>
                <w:szCs w:val="18"/>
                <w:u w:val="none"/>
              </w:rPr>
            </w:pPr>
          </w:p>
        </w:tc>
      </w:tr>
      <w:tr w14:paraId="59B0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04F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197</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083F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AA7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1.名称:LED感应灯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2.详细参数:LED 18W,4000K,2000lm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3.IP等级:54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6.安装方式:吸顶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7.适用区域:楼梯间</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2D53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F2E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82CE">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6A9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F5502">
            <w:pPr>
              <w:jc w:val="center"/>
              <w:rPr>
                <w:rFonts w:hint="eastAsia" w:ascii="仿宋" w:hAnsi="仿宋" w:eastAsia="仿宋" w:cs="仿宋"/>
                <w:i w:val="0"/>
                <w:iCs w:val="0"/>
                <w:color w:val="000000"/>
                <w:sz w:val="18"/>
                <w:szCs w:val="18"/>
                <w:u w:val="none"/>
              </w:rPr>
            </w:pPr>
          </w:p>
        </w:tc>
      </w:tr>
      <w:tr w14:paraId="1A4F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5D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59A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C677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1.名称:LED壁灯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2.详细参数:LED 100W,6500K,12000lm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6.安装方式:壁装,H+2.6m 根据实际需求高度调整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7.适用区域:设备平台层等</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D7A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87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2EA4">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62BC">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05FF8">
            <w:pPr>
              <w:jc w:val="center"/>
              <w:rPr>
                <w:rFonts w:hint="eastAsia" w:ascii="仿宋" w:hAnsi="仿宋" w:eastAsia="仿宋" w:cs="仿宋"/>
                <w:i w:val="0"/>
                <w:iCs w:val="0"/>
                <w:color w:val="000000"/>
                <w:sz w:val="18"/>
                <w:szCs w:val="18"/>
                <w:u w:val="none"/>
              </w:rPr>
            </w:pPr>
          </w:p>
        </w:tc>
      </w:tr>
      <w:tr w14:paraId="75D9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8E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199</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AB9C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0B3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1.名称:灯具接线盒</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680E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C382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4862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CA2F">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7E8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EFFA1">
            <w:pPr>
              <w:jc w:val="center"/>
              <w:rPr>
                <w:rFonts w:hint="eastAsia" w:ascii="仿宋" w:hAnsi="仿宋" w:eastAsia="仿宋" w:cs="仿宋"/>
                <w:i w:val="0"/>
                <w:iCs w:val="0"/>
                <w:color w:val="000000"/>
                <w:sz w:val="18"/>
                <w:szCs w:val="18"/>
                <w:u w:val="none"/>
              </w:rPr>
            </w:pPr>
          </w:p>
        </w:tc>
      </w:tr>
      <w:tr w14:paraId="6379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7B6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EF69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照明开关</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F5C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1.名称:单联双控跷板开关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3.安装方式:底边距地1.3m</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BC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9C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A86">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373A">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2670B">
            <w:pPr>
              <w:jc w:val="center"/>
              <w:rPr>
                <w:rFonts w:hint="eastAsia" w:ascii="仿宋" w:hAnsi="仿宋" w:eastAsia="仿宋" w:cs="仿宋"/>
                <w:i w:val="0"/>
                <w:iCs w:val="0"/>
                <w:color w:val="000000"/>
                <w:sz w:val="18"/>
                <w:szCs w:val="18"/>
                <w:u w:val="none"/>
              </w:rPr>
            </w:pPr>
          </w:p>
        </w:tc>
      </w:tr>
      <w:tr w14:paraId="4C41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C72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B87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照明开关</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A43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1.名称:单联双控跷板开关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3.安装方式:底边距地1.3m</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3CC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D1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48B3">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F7C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21834">
            <w:pPr>
              <w:jc w:val="center"/>
              <w:rPr>
                <w:rFonts w:hint="eastAsia" w:ascii="仿宋" w:hAnsi="仿宋" w:eastAsia="仿宋" w:cs="仿宋"/>
                <w:i w:val="0"/>
                <w:iCs w:val="0"/>
                <w:color w:val="000000"/>
                <w:sz w:val="18"/>
                <w:szCs w:val="18"/>
                <w:u w:val="none"/>
              </w:rPr>
            </w:pPr>
          </w:p>
        </w:tc>
      </w:tr>
      <w:tr w14:paraId="2544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22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6A86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照明开关</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76A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1.名称:双联单控跷板开关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3.安装方式:底边距地1.3m</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059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2C8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BBCC">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85E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A8921">
            <w:pPr>
              <w:jc w:val="center"/>
              <w:rPr>
                <w:rFonts w:hint="eastAsia" w:ascii="仿宋" w:hAnsi="仿宋" w:eastAsia="仿宋" w:cs="仿宋"/>
                <w:i w:val="0"/>
                <w:iCs w:val="0"/>
                <w:color w:val="000000"/>
                <w:sz w:val="18"/>
                <w:szCs w:val="18"/>
                <w:u w:val="none"/>
              </w:rPr>
            </w:pPr>
          </w:p>
        </w:tc>
      </w:tr>
      <w:tr w14:paraId="27C4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A9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977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照明开关</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63E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1.名称:三联单控跷板开关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3.安装方式:底边距地1.3m</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AC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18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F69E">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B3D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8913E">
            <w:pPr>
              <w:jc w:val="center"/>
              <w:rPr>
                <w:rFonts w:hint="eastAsia" w:ascii="仿宋" w:hAnsi="仿宋" w:eastAsia="仿宋" w:cs="仿宋"/>
                <w:i w:val="0"/>
                <w:iCs w:val="0"/>
                <w:color w:val="000000"/>
                <w:sz w:val="18"/>
                <w:szCs w:val="18"/>
                <w:u w:val="none"/>
              </w:rPr>
            </w:pPr>
          </w:p>
        </w:tc>
      </w:tr>
      <w:tr w14:paraId="7704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E53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204</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42B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CDD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1.名称:开关接线盒</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24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2D3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BDBB">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E405">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9E65E">
            <w:pPr>
              <w:jc w:val="center"/>
              <w:rPr>
                <w:rFonts w:hint="eastAsia" w:ascii="仿宋" w:hAnsi="仿宋" w:eastAsia="仿宋" w:cs="仿宋"/>
                <w:i w:val="0"/>
                <w:iCs w:val="0"/>
                <w:color w:val="000000"/>
                <w:sz w:val="18"/>
                <w:szCs w:val="18"/>
                <w:u w:val="none"/>
              </w:rPr>
            </w:pPr>
          </w:p>
        </w:tc>
      </w:tr>
      <w:tr w14:paraId="4AA0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F1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8373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插座</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0C4A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1.名称:单相二三极安全插座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3.安装方式:未注明区域底边距地0.3m暗装，宿舍户内底边距地1.0m暗装，车间等区域空调机组用底边距地0.6m暗装</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80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EA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9E17">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25FA">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617A5">
            <w:pPr>
              <w:jc w:val="center"/>
              <w:rPr>
                <w:rFonts w:hint="eastAsia" w:ascii="仿宋" w:hAnsi="仿宋" w:eastAsia="仿宋" w:cs="仿宋"/>
                <w:i w:val="0"/>
                <w:iCs w:val="0"/>
                <w:color w:val="000000"/>
                <w:sz w:val="18"/>
                <w:szCs w:val="18"/>
                <w:u w:val="none"/>
              </w:rPr>
            </w:pPr>
          </w:p>
        </w:tc>
      </w:tr>
      <w:tr w14:paraId="2F0B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69B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4495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插座</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205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1.名称:防水型单相三极安全插座(烘手机用)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3.安装方式:底边距地1.3m暗装</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BC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AF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1400">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702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B78DF">
            <w:pPr>
              <w:jc w:val="center"/>
              <w:rPr>
                <w:rFonts w:hint="eastAsia" w:ascii="仿宋" w:hAnsi="仿宋" w:eastAsia="仿宋" w:cs="仿宋"/>
                <w:i w:val="0"/>
                <w:iCs w:val="0"/>
                <w:color w:val="000000"/>
                <w:sz w:val="18"/>
                <w:szCs w:val="18"/>
                <w:u w:val="none"/>
              </w:rPr>
            </w:pPr>
          </w:p>
        </w:tc>
      </w:tr>
      <w:tr w14:paraId="2884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BCD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207</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F28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插座</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699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1.名称:防水型单相三极安全插座(小厨宝用)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3.安装方式:底边距地0.5m暗装</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181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14C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EDF4">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571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7EE7B">
            <w:pPr>
              <w:jc w:val="center"/>
              <w:rPr>
                <w:rFonts w:hint="eastAsia" w:ascii="仿宋" w:hAnsi="仿宋" w:eastAsia="仿宋" w:cs="仿宋"/>
                <w:i w:val="0"/>
                <w:iCs w:val="0"/>
                <w:color w:val="000000"/>
                <w:sz w:val="18"/>
                <w:szCs w:val="18"/>
                <w:u w:val="none"/>
              </w:rPr>
            </w:pPr>
          </w:p>
        </w:tc>
      </w:tr>
      <w:tr w14:paraId="1109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E967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3AC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插座</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944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1.名称:防水型单相三极安全插座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3.安装方式:底边距地0.8m暗装/台面上0.3m暗装</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94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0F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2C0F">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242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D72F0">
            <w:pPr>
              <w:jc w:val="center"/>
              <w:rPr>
                <w:rFonts w:hint="eastAsia" w:ascii="仿宋" w:hAnsi="仿宋" w:eastAsia="仿宋" w:cs="仿宋"/>
                <w:i w:val="0"/>
                <w:iCs w:val="0"/>
                <w:color w:val="000000"/>
                <w:sz w:val="18"/>
                <w:szCs w:val="18"/>
                <w:u w:val="none"/>
              </w:rPr>
            </w:pPr>
          </w:p>
        </w:tc>
      </w:tr>
      <w:tr w14:paraId="52BC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99E5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209</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B7A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插座</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F95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1.名称:单相二三极安全插座 EN</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2.规格:~250V,10A,防爆等级 Ex d IIC T6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3.安装方式:底边距地0.3m暗装</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536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748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818A">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22E1">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76D93">
            <w:pPr>
              <w:jc w:val="center"/>
              <w:rPr>
                <w:rFonts w:hint="eastAsia" w:ascii="仿宋" w:hAnsi="仿宋" w:eastAsia="仿宋" w:cs="仿宋"/>
                <w:i w:val="0"/>
                <w:iCs w:val="0"/>
                <w:color w:val="000000"/>
                <w:sz w:val="18"/>
                <w:szCs w:val="18"/>
                <w:u w:val="none"/>
              </w:rPr>
            </w:pPr>
          </w:p>
        </w:tc>
      </w:tr>
      <w:tr w14:paraId="2D918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414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DFD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FBC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1.名称:插座接线盒</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5EC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92D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5D23">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734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C6B6C">
            <w:pPr>
              <w:jc w:val="center"/>
              <w:rPr>
                <w:rFonts w:hint="eastAsia" w:ascii="仿宋" w:hAnsi="仿宋" w:eastAsia="仿宋" w:cs="仿宋"/>
                <w:i w:val="0"/>
                <w:iCs w:val="0"/>
                <w:color w:val="000000"/>
                <w:sz w:val="18"/>
                <w:szCs w:val="18"/>
                <w:u w:val="none"/>
              </w:rPr>
            </w:pPr>
          </w:p>
        </w:tc>
      </w:tr>
      <w:tr w14:paraId="65EF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434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34D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47D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1.名称:86接线盒(小便池用)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3.安装形式:底边距地1.0m暗装</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6E9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38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0DB6">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6F9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47DBB">
            <w:pPr>
              <w:jc w:val="center"/>
              <w:rPr>
                <w:rFonts w:hint="eastAsia" w:ascii="仿宋" w:hAnsi="仿宋" w:eastAsia="仿宋" w:cs="仿宋"/>
                <w:i w:val="0"/>
                <w:iCs w:val="0"/>
                <w:color w:val="000000"/>
                <w:sz w:val="18"/>
                <w:szCs w:val="18"/>
                <w:u w:val="none"/>
              </w:rPr>
            </w:pPr>
          </w:p>
        </w:tc>
      </w:tr>
      <w:tr w14:paraId="30BE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F94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593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按钮</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270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1.名称:带指示灯启停控制按钮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2.规格:一启一停,带指示灯,10A 250V,IP41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3.+1.5m壁装</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40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4C7C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768E">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F39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9E632">
            <w:pPr>
              <w:jc w:val="center"/>
              <w:rPr>
                <w:rFonts w:hint="eastAsia" w:ascii="仿宋" w:hAnsi="仿宋" w:eastAsia="仿宋" w:cs="仿宋"/>
                <w:i w:val="0"/>
                <w:iCs w:val="0"/>
                <w:color w:val="000000"/>
                <w:sz w:val="18"/>
                <w:szCs w:val="18"/>
                <w:u w:val="none"/>
              </w:rPr>
            </w:pPr>
          </w:p>
        </w:tc>
      </w:tr>
      <w:tr w14:paraId="0E9A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3008C51">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三、防雷接地部分</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C051">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656C">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7A266">
            <w:pPr>
              <w:jc w:val="center"/>
              <w:rPr>
                <w:rFonts w:hint="eastAsia" w:ascii="仿宋" w:hAnsi="仿宋" w:eastAsia="仿宋" w:cs="仿宋"/>
                <w:i w:val="0"/>
                <w:iCs w:val="0"/>
                <w:color w:val="000000"/>
                <w:sz w:val="18"/>
                <w:szCs w:val="18"/>
                <w:u w:val="none"/>
              </w:rPr>
            </w:pPr>
          </w:p>
        </w:tc>
      </w:tr>
      <w:tr w14:paraId="5827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22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213</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01E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避雷引下线</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B41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1.名称:引下线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2.安装形式:利用建筑物四周的混凝土柱做自然引下线,除标注外均从屋面引至基础。</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233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1A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1215.5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C21A">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804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8103">
            <w:pPr>
              <w:jc w:val="center"/>
              <w:rPr>
                <w:rFonts w:hint="eastAsia" w:ascii="仿宋" w:hAnsi="仿宋" w:eastAsia="仿宋" w:cs="仿宋"/>
                <w:i w:val="0"/>
                <w:iCs w:val="0"/>
                <w:color w:val="000000"/>
                <w:sz w:val="18"/>
                <w:szCs w:val="18"/>
                <w:u w:val="none"/>
              </w:rPr>
            </w:pPr>
          </w:p>
        </w:tc>
      </w:tr>
      <w:tr w14:paraId="0047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F50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214</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E272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4CE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1.名称:防雷检测实验盒(接地电阻测试点)H=0.5m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2.做法参见《电气物防雷设施安装》15D501第30页</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70A4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C318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315C">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55B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1186A">
            <w:pPr>
              <w:jc w:val="center"/>
              <w:rPr>
                <w:rFonts w:hint="eastAsia" w:ascii="仿宋" w:hAnsi="仿宋" w:eastAsia="仿宋" w:cs="仿宋"/>
                <w:i w:val="0"/>
                <w:iCs w:val="0"/>
                <w:color w:val="000000"/>
                <w:sz w:val="18"/>
                <w:szCs w:val="18"/>
                <w:u w:val="none"/>
              </w:rPr>
            </w:pPr>
          </w:p>
        </w:tc>
      </w:tr>
      <w:tr w14:paraId="4586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941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E06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12B3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1.名称:人工接地地体引出线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2.规格:不锈扁钢40x4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3.距地坪-1.00m</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FD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25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E07">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56A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E1FD">
            <w:pPr>
              <w:jc w:val="center"/>
              <w:rPr>
                <w:rFonts w:hint="eastAsia" w:ascii="仿宋" w:hAnsi="仿宋" w:eastAsia="仿宋" w:cs="仿宋"/>
                <w:i w:val="0"/>
                <w:iCs w:val="0"/>
                <w:color w:val="000000"/>
                <w:sz w:val="18"/>
                <w:szCs w:val="18"/>
                <w:u w:val="none"/>
              </w:rPr>
            </w:pPr>
          </w:p>
        </w:tc>
      </w:tr>
      <w:tr w14:paraId="3512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07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C8A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79D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1.名称:局部等电位箱LEB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2.规格:做法见15D502-24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3.电井、控制室底板、工艺设备厂房+0.3m</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948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0C4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3936">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91D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8AA30">
            <w:pPr>
              <w:jc w:val="center"/>
              <w:rPr>
                <w:rFonts w:hint="eastAsia" w:ascii="仿宋" w:hAnsi="仿宋" w:eastAsia="仿宋" w:cs="仿宋"/>
                <w:i w:val="0"/>
                <w:iCs w:val="0"/>
                <w:color w:val="000000"/>
                <w:sz w:val="18"/>
                <w:szCs w:val="18"/>
                <w:u w:val="none"/>
              </w:rPr>
            </w:pPr>
          </w:p>
        </w:tc>
      </w:tr>
      <w:tr w14:paraId="05E9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74B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9E5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7C1E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1.名称:防静电等电位箱 FLEB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2.H+0.3m,与防静电接地网可靠连接</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33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E4C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1A1C">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4C2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E8B84">
            <w:pPr>
              <w:jc w:val="center"/>
              <w:rPr>
                <w:rFonts w:hint="eastAsia" w:ascii="仿宋" w:hAnsi="仿宋" w:eastAsia="仿宋" w:cs="仿宋"/>
                <w:i w:val="0"/>
                <w:iCs w:val="0"/>
                <w:color w:val="000000"/>
                <w:sz w:val="18"/>
                <w:szCs w:val="18"/>
                <w:u w:val="none"/>
              </w:rPr>
            </w:pPr>
          </w:p>
        </w:tc>
      </w:tr>
      <w:tr w14:paraId="23B7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B1D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218</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EF1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F81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1.名称:总等电位箱MEB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2.规格:图集24DX002-1 139页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3.底板+0.3m(设置在配电房)</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D52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D4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FA2D">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88B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EB032">
            <w:pPr>
              <w:jc w:val="center"/>
              <w:rPr>
                <w:rFonts w:hint="eastAsia" w:ascii="仿宋" w:hAnsi="仿宋" w:eastAsia="仿宋" w:cs="仿宋"/>
                <w:i w:val="0"/>
                <w:iCs w:val="0"/>
                <w:color w:val="000000"/>
                <w:sz w:val="18"/>
                <w:szCs w:val="18"/>
                <w:u w:val="none"/>
              </w:rPr>
            </w:pPr>
          </w:p>
        </w:tc>
      </w:tr>
      <w:tr w14:paraId="6944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36A9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219</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259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0C0E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1.名称:配电房接地线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2.规格:镀锌扁钢-40x4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3.过门时沿地坪暗设,并与柱内或剪力墙内主钢筋焊接。保护接地干线,明敷,H+0.5m</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4BF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E0B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952A">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005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2561">
            <w:pPr>
              <w:jc w:val="center"/>
              <w:rPr>
                <w:rFonts w:hint="eastAsia" w:ascii="仿宋" w:hAnsi="仿宋" w:eastAsia="仿宋" w:cs="仿宋"/>
                <w:i w:val="0"/>
                <w:iCs w:val="0"/>
                <w:color w:val="000000"/>
                <w:sz w:val="18"/>
                <w:szCs w:val="18"/>
                <w:u w:val="none"/>
              </w:rPr>
            </w:pPr>
          </w:p>
        </w:tc>
      </w:tr>
      <w:tr w14:paraId="0CAB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A8B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673D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989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2.安装形式:利用底板钢筋焊接,标高见结施图</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DDF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B31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2273.37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F37F">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6CE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D373">
            <w:pPr>
              <w:jc w:val="center"/>
              <w:rPr>
                <w:rFonts w:hint="eastAsia" w:ascii="仿宋" w:hAnsi="仿宋" w:eastAsia="仿宋" w:cs="仿宋"/>
                <w:i w:val="0"/>
                <w:iCs w:val="0"/>
                <w:color w:val="000000"/>
                <w:sz w:val="18"/>
                <w:szCs w:val="18"/>
                <w:u w:val="none"/>
              </w:rPr>
            </w:pPr>
          </w:p>
        </w:tc>
      </w:tr>
      <w:tr w14:paraId="46A5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1C1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5A2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8DD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1.名称:做气体探测区域设置此接地干线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2.材质:不锈钢-40x4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3.安装形式:过门时沿地坪暗设,并与柱内或剪力墙内主钢筋焊接。保护接地干线,明敷,H+0.3m，不小于两处与建筑总接地网可靠连接</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CD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1DD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199.44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7EA8">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6DE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7ACD">
            <w:pPr>
              <w:jc w:val="center"/>
              <w:rPr>
                <w:rFonts w:hint="eastAsia" w:ascii="仿宋" w:hAnsi="仿宋" w:eastAsia="仿宋" w:cs="仿宋"/>
                <w:i w:val="0"/>
                <w:iCs w:val="0"/>
                <w:color w:val="000000"/>
                <w:sz w:val="18"/>
                <w:szCs w:val="18"/>
                <w:u w:val="none"/>
              </w:rPr>
            </w:pPr>
          </w:p>
        </w:tc>
      </w:tr>
      <w:tr w14:paraId="1FE3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12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1BB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接地装置</w:t>
            </w:r>
          </w:p>
        </w:tc>
        <w:tc>
          <w:tcPr>
            <w:tcW w:w="43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52566">
            <w:pPr>
              <w:jc w:val="left"/>
              <w:rPr>
                <w:rFonts w:hint="eastAsia" w:ascii="仿宋" w:hAnsi="仿宋" w:eastAsia="仿宋" w:cs="仿宋"/>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843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A7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AC7C">
            <w:pPr>
              <w:jc w:val="right"/>
              <w:rPr>
                <w:rFonts w:hint="eastAsia" w:ascii="仿宋" w:hAnsi="仿宋" w:eastAsia="仿宋" w:cs="仿宋"/>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5E8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CC329">
            <w:pPr>
              <w:jc w:val="center"/>
              <w:rPr>
                <w:rFonts w:hint="eastAsia" w:ascii="仿宋" w:hAnsi="仿宋" w:eastAsia="仿宋" w:cs="仿宋"/>
                <w:i w:val="0"/>
                <w:iCs w:val="0"/>
                <w:color w:val="000000"/>
                <w:sz w:val="18"/>
                <w:szCs w:val="18"/>
                <w:u w:val="none"/>
              </w:rPr>
            </w:pPr>
          </w:p>
        </w:tc>
      </w:tr>
      <w:tr w14:paraId="0D65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29835F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6D2D550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DE9D9"/>
            <w:noWrap/>
            <w:vAlign w:val="center"/>
          </w:tcPr>
          <w:p w14:paraId="46C673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A71AA7B">
            <w:pPr>
              <w:rPr>
                <w:rFonts w:hint="eastAsia" w:ascii="仿宋" w:hAnsi="仿宋" w:eastAsia="仿宋" w:cs="仿宋"/>
                <w:i w:val="0"/>
                <w:iCs w:val="0"/>
                <w:color w:val="000000"/>
                <w:sz w:val="18"/>
                <w:szCs w:val="18"/>
                <w:u w:val="none"/>
              </w:rPr>
            </w:pPr>
          </w:p>
        </w:tc>
      </w:tr>
    </w:tbl>
    <w:p w14:paraId="578CBD87">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2CF47DC5">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2、室外电气工程</w:t>
      </w:r>
    </w:p>
    <w:tbl>
      <w:tblPr>
        <w:tblStyle w:val="16"/>
        <w:tblW w:w="1011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773"/>
        <w:gridCol w:w="4320"/>
        <w:gridCol w:w="694"/>
        <w:gridCol w:w="906"/>
        <w:gridCol w:w="880"/>
        <w:gridCol w:w="947"/>
        <w:gridCol w:w="987"/>
      </w:tblGrid>
      <w:tr w14:paraId="661A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15451">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815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4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3CAA4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48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CDA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EB7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9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92B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408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3BD4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1002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F36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39F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2.规格:YJV-10-3x150</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25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E8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2713.24</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6D2C7">
            <w:pPr>
              <w:jc w:val="right"/>
              <w:rPr>
                <w:rFonts w:hint="eastAsia" w:ascii="仿宋" w:hAnsi="仿宋" w:eastAsia="仿宋" w:cs="仿宋"/>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BA900">
            <w:pPr>
              <w:jc w:val="right"/>
              <w:rPr>
                <w:rFonts w:hint="eastAsia" w:ascii="仿宋" w:hAnsi="仿宋" w:eastAsia="仿宋" w:cs="仿宋"/>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C3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55A7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E9A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FDD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0CD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2.规格:YJV-10-3x120</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E8E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75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1819.68</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BF607">
            <w:pPr>
              <w:jc w:val="right"/>
              <w:rPr>
                <w:rFonts w:hint="eastAsia" w:ascii="仿宋" w:hAnsi="仿宋" w:eastAsia="仿宋" w:cs="仿宋"/>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C3D6F2">
            <w:pPr>
              <w:jc w:val="right"/>
              <w:rPr>
                <w:rFonts w:hint="eastAsia" w:ascii="仿宋" w:hAnsi="仿宋" w:eastAsia="仿宋" w:cs="仿宋"/>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F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6C439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DDB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AC2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45CF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2.规格:YJV-10-3x95</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82B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C4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471.99</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AC5F9">
            <w:pPr>
              <w:jc w:val="right"/>
              <w:rPr>
                <w:rFonts w:hint="eastAsia" w:ascii="仿宋" w:hAnsi="仿宋" w:eastAsia="仿宋" w:cs="仿宋"/>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8EF86">
            <w:pPr>
              <w:jc w:val="right"/>
              <w:rPr>
                <w:rFonts w:hint="eastAsia" w:ascii="仿宋" w:hAnsi="仿宋" w:eastAsia="仿宋" w:cs="仿宋"/>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FF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077D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0735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8EC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AC7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2.型号:240mm2以内</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169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CE3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0ED3">
            <w:pPr>
              <w:jc w:val="right"/>
              <w:rPr>
                <w:rFonts w:hint="eastAsia" w:ascii="仿宋" w:hAnsi="仿宋" w:eastAsia="仿宋" w:cs="仿宋"/>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18E82">
            <w:pPr>
              <w:jc w:val="right"/>
              <w:rPr>
                <w:rFonts w:hint="eastAsia" w:ascii="仿宋" w:hAnsi="仿宋" w:eastAsia="仿宋" w:cs="仿宋"/>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807C">
            <w:pPr>
              <w:jc w:val="center"/>
              <w:rPr>
                <w:rFonts w:hint="eastAsia" w:ascii="仿宋" w:hAnsi="仿宋" w:eastAsia="仿宋" w:cs="仿宋"/>
                <w:i w:val="0"/>
                <w:iCs w:val="0"/>
                <w:color w:val="000000"/>
                <w:sz w:val="18"/>
                <w:szCs w:val="18"/>
                <w:u w:val="none"/>
              </w:rPr>
            </w:pPr>
          </w:p>
        </w:tc>
      </w:tr>
      <w:tr w14:paraId="6E0F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9D86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277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8AD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2.型号:120mm2以内</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2FE8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A1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3A54">
            <w:pPr>
              <w:jc w:val="right"/>
              <w:rPr>
                <w:rFonts w:hint="eastAsia" w:ascii="仿宋" w:hAnsi="仿宋" w:eastAsia="仿宋" w:cs="仿宋"/>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AE34B">
            <w:pPr>
              <w:jc w:val="right"/>
              <w:rPr>
                <w:rFonts w:hint="eastAsia" w:ascii="仿宋" w:hAnsi="仿宋" w:eastAsia="仿宋" w:cs="仿宋"/>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B5A2">
            <w:pPr>
              <w:jc w:val="center"/>
              <w:rPr>
                <w:rFonts w:hint="eastAsia" w:ascii="仿宋" w:hAnsi="仿宋" w:eastAsia="仿宋" w:cs="仿宋"/>
                <w:i w:val="0"/>
                <w:iCs w:val="0"/>
                <w:color w:val="000000"/>
                <w:sz w:val="18"/>
                <w:szCs w:val="18"/>
                <w:u w:val="none"/>
              </w:rPr>
            </w:pPr>
          </w:p>
        </w:tc>
      </w:tr>
      <w:tr w14:paraId="3578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00"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4901A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880" w:type="dxa"/>
            <w:tcBorders>
              <w:top w:val="single" w:color="000000" w:sz="4" w:space="0"/>
              <w:left w:val="single" w:color="000000" w:sz="4" w:space="0"/>
              <w:bottom w:val="single" w:color="000000" w:sz="4" w:space="0"/>
              <w:right w:val="nil"/>
            </w:tcBorders>
            <w:shd w:val="clear" w:color="auto" w:fill="FDE9D9"/>
            <w:noWrap/>
            <w:vAlign w:val="center"/>
          </w:tcPr>
          <w:p w14:paraId="0ACCA2BE">
            <w:pPr>
              <w:jc w:val="center"/>
              <w:rPr>
                <w:rFonts w:hint="eastAsia" w:ascii="仿宋" w:hAnsi="仿宋" w:eastAsia="仿宋" w:cs="仿宋"/>
                <w:i w:val="0"/>
                <w:iCs w:val="0"/>
                <w:color w:val="000000"/>
                <w:sz w:val="18"/>
                <w:szCs w:val="18"/>
                <w:u w:val="none"/>
              </w:rPr>
            </w:pPr>
          </w:p>
        </w:tc>
        <w:tc>
          <w:tcPr>
            <w:tcW w:w="947" w:type="dxa"/>
            <w:tcBorders>
              <w:top w:val="single" w:color="000000" w:sz="4" w:space="0"/>
              <w:left w:val="nil"/>
              <w:bottom w:val="single" w:color="000000" w:sz="4" w:space="0"/>
              <w:right w:val="single" w:color="000000" w:sz="4" w:space="0"/>
            </w:tcBorders>
            <w:shd w:val="clear" w:color="auto" w:fill="FDE9D9"/>
            <w:noWrap/>
            <w:vAlign w:val="center"/>
          </w:tcPr>
          <w:p w14:paraId="42CA8F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0.00 </w:t>
            </w:r>
          </w:p>
        </w:tc>
        <w:tc>
          <w:tcPr>
            <w:tcW w:w="987" w:type="dxa"/>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1E394295">
            <w:pPr>
              <w:rPr>
                <w:rFonts w:hint="eastAsia" w:ascii="仿宋" w:hAnsi="仿宋" w:eastAsia="仿宋" w:cs="仿宋"/>
                <w:i w:val="0"/>
                <w:iCs w:val="0"/>
                <w:color w:val="000000"/>
                <w:sz w:val="18"/>
                <w:szCs w:val="18"/>
                <w:u w:val="none"/>
              </w:rPr>
            </w:pPr>
          </w:p>
        </w:tc>
      </w:tr>
    </w:tbl>
    <w:p w14:paraId="04C1C8DD">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6D0ACB47">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2D1F138C">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179FB516">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4A63F4C7">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38BB2E4C">
      <w:pPr>
        <w:shd w:val="clear" w:color="auto" w:fill="auto"/>
        <w:wordWrap w:val="0"/>
        <w:adjustRightInd w:val="0"/>
        <w:snapToGrid w:val="0"/>
        <w:spacing w:line="400" w:lineRule="exact"/>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附</w:t>
      </w:r>
      <w:bookmarkStart w:id="806" w:name="_Toc296891054"/>
      <w:bookmarkStart w:id="807" w:name="_Toc296944565"/>
      <w:bookmarkStart w:id="808" w:name="_Toc296503226"/>
      <w:bookmarkStart w:id="809" w:name="_Toc296346727"/>
      <w:bookmarkStart w:id="810" w:name="_Toc296347225"/>
      <w:bookmarkStart w:id="811" w:name="_Toc296891266"/>
      <w:bookmarkStart w:id="812" w:name="_Toc267261693"/>
      <w:r>
        <w:rPr>
          <w:rFonts w:hint="eastAsia" w:ascii="宋体" w:hAnsi="宋体" w:eastAsia="宋体" w:cs="宋体"/>
          <w:b/>
          <w:bCs/>
          <w:color w:val="auto"/>
          <w:sz w:val="24"/>
          <w:szCs w:val="24"/>
        </w:rPr>
        <w:t>件</w:t>
      </w:r>
      <w:bookmarkEnd w:id="806"/>
      <w:bookmarkEnd w:id="807"/>
      <w:bookmarkEnd w:id="808"/>
      <w:bookmarkEnd w:id="809"/>
      <w:bookmarkEnd w:id="810"/>
      <w:bookmarkEnd w:id="811"/>
      <w:bookmarkEnd w:id="812"/>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 xml:space="preserve">    </w:t>
      </w:r>
    </w:p>
    <w:p w14:paraId="389AB176">
      <w:pPr>
        <w:shd w:val="clear" w:color="auto" w:fill="auto"/>
        <w:wordWrap w:val="0"/>
        <w:spacing w:before="156" w:beforeLines="50" w:after="156" w:afterLines="5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分包人用于分包工程施工的</w:t>
      </w:r>
      <w:r>
        <w:rPr>
          <w:rFonts w:hint="eastAsia" w:ascii="宋体" w:hAnsi="宋体" w:eastAsia="宋体" w:cs="宋体"/>
          <w:b/>
          <w:bCs/>
          <w:color w:val="auto"/>
          <w:sz w:val="24"/>
          <w:szCs w:val="24"/>
          <w:lang w:val="en-US" w:eastAsia="zh-CN"/>
        </w:rPr>
        <w:t>材料及</w:t>
      </w:r>
      <w:r>
        <w:rPr>
          <w:rFonts w:hint="eastAsia" w:ascii="宋体" w:hAnsi="宋体" w:eastAsia="宋体" w:cs="宋体"/>
          <w:b/>
          <w:bCs/>
          <w:color w:val="auto"/>
          <w:sz w:val="24"/>
          <w:szCs w:val="24"/>
        </w:rPr>
        <w:t>机械设备表</w:t>
      </w:r>
    </w:p>
    <w:tbl>
      <w:tblPr>
        <w:tblStyle w:val="1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3"/>
        <w:gridCol w:w="1811"/>
        <w:gridCol w:w="1143"/>
        <w:gridCol w:w="906"/>
        <w:gridCol w:w="735"/>
        <w:gridCol w:w="1020"/>
        <w:gridCol w:w="1480"/>
        <w:gridCol w:w="1169"/>
        <w:gridCol w:w="772"/>
      </w:tblGrid>
      <w:tr w14:paraId="0F20F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73" w:type="dxa"/>
            <w:tcBorders>
              <w:top w:val="single" w:color="auto" w:sz="12" w:space="0"/>
              <w:bottom w:val="double" w:color="auto" w:sz="6" w:space="0"/>
            </w:tcBorders>
            <w:noWrap w:val="0"/>
            <w:vAlign w:val="center"/>
          </w:tcPr>
          <w:p w14:paraId="171F347D">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11" w:type="dxa"/>
            <w:tcBorders>
              <w:top w:val="single" w:color="auto" w:sz="12" w:space="0"/>
              <w:bottom w:val="double" w:color="auto" w:sz="6" w:space="0"/>
            </w:tcBorders>
            <w:noWrap w:val="0"/>
            <w:vAlign w:val="center"/>
          </w:tcPr>
          <w:p w14:paraId="5C860FF8">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机械或设备名称</w:t>
            </w:r>
          </w:p>
        </w:tc>
        <w:tc>
          <w:tcPr>
            <w:tcW w:w="1143" w:type="dxa"/>
            <w:tcBorders>
              <w:top w:val="single" w:color="auto" w:sz="12" w:space="0"/>
              <w:bottom w:val="double" w:color="auto" w:sz="6" w:space="0"/>
            </w:tcBorders>
            <w:noWrap w:val="0"/>
            <w:vAlign w:val="center"/>
          </w:tcPr>
          <w:p w14:paraId="383B39AA">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规格</w:t>
            </w:r>
          </w:p>
          <w:p w14:paraId="5B0D59AA">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906" w:type="dxa"/>
            <w:tcBorders>
              <w:top w:val="single" w:color="auto" w:sz="12" w:space="0"/>
              <w:bottom w:val="double" w:color="auto" w:sz="6" w:space="0"/>
            </w:tcBorders>
            <w:noWrap w:val="0"/>
            <w:vAlign w:val="center"/>
          </w:tcPr>
          <w:p w14:paraId="797058C9">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35" w:type="dxa"/>
            <w:tcBorders>
              <w:top w:val="single" w:color="auto" w:sz="12" w:space="0"/>
              <w:bottom w:val="double" w:color="auto" w:sz="6" w:space="0"/>
            </w:tcBorders>
            <w:noWrap w:val="0"/>
            <w:vAlign w:val="center"/>
          </w:tcPr>
          <w:p w14:paraId="0FEFF01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1020" w:type="dxa"/>
            <w:tcBorders>
              <w:top w:val="single" w:color="auto" w:sz="12" w:space="0"/>
              <w:bottom w:val="double" w:color="auto" w:sz="6" w:space="0"/>
            </w:tcBorders>
            <w:noWrap w:val="0"/>
            <w:vAlign w:val="center"/>
          </w:tcPr>
          <w:p w14:paraId="2EF72324">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制造</w:t>
            </w:r>
          </w:p>
          <w:p w14:paraId="095CD226">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年份</w:t>
            </w:r>
          </w:p>
        </w:tc>
        <w:tc>
          <w:tcPr>
            <w:tcW w:w="1480" w:type="dxa"/>
            <w:tcBorders>
              <w:top w:val="single" w:color="auto" w:sz="12" w:space="0"/>
              <w:bottom w:val="double" w:color="auto" w:sz="6" w:space="0"/>
            </w:tcBorders>
            <w:noWrap w:val="0"/>
            <w:vAlign w:val="center"/>
          </w:tcPr>
          <w:p w14:paraId="44284713">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额定功率</w:t>
            </w:r>
          </w:p>
          <w:p w14:paraId="3DB16E2B">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(kW)</w:t>
            </w:r>
          </w:p>
        </w:tc>
        <w:tc>
          <w:tcPr>
            <w:tcW w:w="1169" w:type="dxa"/>
            <w:tcBorders>
              <w:top w:val="single" w:color="auto" w:sz="12" w:space="0"/>
              <w:bottom w:val="double" w:color="auto" w:sz="6" w:space="0"/>
            </w:tcBorders>
            <w:noWrap w:val="0"/>
            <w:vAlign w:val="center"/>
          </w:tcPr>
          <w:p w14:paraId="33712AB0">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生产</w:t>
            </w:r>
          </w:p>
          <w:p w14:paraId="07E25C9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能力</w:t>
            </w:r>
          </w:p>
        </w:tc>
        <w:tc>
          <w:tcPr>
            <w:tcW w:w="772" w:type="dxa"/>
            <w:tcBorders>
              <w:top w:val="single" w:color="auto" w:sz="12" w:space="0"/>
              <w:bottom w:val="double" w:color="auto" w:sz="6" w:space="0"/>
            </w:tcBorders>
            <w:noWrap w:val="0"/>
            <w:vAlign w:val="center"/>
          </w:tcPr>
          <w:p w14:paraId="19E09FDA">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2510A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tcBorders>
              <w:top w:val="double" w:color="auto" w:sz="6" w:space="0"/>
              <w:bottom w:val="single" w:color="auto" w:sz="6" w:space="0"/>
            </w:tcBorders>
            <w:noWrap w:val="0"/>
            <w:vAlign w:val="center"/>
          </w:tcPr>
          <w:p w14:paraId="64431043">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811" w:type="dxa"/>
            <w:tcBorders>
              <w:top w:val="double" w:color="auto" w:sz="6" w:space="0"/>
              <w:bottom w:val="single" w:color="auto" w:sz="6" w:space="0"/>
            </w:tcBorders>
            <w:noWrap w:val="0"/>
            <w:vAlign w:val="center"/>
          </w:tcPr>
          <w:p w14:paraId="4430A73D">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tcBorders>
              <w:top w:val="double" w:color="auto" w:sz="6" w:space="0"/>
              <w:bottom w:val="single" w:color="auto" w:sz="6" w:space="0"/>
            </w:tcBorders>
            <w:noWrap w:val="0"/>
            <w:vAlign w:val="center"/>
          </w:tcPr>
          <w:p w14:paraId="13E80813">
            <w:pPr>
              <w:pStyle w:val="8"/>
              <w:keepNext/>
              <w:shd w:val="clear" w:color="auto" w:fill="auto"/>
              <w:wordWrap w:val="0"/>
              <w:spacing w:after="0" w:line="440" w:lineRule="exact"/>
              <w:ind w:left="63" w:right="63"/>
              <w:jc w:val="both"/>
              <w:rPr>
                <w:rFonts w:hint="eastAsia" w:ascii="宋体" w:hAnsi="宋体" w:eastAsia="宋体" w:cs="宋体"/>
                <w:color w:val="auto"/>
                <w:sz w:val="24"/>
                <w:szCs w:val="24"/>
              </w:rPr>
            </w:pPr>
          </w:p>
        </w:tc>
        <w:tc>
          <w:tcPr>
            <w:tcW w:w="906" w:type="dxa"/>
            <w:tcBorders>
              <w:top w:val="double" w:color="auto" w:sz="6" w:space="0"/>
              <w:bottom w:val="single" w:color="auto" w:sz="6" w:space="0"/>
            </w:tcBorders>
            <w:noWrap w:val="0"/>
            <w:vAlign w:val="center"/>
          </w:tcPr>
          <w:p w14:paraId="1819F1AA">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735" w:type="dxa"/>
            <w:tcBorders>
              <w:top w:val="double" w:color="auto" w:sz="6" w:space="0"/>
              <w:bottom w:val="single" w:color="auto" w:sz="6" w:space="0"/>
            </w:tcBorders>
            <w:noWrap w:val="0"/>
            <w:vAlign w:val="center"/>
          </w:tcPr>
          <w:p w14:paraId="46BEA994">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20" w:type="dxa"/>
            <w:tcBorders>
              <w:top w:val="double" w:color="auto" w:sz="6" w:space="0"/>
              <w:bottom w:val="single" w:color="auto" w:sz="6" w:space="0"/>
            </w:tcBorders>
            <w:noWrap w:val="0"/>
            <w:vAlign w:val="center"/>
          </w:tcPr>
          <w:p w14:paraId="2646EE58">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p>
        </w:tc>
        <w:tc>
          <w:tcPr>
            <w:tcW w:w="1480" w:type="dxa"/>
            <w:tcBorders>
              <w:top w:val="double" w:color="auto" w:sz="6" w:space="0"/>
              <w:bottom w:val="single" w:color="auto" w:sz="6" w:space="0"/>
            </w:tcBorders>
            <w:noWrap w:val="0"/>
            <w:vAlign w:val="center"/>
          </w:tcPr>
          <w:p w14:paraId="02D60A72">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69" w:type="dxa"/>
            <w:tcBorders>
              <w:top w:val="double" w:color="auto" w:sz="6" w:space="0"/>
              <w:bottom w:val="single" w:color="auto" w:sz="6" w:space="0"/>
            </w:tcBorders>
            <w:noWrap w:val="0"/>
            <w:vAlign w:val="center"/>
          </w:tcPr>
          <w:p w14:paraId="0296088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tcBorders>
              <w:top w:val="double" w:color="auto" w:sz="6" w:space="0"/>
              <w:bottom w:val="single" w:color="auto" w:sz="6" w:space="0"/>
            </w:tcBorders>
            <w:noWrap w:val="0"/>
            <w:vAlign w:val="center"/>
          </w:tcPr>
          <w:p w14:paraId="1BC081A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6BCB3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tcBorders>
              <w:top w:val="nil"/>
            </w:tcBorders>
            <w:noWrap w:val="0"/>
            <w:vAlign w:val="center"/>
          </w:tcPr>
          <w:p w14:paraId="165E99E0">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811" w:type="dxa"/>
            <w:tcBorders>
              <w:top w:val="nil"/>
            </w:tcBorders>
            <w:noWrap w:val="0"/>
            <w:vAlign w:val="center"/>
          </w:tcPr>
          <w:p w14:paraId="03FD83A9">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tcBorders>
              <w:top w:val="nil"/>
            </w:tcBorders>
            <w:noWrap w:val="0"/>
            <w:vAlign w:val="center"/>
          </w:tcPr>
          <w:p w14:paraId="32F43369">
            <w:pPr>
              <w:pStyle w:val="8"/>
              <w:keepNext/>
              <w:shd w:val="clear" w:color="auto" w:fill="auto"/>
              <w:wordWrap w:val="0"/>
              <w:spacing w:after="0" w:line="440" w:lineRule="exact"/>
              <w:ind w:left="63" w:right="63"/>
              <w:rPr>
                <w:rFonts w:hint="eastAsia" w:ascii="宋体" w:hAnsi="宋体" w:eastAsia="宋体" w:cs="宋体"/>
                <w:color w:val="auto"/>
                <w:sz w:val="24"/>
                <w:szCs w:val="24"/>
                <w:lang w:eastAsia="zh-CN"/>
              </w:rPr>
            </w:pPr>
          </w:p>
        </w:tc>
        <w:tc>
          <w:tcPr>
            <w:tcW w:w="906" w:type="dxa"/>
            <w:tcBorders>
              <w:top w:val="nil"/>
            </w:tcBorders>
            <w:noWrap w:val="0"/>
            <w:vAlign w:val="center"/>
          </w:tcPr>
          <w:p w14:paraId="2339030C">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735" w:type="dxa"/>
            <w:tcBorders>
              <w:top w:val="nil"/>
            </w:tcBorders>
            <w:noWrap w:val="0"/>
            <w:vAlign w:val="center"/>
          </w:tcPr>
          <w:p w14:paraId="55B4F440">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1020" w:type="dxa"/>
            <w:tcBorders>
              <w:top w:val="nil"/>
            </w:tcBorders>
            <w:noWrap w:val="0"/>
            <w:vAlign w:val="center"/>
          </w:tcPr>
          <w:p w14:paraId="69C8A120">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480" w:type="dxa"/>
            <w:tcBorders>
              <w:top w:val="nil"/>
            </w:tcBorders>
            <w:noWrap w:val="0"/>
            <w:vAlign w:val="center"/>
          </w:tcPr>
          <w:p w14:paraId="40C3A9FD">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169" w:type="dxa"/>
            <w:tcBorders>
              <w:top w:val="nil"/>
            </w:tcBorders>
            <w:noWrap w:val="0"/>
            <w:vAlign w:val="center"/>
          </w:tcPr>
          <w:p w14:paraId="6B6303FB">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772" w:type="dxa"/>
            <w:tcBorders>
              <w:top w:val="nil"/>
            </w:tcBorders>
            <w:noWrap w:val="0"/>
            <w:vAlign w:val="center"/>
          </w:tcPr>
          <w:p w14:paraId="2719E85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EAF1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7E1FAAEF">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811" w:type="dxa"/>
            <w:noWrap w:val="0"/>
            <w:vAlign w:val="center"/>
          </w:tcPr>
          <w:p w14:paraId="37AABCBF">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noWrap w:val="0"/>
            <w:vAlign w:val="center"/>
          </w:tcPr>
          <w:p w14:paraId="6F27E803">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906" w:type="dxa"/>
            <w:noWrap w:val="0"/>
            <w:vAlign w:val="center"/>
          </w:tcPr>
          <w:p w14:paraId="36A864E1">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735" w:type="dxa"/>
            <w:noWrap w:val="0"/>
            <w:vAlign w:val="center"/>
          </w:tcPr>
          <w:p w14:paraId="576323D3">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1020" w:type="dxa"/>
            <w:noWrap w:val="0"/>
            <w:vAlign w:val="center"/>
          </w:tcPr>
          <w:p w14:paraId="4BFF32EE">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480" w:type="dxa"/>
            <w:noWrap w:val="0"/>
            <w:vAlign w:val="center"/>
          </w:tcPr>
          <w:p w14:paraId="0AD1369B">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169" w:type="dxa"/>
            <w:noWrap w:val="0"/>
            <w:vAlign w:val="center"/>
          </w:tcPr>
          <w:p w14:paraId="3E7B4AFF">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772" w:type="dxa"/>
            <w:noWrap w:val="0"/>
            <w:vAlign w:val="center"/>
          </w:tcPr>
          <w:p w14:paraId="3EF8A49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711B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0CAFEE9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61A967B8">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5D22286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3DED970D">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3EB6B75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2274371B">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046A74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169F750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011C7AD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356A5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516A6F8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5F78B54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7C3B5BD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5B1371B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134755F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535F825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63F6E6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8E81F8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031EDB3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7893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646D2D0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316E610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08D839B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4362569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0FCD389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2ECC78A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10813D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8872D6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3A46CCD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59057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6F60560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3807EC0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1A08EEE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7D280AE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5849BEE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30F10B4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19C26F4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7A5E398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22A043D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600BA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23E51A8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2FF70EB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74AB7D7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289401C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2423E1B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5E269A0B">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71D8B06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267A10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7F7C096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5CCA4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29FC1DED">
            <w:pPr>
              <w:shd w:val="clear" w:color="auto" w:fill="auto"/>
              <w:wordWrap w:val="0"/>
              <w:rPr>
                <w:rFonts w:hint="eastAsia" w:ascii="宋体" w:hAnsi="宋体" w:eastAsia="宋体" w:cs="宋体"/>
                <w:color w:val="auto"/>
                <w:sz w:val="24"/>
                <w:szCs w:val="24"/>
              </w:rPr>
            </w:pPr>
          </w:p>
        </w:tc>
        <w:tc>
          <w:tcPr>
            <w:tcW w:w="1811" w:type="dxa"/>
            <w:noWrap w:val="0"/>
            <w:vAlign w:val="top"/>
          </w:tcPr>
          <w:p w14:paraId="4FFA7794">
            <w:pPr>
              <w:shd w:val="clear" w:color="auto" w:fill="auto"/>
              <w:wordWrap w:val="0"/>
              <w:rPr>
                <w:rFonts w:hint="eastAsia" w:ascii="宋体" w:hAnsi="宋体" w:eastAsia="宋体" w:cs="宋体"/>
                <w:color w:val="auto"/>
                <w:sz w:val="24"/>
                <w:szCs w:val="24"/>
              </w:rPr>
            </w:pPr>
          </w:p>
        </w:tc>
        <w:tc>
          <w:tcPr>
            <w:tcW w:w="1143" w:type="dxa"/>
            <w:noWrap w:val="0"/>
            <w:vAlign w:val="top"/>
          </w:tcPr>
          <w:p w14:paraId="00DC280B">
            <w:pPr>
              <w:shd w:val="clear" w:color="auto" w:fill="auto"/>
              <w:wordWrap w:val="0"/>
              <w:rPr>
                <w:rFonts w:hint="eastAsia" w:ascii="宋体" w:hAnsi="宋体" w:eastAsia="宋体" w:cs="宋体"/>
                <w:color w:val="auto"/>
                <w:sz w:val="24"/>
                <w:szCs w:val="24"/>
              </w:rPr>
            </w:pPr>
          </w:p>
        </w:tc>
        <w:tc>
          <w:tcPr>
            <w:tcW w:w="906" w:type="dxa"/>
            <w:noWrap w:val="0"/>
            <w:vAlign w:val="top"/>
          </w:tcPr>
          <w:p w14:paraId="2338C64B">
            <w:pPr>
              <w:shd w:val="clear" w:color="auto" w:fill="auto"/>
              <w:wordWrap w:val="0"/>
              <w:rPr>
                <w:rFonts w:hint="eastAsia" w:ascii="宋体" w:hAnsi="宋体" w:eastAsia="宋体" w:cs="宋体"/>
                <w:color w:val="auto"/>
                <w:sz w:val="24"/>
                <w:szCs w:val="24"/>
              </w:rPr>
            </w:pPr>
          </w:p>
        </w:tc>
        <w:tc>
          <w:tcPr>
            <w:tcW w:w="735" w:type="dxa"/>
            <w:noWrap w:val="0"/>
            <w:vAlign w:val="top"/>
          </w:tcPr>
          <w:p w14:paraId="00CFED2C">
            <w:pPr>
              <w:shd w:val="clear" w:color="auto" w:fill="auto"/>
              <w:wordWrap w:val="0"/>
              <w:rPr>
                <w:rFonts w:hint="eastAsia" w:ascii="宋体" w:hAnsi="宋体" w:eastAsia="宋体" w:cs="宋体"/>
                <w:color w:val="auto"/>
                <w:sz w:val="24"/>
                <w:szCs w:val="24"/>
              </w:rPr>
            </w:pPr>
          </w:p>
        </w:tc>
        <w:tc>
          <w:tcPr>
            <w:tcW w:w="1020" w:type="dxa"/>
            <w:noWrap w:val="0"/>
            <w:vAlign w:val="top"/>
          </w:tcPr>
          <w:p w14:paraId="48D45C58">
            <w:pPr>
              <w:shd w:val="clear" w:color="auto" w:fill="auto"/>
              <w:wordWrap w:val="0"/>
              <w:rPr>
                <w:rFonts w:hint="eastAsia" w:ascii="宋体" w:hAnsi="宋体" w:eastAsia="宋体" w:cs="宋体"/>
                <w:color w:val="auto"/>
                <w:sz w:val="24"/>
                <w:szCs w:val="24"/>
              </w:rPr>
            </w:pPr>
          </w:p>
        </w:tc>
        <w:tc>
          <w:tcPr>
            <w:tcW w:w="1480" w:type="dxa"/>
            <w:noWrap w:val="0"/>
            <w:vAlign w:val="top"/>
          </w:tcPr>
          <w:p w14:paraId="21C37062">
            <w:pPr>
              <w:shd w:val="clear" w:color="auto" w:fill="auto"/>
              <w:wordWrap w:val="0"/>
              <w:rPr>
                <w:rFonts w:hint="eastAsia" w:ascii="宋体" w:hAnsi="宋体" w:eastAsia="宋体" w:cs="宋体"/>
                <w:color w:val="auto"/>
                <w:sz w:val="24"/>
                <w:szCs w:val="24"/>
              </w:rPr>
            </w:pPr>
          </w:p>
        </w:tc>
        <w:tc>
          <w:tcPr>
            <w:tcW w:w="1169" w:type="dxa"/>
            <w:noWrap w:val="0"/>
            <w:vAlign w:val="top"/>
          </w:tcPr>
          <w:p w14:paraId="7EC010AF">
            <w:pPr>
              <w:shd w:val="clear" w:color="auto" w:fill="auto"/>
              <w:wordWrap w:val="0"/>
              <w:rPr>
                <w:rFonts w:hint="eastAsia" w:ascii="宋体" w:hAnsi="宋体" w:eastAsia="宋体" w:cs="宋体"/>
                <w:color w:val="auto"/>
                <w:sz w:val="24"/>
                <w:szCs w:val="24"/>
              </w:rPr>
            </w:pPr>
          </w:p>
        </w:tc>
        <w:tc>
          <w:tcPr>
            <w:tcW w:w="772" w:type="dxa"/>
            <w:noWrap w:val="0"/>
            <w:vAlign w:val="top"/>
          </w:tcPr>
          <w:p w14:paraId="762B084D">
            <w:pPr>
              <w:shd w:val="clear" w:color="auto" w:fill="auto"/>
              <w:wordWrap w:val="0"/>
              <w:rPr>
                <w:rFonts w:hint="eastAsia" w:ascii="宋体" w:hAnsi="宋体" w:eastAsia="宋体" w:cs="宋体"/>
                <w:color w:val="auto"/>
                <w:sz w:val="24"/>
                <w:szCs w:val="24"/>
              </w:rPr>
            </w:pPr>
          </w:p>
        </w:tc>
      </w:tr>
      <w:tr w14:paraId="6FFC2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4B4C13A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523245B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43841AE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38ACCC86">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49E300F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7EDA01A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4C71A3C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3CABC76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2A0DA81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87AA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1ACD210A">
            <w:pPr>
              <w:shd w:val="clear" w:color="auto" w:fill="auto"/>
              <w:wordWrap w:val="0"/>
              <w:rPr>
                <w:rFonts w:hint="eastAsia" w:ascii="宋体" w:hAnsi="宋体" w:eastAsia="宋体" w:cs="宋体"/>
                <w:color w:val="auto"/>
                <w:sz w:val="24"/>
                <w:szCs w:val="24"/>
              </w:rPr>
            </w:pPr>
          </w:p>
        </w:tc>
        <w:tc>
          <w:tcPr>
            <w:tcW w:w="1811" w:type="dxa"/>
            <w:noWrap w:val="0"/>
            <w:vAlign w:val="top"/>
          </w:tcPr>
          <w:p w14:paraId="0DEF4EA3">
            <w:pPr>
              <w:shd w:val="clear" w:color="auto" w:fill="auto"/>
              <w:wordWrap w:val="0"/>
              <w:rPr>
                <w:rFonts w:hint="eastAsia" w:ascii="宋体" w:hAnsi="宋体" w:eastAsia="宋体" w:cs="宋体"/>
                <w:color w:val="auto"/>
                <w:sz w:val="24"/>
                <w:szCs w:val="24"/>
              </w:rPr>
            </w:pPr>
          </w:p>
        </w:tc>
        <w:tc>
          <w:tcPr>
            <w:tcW w:w="1143" w:type="dxa"/>
            <w:noWrap w:val="0"/>
            <w:vAlign w:val="top"/>
          </w:tcPr>
          <w:p w14:paraId="53056347">
            <w:pPr>
              <w:shd w:val="clear" w:color="auto" w:fill="auto"/>
              <w:wordWrap w:val="0"/>
              <w:rPr>
                <w:rFonts w:hint="eastAsia" w:ascii="宋体" w:hAnsi="宋体" w:eastAsia="宋体" w:cs="宋体"/>
                <w:color w:val="auto"/>
                <w:sz w:val="24"/>
                <w:szCs w:val="24"/>
              </w:rPr>
            </w:pPr>
          </w:p>
        </w:tc>
        <w:tc>
          <w:tcPr>
            <w:tcW w:w="906" w:type="dxa"/>
            <w:noWrap w:val="0"/>
            <w:vAlign w:val="top"/>
          </w:tcPr>
          <w:p w14:paraId="63C0390D">
            <w:pPr>
              <w:shd w:val="clear" w:color="auto" w:fill="auto"/>
              <w:wordWrap w:val="0"/>
              <w:rPr>
                <w:rFonts w:hint="eastAsia" w:ascii="宋体" w:hAnsi="宋体" w:eastAsia="宋体" w:cs="宋体"/>
                <w:color w:val="auto"/>
                <w:sz w:val="24"/>
                <w:szCs w:val="24"/>
              </w:rPr>
            </w:pPr>
          </w:p>
        </w:tc>
        <w:tc>
          <w:tcPr>
            <w:tcW w:w="735" w:type="dxa"/>
            <w:noWrap w:val="0"/>
            <w:vAlign w:val="top"/>
          </w:tcPr>
          <w:p w14:paraId="53A1ABE5">
            <w:pPr>
              <w:shd w:val="clear" w:color="auto" w:fill="auto"/>
              <w:wordWrap w:val="0"/>
              <w:rPr>
                <w:rFonts w:hint="eastAsia" w:ascii="宋体" w:hAnsi="宋体" w:eastAsia="宋体" w:cs="宋体"/>
                <w:color w:val="auto"/>
                <w:sz w:val="24"/>
                <w:szCs w:val="24"/>
              </w:rPr>
            </w:pPr>
          </w:p>
        </w:tc>
        <w:tc>
          <w:tcPr>
            <w:tcW w:w="1020" w:type="dxa"/>
            <w:noWrap w:val="0"/>
            <w:vAlign w:val="top"/>
          </w:tcPr>
          <w:p w14:paraId="5770BED4">
            <w:pPr>
              <w:shd w:val="clear" w:color="auto" w:fill="auto"/>
              <w:wordWrap w:val="0"/>
              <w:rPr>
                <w:rFonts w:hint="eastAsia" w:ascii="宋体" w:hAnsi="宋体" w:eastAsia="宋体" w:cs="宋体"/>
                <w:color w:val="auto"/>
                <w:sz w:val="24"/>
                <w:szCs w:val="24"/>
              </w:rPr>
            </w:pPr>
          </w:p>
        </w:tc>
        <w:tc>
          <w:tcPr>
            <w:tcW w:w="1480" w:type="dxa"/>
            <w:noWrap w:val="0"/>
            <w:vAlign w:val="top"/>
          </w:tcPr>
          <w:p w14:paraId="1F731D87">
            <w:pPr>
              <w:shd w:val="clear" w:color="auto" w:fill="auto"/>
              <w:wordWrap w:val="0"/>
              <w:rPr>
                <w:rFonts w:hint="eastAsia" w:ascii="宋体" w:hAnsi="宋体" w:eastAsia="宋体" w:cs="宋体"/>
                <w:color w:val="auto"/>
                <w:sz w:val="24"/>
                <w:szCs w:val="24"/>
              </w:rPr>
            </w:pPr>
          </w:p>
        </w:tc>
        <w:tc>
          <w:tcPr>
            <w:tcW w:w="1169" w:type="dxa"/>
            <w:noWrap w:val="0"/>
            <w:vAlign w:val="top"/>
          </w:tcPr>
          <w:p w14:paraId="4947BAA2">
            <w:pPr>
              <w:shd w:val="clear" w:color="auto" w:fill="auto"/>
              <w:wordWrap w:val="0"/>
              <w:rPr>
                <w:rFonts w:hint="eastAsia" w:ascii="宋体" w:hAnsi="宋体" w:eastAsia="宋体" w:cs="宋体"/>
                <w:color w:val="auto"/>
                <w:sz w:val="24"/>
                <w:szCs w:val="24"/>
              </w:rPr>
            </w:pPr>
          </w:p>
        </w:tc>
        <w:tc>
          <w:tcPr>
            <w:tcW w:w="772" w:type="dxa"/>
            <w:noWrap w:val="0"/>
            <w:vAlign w:val="top"/>
          </w:tcPr>
          <w:p w14:paraId="5A6DE287">
            <w:pPr>
              <w:shd w:val="clear" w:color="auto" w:fill="auto"/>
              <w:wordWrap w:val="0"/>
              <w:rPr>
                <w:rFonts w:hint="eastAsia" w:ascii="宋体" w:hAnsi="宋体" w:eastAsia="宋体" w:cs="宋体"/>
                <w:color w:val="auto"/>
                <w:sz w:val="24"/>
                <w:szCs w:val="24"/>
              </w:rPr>
            </w:pPr>
          </w:p>
        </w:tc>
      </w:tr>
      <w:tr w14:paraId="53F39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554C6BC4">
            <w:pPr>
              <w:shd w:val="clear" w:color="auto" w:fill="auto"/>
              <w:wordWrap w:val="0"/>
              <w:rPr>
                <w:rFonts w:hint="eastAsia" w:ascii="宋体" w:hAnsi="宋体" w:eastAsia="宋体" w:cs="宋体"/>
                <w:color w:val="auto"/>
                <w:sz w:val="24"/>
                <w:szCs w:val="24"/>
              </w:rPr>
            </w:pPr>
          </w:p>
        </w:tc>
        <w:tc>
          <w:tcPr>
            <w:tcW w:w="1811" w:type="dxa"/>
            <w:noWrap w:val="0"/>
            <w:vAlign w:val="top"/>
          </w:tcPr>
          <w:p w14:paraId="7C490737">
            <w:pPr>
              <w:shd w:val="clear" w:color="auto" w:fill="auto"/>
              <w:wordWrap w:val="0"/>
              <w:rPr>
                <w:rFonts w:hint="eastAsia" w:ascii="宋体" w:hAnsi="宋体" w:eastAsia="宋体" w:cs="宋体"/>
                <w:color w:val="auto"/>
                <w:sz w:val="24"/>
                <w:szCs w:val="24"/>
              </w:rPr>
            </w:pPr>
          </w:p>
        </w:tc>
        <w:tc>
          <w:tcPr>
            <w:tcW w:w="1143" w:type="dxa"/>
            <w:noWrap w:val="0"/>
            <w:vAlign w:val="top"/>
          </w:tcPr>
          <w:p w14:paraId="401CF059">
            <w:pPr>
              <w:shd w:val="clear" w:color="auto" w:fill="auto"/>
              <w:wordWrap w:val="0"/>
              <w:rPr>
                <w:rFonts w:hint="eastAsia" w:ascii="宋体" w:hAnsi="宋体" w:eastAsia="宋体" w:cs="宋体"/>
                <w:color w:val="auto"/>
                <w:sz w:val="24"/>
                <w:szCs w:val="24"/>
              </w:rPr>
            </w:pPr>
          </w:p>
        </w:tc>
        <w:tc>
          <w:tcPr>
            <w:tcW w:w="906" w:type="dxa"/>
            <w:noWrap w:val="0"/>
            <w:vAlign w:val="top"/>
          </w:tcPr>
          <w:p w14:paraId="5E45932D">
            <w:pPr>
              <w:shd w:val="clear" w:color="auto" w:fill="auto"/>
              <w:wordWrap w:val="0"/>
              <w:rPr>
                <w:rFonts w:hint="eastAsia" w:ascii="宋体" w:hAnsi="宋体" w:eastAsia="宋体" w:cs="宋体"/>
                <w:color w:val="auto"/>
                <w:sz w:val="24"/>
                <w:szCs w:val="24"/>
              </w:rPr>
            </w:pPr>
          </w:p>
        </w:tc>
        <w:tc>
          <w:tcPr>
            <w:tcW w:w="735" w:type="dxa"/>
            <w:noWrap w:val="0"/>
            <w:vAlign w:val="top"/>
          </w:tcPr>
          <w:p w14:paraId="64AB1B3C">
            <w:pPr>
              <w:shd w:val="clear" w:color="auto" w:fill="auto"/>
              <w:wordWrap w:val="0"/>
              <w:rPr>
                <w:rFonts w:hint="eastAsia" w:ascii="宋体" w:hAnsi="宋体" w:eastAsia="宋体" w:cs="宋体"/>
                <w:color w:val="auto"/>
                <w:sz w:val="24"/>
                <w:szCs w:val="24"/>
              </w:rPr>
            </w:pPr>
          </w:p>
        </w:tc>
        <w:tc>
          <w:tcPr>
            <w:tcW w:w="1020" w:type="dxa"/>
            <w:noWrap w:val="0"/>
            <w:vAlign w:val="top"/>
          </w:tcPr>
          <w:p w14:paraId="1D555E78">
            <w:pPr>
              <w:shd w:val="clear" w:color="auto" w:fill="auto"/>
              <w:wordWrap w:val="0"/>
              <w:rPr>
                <w:rFonts w:hint="eastAsia" w:ascii="宋体" w:hAnsi="宋体" w:eastAsia="宋体" w:cs="宋体"/>
                <w:color w:val="auto"/>
                <w:sz w:val="24"/>
                <w:szCs w:val="24"/>
              </w:rPr>
            </w:pPr>
          </w:p>
        </w:tc>
        <w:tc>
          <w:tcPr>
            <w:tcW w:w="1480" w:type="dxa"/>
            <w:noWrap w:val="0"/>
            <w:vAlign w:val="top"/>
          </w:tcPr>
          <w:p w14:paraId="169EEB88">
            <w:pPr>
              <w:shd w:val="clear" w:color="auto" w:fill="auto"/>
              <w:wordWrap w:val="0"/>
              <w:rPr>
                <w:rFonts w:hint="eastAsia" w:ascii="宋体" w:hAnsi="宋体" w:eastAsia="宋体" w:cs="宋体"/>
                <w:color w:val="auto"/>
                <w:sz w:val="24"/>
                <w:szCs w:val="24"/>
              </w:rPr>
            </w:pPr>
          </w:p>
        </w:tc>
        <w:tc>
          <w:tcPr>
            <w:tcW w:w="1169" w:type="dxa"/>
            <w:noWrap w:val="0"/>
            <w:vAlign w:val="top"/>
          </w:tcPr>
          <w:p w14:paraId="3FDB5CFC">
            <w:pPr>
              <w:shd w:val="clear" w:color="auto" w:fill="auto"/>
              <w:wordWrap w:val="0"/>
              <w:rPr>
                <w:rFonts w:hint="eastAsia" w:ascii="宋体" w:hAnsi="宋体" w:eastAsia="宋体" w:cs="宋体"/>
                <w:color w:val="auto"/>
                <w:sz w:val="24"/>
                <w:szCs w:val="24"/>
              </w:rPr>
            </w:pPr>
          </w:p>
        </w:tc>
        <w:tc>
          <w:tcPr>
            <w:tcW w:w="772" w:type="dxa"/>
            <w:noWrap w:val="0"/>
            <w:vAlign w:val="top"/>
          </w:tcPr>
          <w:p w14:paraId="313202EE">
            <w:pPr>
              <w:shd w:val="clear" w:color="auto" w:fill="auto"/>
              <w:wordWrap w:val="0"/>
              <w:rPr>
                <w:rFonts w:hint="eastAsia" w:ascii="宋体" w:hAnsi="宋体" w:eastAsia="宋体" w:cs="宋体"/>
                <w:color w:val="auto"/>
                <w:sz w:val="24"/>
                <w:szCs w:val="24"/>
              </w:rPr>
            </w:pPr>
          </w:p>
        </w:tc>
      </w:tr>
      <w:tr w14:paraId="63C46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33CFB8DD">
            <w:pPr>
              <w:shd w:val="clear" w:color="auto" w:fill="auto"/>
              <w:wordWrap w:val="0"/>
              <w:rPr>
                <w:rFonts w:hint="eastAsia" w:ascii="宋体" w:hAnsi="宋体" w:eastAsia="宋体" w:cs="宋体"/>
                <w:color w:val="auto"/>
                <w:sz w:val="24"/>
                <w:szCs w:val="24"/>
              </w:rPr>
            </w:pPr>
          </w:p>
        </w:tc>
        <w:tc>
          <w:tcPr>
            <w:tcW w:w="1811" w:type="dxa"/>
            <w:noWrap w:val="0"/>
            <w:vAlign w:val="top"/>
          </w:tcPr>
          <w:p w14:paraId="0E118B3C">
            <w:pPr>
              <w:shd w:val="clear" w:color="auto" w:fill="auto"/>
              <w:wordWrap w:val="0"/>
              <w:rPr>
                <w:rFonts w:hint="eastAsia" w:ascii="宋体" w:hAnsi="宋体" w:eastAsia="宋体" w:cs="宋体"/>
                <w:color w:val="auto"/>
                <w:sz w:val="24"/>
                <w:szCs w:val="24"/>
              </w:rPr>
            </w:pPr>
          </w:p>
        </w:tc>
        <w:tc>
          <w:tcPr>
            <w:tcW w:w="1143" w:type="dxa"/>
            <w:noWrap w:val="0"/>
            <w:vAlign w:val="top"/>
          </w:tcPr>
          <w:p w14:paraId="2FCA5D16">
            <w:pPr>
              <w:shd w:val="clear" w:color="auto" w:fill="auto"/>
              <w:wordWrap w:val="0"/>
              <w:rPr>
                <w:rFonts w:hint="eastAsia" w:ascii="宋体" w:hAnsi="宋体" w:eastAsia="宋体" w:cs="宋体"/>
                <w:color w:val="auto"/>
                <w:sz w:val="24"/>
                <w:szCs w:val="24"/>
              </w:rPr>
            </w:pPr>
          </w:p>
        </w:tc>
        <w:tc>
          <w:tcPr>
            <w:tcW w:w="906" w:type="dxa"/>
            <w:noWrap w:val="0"/>
            <w:vAlign w:val="top"/>
          </w:tcPr>
          <w:p w14:paraId="62686D6A">
            <w:pPr>
              <w:shd w:val="clear" w:color="auto" w:fill="auto"/>
              <w:wordWrap w:val="0"/>
              <w:rPr>
                <w:rFonts w:hint="eastAsia" w:ascii="宋体" w:hAnsi="宋体" w:eastAsia="宋体" w:cs="宋体"/>
                <w:color w:val="auto"/>
                <w:sz w:val="24"/>
                <w:szCs w:val="24"/>
              </w:rPr>
            </w:pPr>
          </w:p>
        </w:tc>
        <w:tc>
          <w:tcPr>
            <w:tcW w:w="735" w:type="dxa"/>
            <w:noWrap w:val="0"/>
            <w:vAlign w:val="top"/>
          </w:tcPr>
          <w:p w14:paraId="2568FCB7">
            <w:pPr>
              <w:shd w:val="clear" w:color="auto" w:fill="auto"/>
              <w:wordWrap w:val="0"/>
              <w:rPr>
                <w:rFonts w:hint="eastAsia" w:ascii="宋体" w:hAnsi="宋体" w:eastAsia="宋体" w:cs="宋体"/>
                <w:color w:val="auto"/>
                <w:sz w:val="24"/>
                <w:szCs w:val="24"/>
              </w:rPr>
            </w:pPr>
          </w:p>
        </w:tc>
        <w:tc>
          <w:tcPr>
            <w:tcW w:w="1020" w:type="dxa"/>
            <w:noWrap w:val="0"/>
            <w:vAlign w:val="top"/>
          </w:tcPr>
          <w:p w14:paraId="429AE3EE">
            <w:pPr>
              <w:shd w:val="clear" w:color="auto" w:fill="auto"/>
              <w:wordWrap w:val="0"/>
              <w:rPr>
                <w:rFonts w:hint="eastAsia" w:ascii="宋体" w:hAnsi="宋体" w:eastAsia="宋体" w:cs="宋体"/>
                <w:color w:val="auto"/>
                <w:sz w:val="24"/>
                <w:szCs w:val="24"/>
              </w:rPr>
            </w:pPr>
          </w:p>
        </w:tc>
        <w:tc>
          <w:tcPr>
            <w:tcW w:w="1480" w:type="dxa"/>
            <w:noWrap w:val="0"/>
            <w:vAlign w:val="top"/>
          </w:tcPr>
          <w:p w14:paraId="6D9FCB4D">
            <w:pPr>
              <w:shd w:val="clear" w:color="auto" w:fill="auto"/>
              <w:wordWrap w:val="0"/>
              <w:rPr>
                <w:rFonts w:hint="eastAsia" w:ascii="宋体" w:hAnsi="宋体" w:eastAsia="宋体" w:cs="宋体"/>
                <w:color w:val="auto"/>
                <w:sz w:val="24"/>
                <w:szCs w:val="24"/>
              </w:rPr>
            </w:pPr>
          </w:p>
        </w:tc>
        <w:tc>
          <w:tcPr>
            <w:tcW w:w="1169" w:type="dxa"/>
            <w:noWrap w:val="0"/>
            <w:vAlign w:val="top"/>
          </w:tcPr>
          <w:p w14:paraId="7C3B6B81">
            <w:pPr>
              <w:shd w:val="clear" w:color="auto" w:fill="auto"/>
              <w:wordWrap w:val="0"/>
              <w:rPr>
                <w:rFonts w:hint="eastAsia" w:ascii="宋体" w:hAnsi="宋体" w:eastAsia="宋体" w:cs="宋体"/>
                <w:color w:val="auto"/>
                <w:sz w:val="24"/>
                <w:szCs w:val="24"/>
              </w:rPr>
            </w:pPr>
          </w:p>
        </w:tc>
        <w:tc>
          <w:tcPr>
            <w:tcW w:w="772" w:type="dxa"/>
            <w:noWrap w:val="0"/>
            <w:vAlign w:val="top"/>
          </w:tcPr>
          <w:p w14:paraId="6DD9F8D1">
            <w:pPr>
              <w:shd w:val="clear" w:color="auto" w:fill="auto"/>
              <w:wordWrap w:val="0"/>
              <w:rPr>
                <w:rFonts w:hint="eastAsia" w:ascii="宋体" w:hAnsi="宋体" w:eastAsia="宋体" w:cs="宋体"/>
                <w:color w:val="auto"/>
                <w:sz w:val="24"/>
                <w:szCs w:val="24"/>
              </w:rPr>
            </w:pPr>
          </w:p>
        </w:tc>
      </w:tr>
      <w:tr w14:paraId="1F0EE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1D2FE33A">
            <w:pPr>
              <w:shd w:val="clear" w:color="auto" w:fill="auto"/>
              <w:wordWrap w:val="0"/>
              <w:rPr>
                <w:rFonts w:hint="eastAsia" w:ascii="宋体" w:hAnsi="宋体" w:eastAsia="宋体" w:cs="宋体"/>
                <w:color w:val="auto"/>
                <w:sz w:val="24"/>
                <w:szCs w:val="24"/>
              </w:rPr>
            </w:pPr>
          </w:p>
        </w:tc>
        <w:tc>
          <w:tcPr>
            <w:tcW w:w="1811" w:type="dxa"/>
            <w:noWrap w:val="0"/>
            <w:vAlign w:val="top"/>
          </w:tcPr>
          <w:p w14:paraId="527A2224">
            <w:pPr>
              <w:shd w:val="clear" w:color="auto" w:fill="auto"/>
              <w:wordWrap w:val="0"/>
              <w:rPr>
                <w:rFonts w:hint="eastAsia" w:ascii="宋体" w:hAnsi="宋体" w:eastAsia="宋体" w:cs="宋体"/>
                <w:color w:val="auto"/>
                <w:sz w:val="24"/>
                <w:szCs w:val="24"/>
              </w:rPr>
            </w:pPr>
          </w:p>
        </w:tc>
        <w:tc>
          <w:tcPr>
            <w:tcW w:w="1143" w:type="dxa"/>
            <w:noWrap w:val="0"/>
            <w:vAlign w:val="top"/>
          </w:tcPr>
          <w:p w14:paraId="35F42294">
            <w:pPr>
              <w:shd w:val="clear" w:color="auto" w:fill="auto"/>
              <w:wordWrap w:val="0"/>
              <w:rPr>
                <w:rFonts w:hint="eastAsia" w:ascii="宋体" w:hAnsi="宋体" w:eastAsia="宋体" w:cs="宋体"/>
                <w:color w:val="auto"/>
                <w:sz w:val="24"/>
                <w:szCs w:val="24"/>
              </w:rPr>
            </w:pPr>
          </w:p>
        </w:tc>
        <w:tc>
          <w:tcPr>
            <w:tcW w:w="906" w:type="dxa"/>
            <w:noWrap w:val="0"/>
            <w:vAlign w:val="top"/>
          </w:tcPr>
          <w:p w14:paraId="3E6F633C">
            <w:pPr>
              <w:shd w:val="clear" w:color="auto" w:fill="auto"/>
              <w:wordWrap w:val="0"/>
              <w:rPr>
                <w:rFonts w:hint="eastAsia" w:ascii="宋体" w:hAnsi="宋体" w:eastAsia="宋体" w:cs="宋体"/>
                <w:color w:val="auto"/>
                <w:sz w:val="24"/>
                <w:szCs w:val="24"/>
              </w:rPr>
            </w:pPr>
          </w:p>
        </w:tc>
        <w:tc>
          <w:tcPr>
            <w:tcW w:w="735" w:type="dxa"/>
            <w:noWrap w:val="0"/>
            <w:vAlign w:val="top"/>
          </w:tcPr>
          <w:p w14:paraId="4833C89C">
            <w:pPr>
              <w:shd w:val="clear" w:color="auto" w:fill="auto"/>
              <w:wordWrap w:val="0"/>
              <w:rPr>
                <w:rFonts w:hint="eastAsia" w:ascii="宋体" w:hAnsi="宋体" w:eastAsia="宋体" w:cs="宋体"/>
                <w:color w:val="auto"/>
                <w:sz w:val="24"/>
                <w:szCs w:val="24"/>
              </w:rPr>
            </w:pPr>
          </w:p>
        </w:tc>
        <w:tc>
          <w:tcPr>
            <w:tcW w:w="1020" w:type="dxa"/>
            <w:noWrap w:val="0"/>
            <w:vAlign w:val="top"/>
          </w:tcPr>
          <w:p w14:paraId="4940C927">
            <w:pPr>
              <w:shd w:val="clear" w:color="auto" w:fill="auto"/>
              <w:wordWrap w:val="0"/>
              <w:rPr>
                <w:rFonts w:hint="eastAsia" w:ascii="宋体" w:hAnsi="宋体" w:eastAsia="宋体" w:cs="宋体"/>
                <w:color w:val="auto"/>
                <w:sz w:val="24"/>
                <w:szCs w:val="24"/>
              </w:rPr>
            </w:pPr>
          </w:p>
        </w:tc>
        <w:tc>
          <w:tcPr>
            <w:tcW w:w="1480" w:type="dxa"/>
            <w:noWrap w:val="0"/>
            <w:vAlign w:val="top"/>
          </w:tcPr>
          <w:p w14:paraId="72CD0DF7">
            <w:pPr>
              <w:shd w:val="clear" w:color="auto" w:fill="auto"/>
              <w:wordWrap w:val="0"/>
              <w:rPr>
                <w:rFonts w:hint="eastAsia" w:ascii="宋体" w:hAnsi="宋体" w:eastAsia="宋体" w:cs="宋体"/>
                <w:color w:val="auto"/>
                <w:sz w:val="24"/>
                <w:szCs w:val="24"/>
              </w:rPr>
            </w:pPr>
          </w:p>
        </w:tc>
        <w:tc>
          <w:tcPr>
            <w:tcW w:w="1169" w:type="dxa"/>
            <w:noWrap w:val="0"/>
            <w:vAlign w:val="top"/>
          </w:tcPr>
          <w:p w14:paraId="63F62B0F">
            <w:pPr>
              <w:shd w:val="clear" w:color="auto" w:fill="auto"/>
              <w:wordWrap w:val="0"/>
              <w:rPr>
                <w:rFonts w:hint="eastAsia" w:ascii="宋体" w:hAnsi="宋体" w:eastAsia="宋体" w:cs="宋体"/>
                <w:color w:val="auto"/>
                <w:sz w:val="24"/>
                <w:szCs w:val="24"/>
              </w:rPr>
            </w:pPr>
          </w:p>
        </w:tc>
        <w:tc>
          <w:tcPr>
            <w:tcW w:w="772" w:type="dxa"/>
            <w:noWrap w:val="0"/>
            <w:vAlign w:val="top"/>
          </w:tcPr>
          <w:p w14:paraId="5B7039B3">
            <w:pPr>
              <w:shd w:val="clear" w:color="auto" w:fill="auto"/>
              <w:wordWrap w:val="0"/>
              <w:rPr>
                <w:rFonts w:hint="eastAsia" w:ascii="宋体" w:hAnsi="宋体" w:eastAsia="宋体" w:cs="宋体"/>
                <w:color w:val="auto"/>
                <w:sz w:val="24"/>
                <w:szCs w:val="24"/>
              </w:rPr>
            </w:pPr>
          </w:p>
        </w:tc>
      </w:tr>
      <w:tr w14:paraId="17344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17B10352">
            <w:pPr>
              <w:shd w:val="clear" w:color="auto" w:fill="auto"/>
              <w:wordWrap w:val="0"/>
              <w:rPr>
                <w:rFonts w:hint="eastAsia" w:ascii="宋体" w:hAnsi="宋体" w:eastAsia="宋体" w:cs="宋体"/>
                <w:color w:val="auto"/>
                <w:sz w:val="24"/>
                <w:szCs w:val="24"/>
              </w:rPr>
            </w:pPr>
          </w:p>
        </w:tc>
        <w:tc>
          <w:tcPr>
            <w:tcW w:w="1811" w:type="dxa"/>
            <w:noWrap w:val="0"/>
            <w:vAlign w:val="top"/>
          </w:tcPr>
          <w:p w14:paraId="64BAE1D8">
            <w:pPr>
              <w:shd w:val="clear" w:color="auto" w:fill="auto"/>
              <w:wordWrap w:val="0"/>
              <w:rPr>
                <w:rFonts w:hint="eastAsia" w:ascii="宋体" w:hAnsi="宋体" w:eastAsia="宋体" w:cs="宋体"/>
                <w:color w:val="auto"/>
                <w:sz w:val="24"/>
                <w:szCs w:val="24"/>
              </w:rPr>
            </w:pPr>
          </w:p>
        </w:tc>
        <w:tc>
          <w:tcPr>
            <w:tcW w:w="1143" w:type="dxa"/>
            <w:noWrap w:val="0"/>
            <w:vAlign w:val="top"/>
          </w:tcPr>
          <w:p w14:paraId="3B6898D3">
            <w:pPr>
              <w:shd w:val="clear" w:color="auto" w:fill="auto"/>
              <w:wordWrap w:val="0"/>
              <w:rPr>
                <w:rFonts w:hint="eastAsia" w:ascii="宋体" w:hAnsi="宋体" w:eastAsia="宋体" w:cs="宋体"/>
                <w:color w:val="auto"/>
                <w:sz w:val="24"/>
                <w:szCs w:val="24"/>
              </w:rPr>
            </w:pPr>
          </w:p>
        </w:tc>
        <w:tc>
          <w:tcPr>
            <w:tcW w:w="906" w:type="dxa"/>
            <w:noWrap w:val="0"/>
            <w:vAlign w:val="top"/>
          </w:tcPr>
          <w:p w14:paraId="58062107">
            <w:pPr>
              <w:shd w:val="clear" w:color="auto" w:fill="auto"/>
              <w:wordWrap w:val="0"/>
              <w:rPr>
                <w:rFonts w:hint="eastAsia" w:ascii="宋体" w:hAnsi="宋体" w:eastAsia="宋体" w:cs="宋体"/>
                <w:color w:val="auto"/>
                <w:sz w:val="24"/>
                <w:szCs w:val="24"/>
              </w:rPr>
            </w:pPr>
          </w:p>
        </w:tc>
        <w:tc>
          <w:tcPr>
            <w:tcW w:w="735" w:type="dxa"/>
            <w:noWrap w:val="0"/>
            <w:vAlign w:val="top"/>
          </w:tcPr>
          <w:p w14:paraId="64F4A7A9">
            <w:pPr>
              <w:shd w:val="clear" w:color="auto" w:fill="auto"/>
              <w:wordWrap w:val="0"/>
              <w:rPr>
                <w:rFonts w:hint="eastAsia" w:ascii="宋体" w:hAnsi="宋体" w:eastAsia="宋体" w:cs="宋体"/>
                <w:color w:val="auto"/>
                <w:sz w:val="24"/>
                <w:szCs w:val="24"/>
              </w:rPr>
            </w:pPr>
          </w:p>
        </w:tc>
        <w:tc>
          <w:tcPr>
            <w:tcW w:w="1020" w:type="dxa"/>
            <w:noWrap w:val="0"/>
            <w:vAlign w:val="top"/>
          </w:tcPr>
          <w:p w14:paraId="5D0B2547">
            <w:pPr>
              <w:shd w:val="clear" w:color="auto" w:fill="auto"/>
              <w:wordWrap w:val="0"/>
              <w:rPr>
                <w:rFonts w:hint="eastAsia" w:ascii="宋体" w:hAnsi="宋体" w:eastAsia="宋体" w:cs="宋体"/>
                <w:color w:val="auto"/>
                <w:sz w:val="24"/>
                <w:szCs w:val="24"/>
              </w:rPr>
            </w:pPr>
          </w:p>
        </w:tc>
        <w:tc>
          <w:tcPr>
            <w:tcW w:w="1480" w:type="dxa"/>
            <w:noWrap w:val="0"/>
            <w:vAlign w:val="top"/>
          </w:tcPr>
          <w:p w14:paraId="353AC416">
            <w:pPr>
              <w:shd w:val="clear" w:color="auto" w:fill="auto"/>
              <w:wordWrap w:val="0"/>
              <w:rPr>
                <w:rFonts w:hint="eastAsia" w:ascii="宋体" w:hAnsi="宋体" w:eastAsia="宋体" w:cs="宋体"/>
                <w:color w:val="auto"/>
                <w:sz w:val="24"/>
                <w:szCs w:val="24"/>
              </w:rPr>
            </w:pPr>
          </w:p>
        </w:tc>
        <w:tc>
          <w:tcPr>
            <w:tcW w:w="1169" w:type="dxa"/>
            <w:noWrap w:val="0"/>
            <w:vAlign w:val="top"/>
          </w:tcPr>
          <w:p w14:paraId="511040B1">
            <w:pPr>
              <w:shd w:val="clear" w:color="auto" w:fill="auto"/>
              <w:wordWrap w:val="0"/>
              <w:rPr>
                <w:rFonts w:hint="eastAsia" w:ascii="宋体" w:hAnsi="宋体" w:eastAsia="宋体" w:cs="宋体"/>
                <w:color w:val="auto"/>
                <w:sz w:val="24"/>
                <w:szCs w:val="24"/>
              </w:rPr>
            </w:pPr>
          </w:p>
        </w:tc>
        <w:tc>
          <w:tcPr>
            <w:tcW w:w="772" w:type="dxa"/>
            <w:noWrap w:val="0"/>
            <w:vAlign w:val="top"/>
          </w:tcPr>
          <w:p w14:paraId="5B54F2E3">
            <w:pPr>
              <w:shd w:val="clear" w:color="auto" w:fill="auto"/>
              <w:wordWrap w:val="0"/>
              <w:rPr>
                <w:rFonts w:hint="eastAsia" w:ascii="宋体" w:hAnsi="宋体" w:eastAsia="宋体" w:cs="宋体"/>
                <w:color w:val="auto"/>
                <w:sz w:val="24"/>
                <w:szCs w:val="24"/>
              </w:rPr>
            </w:pPr>
          </w:p>
        </w:tc>
      </w:tr>
      <w:tr w14:paraId="6AB21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6824105C">
            <w:pPr>
              <w:shd w:val="clear" w:color="auto" w:fill="auto"/>
              <w:wordWrap w:val="0"/>
              <w:rPr>
                <w:rFonts w:hint="eastAsia" w:ascii="宋体" w:hAnsi="宋体" w:eastAsia="宋体" w:cs="宋体"/>
                <w:color w:val="auto"/>
                <w:sz w:val="24"/>
                <w:szCs w:val="24"/>
              </w:rPr>
            </w:pPr>
          </w:p>
        </w:tc>
        <w:tc>
          <w:tcPr>
            <w:tcW w:w="1811" w:type="dxa"/>
            <w:noWrap w:val="0"/>
            <w:vAlign w:val="top"/>
          </w:tcPr>
          <w:p w14:paraId="0A253775">
            <w:pPr>
              <w:shd w:val="clear" w:color="auto" w:fill="auto"/>
              <w:wordWrap w:val="0"/>
              <w:rPr>
                <w:rFonts w:hint="eastAsia" w:ascii="宋体" w:hAnsi="宋体" w:eastAsia="宋体" w:cs="宋体"/>
                <w:color w:val="auto"/>
                <w:sz w:val="24"/>
                <w:szCs w:val="24"/>
              </w:rPr>
            </w:pPr>
          </w:p>
        </w:tc>
        <w:tc>
          <w:tcPr>
            <w:tcW w:w="1143" w:type="dxa"/>
            <w:noWrap w:val="0"/>
            <w:vAlign w:val="top"/>
          </w:tcPr>
          <w:p w14:paraId="749F0525">
            <w:pPr>
              <w:shd w:val="clear" w:color="auto" w:fill="auto"/>
              <w:wordWrap w:val="0"/>
              <w:rPr>
                <w:rFonts w:hint="eastAsia" w:ascii="宋体" w:hAnsi="宋体" w:eastAsia="宋体" w:cs="宋体"/>
                <w:color w:val="auto"/>
                <w:sz w:val="24"/>
                <w:szCs w:val="24"/>
              </w:rPr>
            </w:pPr>
          </w:p>
        </w:tc>
        <w:tc>
          <w:tcPr>
            <w:tcW w:w="906" w:type="dxa"/>
            <w:noWrap w:val="0"/>
            <w:vAlign w:val="top"/>
          </w:tcPr>
          <w:p w14:paraId="03DCE9A1">
            <w:pPr>
              <w:shd w:val="clear" w:color="auto" w:fill="auto"/>
              <w:wordWrap w:val="0"/>
              <w:rPr>
                <w:rFonts w:hint="eastAsia" w:ascii="宋体" w:hAnsi="宋体" w:eastAsia="宋体" w:cs="宋体"/>
                <w:color w:val="auto"/>
                <w:sz w:val="24"/>
                <w:szCs w:val="24"/>
              </w:rPr>
            </w:pPr>
          </w:p>
        </w:tc>
        <w:tc>
          <w:tcPr>
            <w:tcW w:w="735" w:type="dxa"/>
            <w:noWrap w:val="0"/>
            <w:vAlign w:val="top"/>
          </w:tcPr>
          <w:p w14:paraId="2ACC2A10">
            <w:pPr>
              <w:shd w:val="clear" w:color="auto" w:fill="auto"/>
              <w:wordWrap w:val="0"/>
              <w:rPr>
                <w:rFonts w:hint="eastAsia" w:ascii="宋体" w:hAnsi="宋体" w:eastAsia="宋体" w:cs="宋体"/>
                <w:color w:val="auto"/>
                <w:sz w:val="24"/>
                <w:szCs w:val="24"/>
              </w:rPr>
            </w:pPr>
          </w:p>
        </w:tc>
        <w:tc>
          <w:tcPr>
            <w:tcW w:w="1020" w:type="dxa"/>
            <w:noWrap w:val="0"/>
            <w:vAlign w:val="top"/>
          </w:tcPr>
          <w:p w14:paraId="060A1EDB">
            <w:pPr>
              <w:shd w:val="clear" w:color="auto" w:fill="auto"/>
              <w:wordWrap w:val="0"/>
              <w:rPr>
                <w:rFonts w:hint="eastAsia" w:ascii="宋体" w:hAnsi="宋体" w:eastAsia="宋体" w:cs="宋体"/>
                <w:color w:val="auto"/>
                <w:sz w:val="24"/>
                <w:szCs w:val="24"/>
              </w:rPr>
            </w:pPr>
          </w:p>
        </w:tc>
        <w:tc>
          <w:tcPr>
            <w:tcW w:w="1480" w:type="dxa"/>
            <w:noWrap w:val="0"/>
            <w:vAlign w:val="top"/>
          </w:tcPr>
          <w:p w14:paraId="7812783D">
            <w:pPr>
              <w:shd w:val="clear" w:color="auto" w:fill="auto"/>
              <w:wordWrap w:val="0"/>
              <w:rPr>
                <w:rFonts w:hint="eastAsia" w:ascii="宋体" w:hAnsi="宋体" w:eastAsia="宋体" w:cs="宋体"/>
                <w:color w:val="auto"/>
                <w:sz w:val="24"/>
                <w:szCs w:val="24"/>
              </w:rPr>
            </w:pPr>
          </w:p>
        </w:tc>
        <w:tc>
          <w:tcPr>
            <w:tcW w:w="1169" w:type="dxa"/>
            <w:noWrap w:val="0"/>
            <w:vAlign w:val="top"/>
          </w:tcPr>
          <w:p w14:paraId="56B737DC">
            <w:pPr>
              <w:shd w:val="clear" w:color="auto" w:fill="auto"/>
              <w:wordWrap w:val="0"/>
              <w:rPr>
                <w:rFonts w:hint="eastAsia" w:ascii="宋体" w:hAnsi="宋体" w:eastAsia="宋体" w:cs="宋体"/>
                <w:color w:val="auto"/>
                <w:sz w:val="24"/>
                <w:szCs w:val="24"/>
              </w:rPr>
            </w:pPr>
          </w:p>
        </w:tc>
        <w:tc>
          <w:tcPr>
            <w:tcW w:w="772" w:type="dxa"/>
            <w:noWrap w:val="0"/>
            <w:vAlign w:val="top"/>
          </w:tcPr>
          <w:p w14:paraId="57E3CC70">
            <w:pPr>
              <w:shd w:val="clear" w:color="auto" w:fill="auto"/>
              <w:wordWrap w:val="0"/>
              <w:rPr>
                <w:rFonts w:hint="eastAsia" w:ascii="宋体" w:hAnsi="宋体" w:eastAsia="宋体" w:cs="宋体"/>
                <w:color w:val="auto"/>
                <w:sz w:val="24"/>
                <w:szCs w:val="24"/>
              </w:rPr>
            </w:pPr>
          </w:p>
        </w:tc>
      </w:tr>
      <w:tr w14:paraId="535DC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07D16EEE">
            <w:pPr>
              <w:shd w:val="clear" w:color="auto" w:fill="auto"/>
              <w:wordWrap w:val="0"/>
              <w:rPr>
                <w:rFonts w:hint="eastAsia" w:ascii="宋体" w:hAnsi="宋体" w:eastAsia="宋体" w:cs="宋体"/>
                <w:color w:val="auto"/>
                <w:sz w:val="24"/>
                <w:szCs w:val="24"/>
              </w:rPr>
            </w:pPr>
          </w:p>
        </w:tc>
        <w:tc>
          <w:tcPr>
            <w:tcW w:w="1811" w:type="dxa"/>
            <w:noWrap w:val="0"/>
            <w:vAlign w:val="top"/>
          </w:tcPr>
          <w:p w14:paraId="529EAB43">
            <w:pPr>
              <w:shd w:val="clear" w:color="auto" w:fill="auto"/>
              <w:wordWrap w:val="0"/>
              <w:rPr>
                <w:rFonts w:hint="eastAsia" w:ascii="宋体" w:hAnsi="宋体" w:eastAsia="宋体" w:cs="宋体"/>
                <w:color w:val="auto"/>
                <w:sz w:val="24"/>
                <w:szCs w:val="24"/>
              </w:rPr>
            </w:pPr>
          </w:p>
        </w:tc>
        <w:tc>
          <w:tcPr>
            <w:tcW w:w="1143" w:type="dxa"/>
            <w:noWrap w:val="0"/>
            <w:vAlign w:val="top"/>
          </w:tcPr>
          <w:p w14:paraId="513486E6">
            <w:pPr>
              <w:shd w:val="clear" w:color="auto" w:fill="auto"/>
              <w:wordWrap w:val="0"/>
              <w:rPr>
                <w:rFonts w:hint="eastAsia" w:ascii="宋体" w:hAnsi="宋体" w:eastAsia="宋体" w:cs="宋体"/>
                <w:color w:val="auto"/>
                <w:sz w:val="24"/>
                <w:szCs w:val="24"/>
              </w:rPr>
            </w:pPr>
          </w:p>
        </w:tc>
        <w:tc>
          <w:tcPr>
            <w:tcW w:w="906" w:type="dxa"/>
            <w:noWrap w:val="0"/>
            <w:vAlign w:val="top"/>
          </w:tcPr>
          <w:p w14:paraId="2B198FDD">
            <w:pPr>
              <w:shd w:val="clear" w:color="auto" w:fill="auto"/>
              <w:wordWrap w:val="0"/>
              <w:rPr>
                <w:rFonts w:hint="eastAsia" w:ascii="宋体" w:hAnsi="宋体" w:eastAsia="宋体" w:cs="宋体"/>
                <w:color w:val="auto"/>
                <w:sz w:val="24"/>
                <w:szCs w:val="24"/>
              </w:rPr>
            </w:pPr>
          </w:p>
        </w:tc>
        <w:tc>
          <w:tcPr>
            <w:tcW w:w="735" w:type="dxa"/>
            <w:noWrap w:val="0"/>
            <w:vAlign w:val="top"/>
          </w:tcPr>
          <w:p w14:paraId="26E66122">
            <w:pPr>
              <w:shd w:val="clear" w:color="auto" w:fill="auto"/>
              <w:wordWrap w:val="0"/>
              <w:rPr>
                <w:rFonts w:hint="eastAsia" w:ascii="宋体" w:hAnsi="宋体" w:eastAsia="宋体" w:cs="宋体"/>
                <w:color w:val="auto"/>
                <w:sz w:val="24"/>
                <w:szCs w:val="24"/>
              </w:rPr>
            </w:pPr>
          </w:p>
        </w:tc>
        <w:tc>
          <w:tcPr>
            <w:tcW w:w="1020" w:type="dxa"/>
            <w:noWrap w:val="0"/>
            <w:vAlign w:val="top"/>
          </w:tcPr>
          <w:p w14:paraId="302202B0">
            <w:pPr>
              <w:shd w:val="clear" w:color="auto" w:fill="auto"/>
              <w:wordWrap w:val="0"/>
              <w:rPr>
                <w:rFonts w:hint="eastAsia" w:ascii="宋体" w:hAnsi="宋体" w:eastAsia="宋体" w:cs="宋体"/>
                <w:color w:val="auto"/>
                <w:sz w:val="24"/>
                <w:szCs w:val="24"/>
              </w:rPr>
            </w:pPr>
          </w:p>
        </w:tc>
        <w:tc>
          <w:tcPr>
            <w:tcW w:w="1480" w:type="dxa"/>
            <w:noWrap w:val="0"/>
            <w:vAlign w:val="top"/>
          </w:tcPr>
          <w:p w14:paraId="593032A7">
            <w:pPr>
              <w:shd w:val="clear" w:color="auto" w:fill="auto"/>
              <w:wordWrap w:val="0"/>
              <w:rPr>
                <w:rFonts w:hint="eastAsia" w:ascii="宋体" w:hAnsi="宋体" w:eastAsia="宋体" w:cs="宋体"/>
                <w:color w:val="auto"/>
                <w:sz w:val="24"/>
                <w:szCs w:val="24"/>
              </w:rPr>
            </w:pPr>
          </w:p>
        </w:tc>
        <w:tc>
          <w:tcPr>
            <w:tcW w:w="1169" w:type="dxa"/>
            <w:noWrap w:val="0"/>
            <w:vAlign w:val="top"/>
          </w:tcPr>
          <w:p w14:paraId="7DAC0756">
            <w:pPr>
              <w:shd w:val="clear" w:color="auto" w:fill="auto"/>
              <w:wordWrap w:val="0"/>
              <w:rPr>
                <w:rFonts w:hint="eastAsia" w:ascii="宋体" w:hAnsi="宋体" w:eastAsia="宋体" w:cs="宋体"/>
                <w:color w:val="auto"/>
                <w:sz w:val="24"/>
                <w:szCs w:val="24"/>
              </w:rPr>
            </w:pPr>
          </w:p>
        </w:tc>
        <w:tc>
          <w:tcPr>
            <w:tcW w:w="772" w:type="dxa"/>
            <w:noWrap w:val="0"/>
            <w:vAlign w:val="top"/>
          </w:tcPr>
          <w:p w14:paraId="26ADD837">
            <w:pPr>
              <w:shd w:val="clear" w:color="auto" w:fill="auto"/>
              <w:wordWrap w:val="0"/>
              <w:rPr>
                <w:rFonts w:hint="eastAsia" w:ascii="宋体" w:hAnsi="宋体" w:eastAsia="宋体" w:cs="宋体"/>
                <w:color w:val="auto"/>
                <w:sz w:val="24"/>
                <w:szCs w:val="24"/>
              </w:rPr>
            </w:pPr>
          </w:p>
        </w:tc>
      </w:tr>
    </w:tbl>
    <w:p w14:paraId="7526F74F">
      <w:pPr>
        <w:shd w:val="clear" w:color="auto" w:fill="auto"/>
        <w:spacing w:line="360" w:lineRule="auto"/>
        <w:jc w:val="left"/>
        <w:rPr>
          <w:rFonts w:hint="eastAsia" w:ascii="宋体" w:hAnsi="宋体" w:eastAsia="宋体" w:cs="宋体"/>
          <w:b/>
          <w:bCs/>
          <w:color w:val="auto"/>
          <w:sz w:val="24"/>
          <w:szCs w:val="24"/>
        </w:rPr>
      </w:pPr>
    </w:p>
    <w:p w14:paraId="0F8AE06B">
      <w:pPr>
        <w:shd w:val="clear" w:color="auto" w:fill="auto"/>
        <w:spacing w:line="360" w:lineRule="auto"/>
        <w:jc w:val="left"/>
        <w:rPr>
          <w:rFonts w:hint="eastAsia" w:ascii="宋体" w:hAnsi="宋体" w:eastAsia="宋体" w:cs="宋体"/>
          <w:b/>
          <w:bCs/>
          <w:color w:val="auto"/>
          <w:sz w:val="24"/>
          <w:szCs w:val="24"/>
        </w:rPr>
      </w:pPr>
    </w:p>
    <w:p w14:paraId="2DC478FD">
      <w:pPr>
        <w:shd w:val="clear" w:color="auto" w:fill="auto"/>
        <w:spacing w:line="360" w:lineRule="auto"/>
        <w:jc w:val="left"/>
        <w:rPr>
          <w:rFonts w:hint="eastAsia" w:ascii="宋体" w:hAnsi="宋体" w:eastAsia="宋体" w:cs="宋体"/>
          <w:b/>
          <w:bCs/>
          <w:color w:val="auto"/>
          <w:sz w:val="24"/>
          <w:szCs w:val="24"/>
        </w:rPr>
      </w:pPr>
    </w:p>
    <w:p w14:paraId="57A5052D">
      <w:pPr>
        <w:shd w:val="clear" w:color="auto" w:fill="auto"/>
        <w:spacing w:line="360" w:lineRule="auto"/>
        <w:jc w:val="left"/>
        <w:rPr>
          <w:rFonts w:hint="eastAsia" w:ascii="宋体" w:hAnsi="宋体" w:eastAsia="宋体" w:cs="宋体"/>
          <w:b/>
          <w:bCs/>
          <w:color w:val="auto"/>
          <w:sz w:val="24"/>
          <w:szCs w:val="24"/>
        </w:rPr>
      </w:pPr>
    </w:p>
    <w:p w14:paraId="243FD645">
      <w:pPr>
        <w:shd w:val="clear" w:color="auto" w:fill="auto"/>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3</w:t>
      </w:r>
    </w:p>
    <w:p w14:paraId="08E97690">
      <w:pPr>
        <w:shd w:val="clear" w:color="auto" w:fill="auto"/>
        <w:jc w:val="both"/>
        <w:rPr>
          <w:rFonts w:hint="eastAsia" w:ascii="宋体" w:hAnsi="宋体" w:eastAsia="宋体" w:cs="宋体"/>
          <w:b/>
          <w:bCs/>
          <w:color w:val="auto"/>
          <w:sz w:val="24"/>
          <w:szCs w:val="24"/>
          <w:lang w:eastAsia="zh-CN"/>
        </w:rPr>
      </w:pPr>
    </w:p>
    <w:p w14:paraId="2B665A60">
      <w:pPr>
        <w:wordWrap w:val="0"/>
        <w:spacing w:before="156" w:beforeLines="50" w:after="156" w:afterLines="50" w:line="4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分包人主要项目管理人员表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AB65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E037E88">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名    称</w:t>
            </w:r>
          </w:p>
        </w:tc>
        <w:tc>
          <w:tcPr>
            <w:tcW w:w="1418" w:type="dxa"/>
            <w:tcBorders>
              <w:top w:val="single" w:color="auto" w:sz="12" w:space="0"/>
              <w:bottom w:val="double" w:color="auto" w:sz="6" w:space="0"/>
            </w:tcBorders>
            <w:noWrap w:val="0"/>
            <w:vAlign w:val="center"/>
          </w:tcPr>
          <w:p w14:paraId="5C8D11B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134" w:type="dxa"/>
            <w:tcBorders>
              <w:top w:val="single" w:color="auto" w:sz="12" w:space="0"/>
              <w:bottom w:val="double" w:color="auto" w:sz="6" w:space="0"/>
            </w:tcBorders>
            <w:noWrap w:val="0"/>
            <w:vAlign w:val="center"/>
          </w:tcPr>
          <w:p w14:paraId="2A52AC8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1134" w:type="dxa"/>
            <w:tcBorders>
              <w:top w:val="single" w:color="auto" w:sz="12" w:space="0"/>
              <w:bottom w:val="double" w:color="auto" w:sz="6" w:space="0"/>
            </w:tcBorders>
            <w:noWrap w:val="0"/>
            <w:vAlign w:val="center"/>
          </w:tcPr>
          <w:p w14:paraId="0D5F2E59">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252" w:type="dxa"/>
            <w:tcBorders>
              <w:top w:val="single" w:color="auto" w:sz="12" w:space="0"/>
              <w:bottom w:val="double" w:color="auto" w:sz="6" w:space="0"/>
            </w:tcBorders>
            <w:noWrap w:val="0"/>
            <w:vAlign w:val="center"/>
          </w:tcPr>
          <w:p w14:paraId="32E505B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主要资历、经验及承担过的项目</w:t>
            </w:r>
          </w:p>
        </w:tc>
      </w:tr>
      <w:tr w14:paraId="5E91A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3C97F58">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一、总部人员</w:t>
            </w:r>
          </w:p>
        </w:tc>
      </w:tr>
      <w:tr w14:paraId="3BA2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A2D0E6F">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项目主管</w:t>
            </w:r>
          </w:p>
        </w:tc>
        <w:tc>
          <w:tcPr>
            <w:tcW w:w="1418" w:type="dxa"/>
            <w:tcBorders>
              <w:top w:val="nil"/>
            </w:tcBorders>
            <w:noWrap w:val="0"/>
            <w:vAlign w:val="center"/>
          </w:tcPr>
          <w:p w14:paraId="1887075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top w:val="nil"/>
            </w:tcBorders>
            <w:noWrap w:val="0"/>
            <w:vAlign w:val="center"/>
          </w:tcPr>
          <w:p w14:paraId="21CDDD8A">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top w:val="nil"/>
            </w:tcBorders>
            <w:noWrap w:val="0"/>
            <w:vAlign w:val="center"/>
          </w:tcPr>
          <w:p w14:paraId="482C4D2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top w:val="nil"/>
            </w:tcBorders>
            <w:noWrap w:val="0"/>
            <w:vAlign w:val="center"/>
          </w:tcPr>
          <w:p w14:paraId="2678DC72">
            <w:pPr>
              <w:pStyle w:val="8"/>
              <w:keepNext/>
              <w:wordWrap w:val="0"/>
              <w:spacing w:after="0" w:line="440" w:lineRule="exact"/>
              <w:ind w:left="63" w:right="63"/>
              <w:rPr>
                <w:rFonts w:hint="eastAsia" w:ascii="宋体" w:hAnsi="宋体" w:eastAsia="宋体" w:cs="宋体"/>
                <w:color w:val="000000"/>
                <w:sz w:val="24"/>
                <w:szCs w:val="24"/>
              </w:rPr>
            </w:pPr>
          </w:p>
        </w:tc>
      </w:tr>
      <w:tr w14:paraId="74006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2FD50C8">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381E5D1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45B381E">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8C71EF5">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699BE995">
            <w:pPr>
              <w:pStyle w:val="8"/>
              <w:keepNext/>
              <w:wordWrap w:val="0"/>
              <w:spacing w:after="0" w:line="440" w:lineRule="exact"/>
              <w:ind w:left="63" w:right="63"/>
              <w:rPr>
                <w:rFonts w:hint="eastAsia" w:ascii="宋体" w:hAnsi="宋体" w:eastAsia="宋体" w:cs="宋体"/>
                <w:color w:val="000000"/>
                <w:sz w:val="24"/>
                <w:szCs w:val="24"/>
              </w:rPr>
            </w:pPr>
          </w:p>
        </w:tc>
      </w:tr>
      <w:tr w14:paraId="27001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46BA5B0">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noWrap w:val="0"/>
            <w:vAlign w:val="center"/>
          </w:tcPr>
          <w:p w14:paraId="544EBC06">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2BD9AB5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43CED9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1AE06FF">
            <w:pPr>
              <w:pStyle w:val="8"/>
              <w:keepNext/>
              <w:wordWrap w:val="0"/>
              <w:spacing w:after="0" w:line="440" w:lineRule="exact"/>
              <w:ind w:left="63" w:right="63"/>
              <w:rPr>
                <w:rFonts w:hint="eastAsia" w:ascii="宋体" w:hAnsi="宋体" w:eastAsia="宋体" w:cs="宋体"/>
                <w:color w:val="000000"/>
                <w:sz w:val="24"/>
                <w:szCs w:val="24"/>
              </w:rPr>
            </w:pPr>
          </w:p>
        </w:tc>
      </w:tr>
      <w:tr w14:paraId="1C3B6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F7020F7">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78C3B073">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3A8A41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DD1AEF2">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42D74F92">
            <w:pPr>
              <w:pStyle w:val="8"/>
              <w:keepNext/>
              <w:wordWrap w:val="0"/>
              <w:spacing w:after="0" w:line="440" w:lineRule="exact"/>
              <w:ind w:left="63" w:right="63"/>
              <w:rPr>
                <w:rFonts w:hint="eastAsia" w:ascii="宋体" w:hAnsi="宋体" w:eastAsia="宋体" w:cs="宋体"/>
                <w:color w:val="000000"/>
                <w:sz w:val="24"/>
                <w:szCs w:val="24"/>
              </w:rPr>
            </w:pPr>
          </w:p>
        </w:tc>
      </w:tr>
      <w:tr w14:paraId="1FAB7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E759EDD">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二、现场人员</w:t>
            </w:r>
          </w:p>
        </w:tc>
      </w:tr>
      <w:tr w14:paraId="66CAA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18CF2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分包人项目经理</w:t>
            </w:r>
          </w:p>
        </w:tc>
        <w:tc>
          <w:tcPr>
            <w:tcW w:w="1418" w:type="dxa"/>
            <w:noWrap w:val="0"/>
            <w:vAlign w:val="center"/>
          </w:tcPr>
          <w:p w14:paraId="349F5AF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AC478B2">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8724BA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C043B10">
            <w:pPr>
              <w:pStyle w:val="8"/>
              <w:keepNext/>
              <w:wordWrap w:val="0"/>
              <w:spacing w:after="0" w:line="440" w:lineRule="exact"/>
              <w:ind w:left="63" w:right="63"/>
              <w:rPr>
                <w:rFonts w:hint="eastAsia" w:ascii="宋体" w:hAnsi="宋体" w:eastAsia="宋体" w:cs="宋体"/>
                <w:color w:val="000000"/>
                <w:sz w:val="24"/>
                <w:szCs w:val="24"/>
              </w:rPr>
            </w:pPr>
          </w:p>
        </w:tc>
      </w:tr>
      <w:tr w14:paraId="520F5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1B3E06">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项目副经理</w:t>
            </w:r>
          </w:p>
        </w:tc>
        <w:tc>
          <w:tcPr>
            <w:tcW w:w="1418" w:type="dxa"/>
            <w:noWrap w:val="0"/>
            <w:vAlign w:val="center"/>
          </w:tcPr>
          <w:p w14:paraId="5CD0A28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D9D11A0">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29FEE6F">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2BF72B06">
            <w:pPr>
              <w:pStyle w:val="8"/>
              <w:keepNext/>
              <w:wordWrap w:val="0"/>
              <w:spacing w:after="0" w:line="440" w:lineRule="exact"/>
              <w:ind w:left="63" w:right="63"/>
              <w:rPr>
                <w:rFonts w:hint="eastAsia" w:ascii="宋体" w:hAnsi="宋体" w:eastAsia="宋体" w:cs="宋体"/>
                <w:color w:val="000000"/>
                <w:sz w:val="24"/>
                <w:szCs w:val="24"/>
              </w:rPr>
            </w:pPr>
          </w:p>
        </w:tc>
      </w:tr>
      <w:tr w14:paraId="256B0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D27E637">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1418" w:type="dxa"/>
            <w:noWrap w:val="0"/>
            <w:vAlign w:val="center"/>
          </w:tcPr>
          <w:p w14:paraId="317D7A3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DD6CAF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9FC918E">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24C1FE0">
            <w:pPr>
              <w:pStyle w:val="8"/>
              <w:keepNext/>
              <w:wordWrap w:val="0"/>
              <w:spacing w:after="0" w:line="440" w:lineRule="exact"/>
              <w:ind w:left="63" w:right="63"/>
              <w:rPr>
                <w:rFonts w:hint="eastAsia" w:ascii="宋体" w:hAnsi="宋体" w:eastAsia="宋体" w:cs="宋体"/>
                <w:color w:val="000000"/>
                <w:sz w:val="24"/>
                <w:szCs w:val="24"/>
              </w:rPr>
            </w:pPr>
          </w:p>
        </w:tc>
      </w:tr>
      <w:tr w14:paraId="0FD59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55E9ED">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造价管理</w:t>
            </w:r>
          </w:p>
        </w:tc>
        <w:tc>
          <w:tcPr>
            <w:tcW w:w="1418" w:type="dxa"/>
            <w:noWrap w:val="0"/>
            <w:vAlign w:val="center"/>
          </w:tcPr>
          <w:p w14:paraId="435F58AC">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33EB37A">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053307F">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42C114B8">
            <w:pPr>
              <w:pStyle w:val="8"/>
              <w:keepNext/>
              <w:wordWrap w:val="0"/>
              <w:spacing w:after="0" w:line="440" w:lineRule="exact"/>
              <w:ind w:left="63" w:right="63"/>
              <w:rPr>
                <w:rFonts w:hint="eastAsia" w:ascii="宋体" w:hAnsi="宋体" w:eastAsia="宋体" w:cs="宋体"/>
                <w:color w:val="000000"/>
                <w:sz w:val="24"/>
                <w:szCs w:val="24"/>
              </w:rPr>
            </w:pPr>
          </w:p>
        </w:tc>
      </w:tr>
      <w:tr w14:paraId="148FF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DF1A72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质量管理</w:t>
            </w:r>
          </w:p>
        </w:tc>
        <w:tc>
          <w:tcPr>
            <w:tcW w:w="1418" w:type="dxa"/>
            <w:noWrap w:val="0"/>
            <w:vAlign w:val="center"/>
          </w:tcPr>
          <w:p w14:paraId="6B026C2B">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8056FB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E1F7B5C">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B0A088B">
            <w:pPr>
              <w:pStyle w:val="8"/>
              <w:keepNext/>
              <w:wordWrap w:val="0"/>
              <w:spacing w:after="0" w:line="440" w:lineRule="exact"/>
              <w:ind w:left="63" w:right="63"/>
              <w:rPr>
                <w:rFonts w:hint="eastAsia" w:ascii="宋体" w:hAnsi="宋体" w:eastAsia="宋体" w:cs="宋体"/>
                <w:color w:val="000000"/>
                <w:sz w:val="24"/>
                <w:szCs w:val="24"/>
              </w:rPr>
            </w:pPr>
          </w:p>
        </w:tc>
      </w:tr>
      <w:tr w14:paraId="7A730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1C243CB">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材料管理</w:t>
            </w:r>
          </w:p>
        </w:tc>
        <w:tc>
          <w:tcPr>
            <w:tcW w:w="1418" w:type="dxa"/>
            <w:noWrap w:val="0"/>
            <w:vAlign w:val="center"/>
          </w:tcPr>
          <w:p w14:paraId="25BEC59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20C106D">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AB4CCD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29332F94">
            <w:pPr>
              <w:pStyle w:val="8"/>
              <w:keepNext/>
              <w:wordWrap w:val="0"/>
              <w:spacing w:after="0" w:line="440" w:lineRule="exact"/>
              <w:ind w:left="63" w:right="63"/>
              <w:rPr>
                <w:rFonts w:hint="eastAsia" w:ascii="宋体" w:hAnsi="宋体" w:eastAsia="宋体" w:cs="宋体"/>
                <w:color w:val="000000"/>
                <w:sz w:val="24"/>
                <w:szCs w:val="24"/>
              </w:rPr>
            </w:pPr>
          </w:p>
        </w:tc>
      </w:tr>
      <w:tr w14:paraId="11E36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9E929B3">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计划管理</w:t>
            </w:r>
          </w:p>
        </w:tc>
        <w:tc>
          <w:tcPr>
            <w:tcW w:w="1418" w:type="dxa"/>
            <w:noWrap w:val="0"/>
            <w:vAlign w:val="center"/>
          </w:tcPr>
          <w:p w14:paraId="28086CD3">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9D9E025">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D7CCDBA">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0E3248D">
            <w:pPr>
              <w:pStyle w:val="8"/>
              <w:keepNext/>
              <w:wordWrap w:val="0"/>
              <w:spacing w:after="0" w:line="440" w:lineRule="exact"/>
              <w:ind w:left="63" w:right="63"/>
              <w:rPr>
                <w:rFonts w:hint="eastAsia" w:ascii="宋体" w:hAnsi="宋体" w:eastAsia="宋体" w:cs="宋体"/>
                <w:color w:val="000000"/>
                <w:sz w:val="24"/>
                <w:szCs w:val="24"/>
              </w:rPr>
            </w:pPr>
          </w:p>
        </w:tc>
      </w:tr>
      <w:tr w14:paraId="70B35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4E2DC5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安全管理</w:t>
            </w:r>
          </w:p>
        </w:tc>
        <w:tc>
          <w:tcPr>
            <w:tcW w:w="1418" w:type="dxa"/>
            <w:noWrap w:val="0"/>
            <w:vAlign w:val="center"/>
          </w:tcPr>
          <w:p w14:paraId="4AB1AB8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D5B4A7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973B7F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8EE6144">
            <w:pPr>
              <w:pStyle w:val="8"/>
              <w:keepNext/>
              <w:wordWrap w:val="0"/>
              <w:spacing w:after="0" w:line="440" w:lineRule="exact"/>
              <w:ind w:left="63" w:right="63"/>
              <w:rPr>
                <w:rFonts w:hint="eastAsia" w:ascii="宋体" w:hAnsi="宋体" w:eastAsia="宋体" w:cs="宋体"/>
                <w:color w:val="000000"/>
                <w:sz w:val="24"/>
                <w:szCs w:val="24"/>
              </w:rPr>
            </w:pPr>
          </w:p>
        </w:tc>
      </w:tr>
      <w:tr w14:paraId="089F7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FA988FA">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noWrap w:val="0"/>
            <w:vAlign w:val="center"/>
          </w:tcPr>
          <w:p w14:paraId="0E8D6E1B">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950549C">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D9A99B6">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8D50DFE">
            <w:pPr>
              <w:pStyle w:val="8"/>
              <w:keepNext/>
              <w:wordWrap w:val="0"/>
              <w:spacing w:after="0" w:line="440" w:lineRule="exact"/>
              <w:ind w:left="63" w:right="63"/>
              <w:rPr>
                <w:rFonts w:hint="eastAsia" w:ascii="宋体" w:hAnsi="宋体" w:eastAsia="宋体" w:cs="宋体"/>
                <w:color w:val="000000"/>
                <w:sz w:val="24"/>
                <w:szCs w:val="24"/>
              </w:rPr>
            </w:pPr>
          </w:p>
        </w:tc>
      </w:tr>
      <w:tr w14:paraId="2AF1E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2D3BC42">
            <w:pPr>
              <w:pStyle w:val="8"/>
              <w:keepNext/>
              <w:wordWrap w:val="0"/>
              <w:spacing w:after="0" w:line="440" w:lineRule="exact"/>
              <w:ind w:left="63" w:right="63"/>
              <w:rPr>
                <w:rFonts w:hint="eastAsia" w:ascii="宋体" w:hAnsi="宋体" w:eastAsia="宋体" w:cs="宋体"/>
                <w:color w:val="000000"/>
                <w:sz w:val="24"/>
                <w:szCs w:val="24"/>
              </w:rPr>
            </w:pPr>
          </w:p>
        </w:tc>
        <w:tc>
          <w:tcPr>
            <w:tcW w:w="1418" w:type="dxa"/>
            <w:tcBorders>
              <w:bottom w:val="nil"/>
            </w:tcBorders>
            <w:noWrap w:val="0"/>
            <w:vAlign w:val="center"/>
          </w:tcPr>
          <w:p w14:paraId="4B117B8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nil"/>
            </w:tcBorders>
            <w:noWrap w:val="0"/>
            <w:vAlign w:val="center"/>
          </w:tcPr>
          <w:p w14:paraId="215A552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nil"/>
            </w:tcBorders>
            <w:noWrap w:val="0"/>
            <w:vAlign w:val="center"/>
          </w:tcPr>
          <w:p w14:paraId="789BEC15">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bottom w:val="nil"/>
            </w:tcBorders>
            <w:noWrap w:val="0"/>
            <w:vAlign w:val="center"/>
          </w:tcPr>
          <w:p w14:paraId="0C24D2A6">
            <w:pPr>
              <w:pStyle w:val="8"/>
              <w:keepNext/>
              <w:wordWrap w:val="0"/>
              <w:spacing w:after="0" w:line="440" w:lineRule="exact"/>
              <w:ind w:left="63" w:right="63"/>
              <w:rPr>
                <w:rFonts w:hint="eastAsia" w:ascii="宋体" w:hAnsi="宋体" w:eastAsia="宋体" w:cs="宋体"/>
                <w:color w:val="000000"/>
                <w:sz w:val="24"/>
                <w:szCs w:val="24"/>
              </w:rPr>
            </w:pPr>
          </w:p>
        </w:tc>
      </w:tr>
      <w:tr w14:paraId="1DB1B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0BF2B4B">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29C9A9D2">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0C4C67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3F355D6">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6BDE24B7">
            <w:pPr>
              <w:pStyle w:val="8"/>
              <w:keepNext/>
              <w:wordWrap w:val="0"/>
              <w:spacing w:after="0" w:line="440" w:lineRule="exact"/>
              <w:ind w:left="63" w:right="63"/>
              <w:rPr>
                <w:rFonts w:hint="eastAsia" w:ascii="宋体" w:hAnsi="宋体" w:eastAsia="宋体" w:cs="宋体"/>
                <w:color w:val="000000"/>
                <w:sz w:val="24"/>
                <w:szCs w:val="24"/>
              </w:rPr>
            </w:pPr>
          </w:p>
        </w:tc>
      </w:tr>
      <w:tr w14:paraId="4B724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C702406">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363BB169">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4C6761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E97000A">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C1F313C">
            <w:pPr>
              <w:pStyle w:val="8"/>
              <w:keepNext/>
              <w:wordWrap w:val="0"/>
              <w:spacing w:after="0" w:line="440" w:lineRule="exact"/>
              <w:ind w:left="63" w:right="63"/>
              <w:rPr>
                <w:rFonts w:hint="eastAsia" w:ascii="宋体" w:hAnsi="宋体" w:eastAsia="宋体" w:cs="宋体"/>
                <w:color w:val="000000"/>
                <w:sz w:val="24"/>
                <w:szCs w:val="24"/>
              </w:rPr>
            </w:pPr>
          </w:p>
        </w:tc>
      </w:tr>
      <w:tr w14:paraId="20AC2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B7B067A">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27ACDD8D">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A81A1F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81CC552">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16AE94B">
            <w:pPr>
              <w:pStyle w:val="8"/>
              <w:keepNext/>
              <w:wordWrap w:val="0"/>
              <w:spacing w:after="0" w:line="440" w:lineRule="exact"/>
              <w:ind w:left="63" w:right="63"/>
              <w:rPr>
                <w:rFonts w:hint="eastAsia" w:ascii="宋体" w:hAnsi="宋体" w:eastAsia="宋体" w:cs="宋体"/>
                <w:color w:val="000000"/>
                <w:sz w:val="24"/>
                <w:szCs w:val="24"/>
              </w:rPr>
            </w:pPr>
          </w:p>
        </w:tc>
      </w:tr>
      <w:tr w14:paraId="53F43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4EC9D814">
            <w:pPr>
              <w:pStyle w:val="8"/>
              <w:keepNext/>
              <w:wordWrap w:val="0"/>
              <w:spacing w:after="0" w:line="440" w:lineRule="exact"/>
              <w:ind w:left="63" w:right="63"/>
              <w:rPr>
                <w:rFonts w:hint="eastAsia" w:ascii="宋体" w:hAnsi="宋体" w:eastAsia="宋体" w:cs="宋体"/>
                <w:color w:val="000000"/>
                <w:sz w:val="24"/>
                <w:szCs w:val="24"/>
              </w:rPr>
            </w:pPr>
          </w:p>
        </w:tc>
        <w:tc>
          <w:tcPr>
            <w:tcW w:w="1418" w:type="dxa"/>
            <w:tcBorders>
              <w:bottom w:val="single" w:color="auto" w:sz="12" w:space="0"/>
            </w:tcBorders>
            <w:noWrap w:val="0"/>
            <w:vAlign w:val="center"/>
          </w:tcPr>
          <w:p w14:paraId="4483BAD0">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noWrap w:val="0"/>
            <w:vAlign w:val="center"/>
          </w:tcPr>
          <w:p w14:paraId="108AEFC9">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noWrap w:val="0"/>
            <w:vAlign w:val="center"/>
          </w:tcPr>
          <w:p w14:paraId="783F782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bottom w:val="single" w:color="auto" w:sz="12" w:space="0"/>
            </w:tcBorders>
            <w:noWrap w:val="0"/>
            <w:vAlign w:val="center"/>
          </w:tcPr>
          <w:p w14:paraId="3953D1FD">
            <w:pPr>
              <w:pStyle w:val="8"/>
              <w:keepNext/>
              <w:wordWrap w:val="0"/>
              <w:spacing w:after="0" w:line="440" w:lineRule="exact"/>
              <w:ind w:left="63" w:right="63"/>
              <w:rPr>
                <w:rFonts w:hint="eastAsia" w:ascii="宋体" w:hAnsi="宋体" w:eastAsia="宋体" w:cs="宋体"/>
                <w:color w:val="000000"/>
                <w:sz w:val="24"/>
                <w:szCs w:val="24"/>
              </w:rPr>
            </w:pPr>
          </w:p>
        </w:tc>
      </w:tr>
    </w:tbl>
    <w:p w14:paraId="609E8CA4">
      <w:pPr>
        <w:shd w:val="clear" w:color="auto" w:fill="auto"/>
        <w:jc w:val="center"/>
        <w:rPr>
          <w:rFonts w:hint="eastAsia" w:ascii="宋体" w:hAnsi="宋体" w:eastAsia="宋体" w:cs="宋体"/>
          <w:b/>
          <w:bCs/>
          <w:color w:val="auto"/>
          <w:sz w:val="32"/>
          <w:szCs w:val="32"/>
          <w:lang w:eastAsia="zh-CN"/>
        </w:rPr>
      </w:pPr>
    </w:p>
    <w:p w14:paraId="7203FE9A">
      <w:pPr>
        <w:shd w:val="clear" w:color="auto" w:fill="auto"/>
        <w:jc w:val="center"/>
        <w:rPr>
          <w:rFonts w:hint="eastAsia" w:ascii="宋体" w:hAnsi="宋体" w:eastAsia="宋体" w:cs="宋体"/>
          <w:b/>
          <w:bCs/>
          <w:color w:val="auto"/>
          <w:sz w:val="32"/>
          <w:szCs w:val="32"/>
          <w:lang w:eastAsia="zh-CN"/>
        </w:rPr>
      </w:pPr>
    </w:p>
    <w:p w14:paraId="06750052">
      <w:pPr>
        <w:shd w:val="clear" w:color="auto" w:fill="auto"/>
        <w:jc w:val="center"/>
        <w:rPr>
          <w:rFonts w:hint="eastAsia" w:ascii="宋体" w:hAnsi="宋体" w:eastAsia="宋体" w:cs="宋体"/>
          <w:b/>
          <w:bCs/>
          <w:color w:val="auto"/>
          <w:sz w:val="32"/>
          <w:szCs w:val="32"/>
          <w:lang w:eastAsia="zh-CN"/>
        </w:rPr>
      </w:pPr>
    </w:p>
    <w:p w14:paraId="5644D9E7">
      <w:pPr>
        <w:shd w:val="clear" w:color="auto" w:fill="auto"/>
        <w:jc w:val="both"/>
        <w:rPr>
          <w:rFonts w:hint="eastAsia" w:ascii="宋体" w:hAnsi="宋体" w:eastAsia="宋体" w:cs="宋体"/>
          <w:b/>
          <w:bCs/>
          <w:color w:val="auto"/>
          <w:sz w:val="32"/>
          <w:szCs w:val="32"/>
          <w:lang w:eastAsia="zh-CN"/>
        </w:rPr>
      </w:pPr>
    </w:p>
    <w:p w14:paraId="6FCDDAB5">
      <w:pPr>
        <w:shd w:val="clear" w:color="auto" w:fill="auto"/>
        <w:spacing w:line="360" w:lineRule="auto"/>
        <w:jc w:val="left"/>
        <w:rPr>
          <w:rFonts w:hint="eastAsia" w:ascii="宋体" w:hAnsi="宋体" w:eastAsia="宋体" w:cs="宋体"/>
          <w:b/>
          <w:bCs/>
          <w:color w:val="auto"/>
          <w:sz w:val="24"/>
          <w:lang w:eastAsia="zh-CN"/>
        </w:rPr>
      </w:pPr>
      <w:r>
        <w:rPr>
          <w:rFonts w:hint="eastAsia" w:ascii="宋体" w:hAnsi="宋体" w:cs="宋体"/>
          <w:b/>
          <w:bCs/>
          <w:color w:val="auto"/>
          <w:sz w:val="24"/>
        </w:rPr>
        <w:t>附件</w:t>
      </w:r>
      <w:r>
        <w:rPr>
          <w:rFonts w:hint="eastAsia" w:ascii="宋体" w:hAnsi="宋体" w:cs="宋体"/>
          <w:b/>
          <w:bCs/>
          <w:color w:val="auto"/>
          <w:sz w:val="24"/>
          <w:lang w:val="en-US" w:eastAsia="zh-CN"/>
        </w:rPr>
        <w:t>4</w:t>
      </w:r>
    </w:p>
    <w:p w14:paraId="2819E83E">
      <w:pPr>
        <w:widowControl/>
        <w:shd w:val="clear" w:color="auto" w:fill="auto"/>
        <w:spacing w:line="360" w:lineRule="auto"/>
        <w:jc w:val="center"/>
        <w:rPr>
          <w:rFonts w:hint="eastAsia" w:ascii="宋体" w:hAnsi="宋体" w:cs="宋体" w:eastAsiaTheme="minorEastAsia"/>
          <w:b/>
          <w:bCs/>
          <w:color w:val="auto"/>
          <w:sz w:val="32"/>
          <w:szCs w:val="32"/>
          <w:lang w:eastAsia="zh-CN"/>
        </w:rPr>
      </w:pPr>
      <w:r>
        <w:rPr>
          <w:rFonts w:hint="eastAsia" w:ascii="宋体" w:hAnsi="宋体" w:cs="宋体"/>
          <w:b/>
          <w:bCs/>
          <w:color w:val="auto"/>
          <w:sz w:val="32"/>
          <w:szCs w:val="32"/>
        </w:rPr>
        <w:t>授权委托书</w:t>
      </w:r>
      <w:r>
        <w:rPr>
          <w:rFonts w:hint="eastAsia" w:ascii="宋体" w:hAnsi="宋体" w:cs="宋体"/>
          <w:b/>
          <w:bCs/>
          <w:color w:val="auto"/>
          <w:sz w:val="32"/>
          <w:szCs w:val="32"/>
          <w:lang w:eastAsia="zh-CN"/>
        </w:rPr>
        <w:t>（</w:t>
      </w:r>
      <w:r>
        <w:rPr>
          <w:rFonts w:hint="eastAsia" w:ascii="宋体" w:hAnsi="宋体" w:cs="宋体"/>
          <w:b/>
          <w:bCs/>
          <w:color w:val="auto"/>
          <w:sz w:val="32"/>
          <w:szCs w:val="32"/>
          <w:lang w:val="en-US" w:eastAsia="zh-CN"/>
        </w:rPr>
        <w:t>如有</w:t>
      </w:r>
      <w:r>
        <w:rPr>
          <w:rFonts w:hint="eastAsia" w:ascii="宋体" w:hAnsi="宋体" w:cs="宋体"/>
          <w:b/>
          <w:bCs/>
          <w:color w:val="auto"/>
          <w:sz w:val="32"/>
          <w:szCs w:val="32"/>
          <w:lang w:eastAsia="zh-CN"/>
        </w:rPr>
        <w:t>）</w:t>
      </w:r>
    </w:p>
    <w:p w14:paraId="1E423949">
      <w:pPr>
        <w:pStyle w:val="20"/>
        <w:shd w:val="clear" w:color="auto" w:fill="auto"/>
        <w:rPr>
          <w:rFonts w:hint="eastAsia" w:hAnsi="宋体"/>
          <w:color w:val="auto"/>
        </w:rPr>
      </w:pPr>
    </w:p>
    <w:p w14:paraId="526DA61A">
      <w:pPr>
        <w:widowControl/>
        <w:shd w:val="clear" w:color="auto" w:fill="auto"/>
        <w:spacing w:after="156"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中机国际工程设计研究院有限责任公司：</w:t>
      </w:r>
    </w:p>
    <w:p w14:paraId="1BA47231">
      <w:pPr>
        <w:pStyle w:val="22"/>
        <w:shd w:val="clear" w:color="auto" w:fill="auto"/>
        <w:ind w:left="130"/>
        <w:rPr>
          <w:rFonts w:hint="eastAsia" w:ascii="宋体" w:hAnsi="宋体" w:cs="宋体"/>
          <w:color w:val="auto"/>
          <w:sz w:val="24"/>
          <w:highlight w:val="none"/>
        </w:rPr>
      </w:pPr>
      <w:r>
        <w:rPr>
          <w:rFonts w:hint="eastAsia" w:ascii="宋体" w:hAnsi="宋体" w:eastAsia="宋体" w:cs="宋体"/>
          <w:color w:val="auto"/>
          <w:sz w:val="24"/>
          <w:highlight w:val="none"/>
          <w:u w:val="none"/>
        </w:rPr>
        <w:t xml:space="preserve"> </w:t>
      </w:r>
      <w:r>
        <w:rPr>
          <w:rFonts w:hint="eastAsia" w:cs="宋体"/>
          <w:color w:val="auto"/>
          <w:sz w:val="24"/>
          <w:highlight w:val="none"/>
          <w:u w:val="none"/>
          <w:lang w:val="en-US" w:eastAsia="zh-CN"/>
        </w:rPr>
        <w:t xml:space="preserve">  </w:t>
      </w:r>
      <w:r>
        <w:rPr>
          <w:rFonts w:hint="eastAsia"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系中华人民共和国合法企业，地址位于</w:t>
      </w:r>
      <w:r>
        <w:rPr>
          <w:rFonts w:hint="eastAsia" w:cs="宋体"/>
          <w:color w:val="auto"/>
          <w:sz w:val="24"/>
          <w:highlight w:val="none"/>
          <w:u w:val="single"/>
          <w:lang w:val="en-US" w:eastAsia="zh-CN"/>
        </w:rPr>
        <w:t xml:space="preserve">             </w:t>
      </w:r>
      <w:r>
        <w:rPr>
          <w:rFonts w:hint="eastAsia" w:ascii="宋体" w:hAnsi="宋体" w:eastAsia="宋体" w:cs="宋体"/>
          <w:b w:val="0"/>
          <w:color w:val="auto"/>
          <w:sz w:val="24"/>
          <w:szCs w:val="21"/>
          <w:highlight w:val="none"/>
          <w:u w:val="none"/>
          <w:lang w:val="en-US" w:eastAsia="zh-CN" w:bidi="ar-SA"/>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05A2480">
      <w:pPr>
        <w:widowControl/>
        <w:shd w:val="clear" w:color="auto" w:fill="auto"/>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授权委托事项：我</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的法定代表人，现授权委托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为我公司代理人，以本公司的名义参加</w:t>
      </w:r>
      <w:r>
        <w:rPr>
          <w:rFonts w:hint="eastAsia" w:ascii="宋体" w:hAnsi="宋体" w:eastAsia="宋体" w:cs="宋体"/>
          <w:color w:val="auto"/>
          <w:sz w:val="24"/>
          <w:highlight w:val="none"/>
          <w:lang w:val="en-US" w:eastAsia="zh-CN"/>
        </w:rPr>
        <w:t>兰州新区年产30GWh新能源电池生产基地项目(一 期)的工程总EPC承包项目</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的</w:t>
      </w:r>
      <w:r>
        <w:rPr>
          <w:rFonts w:hint="eastAsia" w:ascii="宋体" w:hAnsi="宋体" w:eastAsia="宋体" w:cs="宋体"/>
          <w:color w:val="auto"/>
          <w:sz w:val="24"/>
          <w:highlight w:val="none"/>
          <w:lang w:val="en-US" w:eastAsia="zh-CN"/>
        </w:rPr>
        <w:t>报价</w:t>
      </w:r>
      <w:r>
        <w:rPr>
          <w:rFonts w:hint="eastAsia" w:ascii="宋体" w:hAnsi="宋体" w:cs="宋体"/>
          <w:color w:val="auto"/>
          <w:sz w:val="24"/>
          <w:highlight w:val="none"/>
        </w:rPr>
        <w:t>、合同签订及履约过程中的一切经济事务活动。代理人在开标、评标、合同谈判、合同签订及中标后的一切经济事务活动过程中所签署的一切文件和处理与之有关的一切事务，我均予以承认。</w:t>
      </w:r>
    </w:p>
    <w:p w14:paraId="60D58075">
      <w:pPr>
        <w:widowControl/>
        <w:shd w:val="clear" w:color="auto" w:fill="auto"/>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本授权范围为全权，本人对代理人行为承担法律责任，代理人转委托须经本人书面确认。特此委托（双方身份证复印件附后）。</w:t>
      </w:r>
    </w:p>
    <w:p w14:paraId="46ACBC44">
      <w:pPr>
        <w:widowControl/>
        <w:shd w:val="clear" w:color="auto" w:fill="auto"/>
        <w:spacing w:line="360" w:lineRule="auto"/>
        <w:jc w:val="left"/>
        <w:rPr>
          <w:rFonts w:hint="eastAsia" w:ascii="宋体" w:hAnsi="宋体" w:cs="宋体"/>
          <w:color w:val="auto"/>
          <w:sz w:val="24"/>
          <w:highlight w:val="none"/>
        </w:rPr>
      </w:pPr>
    </w:p>
    <w:p w14:paraId="791E344D">
      <w:pPr>
        <w:widowControl/>
        <w:shd w:val="clear" w:color="auto" w:fill="auto"/>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委托人签名：</w:t>
      </w:r>
      <w:r>
        <w:rPr>
          <w:rFonts w:hint="eastAsia" w:ascii="宋体" w:hAnsi="宋体" w:cs="宋体"/>
          <w:color w:val="auto"/>
          <w:sz w:val="24"/>
          <w:highlight w:val="none"/>
          <w:u w:val="single"/>
        </w:rPr>
        <w:t>　    　</w:t>
      </w:r>
      <w:r>
        <w:rPr>
          <w:rFonts w:hint="eastAsia" w:ascii="宋体" w:hAnsi="宋体" w:cs="宋体"/>
          <w:color w:val="auto"/>
          <w:sz w:val="24"/>
          <w:highlight w:val="none"/>
        </w:rPr>
        <w:t xml:space="preserve">                被委托人签名：</w:t>
      </w:r>
      <w:r>
        <w:rPr>
          <w:rFonts w:hint="eastAsia" w:ascii="宋体" w:hAnsi="宋体" w:cs="宋体"/>
          <w:color w:val="auto"/>
          <w:sz w:val="24"/>
          <w:highlight w:val="none"/>
          <w:u w:val="single"/>
        </w:rPr>
        <w:t>　    　</w:t>
      </w:r>
      <w:r>
        <w:rPr>
          <w:rFonts w:hint="eastAsia" w:ascii="宋体" w:hAnsi="宋体" w:cs="宋体"/>
          <w:color w:val="auto"/>
          <w:sz w:val="24"/>
          <w:highlight w:val="none"/>
        </w:rPr>
        <w:t>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p>
    <w:p w14:paraId="3B6FD8F6">
      <w:pPr>
        <w:widowControl/>
        <w:shd w:val="clear" w:color="auto" w:fill="auto"/>
        <w:spacing w:line="360" w:lineRule="auto"/>
        <w:jc w:val="left"/>
        <w:rPr>
          <w:rFonts w:hint="eastAsia" w:ascii="宋体" w:hAnsi="宋体" w:cs="宋体"/>
          <w:color w:val="auto"/>
          <w:sz w:val="24"/>
        </w:rPr>
      </w:pPr>
      <w:r>
        <w:rPr>
          <w:rFonts w:hint="eastAsia" w:ascii="宋体" w:hAnsi="宋体" w:cs="宋体"/>
          <w:color w:val="auto"/>
          <w:sz w:val="24"/>
          <w:highlight w:val="none"/>
        </w:rPr>
        <w:t>身份证号码：</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份证号码：</w:t>
      </w:r>
    </w:p>
    <w:p w14:paraId="73D5AA18">
      <w:pPr>
        <w:widowControl/>
        <w:shd w:val="clear" w:color="auto" w:fill="auto"/>
        <w:spacing w:line="360" w:lineRule="auto"/>
        <w:jc w:val="lef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（盖公司公章）</w:t>
      </w:r>
      <w:r>
        <w:rPr>
          <w:rFonts w:hint="eastAsia" w:ascii="宋体" w:hAnsi="宋体" w:cs="宋体"/>
          <w:color w:val="auto"/>
          <w:sz w:val="24"/>
          <w:lang w:val="en-US" w:eastAsia="zh-CN"/>
        </w:rPr>
        <w:t xml:space="preserve">                       </w:t>
      </w:r>
    </w:p>
    <w:p w14:paraId="4EE715B6">
      <w:pPr>
        <w:widowControl/>
        <w:shd w:val="clear" w:color="auto" w:fill="auto"/>
        <w:spacing w:line="360" w:lineRule="auto"/>
        <w:jc w:val="left"/>
        <w:rPr>
          <w:rFonts w:hint="default" w:ascii="宋体" w:hAnsi="宋体" w:eastAsia="宋体" w:cs="宋体"/>
          <w:color w:val="auto"/>
          <w:sz w:val="24"/>
          <w:lang w:val="en-US" w:eastAsia="zh-CN"/>
        </w:rPr>
      </w:pPr>
      <w:r>
        <w:rPr>
          <w:rFonts w:hint="eastAsia" w:ascii="宋体" w:hAnsi="宋体" w:cs="宋体"/>
          <w:color w:val="auto"/>
          <w:sz w:val="24"/>
        </w:rPr>
        <w:t xml:space="preserve">    年    月    日                    </w:t>
      </w:r>
      <w:r>
        <w:rPr>
          <w:rFonts w:hint="eastAsia" w:ascii="宋体" w:hAnsi="宋体" w:cs="宋体"/>
          <w:color w:val="auto"/>
          <w:sz w:val="24"/>
          <w:lang w:val="en-US" w:eastAsia="zh-CN"/>
        </w:rPr>
        <w:t xml:space="preserve"> </w:t>
      </w:r>
      <w:r>
        <w:rPr>
          <w:rFonts w:hint="eastAsia" w:ascii="宋体" w:hAnsi="宋体" w:cs="宋体"/>
          <w:color w:val="auto"/>
          <w:sz w:val="24"/>
        </w:rPr>
        <w:t xml:space="preserve">       年    月    日</w:t>
      </w:r>
      <w:r>
        <w:rPr>
          <w:rFonts w:hint="eastAsia" w:ascii="宋体" w:hAnsi="宋体" w:cs="宋体"/>
          <w:color w:val="auto"/>
          <w:sz w:val="24"/>
          <w:lang w:val="en-US" w:eastAsia="zh-CN"/>
        </w:rPr>
        <w:t xml:space="preserve">     </w:t>
      </w:r>
    </w:p>
    <w:p w14:paraId="26A02FDD">
      <w:pPr>
        <w:shd w:val="clear" w:color="auto" w:fill="auto"/>
        <w:autoSpaceDE w:val="0"/>
        <w:autoSpaceDN w:val="0"/>
        <w:adjustRightInd w:val="0"/>
        <w:spacing w:line="360" w:lineRule="auto"/>
        <w:ind w:firstLine="560" w:firstLineChars="200"/>
        <w:jc w:val="center"/>
        <w:rPr>
          <w:color w:val="auto"/>
          <w:sz w:val="28"/>
          <w:szCs w:val="28"/>
        </w:rPr>
      </w:pPr>
    </w:p>
    <w:p w14:paraId="303F7AC0">
      <w:pPr>
        <w:widowControl/>
        <w:shd w:val="clear" w:color="auto" w:fill="auto"/>
        <w:spacing w:line="360" w:lineRule="auto"/>
        <w:jc w:val="left"/>
        <w:rPr>
          <w:rFonts w:hint="eastAsia" w:ascii="宋体" w:hAnsi="宋体" w:cs="宋体"/>
          <w:color w:val="auto"/>
          <w:sz w:val="24"/>
        </w:rPr>
      </w:pPr>
      <w:r>
        <w:rPr>
          <w:color w:val="auto"/>
          <w:sz w:val="28"/>
          <w:szCs w:val="28"/>
        </w:rPr>
        <w:br w:type="page"/>
      </w:r>
      <w:r>
        <w:rPr>
          <w:rFonts w:hint="eastAsia" w:ascii="宋体" w:hAnsi="宋体" w:cs="宋体"/>
          <w:color w:val="auto"/>
          <w:sz w:val="24"/>
        </w:rPr>
        <w:t>（附双方身份证正反复印件）</w:t>
      </w:r>
    </w:p>
    <w:p w14:paraId="27203E1C">
      <w:pPr>
        <w:pStyle w:val="20"/>
        <w:shd w:val="clear" w:color="auto" w:fill="auto"/>
        <w:rPr>
          <w:rFonts w:hint="eastAsia"/>
          <w:color w:val="auto"/>
        </w:rPr>
      </w:pPr>
    </w:p>
    <w:p w14:paraId="496B9465">
      <w:pPr>
        <w:pStyle w:val="20"/>
        <w:shd w:val="clear" w:color="auto" w:fill="auto"/>
        <w:rPr>
          <w:rFonts w:hint="eastAsia"/>
          <w:color w:val="auto"/>
        </w:rPr>
      </w:pPr>
      <w:r>
        <w:rPr>
          <w:rFonts w:hint="eastAsia"/>
          <w:color w:val="auto"/>
        </w:rPr>
        <w:t>委托人身份证件                               被委托人身份证件</w:t>
      </w:r>
    </w:p>
    <w:p w14:paraId="66C87A38">
      <w:pPr>
        <w:pStyle w:val="20"/>
        <w:shd w:val="clear" w:color="auto" w:fill="auto"/>
        <w:rPr>
          <w:rFonts w:hint="eastAsia"/>
          <w:color w:val="auto"/>
        </w:rPr>
      </w:pPr>
    </w:p>
    <w:p w14:paraId="3BFA1AB0">
      <w:pPr>
        <w:pStyle w:val="20"/>
        <w:shd w:val="clear" w:color="auto" w:fill="auto"/>
        <w:rPr>
          <w:rFonts w:hint="default"/>
          <w:color w:val="auto"/>
          <w:lang w:val="en-US"/>
        </w:rPr>
      </w:pPr>
    </w:p>
    <w:p w14:paraId="635E9573">
      <w:pPr>
        <w:pStyle w:val="20"/>
        <w:shd w:val="clear" w:color="auto" w:fill="auto"/>
        <w:rPr>
          <w:rFonts w:hint="eastAsia"/>
          <w:color w:val="auto"/>
        </w:rPr>
      </w:pPr>
    </w:p>
    <w:p w14:paraId="383F89AD">
      <w:pPr>
        <w:pStyle w:val="20"/>
        <w:shd w:val="clear" w:color="auto" w:fill="auto"/>
        <w:rPr>
          <w:rFonts w:hint="default"/>
          <w:color w:val="auto"/>
          <w:lang w:val="en-US"/>
        </w:rPr>
      </w:pPr>
      <w:r>
        <w:rPr>
          <w:rFonts w:hint="eastAsia"/>
          <w:color w:val="auto"/>
        </w:rPr>
        <w:t xml:space="preserve">          </w:t>
      </w:r>
    </w:p>
    <w:p w14:paraId="513C6F4B">
      <w:pPr>
        <w:pStyle w:val="20"/>
        <w:shd w:val="clear" w:color="auto" w:fill="auto"/>
        <w:rPr>
          <w:color w:val="auto"/>
        </w:rPr>
      </w:pPr>
    </w:p>
    <w:p w14:paraId="18D030B3">
      <w:pPr>
        <w:pStyle w:val="20"/>
        <w:shd w:val="clear" w:color="auto" w:fill="auto"/>
        <w:rPr>
          <w:rFonts w:hint="eastAsia"/>
          <w:color w:val="auto"/>
        </w:rPr>
        <w:sectPr>
          <w:footerReference r:id="rId3" w:type="default"/>
          <w:pgSz w:w="11906" w:h="16838"/>
          <w:pgMar w:top="1417" w:right="1418" w:bottom="1417" w:left="1418" w:header="851" w:footer="992" w:gutter="0"/>
          <w:cols w:space="720" w:num="1"/>
          <w:docGrid w:type="linesAndChars" w:linePitch="312" w:charSpace="190"/>
        </w:sectPr>
      </w:pPr>
      <w:r>
        <w:rPr>
          <w:rFonts w:hint="eastAsia"/>
          <w:color w:val="auto"/>
        </w:rPr>
        <w:t xml:space="preserve">          </w:t>
      </w:r>
    </w:p>
    <w:p w14:paraId="56BB6AC7">
      <w:pPr>
        <w:shd w:val="clear" w:color="auto" w:fill="auto"/>
        <w:wordWrap/>
        <w:spacing w:line="440" w:lineRule="exact"/>
        <w:jc w:val="left"/>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附</w:t>
      </w:r>
      <w:bookmarkStart w:id="813" w:name="_Toc296944566"/>
      <w:bookmarkStart w:id="814" w:name="_Toc296346728"/>
      <w:bookmarkStart w:id="815" w:name="_Toc267261698"/>
      <w:bookmarkStart w:id="816" w:name="_Toc296347226"/>
      <w:bookmarkStart w:id="817" w:name="_Toc296891055"/>
      <w:bookmarkStart w:id="818" w:name="_Toc296503227"/>
      <w:bookmarkStart w:id="819" w:name="_Toc296891267"/>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5</w:t>
      </w:r>
    </w:p>
    <w:bookmarkEnd w:id="813"/>
    <w:bookmarkEnd w:id="814"/>
    <w:bookmarkEnd w:id="815"/>
    <w:bookmarkEnd w:id="816"/>
    <w:bookmarkEnd w:id="817"/>
    <w:bookmarkEnd w:id="818"/>
    <w:bookmarkEnd w:id="819"/>
    <w:p w14:paraId="47A5DC73">
      <w:pPr>
        <w:shd w:val="clear" w:color="auto" w:fill="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代发</w:t>
      </w:r>
      <w:r>
        <w:rPr>
          <w:rFonts w:hint="eastAsia" w:ascii="宋体" w:hAnsi="宋体" w:eastAsia="宋体" w:cs="宋体"/>
          <w:b/>
          <w:bCs/>
          <w:color w:val="auto"/>
          <w:sz w:val="32"/>
          <w:szCs w:val="32"/>
        </w:rPr>
        <w:t>农民工工资</w:t>
      </w:r>
      <w:r>
        <w:rPr>
          <w:rFonts w:hint="eastAsia" w:ascii="宋体" w:hAnsi="宋体" w:eastAsia="宋体" w:cs="宋体"/>
          <w:b/>
          <w:bCs/>
          <w:color w:val="auto"/>
          <w:sz w:val="32"/>
          <w:szCs w:val="32"/>
          <w:lang w:eastAsia="zh-CN"/>
        </w:rPr>
        <w:t>委托书及承诺函</w:t>
      </w:r>
    </w:p>
    <w:p w14:paraId="0438399A">
      <w:pPr>
        <w:shd w:val="clear" w:color="auto" w:fill="auto"/>
        <w:jc w:val="center"/>
        <w:rPr>
          <w:rFonts w:hint="eastAsia" w:ascii="宋体" w:hAnsi="宋体" w:eastAsia="宋体" w:cs="宋体"/>
          <w:b/>
          <w:bCs/>
          <w:color w:val="auto"/>
          <w:sz w:val="32"/>
          <w:szCs w:val="32"/>
        </w:rPr>
      </w:pPr>
    </w:p>
    <w:p w14:paraId="30A9AD97">
      <w:pPr>
        <w:shd w:val="clear" w:color="auto" w:fill="auto"/>
        <w:rPr>
          <w:rFonts w:hint="eastAsia" w:ascii="宋体" w:hAnsi="宋体" w:eastAsia="宋体" w:cs="宋体"/>
          <w:b/>
          <w:bCs/>
          <w:color w:val="auto"/>
          <w:sz w:val="24"/>
          <w:szCs w:val="24"/>
        </w:rPr>
      </w:pPr>
    </w:p>
    <w:p w14:paraId="3D2EED53">
      <w:pPr>
        <w:spacing w:line="360" w:lineRule="auto"/>
        <w:rPr>
          <w:rFonts w:hint="eastAsia" w:ascii="宋体" w:hAnsi="宋体" w:eastAsia="宋体" w:cs="宋体"/>
          <w:sz w:val="24"/>
          <w:szCs w:val="24"/>
        </w:rPr>
      </w:pPr>
      <w:r>
        <w:rPr>
          <w:rFonts w:hint="eastAsia" w:ascii="宋体" w:hAnsi="宋体" w:eastAsia="宋体" w:cs="宋体"/>
          <w:b/>
          <w:bCs/>
          <w:sz w:val="24"/>
          <w:szCs w:val="24"/>
        </w:rPr>
        <w:t>致</w:t>
      </w:r>
      <w:r>
        <w:rPr>
          <w:rFonts w:hint="eastAsia" w:ascii="宋体" w:hAnsi="宋体" w:eastAsia="宋体" w:cs="宋体"/>
          <w:b/>
          <w:bCs/>
          <w:sz w:val="24"/>
          <w:szCs w:val="24"/>
          <w:lang w:eastAsia="zh-CN"/>
        </w:rPr>
        <w:t>：</w:t>
      </w:r>
      <w:r>
        <w:rPr>
          <w:rFonts w:hint="eastAsia" w:ascii="宋体" w:hAnsi="宋体" w:eastAsia="宋体" w:cs="宋体"/>
          <w:b/>
          <w:bCs/>
          <w:sz w:val="24"/>
          <w:szCs w:val="24"/>
          <w:u w:val="single"/>
        </w:rPr>
        <w:t>中机国际工程设计研究院有限责任公司</w:t>
      </w:r>
      <w:r>
        <w:rPr>
          <w:rFonts w:hint="eastAsia" w:ascii="宋体" w:hAnsi="宋体" w:eastAsia="宋体" w:cs="宋体"/>
          <w:b/>
          <w:bCs/>
          <w:sz w:val="24"/>
          <w:szCs w:val="24"/>
        </w:rPr>
        <w:t>：</w:t>
      </w:r>
    </w:p>
    <w:p w14:paraId="4FEE629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z w:val="24"/>
          <w:szCs w:val="24"/>
          <w:highlight w:val="none"/>
          <w:u w:val="single"/>
          <w:lang w:val="en-US" w:eastAsia="zh-CN"/>
        </w:rPr>
        <w:t>公司</w:t>
      </w:r>
      <w:r>
        <w:rPr>
          <w:rFonts w:hint="eastAsia" w:ascii="宋体" w:hAnsi="宋体" w:eastAsia="宋体" w:cs="宋体"/>
          <w:sz w:val="24"/>
          <w:szCs w:val="24"/>
        </w:rPr>
        <w:t>,现申请贵司将我公司在</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合同</w:t>
      </w:r>
      <w:r>
        <w:rPr>
          <w:rFonts w:hint="eastAsia" w:ascii="宋体" w:hAnsi="宋体" w:eastAsia="宋体" w:cs="宋体"/>
          <w:sz w:val="24"/>
          <w:szCs w:val="24"/>
          <w:u w:val="single"/>
        </w:rPr>
        <w:t>》</w:t>
      </w:r>
      <w:r>
        <w:rPr>
          <w:rFonts w:hint="eastAsia" w:ascii="宋体" w:hAnsi="宋体" w:eastAsia="宋体" w:cs="宋体"/>
          <w:sz w:val="24"/>
          <w:szCs w:val="24"/>
        </w:rPr>
        <w:t>项下预计应支付的农民工工资（人民币含税）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元)</w:t>
      </w:r>
      <w:r>
        <w:rPr>
          <w:rFonts w:hint="eastAsia" w:ascii="宋体" w:hAnsi="宋体" w:eastAsia="宋体" w:cs="宋体"/>
          <w:sz w:val="24"/>
          <w:szCs w:val="24"/>
        </w:rPr>
        <w:t>直接代为支付至</w:t>
      </w:r>
      <w:r>
        <w:rPr>
          <w:rFonts w:hint="eastAsia" w:ascii="宋体" w:hAnsi="宋体" w:cs="宋体"/>
          <w:color w:val="000000"/>
          <w:sz w:val="24"/>
          <w:szCs w:val="24"/>
          <w:lang w:eastAsia="zh-CN"/>
        </w:rPr>
        <w:t>民工</w:t>
      </w:r>
      <w:r>
        <w:rPr>
          <w:rFonts w:hint="eastAsia" w:ascii="宋体" w:hAnsi="宋体" w:eastAsia="宋体" w:cs="宋体"/>
          <w:color w:val="000000"/>
          <w:sz w:val="24"/>
          <w:szCs w:val="24"/>
        </w:rPr>
        <w:t>的</w:t>
      </w:r>
      <w:r>
        <w:rPr>
          <w:rFonts w:hint="eastAsia" w:ascii="宋体" w:hAnsi="宋体" w:eastAsia="宋体" w:cs="宋体"/>
          <w:sz w:val="24"/>
          <w:szCs w:val="24"/>
        </w:rPr>
        <w:t>银行帐户</w:t>
      </w:r>
      <w:r>
        <w:rPr>
          <w:rFonts w:hint="eastAsia" w:ascii="宋体" w:hAnsi="宋体" w:cs="宋体"/>
          <w:sz w:val="24"/>
          <w:szCs w:val="24"/>
          <w:lang w:eastAsia="zh-CN"/>
        </w:rPr>
        <w:t>，具体明细详见工资代发明细表。</w:t>
      </w:r>
      <w:r>
        <w:rPr>
          <w:rFonts w:hint="eastAsia" w:ascii="宋体" w:hAnsi="宋体" w:eastAsia="宋体" w:cs="宋体"/>
          <w:color w:val="000000"/>
          <w:sz w:val="24"/>
          <w:szCs w:val="24"/>
        </w:rPr>
        <w:t>本次委托支付产生的</w:t>
      </w:r>
      <w:r>
        <w:rPr>
          <w:rFonts w:hint="eastAsia" w:ascii="宋体" w:hAnsi="宋体" w:eastAsia="宋体" w:cs="宋体"/>
          <w:sz w:val="24"/>
          <w:szCs w:val="24"/>
        </w:rPr>
        <w:t>任何经济纠纷与贵司无关，本公司承担一切法律责任和后果</w:t>
      </w:r>
      <w:r>
        <w:rPr>
          <w:rFonts w:hint="eastAsia" w:ascii="宋体" w:hAnsi="宋体" w:cs="宋体"/>
          <w:sz w:val="24"/>
          <w:szCs w:val="24"/>
          <w:lang w:eastAsia="zh-CN"/>
        </w:rPr>
        <w:t>，</w:t>
      </w:r>
      <w:r>
        <w:rPr>
          <w:rFonts w:hint="eastAsia" w:ascii="宋体" w:hAnsi="宋体" w:eastAsia="宋体" w:cs="宋体"/>
          <w:sz w:val="24"/>
          <w:szCs w:val="24"/>
        </w:rPr>
        <w:t>本公司承诺：</w:t>
      </w:r>
    </w:p>
    <w:p w14:paraId="62C883EC">
      <w:pPr>
        <w:numPr>
          <w:ilvl w:val="0"/>
          <w:numId w:val="12"/>
        </w:num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贵司直接支付至</w:t>
      </w:r>
      <w:r>
        <w:rPr>
          <w:rFonts w:hint="eastAsia" w:ascii="宋体" w:hAnsi="宋体" w:cs="宋体"/>
          <w:sz w:val="24"/>
          <w:szCs w:val="24"/>
          <w:lang w:eastAsia="zh-CN"/>
        </w:rPr>
        <w:t>民工</w:t>
      </w:r>
      <w:r>
        <w:rPr>
          <w:rFonts w:hint="eastAsia" w:ascii="宋体" w:hAnsi="宋体" w:eastAsia="宋体" w:cs="宋体"/>
          <w:sz w:val="24"/>
          <w:szCs w:val="24"/>
        </w:rPr>
        <w:t>银行账户的民工工资，均为本公司工程款，本公司在</w:t>
      </w:r>
      <w:r>
        <w:rPr>
          <w:rFonts w:hint="eastAsia" w:ascii="宋体" w:hAnsi="宋体" w:cs="宋体"/>
          <w:sz w:val="24"/>
          <w:szCs w:val="24"/>
          <w:lang w:eastAsia="zh-CN"/>
        </w:rPr>
        <w:t>贵司代发</w:t>
      </w:r>
      <w:r>
        <w:rPr>
          <w:rFonts w:hint="eastAsia" w:ascii="宋体" w:hAnsi="宋体" w:eastAsia="宋体" w:cs="宋体"/>
          <w:sz w:val="24"/>
          <w:szCs w:val="24"/>
        </w:rPr>
        <w:t xml:space="preserve">前向贵司开具相应金额且符合贵司要求的增值税发票。  </w:t>
      </w:r>
    </w:p>
    <w:p w14:paraId="4657FE54">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2、以上支付的</w:t>
      </w:r>
      <w:r>
        <w:rPr>
          <w:rFonts w:hint="eastAsia" w:ascii="宋体" w:hAnsi="宋体" w:cs="宋体"/>
          <w:sz w:val="24"/>
          <w:szCs w:val="24"/>
          <w:lang w:eastAsia="zh-CN"/>
        </w:rPr>
        <w:t>民工</w:t>
      </w:r>
      <w:r>
        <w:rPr>
          <w:rFonts w:hint="eastAsia" w:ascii="宋体" w:hAnsi="宋体" w:eastAsia="宋体" w:cs="宋体"/>
          <w:sz w:val="24"/>
          <w:szCs w:val="24"/>
        </w:rPr>
        <w:t>工资，贵司</w:t>
      </w:r>
      <w:r>
        <w:rPr>
          <w:rFonts w:hint="eastAsia" w:ascii="宋体" w:hAnsi="宋体" w:cs="宋体"/>
          <w:sz w:val="24"/>
          <w:szCs w:val="24"/>
          <w:lang w:eastAsia="zh-CN"/>
        </w:rPr>
        <w:t>有权</w:t>
      </w:r>
      <w:r>
        <w:rPr>
          <w:rFonts w:hint="eastAsia" w:ascii="宋体" w:hAnsi="宋体" w:eastAsia="宋体" w:cs="宋体"/>
          <w:sz w:val="24"/>
          <w:szCs w:val="24"/>
        </w:rPr>
        <w:t>直接在</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合同</w:t>
      </w:r>
      <w:r>
        <w:rPr>
          <w:rFonts w:hint="eastAsia" w:ascii="宋体" w:hAnsi="宋体" w:cs="宋体"/>
          <w:sz w:val="24"/>
          <w:szCs w:val="24"/>
          <w:u w:val="single"/>
          <w:lang w:eastAsia="zh-CN"/>
        </w:rPr>
        <w:t>》</w:t>
      </w:r>
      <w:r>
        <w:rPr>
          <w:rFonts w:hint="eastAsia" w:ascii="宋体" w:hAnsi="宋体" w:eastAsia="宋体" w:cs="宋体"/>
          <w:sz w:val="24"/>
          <w:szCs w:val="24"/>
        </w:rPr>
        <w:t>工程款中扣除；如不足以扣除的，则贵司有权从本公司在贵司所承接的任何项目工程款中扣除；若还不足以扣除的，贵司有权向本公司进行追偿。</w:t>
      </w:r>
    </w:p>
    <w:p w14:paraId="46FD666A">
      <w:pPr>
        <w:spacing w:line="560" w:lineRule="exact"/>
        <w:ind w:firstLine="560"/>
        <w:rPr>
          <w:rFonts w:hint="eastAsia" w:ascii="宋体" w:hAnsi="宋体" w:cs="宋体"/>
          <w:sz w:val="24"/>
          <w:szCs w:val="24"/>
          <w:lang w:eastAsia="zh-CN"/>
        </w:rPr>
      </w:pPr>
      <w:r>
        <w:rPr>
          <w:rFonts w:hint="eastAsia" w:ascii="宋体" w:hAnsi="宋体" w:eastAsia="宋体" w:cs="宋体"/>
          <w:sz w:val="24"/>
          <w:szCs w:val="24"/>
        </w:rPr>
        <w:t>3、本公司保证，</w:t>
      </w:r>
      <w:r>
        <w:rPr>
          <w:rFonts w:hint="eastAsia" w:ascii="宋体" w:hAnsi="宋体" w:cs="宋体"/>
          <w:sz w:val="24"/>
          <w:szCs w:val="24"/>
          <w:lang w:eastAsia="zh-CN"/>
        </w:rPr>
        <w:t>所提供工资代发明细表中民工、卡号、工资金额等信息真实准确，民工的社保及个税等均由我司负责。</w:t>
      </w:r>
    </w:p>
    <w:p w14:paraId="1EAE2D16">
      <w:pPr>
        <w:spacing w:line="560" w:lineRule="exact"/>
        <w:ind w:firstLine="56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此承诺签署后不再出现任何形式的人员、班组到贵司、政府机构主张任何权益及闹事，如有，本公司及</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承担一切后果。</w:t>
      </w:r>
    </w:p>
    <w:p w14:paraId="18B99B5E">
      <w:pPr>
        <w:spacing w:line="520" w:lineRule="exact"/>
        <w:ind w:firstLine="480" w:firstLineChars="200"/>
        <w:rPr>
          <w:rFonts w:hint="eastAsia" w:ascii="宋体" w:hAnsi="宋体" w:eastAsia="宋体" w:cs="宋体"/>
          <w:color w:val="000000"/>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color w:val="000000"/>
          <w:sz w:val="24"/>
          <w:szCs w:val="24"/>
        </w:rPr>
        <w:t>本次代为支付的行为不代表代付工资的民工或管服人员与贵司之间存在劳动关系及其他权利义务。</w:t>
      </w:r>
    </w:p>
    <w:p w14:paraId="7B44C53E">
      <w:pPr>
        <w:pStyle w:val="20"/>
        <w:rPr>
          <w:rFonts w:hint="eastAsia" w:ascii="宋体" w:hAnsi="宋体" w:eastAsia="宋体" w:cs="宋体"/>
          <w:color w:val="000000"/>
          <w:sz w:val="24"/>
          <w:szCs w:val="24"/>
        </w:rPr>
      </w:pPr>
    </w:p>
    <w:p w14:paraId="3044AA90">
      <w:pPr>
        <w:spacing w:line="520" w:lineRule="exact"/>
        <w:ind w:firstLine="5520" w:firstLineChars="2300"/>
        <w:rPr>
          <w:rFonts w:hint="eastAsia" w:ascii="宋体" w:hAnsi="宋体" w:eastAsia="宋体" w:cs="宋体"/>
          <w:color w:val="000000"/>
          <w:sz w:val="24"/>
          <w:szCs w:val="24"/>
        </w:rPr>
      </w:pPr>
      <w:r>
        <w:rPr>
          <w:rFonts w:hint="eastAsia" w:ascii="宋体" w:hAnsi="宋体" w:eastAsia="宋体" w:cs="宋体"/>
          <w:color w:val="000000"/>
          <w:sz w:val="24"/>
          <w:szCs w:val="24"/>
        </w:rPr>
        <w:t>委托单位盖章</w:t>
      </w:r>
    </w:p>
    <w:p w14:paraId="34F1107D">
      <w:pPr>
        <w:spacing w:line="520" w:lineRule="exact"/>
        <w:ind w:firstLine="3120" w:firstLineChars="1300"/>
        <w:rPr>
          <w:rFonts w:hint="eastAsia" w:ascii="宋体" w:hAnsi="宋体" w:eastAsia="宋体" w:cs="宋体"/>
          <w:color w:val="000000"/>
          <w:sz w:val="24"/>
          <w:szCs w:val="24"/>
        </w:rPr>
      </w:pPr>
      <w:r>
        <w:rPr>
          <w:rFonts w:hint="eastAsia" w:ascii="宋体" w:hAnsi="宋体" w:eastAsia="宋体" w:cs="宋体"/>
          <w:color w:val="000000"/>
          <w:sz w:val="24"/>
          <w:szCs w:val="24"/>
        </w:rPr>
        <w:t>委托单位法定代表人</w:t>
      </w:r>
      <w:r>
        <w:rPr>
          <w:rFonts w:hint="eastAsia" w:ascii="宋体" w:hAnsi="宋体" w:eastAsia="宋体" w:cs="宋体"/>
          <w:color w:val="000000"/>
          <w:sz w:val="24"/>
          <w:szCs w:val="24"/>
          <w:lang w:eastAsia="zh-CN"/>
        </w:rPr>
        <w:t>（或授权代表）</w:t>
      </w:r>
      <w:r>
        <w:rPr>
          <w:rFonts w:hint="eastAsia" w:ascii="宋体" w:hAnsi="宋体" w:eastAsia="宋体" w:cs="宋体"/>
          <w:color w:val="000000"/>
          <w:sz w:val="24"/>
          <w:szCs w:val="24"/>
        </w:rPr>
        <w:t>签名:</w:t>
      </w:r>
    </w:p>
    <w:p w14:paraId="16A05934">
      <w:pPr>
        <w:spacing w:line="520" w:lineRule="exact"/>
        <w:ind w:firstLine="6000" w:firstLineChars="2500"/>
        <w:rPr>
          <w:rFonts w:hint="eastAsia" w:ascii="宋体" w:hAnsi="宋体" w:eastAsia="宋体" w:cs="宋体"/>
          <w:sz w:val="24"/>
          <w:szCs w:val="24"/>
        </w:rPr>
      </w:pPr>
      <w:r>
        <w:rPr>
          <w:rFonts w:hint="eastAsia" w:ascii="宋体" w:hAnsi="宋体" w:eastAsia="宋体" w:cs="宋体"/>
          <w:color w:val="000000"/>
          <w:sz w:val="24"/>
          <w:szCs w:val="24"/>
        </w:rPr>
        <w:t>年   月   日</w:t>
      </w:r>
    </w:p>
    <w:p w14:paraId="041765BB">
      <w:pPr>
        <w:shd w:val="clear" w:color="auto" w:fill="auto"/>
        <w:wordWrap/>
        <w:spacing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附</w:t>
      </w:r>
      <w:bookmarkStart w:id="820" w:name="_Toc296891056"/>
      <w:bookmarkStart w:id="821" w:name="_Toc296891268"/>
      <w:bookmarkStart w:id="822" w:name="_Toc296346729"/>
      <w:bookmarkStart w:id="823" w:name="_Toc267261699"/>
      <w:bookmarkStart w:id="824" w:name="_Toc296503228"/>
      <w:bookmarkStart w:id="825" w:name="_Toc296347227"/>
      <w:bookmarkStart w:id="826" w:name="_Toc296944567"/>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6</w:t>
      </w:r>
    </w:p>
    <w:bookmarkEnd w:id="820"/>
    <w:bookmarkEnd w:id="821"/>
    <w:bookmarkEnd w:id="822"/>
    <w:bookmarkEnd w:id="823"/>
    <w:bookmarkEnd w:id="824"/>
    <w:bookmarkEnd w:id="825"/>
    <w:bookmarkEnd w:id="826"/>
    <w:p w14:paraId="065BF258">
      <w:pPr>
        <w:shd w:val="clear" w:color="auto" w:fill="auto"/>
        <w:wordWrap/>
        <w:spacing w:line="440" w:lineRule="exact"/>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作业人员工资支付要求</w:t>
      </w:r>
    </w:p>
    <w:p w14:paraId="333EABD8">
      <w:pPr>
        <w:shd w:val="clear" w:color="auto" w:fill="auto"/>
        <w:spacing w:line="6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根据《保障农</w:t>
      </w:r>
      <w:r>
        <w:rPr>
          <w:rFonts w:hint="eastAsia" w:ascii="宋体" w:hAnsi="宋体" w:eastAsia="宋体" w:cs="宋体"/>
          <w:color w:val="auto"/>
          <w:sz w:val="24"/>
          <w:szCs w:val="24"/>
          <w:lang w:eastAsia="zh-CN"/>
        </w:rPr>
        <w:t>民</w:t>
      </w:r>
      <w:r>
        <w:rPr>
          <w:rFonts w:hint="eastAsia" w:ascii="宋体" w:hAnsi="宋体" w:eastAsia="宋体" w:cs="宋体"/>
          <w:color w:val="auto"/>
          <w:sz w:val="24"/>
          <w:szCs w:val="24"/>
        </w:rPr>
        <w:t>工工资支付条例》等相关国检实名制管理要求，</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就其作业人员工资支付要求如下：</w:t>
      </w:r>
    </w:p>
    <w:p w14:paraId="2A655851">
      <w:pPr>
        <w:shd w:val="clear" w:color="auto" w:fill="auto"/>
        <w:spacing w:line="6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对其作业人员约定的工资不得低于当地最低工资标准。</w:t>
      </w:r>
    </w:p>
    <w:p w14:paraId="2B752AE3">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2、不论项目处于何种阶段，</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与其作业人员必须签订劳动合同并配合</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项目部做好安全教育后再进场作业，并提供相关资料至</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项目部备案。</w:t>
      </w:r>
    </w:p>
    <w:p w14:paraId="78715FEC">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应做好出勤情况记录形成《考勤表》，（考勤数据来源于项目实名制门禁系统记录，特殊情况由</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法人担保补录真实考勤），在次月5日前统计作业人员的上月基本工资，并由作业人员在《考勤表》、《工资发放表》上签字确认并按手印，</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在次月5日前将《考勤表》和《工资发放表》等实名制资料提交给</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w:t>
      </w:r>
    </w:p>
    <w:p w14:paraId="7B50C40B">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项目部审核</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提交的《考勤表》和《工资发放表》等实名制资料无误后，农民工工资按月支付，按月支付的农民工工资作为</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每月分包工程进度款的依据，并从中扣除。付款形式如下（1）：通过项目部农民工工资专用账户付款至作业人员终端。（2）：如</w:t>
      </w:r>
      <w:r>
        <w:rPr>
          <w:rFonts w:hint="eastAsia" w:ascii="宋体" w:hAnsi="宋体" w:eastAsia="宋体" w:cs="宋体"/>
          <w:color w:val="auto"/>
          <w:sz w:val="24"/>
          <w:szCs w:val="24"/>
          <w:lang w:eastAsia="zh-CN"/>
        </w:rPr>
        <w:t>承包人未能及时支付</w:t>
      </w: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先行垫付，但要求</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用</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公账付款至作业人员终端，只能以银行形式支付并保留付款凭证及转账流水，不允许以微信、支付宝、现金等形式进行支付。</w:t>
      </w:r>
    </w:p>
    <w:p w14:paraId="62D521D9">
      <w:pPr>
        <w:shd w:val="clear" w:color="auto" w:fill="auto"/>
        <w:spacing w:line="520" w:lineRule="exact"/>
        <w:ind w:firstLine="600"/>
        <w:rPr>
          <w:rFonts w:hint="eastAsia" w:eastAsia="宋体"/>
          <w:color w:val="auto"/>
          <w:lang w:val="en-US" w:eastAsia="zh-CN"/>
        </w:rPr>
      </w:pPr>
      <w:r>
        <w:rPr>
          <w:rFonts w:hint="eastAsia" w:ascii="宋体" w:hAnsi="宋体" w:eastAsia="宋体" w:cs="宋体"/>
          <w:color w:val="auto"/>
          <w:sz w:val="24"/>
          <w:szCs w:val="24"/>
          <w:lang w:val="en-US" w:eastAsia="zh-CN"/>
        </w:rPr>
        <w:t>5、分包人</w:t>
      </w:r>
      <w:r>
        <w:rPr>
          <w:rFonts w:hint="eastAsia" w:ascii="宋体" w:hAnsi="宋体" w:eastAsia="宋体" w:cs="宋体"/>
          <w:color w:val="auto"/>
          <w:sz w:val="24"/>
          <w:szCs w:val="24"/>
        </w:rPr>
        <w:t>伪造出勤信息、提供虚假身份信息套取、高估冒算农民工工资的，经核实，高估冒算超出费用，</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按3倍向</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收回，从剩余分包工程款中直接扣除。</w:t>
      </w:r>
    </w:p>
    <w:p w14:paraId="23E3CEC5">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为作业人员缴纳个人所得税，缴纳凭证交</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备案。</w:t>
      </w:r>
    </w:p>
    <w:p w14:paraId="6A6FA74F">
      <w:pPr>
        <w:shd w:val="clear" w:color="auto" w:fill="auto"/>
        <w:wordWrap w:val="0"/>
        <w:spacing w:line="440" w:lineRule="exact"/>
        <w:rPr>
          <w:rFonts w:hint="eastAsia" w:ascii="宋体" w:hAnsi="宋体" w:eastAsia="宋体" w:cs="宋体"/>
          <w:color w:val="auto"/>
          <w:sz w:val="24"/>
          <w:szCs w:val="24"/>
        </w:rPr>
      </w:pPr>
    </w:p>
    <w:p w14:paraId="79146700">
      <w:pPr>
        <w:shd w:val="clear" w:color="auto" w:fill="auto"/>
        <w:wordWrap/>
        <w:spacing w:line="440" w:lineRule="exact"/>
        <w:jc w:val="left"/>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br w:type="page"/>
      </w:r>
      <w:bookmarkStart w:id="827" w:name="_Toc267261701"/>
      <w:r>
        <w:rPr>
          <w:rFonts w:hint="eastAsia" w:ascii="宋体" w:hAnsi="宋体" w:eastAsia="宋体" w:cs="宋体"/>
          <w:b/>
          <w:bCs/>
          <w:color w:val="auto"/>
          <w:sz w:val="24"/>
          <w:szCs w:val="24"/>
        </w:rPr>
        <w:t>附</w:t>
      </w:r>
      <w:bookmarkStart w:id="828" w:name="_Toc296503231"/>
      <w:bookmarkStart w:id="829" w:name="_Toc296891059"/>
      <w:bookmarkStart w:id="830" w:name="_Toc296346732"/>
      <w:bookmarkStart w:id="831" w:name="_Toc296944570"/>
      <w:bookmarkStart w:id="832" w:name="_Toc296891271"/>
      <w:bookmarkStart w:id="833" w:name="_Toc296347230"/>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7</w:t>
      </w:r>
    </w:p>
    <w:p w14:paraId="6F3D3D0C">
      <w:pPr>
        <w:pStyle w:val="5"/>
        <w:shd w:val="clear" w:color="auto" w:fill="auto"/>
        <w:jc w:val="center"/>
        <w:rPr>
          <w:b/>
          <w:bCs/>
          <w:color w:val="auto"/>
          <w:sz w:val="28"/>
          <w:szCs w:val="28"/>
        </w:rPr>
      </w:pPr>
      <w:r>
        <w:rPr>
          <w:rFonts w:hint="eastAsia"/>
          <w:b/>
          <w:bCs/>
          <w:color w:val="auto"/>
          <w:sz w:val="28"/>
          <w:szCs w:val="28"/>
        </w:rPr>
        <w:t>施工分包安全生产管理协议</w:t>
      </w:r>
    </w:p>
    <w:p w14:paraId="292BC333">
      <w:pPr>
        <w:widowControl/>
        <w:shd w:val="clear" w:color="auto" w:fill="auto"/>
        <w:spacing w:before="100" w:beforeAutospacing="1" w:after="100" w:afterAutospacing="1" w:line="360" w:lineRule="auto"/>
        <w:rPr>
          <w:rFonts w:hint="eastAsia" w:ascii="宋体" w:hAnsi="宋体" w:eastAsia="宋体" w:cs="楷体"/>
          <w:b/>
          <w:bCs/>
          <w:color w:val="auto"/>
          <w:sz w:val="24"/>
          <w:lang w:eastAsia="zh-CN"/>
        </w:rPr>
      </w:pPr>
      <w:r>
        <w:rPr>
          <w:rFonts w:hint="eastAsia" w:ascii="宋体" w:hAnsi="宋体" w:cs="楷体"/>
          <w:color w:val="auto"/>
          <w:sz w:val="24"/>
          <w:lang w:eastAsia="zh-CN"/>
        </w:rPr>
        <w:t>承包</w:t>
      </w:r>
      <w:r>
        <w:rPr>
          <w:rFonts w:hint="eastAsia" w:ascii="宋体" w:hAnsi="宋体" w:cs="楷体"/>
          <w:color w:val="auto"/>
          <w:sz w:val="24"/>
        </w:rPr>
        <w:t>单位：</w:t>
      </w:r>
      <w:r>
        <w:rPr>
          <w:rFonts w:hint="eastAsia" w:ascii="宋体" w:hAnsi="宋体" w:cs="楷体"/>
          <w:color w:val="auto"/>
          <w:sz w:val="24"/>
          <w:u w:val="single"/>
        </w:rPr>
        <w:t xml:space="preserve">中机国际工程设计研究院有限责任公司 </w:t>
      </w:r>
      <w:r>
        <w:rPr>
          <w:rFonts w:hint="eastAsia" w:ascii="宋体" w:hAnsi="宋体" w:cs="楷体"/>
          <w:color w:val="auto"/>
          <w:sz w:val="24"/>
          <w:u w:val="single"/>
          <w:lang w:eastAsia="zh-CN"/>
        </w:rPr>
        <w:t>（以下简称：承包人）</w:t>
      </w:r>
    </w:p>
    <w:p w14:paraId="3436D1E7">
      <w:pPr>
        <w:shd w:val="clear" w:color="auto" w:fill="auto"/>
        <w:spacing w:before="312" w:beforeLines="100" w:after="312" w:afterLines="100" w:line="360" w:lineRule="auto"/>
        <w:rPr>
          <w:rFonts w:ascii="宋体" w:hAnsi="宋体" w:cs="楷体"/>
          <w:color w:val="auto"/>
          <w:sz w:val="24"/>
        </w:rPr>
      </w:pPr>
      <w:r>
        <w:rPr>
          <w:rFonts w:hint="eastAsia" w:ascii="宋体" w:hAnsi="宋体" w:cs="楷体"/>
          <w:color w:val="auto"/>
          <w:sz w:val="24"/>
        </w:rPr>
        <w:t>分包单位：</w:t>
      </w:r>
      <w:r>
        <w:rPr>
          <w:rFonts w:hint="eastAsia" w:ascii="宋体" w:hAnsi="宋体" w:cs="楷体"/>
          <w:color w:val="auto"/>
          <w:sz w:val="24"/>
          <w:u w:val="single"/>
          <w:lang w:val="en-US" w:eastAsia="zh-CN"/>
        </w:rPr>
        <w:t xml:space="preserve">                  </w:t>
      </w:r>
      <w:r>
        <w:rPr>
          <w:rFonts w:hint="eastAsia" w:ascii="宋体" w:hAnsi="宋体" w:cs="楷体"/>
          <w:color w:val="auto"/>
          <w:sz w:val="24"/>
          <w:u w:val="single"/>
          <w:lang w:eastAsia="zh-CN"/>
        </w:rPr>
        <w:t>（以下简称：分包人）</w:t>
      </w:r>
    </w:p>
    <w:p w14:paraId="3BBB2D3F">
      <w:pPr>
        <w:shd w:val="clear" w:color="auto" w:fill="auto"/>
        <w:spacing w:before="312" w:beforeLines="100" w:after="312" w:afterLines="100" w:line="360" w:lineRule="auto"/>
        <w:rPr>
          <w:rFonts w:hint="eastAsia" w:ascii="宋体" w:hAnsi="宋体" w:cs="楷体"/>
          <w:color w:val="auto"/>
          <w:sz w:val="24"/>
          <w:u w:val="single"/>
        </w:rPr>
      </w:pPr>
      <w:r>
        <w:rPr>
          <w:rFonts w:hint="eastAsia" w:ascii="宋体" w:hAnsi="宋体" w:cs="楷体"/>
          <w:color w:val="auto"/>
          <w:sz w:val="24"/>
        </w:rPr>
        <w:t>工程名称：</w:t>
      </w:r>
      <w:r>
        <w:rPr>
          <w:rFonts w:hint="eastAsia" w:ascii="宋体" w:hAnsi="宋体" w:cs="楷体"/>
          <w:color w:val="auto"/>
          <w:sz w:val="24"/>
          <w:u w:val="single"/>
          <w:lang w:val="en-US" w:eastAsia="zh-CN"/>
        </w:rPr>
        <w:t xml:space="preserve"> </w:t>
      </w:r>
      <w:r>
        <w:rPr>
          <w:rFonts w:hint="eastAsia" w:ascii="宋体" w:hAnsi="宋体" w:eastAsia="宋体" w:cs="宋体"/>
          <w:color w:val="auto"/>
          <w:spacing w:val="0"/>
          <w:sz w:val="24"/>
          <w:szCs w:val="24"/>
          <w:u w:val="single"/>
          <w:lang w:val="en-US" w:eastAsia="zh-CN"/>
        </w:rPr>
        <w:t>兰州新区年产30GWh新能源电池生产基地项目（一期）EPC总承包</w:t>
      </w:r>
      <w:r>
        <w:rPr>
          <w:rFonts w:hint="eastAsia" w:ascii="宋体" w:hAnsi="宋体" w:cs="楷体"/>
          <w:color w:val="auto"/>
          <w:sz w:val="24"/>
          <w:u w:val="single"/>
        </w:rPr>
        <w:t xml:space="preserve"> </w:t>
      </w:r>
    </w:p>
    <w:p w14:paraId="6F3981E9">
      <w:pPr>
        <w:shd w:val="clear" w:color="auto" w:fill="auto"/>
        <w:spacing w:before="312" w:beforeLines="100" w:after="312" w:afterLines="100" w:line="360" w:lineRule="auto"/>
        <w:rPr>
          <w:rFonts w:hint="default" w:ascii="宋体" w:hAnsi="宋体" w:eastAsia="宋体" w:cs="楷体"/>
          <w:color w:val="auto"/>
          <w:sz w:val="24"/>
          <w:lang w:val="en-US" w:eastAsia="zh-CN"/>
        </w:rPr>
      </w:pPr>
      <w:r>
        <w:rPr>
          <w:rFonts w:hint="eastAsia" w:ascii="宋体" w:hAnsi="宋体" w:cs="楷体"/>
          <w:color w:val="auto"/>
          <w:sz w:val="24"/>
        </w:rPr>
        <w:t>工程地点</w:t>
      </w:r>
      <w:r>
        <w:rPr>
          <w:rFonts w:hint="eastAsia" w:ascii="宋体" w:hAnsi="宋体" w:cs="楷体"/>
          <w:color w:val="auto"/>
          <w:sz w:val="24"/>
          <w:lang w:eastAsia="zh-CN"/>
        </w:rPr>
        <w:t>：</w:t>
      </w:r>
      <w:r>
        <w:rPr>
          <w:rFonts w:hint="eastAsia" w:ascii="宋体" w:hAnsi="宋体" w:cs="楷体"/>
          <w:color w:val="auto"/>
          <w:sz w:val="24"/>
          <w:u w:val="single"/>
          <w:lang w:val="en-US" w:eastAsia="zh-CN"/>
        </w:rPr>
        <w:t xml:space="preserve">  兰州新区       </w:t>
      </w:r>
      <w:r>
        <w:rPr>
          <w:rFonts w:hint="eastAsia" w:ascii="宋体" w:hAnsi="宋体" w:cs="楷体"/>
          <w:color w:val="auto"/>
          <w:sz w:val="24"/>
          <w:lang w:val="en-US" w:eastAsia="zh-CN"/>
        </w:rPr>
        <w:t xml:space="preserve"> </w:t>
      </w:r>
    </w:p>
    <w:p w14:paraId="01201FEA">
      <w:pPr>
        <w:shd w:val="clear" w:color="auto" w:fill="auto"/>
        <w:spacing w:before="312" w:beforeLines="100" w:after="312" w:afterLines="100" w:line="360" w:lineRule="auto"/>
        <w:rPr>
          <w:rFonts w:ascii="宋体" w:hAnsi="宋体" w:cs="楷体"/>
          <w:color w:val="auto"/>
          <w:sz w:val="24"/>
        </w:rPr>
      </w:pPr>
      <w:r>
        <w:rPr>
          <w:rFonts w:hint="eastAsia" w:ascii="宋体" w:hAnsi="宋体" w:cs="楷体"/>
          <w:color w:val="auto"/>
          <w:sz w:val="24"/>
        </w:rPr>
        <w:t>工程内容：</w:t>
      </w:r>
      <w:r>
        <w:rPr>
          <w:rFonts w:hint="eastAsia" w:ascii="宋体" w:hAnsi="宋体" w:cs="楷体"/>
          <w:color w:val="auto"/>
          <w:sz w:val="24"/>
          <w:u w:val="single"/>
        </w:rPr>
        <w:t xml:space="preserve"> </w:t>
      </w:r>
      <w:r>
        <w:rPr>
          <w:rFonts w:hint="eastAsia" w:ascii="宋体" w:hAnsi="宋体" w:cs="楷体"/>
          <w:color w:val="auto"/>
          <w:sz w:val="24"/>
          <w:u w:val="single"/>
          <w:lang w:val="en-US" w:eastAsia="zh-CN"/>
        </w:rPr>
        <w:t xml:space="preserve">  厂房电气工程（一标段）    </w:t>
      </w:r>
      <w:r>
        <w:rPr>
          <w:rFonts w:hint="eastAsia" w:ascii="宋体" w:hAnsi="宋体" w:cs="楷体"/>
          <w:color w:val="auto"/>
          <w:sz w:val="24"/>
          <w:u w:val="single"/>
        </w:rPr>
        <w:t xml:space="preserve"> </w:t>
      </w:r>
      <w:r>
        <w:rPr>
          <w:rFonts w:hint="eastAsia" w:ascii="宋体" w:hAnsi="宋体" w:cs="楷体"/>
          <w:color w:val="auto"/>
          <w:sz w:val="24"/>
        </w:rPr>
        <w:t xml:space="preserve">  承包方式：</w:t>
      </w:r>
      <w:r>
        <w:rPr>
          <w:rFonts w:hint="eastAsia" w:ascii="宋体" w:hAnsi="宋体" w:cs="楷体"/>
          <w:color w:val="auto"/>
          <w:sz w:val="24"/>
          <w:u w:val="single"/>
          <w:lang w:val="en-US" w:eastAsia="zh-CN"/>
        </w:rPr>
        <w:t xml:space="preserve">    专业工程</w:t>
      </w:r>
      <w:r>
        <w:rPr>
          <w:rFonts w:ascii="宋体" w:hAnsi="宋体" w:cs="楷体"/>
          <w:color w:val="auto"/>
          <w:sz w:val="24"/>
          <w:u w:val="single"/>
        </w:rPr>
        <w:t>分包</w:t>
      </w:r>
      <w:r>
        <w:rPr>
          <w:rFonts w:hint="eastAsia" w:ascii="宋体" w:hAnsi="宋体" w:cs="楷体"/>
          <w:color w:val="auto"/>
          <w:sz w:val="24"/>
          <w:u w:val="single"/>
        </w:rPr>
        <w:t xml:space="preserve"> </w:t>
      </w:r>
    </w:p>
    <w:p w14:paraId="29919F9F">
      <w:pPr>
        <w:shd w:val="clear" w:color="auto" w:fill="auto"/>
        <w:spacing w:line="360" w:lineRule="auto"/>
        <w:ind w:firstLine="480" w:firstLineChars="200"/>
        <w:rPr>
          <w:rFonts w:ascii="宋体" w:hAnsi="宋体"/>
          <w:color w:val="auto"/>
          <w:sz w:val="24"/>
        </w:rPr>
      </w:pPr>
      <w:r>
        <w:rPr>
          <w:rFonts w:hint="eastAsia" w:ascii="宋体" w:hAnsi="宋体"/>
          <w:color w:val="auto"/>
          <w:sz w:val="24"/>
        </w:rPr>
        <w:t>依照《中华人民共和国</w:t>
      </w:r>
      <w:r>
        <w:rPr>
          <w:rFonts w:hint="eastAsia" w:ascii="宋体" w:hAnsi="宋体"/>
          <w:color w:val="auto"/>
          <w:sz w:val="24"/>
          <w:lang w:eastAsia="zh-CN"/>
        </w:rPr>
        <w:t>民法典</w:t>
      </w:r>
      <w:r>
        <w:rPr>
          <w:rFonts w:hint="eastAsia" w:ascii="宋体" w:hAnsi="宋体"/>
          <w:color w:val="auto"/>
          <w:sz w:val="24"/>
        </w:rPr>
        <w:t>》、《中华人民共和国建筑法》、《中华人民共和国安全生产法》</w:t>
      </w:r>
      <w:bookmarkStart w:id="834" w:name="_Toc277949349"/>
      <w:r>
        <w:rPr>
          <w:rFonts w:hint="eastAsia" w:ascii="宋体" w:hAnsi="宋体"/>
          <w:color w:val="auto"/>
          <w:sz w:val="24"/>
        </w:rPr>
        <w:t>、《建设工程安全生产管理条例》</w:t>
      </w:r>
      <w:bookmarkEnd w:id="834"/>
      <w:r>
        <w:rPr>
          <w:rFonts w:hint="eastAsia" w:ascii="宋体" w:hAnsi="宋体"/>
          <w:color w:val="auto"/>
          <w:sz w:val="24"/>
        </w:rPr>
        <w:t>及其他有关法律、法规，为了保证生产安全，明确各自的</w:t>
      </w:r>
      <w:r>
        <w:rPr>
          <w:color w:val="auto"/>
        </w:rPr>
        <w:fldChar w:fldCharType="begin"/>
      </w:r>
      <w:r>
        <w:rPr>
          <w:color w:val="auto"/>
        </w:rPr>
        <w:instrText xml:space="preserve"> HYPERLINK "http://www.hbsafety.cn/article/12/" \t "_blank" </w:instrText>
      </w:r>
      <w:r>
        <w:rPr>
          <w:color w:val="auto"/>
        </w:rPr>
        <w:fldChar w:fldCharType="separate"/>
      </w:r>
      <w:r>
        <w:rPr>
          <w:rFonts w:hint="eastAsia" w:ascii="宋体" w:hAnsi="宋体"/>
          <w:color w:val="auto"/>
          <w:sz w:val="24"/>
        </w:rPr>
        <w:t>安全管理</w:t>
      </w:r>
      <w:r>
        <w:rPr>
          <w:rFonts w:ascii="宋体" w:hAnsi="宋体"/>
          <w:color w:val="auto"/>
          <w:sz w:val="24"/>
        </w:rPr>
        <w:fldChar w:fldCharType="end"/>
      </w:r>
      <w:r>
        <w:rPr>
          <w:rFonts w:hint="eastAsia" w:ascii="宋体" w:hAnsi="宋体"/>
          <w:color w:val="auto"/>
          <w:sz w:val="24"/>
        </w:rPr>
        <w:t xml:space="preserve">职责和应当采取的安全措施，就合同编号为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的分包合同（以下简称“合同”）项下</w:t>
      </w:r>
      <w:r>
        <w:rPr>
          <w:rFonts w:hint="eastAsia" w:ascii="宋体" w:hAnsi="宋体"/>
          <w:color w:val="auto"/>
          <w:sz w:val="24"/>
          <w:u w:val="single"/>
          <w:lang w:val="en-US" w:eastAsia="zh-CN"/>
        </w:rPr>
        <w:t xml:space="preserve">      </w:t>
      </w:r>
      <w:r>
        <w:rPr>
          <w:rFonts w:hint="eastAsia" w:ascii="宋体" w:hAnsi="宋体"/>
          <w:color w:val="auto"/>
          <w:sz w:val="24"/>
        </w:rPr>
        <w:t>工程（以下简称“工程”）的安全生产事项达成以下协议：</w:t>
      </w:r>
    </w:p>
    <w:p w14:paraId="0EE07AC7">
      <w:pPr>
        <w:shd w:val="clear" w:color="auto" w:fill="auto"/>
        <w:spacing w:line="360" w:lineRule="auto"/>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安全生产责任</w:t>
      </w:r>
    </w:p>
    <w:p w14:paraId="228ED9A8">
      <w:pPr>
        <w:shd w:val="clear" w:color="auto" w:fill="auto"/>
        <w:spacing w:line="360" w:lineRule="auto"/>
        <w:rPr>
          <w:rFonts w:ascii="宋体" w:hAnsi="宋体"/>
          <w:color w:val="auto"/>
          <w:sz w:val="24"/>
        </w:rPr>
      </w:pPr>
      <w:r>
        <w:rPr>
          <w:rFonts w:hint="eastAsia" w:ascii="宋体" w:hAnsi="宋体"/>
          <w:color w:val="auto"/>
          <w:sz w:val="24"/>
        </w:rPr>
        <w:t>1.1 双方共同的责任</w:t>
      </w:r>
    </w:p>
    <w:p w14:paraId="64C81DD1">
      <w:pPr>
        <w:shd w:val="clear" w:color="auto" w:fill="auto"/>
        <w:spacing w:line="360" w:lineRule="auto"/>
        <w:rPr>
          <w:rFonts w:ascii="宋体" w:hAnsi="宋体"/>
          <w:color w:val="auto"/>
          <w:sz w:val="24"/>
        </w:rPr>
      </w:pPr>
      <w:r>
        <w:rPr>
          <w:rFonts w:hint="eastAsia" w:ascii="宋体" w:hAnsi="宋体"/>
          <w:color w:val="auto"/>
          <w:sz w:val="24"/>
        </w:rPr>
        <w:t xml:space="preserve">1.1.1 </w:t>
      </w:r>
      <w:r>
        <w:rPr>
          <w:rFonts w:hint="eastAsia" w:ascii="宋体" w:hAnsi="宋体"/>
          <w:color w:val="auto"/>
          <w:sz w:val="24"/>
          <w:lang w:eastAsia="zh-CN"/>
        </w:rPr>
        <w:t>承包人、分包人</w:t>
      </w:r>
      <w:r>
        <w:rPr>
          <w:rFonts w:hint="eastAsia" w:ascii="宋体" w:hAnsi="宋体"/>
          <w:color w:val="auto"/>
          <w:sz w:val="24"/>
        </w:rPr>
        <w:t>双方应共同遵守中国有关安全生产的法律、法规及行业、企业安全技术标准，同时遵守工程所在国家或地区的法律、法规。</w:t>
      </w:r>
    </w:p>
    <w:p w14:paraId="6FA5AC4C">
      <w:pPr>
        <w:shd w:val="clear" w:color="auto" w:fill="auto"/>
        <w:spacing w:line="360" w:lineRule="auto"/>
        <w:rPr>
          <w:rFonts w:ascii="宋体" w:hAnsi="宋体"/>
          <w:color w:val="auto"/>
          <w:sz w:val="24"/>
        </w:rPr>
      </w:pPr>
      <w:r>
        <w:rPr>
          <w:rFonts w:hint="eastAsia" w:ascii="宋体" w:hAnsi="宋体"/>
          <w:color w:val="auto"/>
          <w:sz w:val="24"/>
        </w:rPr>
        <w:t>1.1.2 坚持“安全第一，预防为主，综合治理”的安全生产方针，不得违章指挥和违章作业。在组织施工生产时优先落实安全保护措施，防止事故发生。</w:t>
      </w:r>
    </w:p>
    <w:p w14:paraId="4125F5D1">
      <w:pPr>
        <w:shd w:val="clear" w:color="auto" w:fill="auto"/>
        <w:spacing w:line="360" w:lineRule="auto"/>
        <w:rPr>
          <w:rFonts w:ascii="宋体" w:hAnsi="宋体"/>
          <w:color w:val="auto"/>
          <w:sz w:val="24"/>
        </w:rPr>
      </w:pPr>
      <w:r>
        <w:rPr>
          <w:rFonts w:hint="eastAsia" w:ascii="宋体" w:hAnsi="宋体"/>
          <w:color w:val="auto"/>
          <w:sz w:val="24"/>
        </w:rPr>
        <w:t>1.1.3 抓好安全教育，严肃安全纪律，规范安全行为，净化作业环境，禁止野蛮施工，防止施工扰民。</w:t>
      </w:r>
    </w:p>
    <w:p w14:paraId="05EA74F7">
      <w:pPr>
        <w:shd w:val="clear" w:color="auto" w:fill="auto"/>
        <w:spacing w:line="360" w:lineRule="auto"/>
        <w:rPr>
          <w:rFonts w:ascii="宋体" w:hAnsi="宋体"/>
          <w:color w:val="auto"/>
          <w:sz w:val="24"/>
        </w:rPr>
      </w:pPr>
      <w:r>
        <w:rPr>
          <w:rFonts w:hint="eastAsia" w:ascii="宋体" w:hAnsi="宋体"/>
          <w:color w:val="auto"/>
          <w:sz w:val="24"/>
        </w:rPr>
        <w:t xml:space="preserve">1.2 </w:t>
      </w:r>
      <w:r>
        <w:rPr>
          <w:rFonts w:hint="eastAsia" w:ascii="宋体" w:hAnsi="宋体"/>
          <w:color w:val="auto"/>
          <w:sz w:val="24"/>
          <w:lang w:eastAsia="zh-CN"/>
        </w:rPr>
        <w:t>承包人</w:t>
      </w:r>
      <w:r>
        <w:rPr>
          <w:rFonts w:hint="eastAsia" w:ascii="宋体" w:hAnsi="宋体"/>
          <w:color w:val="auto"/>
          <w:sz w:val="24"/>
        </w:rPr>
        <w:t>的责任</w:t>
      </w:r>
    </w:p>
    <w:p w14:paraId="061A0DC2">
      <w:pPr>
        <w:shd w:val="clear" w:color="auto" w:fill="auto"/>
        <w:spacing w:line="360" w:lineRule="auto"/>
        <w:rPr>
          <w:rFonts w:ascii="宋体" w:hAnsi="宋体"/>
          <w:color w:val="auto"/>
          <w:sz w:val="24"/>
        </w:rPr>
      </w:pPr>
      <w:r>
        <w:rPr>
          <w:rFonts w:hint="eastAsia" w:ascii="宋体" w:hAnsi="宋体"/>
          <w:color w:val="auto"/>
          <w:sz w:val="24"/>
        </w:rPr>
        <w:t>1.2.1 不得向</w:t>
      </w:r>
      <w:r>
        <w:rPr>
          <w:rFonts w:hint="eastAsia" w:ascii="宋体" w:hAnsi="宋体"/>
          <w:color w:val="auto"/>
          <w:sz w:val="24"/>
          <w:lang w:eastAsia="zh-CN"/>
        </w:rPr>
        <w:t>分包人</w:t>
      </w:r>
      <w:r>
        <w:rPr>
          <w:rFonts w:hint="eastAsia" w:ascii="宋体" w:hAnsi="宋体"/>
          <w:color w:val="auto"/>
          <w:sz w:val="24"/>
        </w:rPr>
        <w:t>提出不符合安全生产法律、法规的要求。</w:t>
      </w:r>
    </w:p>
    <w:p w14:paraId="31B6F734">
      <w:pPr>
        <w:shd w:val="clear" w:color="auto" w:fill="auto"/>
        <w:spacing w:line="360" w:lineRule="auto"/>
        <w:rPr>
          <w:rFonts w:ascii="宋体" w:hAnsi="宋体"/>
          <w:color w:val="auto"/>
          <w:sz w:val="24"/>
        </w:rPr>
      </w:pPr>
      <w:r>
        <w:rPr>
          <w:rFonts w:hint="eastAsia" w:ascii="宋体" w:hAnsi="宋体"/>
          <w:color w:val="auto"/>
          <w:sz w:val="24"/>
        </w:rPr>
        <w:t>1.2.2 有权要求</w:t>
      </w:r>
      <w:r>
        <w:rPr>
          <w:rFonts w:hint="eastAsia" w:ascii="宋体" w:hAnsi="宋体"/>
          <w:color w:val="auto"/>
          <w:sz w:val="24"/>
          <w:lang w:eastAsia="zh-CN"/>
        </w:rPr>
        <w:t>分包人</w:t>
      </w:r>
      <w:r>
        <w:rPr>
          <w:rFonts w:hint="eastAsia" w:ascii="宋体" w:hAnsi="宋体"/>
          <w:color w:val="auto"/>
          <w:sz w:val="24"/>
        </w:rPr>
        <w:t>必须严格遵守安全生产法律、法规、标准、安全生产规章制度和操作规程，熟练掌握事故防范措施和事故应急处理预案。</w:t>
      </w:r>
    </w:p>
    <w:p w14:paraId="7B2F6C07">
      <w:pPr>
        <w:shd w:val="clear" w:color="auto" w:fill="auto"/>
        <w:spacing w:line="360" w:lineRule="auto"/>
        <w:rPr>
          <w:rFonts w:ascii="宋体" w:hAnsi="宋体"/>
          <w:color w:val="auto"/>
          <w:sz w:val="24"/>
        </w:rPr>
      </w:pPr>
      <w:r>
        <w:rPr>
          <w:rFonts w:hint="eastAsia" w:ascii="宋体" w:hAnsi="宋体"/>
          <w:color w:val="auto"/>
          <w:sz w:val="24"/>
        </w:rPr>
        <w:t>1.2.3 有权制止</w:t>
      </w:r>
      <w:r>
        <w:rPr>
          <w:rFonts w:hint="eastAsia" w:ascii="宋体" w:hAnsi="宋体"/>
          <w:color w:val="auto"/>
          <w:sz w:val="24"/>
          <w:lang w:eastAsia="zh-CN"/>
        </w:rPr>
        <w:t>分包人</w:t>
      </w:r>
      <w:r>
        <w:rPr>
          <w:rFonts w:hint="eastAsia" w:ascii="宋体" w:hAnsi="宋体"/>
          <w:color w:val="auto"/>
          <w:sz w:val="24"/>
        </w:rPr>
        <w:t>人员违纪作业，并按相关规定对</w:t>
      </w:r>
      <w:r>
        <w:rPr>
          <w:rFonts w:hint="eastAsia" w:ascii="宋体" w:hAnsi="宋体"/>
          <w:color w:val="auto"/>
          <w:sz w:val="24"/>
          <w:lang w:eastAsia="zh-CN"/>
        </w:rPr>
        <w:t>分包人</w:t>
      </w:r>
      <w:r>
        <w:rPr>
          <w:rFonts w:hint="eastAsia" w:ascii="宋体" w:hAnsi="宋体"/>
          <w:color w:val="auto"/>
          <w:sz w:val="24"/>
        </w:rPr>
        <w:t>给予处罚。</w:t>
      </w:r>
    </w:p>
    <w:p w14:paraId="41181DD2">
      <w:pPr>
        <w:shd w:val="clear" w:color="auto" w:fill="auto"/>
        <w:spacing w:line="360" w:lineRule="auto"/>
        <w:rPr>
          <w:rFonts w:ascii="宋体" w:hAnsi="宋体"/>
          <w:color w:val="auto"/>
          <w:sz w:val="24"/>
        </w:rPr>
      </w:pPr>
      <w:r>
        <w:rPr>
          <w:rFonts w:hint="eastAsia" w:ascii="宋体" w:hAnsi="宋体"/>
          <w:color w:val="auto"/>
          <w:sz w:val="24"/>
        </w:rPr>
        <w:t>1.2.4 有权对安全意识差、不听安全生产指挥的</w:t>
      </w:r>
      <w:r>
        <w:rPr>
          <w:rFonts w:hint="eastAsia" w:ascii="宋体" w:hAnsi="宋体"/>
          <w:color w:val="auto"/>
          <w:sz w:val="24"/>
          <w:lang w:eastAsia="zh-CN"/>
        </w:rPr>
        <w:t>分包人</w:t>
      </w:r>
      <w:r>
        <w:rPr>
          <w:rFonts w:hint="eastAsia" w:ascii="宋体" w:hAnsi="宋体"/>
          <w:color w:val="auto"/>
          <w:sz w:val="24"/>
        </w:rPr>
        <w:t>人员责令退场。</w:t>
      </w:r>
    </w:p>
    <w:p w14:paraId="58DAABEA">
      <w:pPr>
        <w:shd w:val="clear" w:color="auto" w:fill="auto"/>
        <w:spacing w:line="360" w:lineRule="auto"/>
        <w:rPr>
          <w:rFonts w:ascii="宋体" w:hAnsi="宋体"/>
          <w:color w:val="auto"/>
          <w:sz w:val="24"/>
        </w:rPr>
      </w:pPr>
      <w:r>
        <w:rPr>
          <w:rFonts w:hint="eastAsia" w:ascii="宋体" w:hAnsi="宋体"/>
          <w:color w:val="auto"/>
          <w:sz w:val="24"/>
        </w:rPr>
        <w:t xml:space="preserve">1.3 </w:t>
      </w:r>
      <w:r>
        <w:rPr>
          <w:rFonts w:hint="eastAsia" w:ascii="宋体" w:hAnsi="宋体"/>
          <w:color w:val="auto"/>
          <w:sz w:val="24"/>
          <w:lang w:eastAsia="zh-CN"/>
        </w:rPr>
        <w:t>分包人</w:t>
      </w:r>
      <w:r>
        <w:rPr>
          <w:rFonts w:hint="eastAsia" w:ascii="宋体" w:hAnsi="宋体"/>
          <w:color w:val="auto"/>
          <w:sz w:val="24"/>
        </w:rPr>
        <w:t>的责任</w:t>
      </w:r>
    </w:p>
    <w:p w14:paraId="4AC7500C">
      <w:pPr>
        <w:shd w:val="clear" w:color="auto" w:fill="auto"/>
        <w:spacing w:line="360" w:lineRule="auto"/>
        <w:rPr>
          <w:rFonts w:ascii="宋体" w:hAnsi="宋体"/>
          <w:color w:val="auto"/>
          <w:sz w:val="24"/>
        </w:rPr>
      </w:pPr>
      <w:r>
        <w:rPr>
          <w:rFonts w:hint="eastAsia" w:ascii="宋体" w:hAnsi="宋体"/>
          <w:color w:val="auto"/>
          <w:sz w:val="24"/>
        </w:rPr>
        <w:t>1.3.1 安全生产目标</w:t>
      </w:r>
    </w:p>
    <w:p w14:paraId="766F9E38">
      <w:pPr>
        <w:shd w:val="clear" w:color="auto" w:fill="auto"/>
        <w:spacing w:line="360" w:lineRule="auto"/>
        <w:rPr>
          <w:rFonts w:hint="eastAsia" w:ascii="宋体" w:hAnsi="宋体"/>
          <w:color w:val="auto"/>
          <w:sz w:val="24"/>
        </w:rPr>
      </w:pPr>
      <w:r>
        <w:rPr>
          <w:rFonts w:hint="eastAsia" w:ascii="宋体" w:hAnsi="宋体"/>
          <w:color w:val="auto"/>
          <w:sz w:val="24"/>
        </w:rPr>
        <w:t>① 不发生生产安全人身死亡责任事故:不发生造成直接经济损失10万元及以上生产安全责任事故;不发生重伤(包括急性工业中毒)及以上生产安全责任事故;② 不发生一般及以上机械、设备责任事故;</w:t>
      </w:r>
    </w:p>
    <w:p w14:paraId="45234253">
      <w:pPr>
        <w:shd w:val="clear" w:color="auto" w:fill="auto"/>
        <w:spacing w:line="360" w:lineRule="auto"/>
        <w:rPr>
          <w:rFonts w:hint="eastAsia" w:ascii="宋体" w:hAnsi="宋体"/>
          <w:color w:val="auto"/>
          <w:sz w:val="24"/>
        </w:rPr>
      </w:pPr>
      <w:r>
        <w:rPr>
          <w:rFonts w:hint="eastAsia" w:ascii="宋体" w:hAnsi="宋体"/>
          <w:color w:val="auto"/>
          <w:sz w:val="24"/>
        </w:rPr>
        <w:t>③ 不发生一般及以上火灾、爆炸责任事故;</w:t>
      </w:r>
    </w:p>
    <w:p w14:paraId="3CC3FBFF">
      <w:pPr>
        <w:shd w:val="clear" w:color="auto" w:fill="auto"/>
        <w:spacing w:line="360" w:lineRule="auto"/>
        <w:rPr>
          <w:rFonts w:hint="eastAsia" w:ascii="宋体" w:hAnsi="宋体"/>
          <w:color w:val="auto"/>
          <w:sz w:val="24"/>
          <w:lang w:val="en-US" w:eastAsia="zh-CN"/>
        </w:rPr>
      </w:pPr>
      <w:r>
        <w:rPr>
          <w:rFonts w:hint="eastAsia" w:ascii="宋体" w:hAnsi="宋体"/>
          <w:color w:val="auto"/>
          <w:sz w:val="24"/>
        </w:rPr>
        <w:t>④ 不发生负主要责任的一般及以上交通事故</w:t>
      </w:r>
      <w:r>
        <w:rPr>
          <w:rFonts w:hint="eastAsia" w:ascii="宋体" w:hAnsi="宋体"/>
          <w:color w:val="auto"/>
          <w:sz w:val="24"/>
          <w:lang w:val="en-US" w:eastAsia="zh-CN"/>
        </w:rPr>
        <w:t>;</w:t>
      </w:r>
    </w:p>
    <w:p w14:paraId="3B8BC406">
      <w:pPr>
        <w:shd w:val="clear" w:color="auto" w:fill="auto"/>
        <w:spacing w:line="360" w:lineRule="auto"/>
        <w:rPr>
          <w:rFonts w:hint="eastAsia" w:ascii="宋体" w:hAnsi="宋体"/>
          <w:color w:val="auto"/>
          <w:sz w:val="24"/>
        </w:rPr>
      </w:pPr>
      <w:r>
        <w:rPr>
          <w:rFonts w:hint="eastAsia" w:ascii="宋体" w:hAnsi="宋体"/>
          <w:color w:val="auto"/>
          <w:sz w:val="24"/>
        </w:rPr>
        <w:t>⑤ 不发生造成社会影响较大的职业危害事故、环境污染事故;</w:t>
      </w:r>
    </w:p>
    <w:p w14:paraId="32A232AB">
      <w:pPr>
        <w:shd w:val="clear" w:color="auto" w:fill="auto"/>
        <w:spacing w:line="360" w:lineRule="auto"/>
        <w:rPr>
          <w:rFonts w:hint="eastAsia" w:ascii="宋体" w:hAnsi="宋体"/>
          <w:color w:val="auto"/>
          <w:sz w:val="24"/>
          <w:lang w:val="en-US" w:eastAsia="zh-CN"/>
        </w:rPr>
      </w:pPr>
      <w:r>
        <w:rPr>
          <w:rFonts w:hint="eastAsia" w:ascii="宋体" w:hAnsi="宋体"/>
          <w:color w:val="auto"/>
          <w:sz w:val="24"/>
        </w:rPr>
        <w:t>⑥ 不发生造成损害企业形象、一般负面社会影响的不良事件</w:t>
      </w:r>
      <w:r>
        <w:rPr>
          <w:rFonts w:hint="eastAsia" w:ascii="宋体" w:hAnsi="宋体"/>
          <w:color w:val="auto"/>
          <w:sz w:val="24"/>
          <w:lang w:val="en-US" w:eastAsia="zh-CN"/>
        </w:rPr>
        <w:t>;</w:t>
      </w:r>
    </w:p>
    <w:p w14:paraId="79C0FB18">
      <w:pPr>
        <w:shd w:val="clear" w:color="auto" w:fill="auto"/>
        <w:spacing w:line="360" w:lineRule="auto"/>
        <w:rPr>
          <w:rFonts w:hint="eastAsia" w:ascii="宋体" w:hAnsi="宋体"/>
          <w:color w:val="auto"/>
          <w:sz w:val="24"/>
        </w:rPr>
      </w:pPr>
      <w:r>
        <w:rPr>
          <w:rFonts w:hint="eastAsia" w:ascii="宋体" w:hAnsi="宋体"/>
          <w:color w:val="auto"/>
          <w:sz w:val="24"/>
        </w:rPr>
        <w:t>⑦ 不发生因拖欠农民工工资引发的上门讨薪及负面舆情事件。</w:t>
      </w:r>
    </w:p>
    <w:p w14:paraId="05A5148F">
      <w:pPr>
        <w:spacing w:line="360" w:lineRule="auto"/>
        <w:rPr>
          <w:rFonts w:hint="eastAsia"/>
        </w:rPr>
      </w:pPr>
      <w:r>
        <w:rPr>
          <w:rFonts w:hint="eastAsia" w:ascii="宋体" w:hAnsi="宋体" w:eastAsia="宋体" w:cs="宋体"/>
          <w:sz w:val="24"/>
          <w:szCs w:val="24"/>
        </w:rPr>
        <w:t xml:space="preserve">1.3.2 </w:t>
      </w:r>
      <w:r>
        <w:rPr>
          <w:rFonts w:hint="eastAsia" w:ascii="宋体" w:hAnsi="宋体" w:eastAsia="宋体" w:cs="宋体"/>
          <w:sz w:val="24"/>
          <w:szCs w:val="24"/>
          <w:lang w:eastAsia="zh-CN"/>
        </w:rPr>
        <w:t>分包人</w:t>
      </w:r>
      <w:r>
        <w:rPr>
          <w:rFonts w:hint="eastAsia" w:ascii="宋体" w:hAnsi="宋体" w:eastAsia="宋体" w:cs="宋体"/>
          <w:sz w:val="24"/>
          <w:szCs w:val="24"/>
        </w:rPr>
        <w:t>是工程安全生产的直接责任人，对项目安全生产负全责。施工过程中因</w:t>
      </w:r>
      <w:r>
        <w:rPr>
          <w:rFonts w:hint="eastAsia" w:ascii="宋体" w:hAnsi="宋体" w:eastAsia="宋体" w:cs="宋体"/>
          <w:sz w:val="24"/>
          <w:szCs w:val="24"/>
          <w:lang w:eastAsia="zh-CN"/>
        </w:rPr>
        <w:t>分包人</w:t>
      </w:r>
      <w:r>
        <w:rPr>
          <w:rFonts w:hint="eastAsia" w:ascii="宋体" w:hAnsi="宋体" w:eastAsia="宋体" w:cs="宋体"/>
          <w:sz w:val="24"/>
          <w:szCs w:val="24"/>
        </w:rPr>
        <w:t>或</w:t>
      </w:r>
      <w:r>
        <w:rPr>
          <w:rFonts w:hint="eastAsia" w:ascii="宋体" w:hAnsi="宋体" w:eastAsia="宋体" w:cs="宋体"/>
          <w:sz w:val="24"/>
          <w:szCs w:val="24"/>
          <w:lang w:eastAsia="zh-CN"/>
        </w:rPr>
        <w:t>分包人</w:t>
      </w:r>
      <w:r>
        <w:rPr>
          <w:rFonts w:hint="eastAsia" w:ascii="宋体" w:hAnsi="宋体" w:eastAsia="宋体" w:cs="宋体"/>
          <w:sz w:val="24"/>
          <w:szCs w:val="24"/>
        </w:rPr>
        <w:t>工作人员所造成的所有财产损失和人身伤亡，由</w:t>
      </w:r>
      <w:r>
        <w:rPr>
          <w:rFonts w:hint="eastAsia" w:ascii="宋体" w:hAnsi="宋体" w:eastAsia="宋体" w:cs="宋体"/>
          <w:sz w:val="24"/>
          <w:szCs w:val="24"/>
          <w:lang w:eastAsia="zh-CN"/>
        </w:rPr>
        <w:t>分包人</w:t>
      </w:r>
      <w:r>
        <w:rPr>
          <w:rFonts w:hint="eastAsia" w:ascii="宋体" w:hAnsi="宋体" w:eastAsia="宋体" w:cs="宋体"/>
          <w:sz w:val="24"/>
          <w:szCs w:val="24"/>
        </w:rPr>
        <w:t>承担全部责任。</w:t>
      </w:r>
    </w:p>
    <w:p w14:paraId="7E62A33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1.3.3 </w:t>
      </w:r>
      <w:r>
        <w:rPr>
          <w:rFonts w:hint="eastAsia" w:ascii="宋体" w:hAnsi="宋体" w:eastAsia="宋体" w:cs="宋体"/>
          <w:sz w:val="24"/>
          <w:szCs w:val="24"/>
          <w:lang w:eastAsia="zh-CN"/>
        </w:rPr>
        <w:t>分包人</w:t>
      </w:r>
      <w:r>
        <w:rPr>
          <w:rFonts w:hint="eastAsia" w:ascii="宋体" w:hAnsi="宋体" w:eastAsia="宋体" w:cs="宋体"/>
          <w:sz w:val="24"/>
          <w:szCs w:val="24"/>
        </w:rPr>
        <w:t>应将企业资质、安全生产许可证、安全生产条件等有关资料原件</w:t>
      </w:r>
      <w:r>
        <w:rPr>
          <w:rFonts w:hint="eastAsia" w:ascii="宋体" w:hAnsi="宋体" w:eastAsia="宋体" w:cs="宋体"/>
          <w:sz w:val="24"/>
          <w:szCs w:val="24"/>
          <w:lang w:eastAsia="zh-CN"/>
        </w:rPr>
        <w:t>提交至承包人</w:t>
      </w:r>
      <w:r>
        <w:rPr>
          <w:rFonts w:hint="eastAsia" w:ascii="宋体" w:hAnsi="宋体" w:eastAsia="宋体" w:cs="宋体"/>
          <w:sz w:val="24"/>
          <w:szCs w:val="24"/>
        </w:rPr>
        <w:t>并对资料真实性负责，资料复印件交</w:t>
      </w:r>
      <w:r>
        <w:rPr>
          <w:rFonts w:hint="eastAsia" w:ascii="宋体" w:hAnsi="宋体" w:eastAsia="宋体" w:cs="宋体"/>
          <w:sz w:val="24"/>
          <w:szCs w:val="24"/>
          <w:lang w:eastAsia="zh-CN"/>
        </w:rPr>
        <w:t>承包人</w:t>
      </w:r>
      <w:r>
        <w:rPr>
          <w:rFonts w:hint="eastAsia" w:ascii="宋体" w:hAnsi="宋体" w:eastAsia="宋体" w:cs="宋体"/>
          <w:sz w:val="24"/>
          <w:szCs w:val="24"/>
        </w:rPr>
        <w:t>备案。</w:t>
      </w:r>
    </w:p>
    <w:p w14:paraId="60C01A08">
      <w:pPr>
        <w:spacing w:line="360" w:lineRule="auto"/>
        <w:rPr>
          <w:rFonts w:hint="eastAsia" w:ascii="宋体" w:hAnsi="宋体" w:eastAsia="宋体" w:cs="宋体"/>
          <w:sz w:val="24"/>
          <w:szCs w:val="24"/>
        </w:rPr>
      </w:pPr>
      <w:r>
        <w:rPr>
          <w:rFonts w:hint="eastAsia" w:ascii="宋体" w:hAnsi="宋体" w:eastAsia="宋体" w:cs="宋体"/>
          <w:sz w:val="24"/>
          <w:szCs w:val="24"/>
        </w:rPr>
        <w:t>1.3.4 有符合中国相关安全生产法律、法规、标准的安全生产管理制度，并在工程实施过程中严格执行。同时还应遵守</w:t>
      </w:r>
      <w:r>
        <w:rPr>
          <w:rFonts w:hint="eastAsia" w:ascii="宋体" w:hAnsi="宋体" w:eastAsia="宋体" w:cs="宋体"/>
          <w:sz w:val="24"/>
          <w:szCs w:val="24"/>
          <w:lang w:eastAsia="zh-CN"/>
        </w:rPr>
        <w:t>承包人</w:t>
      </w:r>
      <w:r>
        <w:rPr>
          <w:rFonts w:hint="eastAsia" w:ascii="宋体" w:hAnsi="宋体" w:eastAsia="宋体" w:cs="宋体"/>
          <w:sz w:val="24"/>
          <w:szCs w:val="24"/>
        </w:rPr>
        <w:t>的安全生产管理制度及</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"http://www.hbsafety.cn/article/72/"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职业健康</w:t>
      </w:r>
      <w:r>
        <w:rPr>
          <w:rFonts w:hint="eastAsia" w:ascii="宋体" w:hAnsi="宋体" w:eastAsia="宋体" w:cs="宋体"/>
          <w:sz w:val="24"/>
          <w:szCs w:val="24"/>
        </w:rPr>
        <w:fldChar w:fldCharType="end"/>
      </w:r>
      <w:r>
        <w:rPr>
          <w:rFonts w:hint="eastAsia" w:ascii="宋体" w:hAnsi="宋体" w:eastAsia="宋体" w:cs="宋体"/>
          <w:sz w:val="24"/>
          <w:szCs w:val="24"/>
        </w:rPr>
        <w:t>安全、环境管理体系的有关规定，遵守安全生产有关的法律、法规、标准和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技术</w:t>
      </w:r>
      <w:r>
        <w:rPr>
          <w:rFonts w:hint="eastAsia" w:ascii="宋体" w:hAnsi="宋体" w:eastAsia="宋体" w:cs="宋体"/>
          <w:sz w:val="24"/>
          <w:szCs w:val="24"/>
        </w:rPr>
        <w:fldChar w:fldCharType="end"/>
      </w:r>
      <w:r>
        <w:rPr>
          <w:rFonts w:hint="eastAsia" w:ascii="宋体" w:hAnsi="宋体" w:eastAsia="宋体" w:cs="宋体"/>
          <w:sz w:val="24"/>
          <w:szCs w:val="24"/>
        </w:rPr>
        <w:t>操作规程，服从</w:t>
      </w:r>
      <w:r>
        <w:rPr>
          <w:rFonts w:hint="eastAsia" w:ascii="宋体" w:hAnsi="宋体" w:eastAsia="宋体" w:cs="宋体"/>
          <w:sz w:val="24"/>
          <w:szCs w:val="24"/>
          <w:lang w:eastAsia="zh-CN"/>
        </w:rPr>
        <w:t>承包人</w:t>
      </w:r>
      <w:r>
        <w:rPr>
          <w:rFonts w:hint="eastAsia" w:ascii="宋体" w:hAnsi="宋体" w:eastAsia="宋体" w:cs="宋体"/>
          <w:sz w:val="24"/>
          <w:szCs w:val="24"/>
        </w:rPr>
        <w:t>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"http://www.hbsafety.cn/article/12/"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安全监督管理</w:t>
      </w:r>
      <w:r>
        <w:rPr>
          <w:rFonts w:hint="eastAsia" w:ascii="宋体" w:hAnsi="宋体" w:eastAsia="宋体" w:cs="宋体"/>
          <w:sz w:val="24"/>
          <w:szCs w:val="24"/>
        </w:rPr>
        <w:fldChar w:fldCharType="end"/>
      </w:r>
      <w:r>
        <w:rPr>
          <w:rFonts w:hint="eastAsia" w:ascii="宋体" w:hAnsi="宋体" w:eastAsia="宋体" w:cs="宋体"/>
          <w:sz w:val="24"/>
          <w:szCs w:val="24"/>
        </w:rPr>
        <w:t>。</w:t>
      </w:r>
    </w:p>
    <w:p w14:paraId="59C17E24">
      <w:pPr>
        <w:spacing w:line="360" w:lineRule="auto"/>
        <w:rPr>
          <w:rFonts w:hint="eastAsia" w:ascii="宋体" w:hAnsi="宋体" w:eastAsia="宋体" w:cs="宋体"/>
          <w:sz w:val="24"/>
          <w:szCs w:val="24"/>
        </w:rPr>
      </w:pPr>
      <w:r>
        <w:rPr>
          <w:rFonts w:hint="eastAsia" w:ascii="宋体" w:hAnsi="宋体" w:eastAsia="宋体" w:cs="宋体"/>
          <w:sz w:val="24"/>
          <w:szCs w:val="24"/>
        </w:rPr>
        <w:t>1.3.5 用于现场施工的机械、设备、材料、生产工具等必须符合中国有关标准，且机械性能良好、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cpro.baidu.com/cpro/ui/uijs.php?c=news&amp;cf=1001&amp;ch=0&amp;di=8&amp;fv=0&amp;jk=8bd8a9b29efbbeee&amp;k=%B0%B2%C8%AB%B7%C0%BB%A4&amp;k0=%B0%B2%C8%AB%B7%C0%BB%A4&amp;kdi0=0&amp;luki=4&amp;n=10&amp;p=baidu&amp;q=3liancpr&amp;rb=0&amp;rs=1&amp;seller_id=1&amp;sid=eebefb9eb2a9d88b&amp;ssp2=1&amp;stid=0&amp;t=tpclicked3_hc&amp;tu=u1833515&amp;u=http%3A%2F%2Fwww%2E3lian%2Ecom%2Fzl%2F2011%2F09%2D28%2F82360%2Ehtml&amp;urlid=0"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安全防护</w:t>
      </w:r>
      <w:r>
        <w:rPr>
          <w:rFonts w:hint="eastAsia" w:ascii="宋体" w:hAnsi="宋体" w:eastAsia="宋体" w:cs="宋体"/>
          <w:sz w:val="24"/>
          <w:szCs w:val="24"/>
        </w:rPr>
        <w:fldChar w:fldCharType="end"/>
      </w:r>
      <w:r>
        <w:rPr>
          <w:rFonts w:hint="eastAsia" w:ascii="宋体" w:hAnsi="宋体" w:eastAsia="宋体" w:cs="宋体"/>
          <w:sz w:val="24"/>
          <w:szCs w:val="24"/>
        </w:rPr>
        <w:t>装置齐全、灵敏、有效，并具有合格证、年审等文件。</w:t>
      </w:r>
    </w:p>
    <w:p w14:paraId="2E2459A1">
      <w:pPr>
        <w:spacing w:line="360" w:lineRule="auto"/>
        <w:rPr>
          <w:rFonts w:hint="eastAsia" w:ascii="宋体" w:hAnsi="宋体" w:eastAsia="宋体" w:cs="宋体"/>
          <w:sz w:val="24"/>
          <w:szCs w:val="24"/>
        </w:rPr>
      </w:pPr>
      <w:r>
        <w:rPr>
          <w:rFonts w:hint="eastAsia" w:ascii="宋体" w:hAnsi="宋体" w:eastAsia="宋体" w:cs="宋体"/>
          <w:sz w:val="24"/>
          <w:szCs w:val="24"/>
        </w:rPr>
        <w:t>1.3.6 必须为所有工作人员办理医疗及工伤社会保险，并根据需要为从事高度危险工作的人员购买适当的人身意外伤害保险，在施工过程中如发生人身伤亡事故，由</w:t>
      </w:r>
      <w:r>
        <w:rPr>
          <w:rFonts w:hint="eastAsia" w:ascii="宋体" w:hAnsi="宋体" w:eastAsia="宋体" w:cs="宋体"/>
          <w:sz w:val="24"/>
          <w:szCs w:val="24"/>
          <w:lang w:eastAsia="zh-CN"/>
        </w:rPr>
        <w:t>分包人</w:t>
      </w:r>
      <w:r>
        <w:rPr>
          <w:rFonts w:hint="eastAsia" w:ascii="宋体" w:hAnsi="宋体" w:eastAsia="宋体" w:cs="宋体"/>
          <w:sz w:val="24"/>
          <w:szCs w:val="24"/>
        </w:rPr>
        <w:t>承担全部责任。</w:t>
      </w:r>
    </w:p>
    <w:p w14:paraId="0153577F">
      <w:pPr>
        <w:spacing w:line="360" w:lineRule="auto"/>
        <w:rPr>
          <w:rFonts w:hint="eastAsia" w:ascii="宋体" w:hAnsi="宋体" w:eastAsia="宋体" w:cs="宋体"/>
          <w:sz w:val="24"/>
          <w:szCs w:val="24"/>
        </w:rPr>
      </w:pPr>
      <w:r>
        <w:rPr>
          <w:rFonts w:hint="eastAsia" w:ascii="宋体" w:hAnsi="宋体" w:eastAsia="宋体" w:cs="宋体"/>
          <w:sz w:val="24"/>
          <w:szCs w:val="24"/>
        </w:rPr>
        <w:t>1.3.7 对施工现场的行为完全负责，不得违章作业，冒险作业，不能疲劳作业，并按规定做好保护工作。</w:t>
      </w:r>
    </w:p>
    <w:p w14:paraId="32B5B5E8">
      <w:pPr>
        <w:spacing w:line="360" w:lineRule="auto"/>
        <w:rPr>
          <w:rFonts w:hint="eastAsia" w:ascii="宋体" w:hAnsi="宋体" w:eastAsia="宋体" w:cs="宋体"/>
          <w:sz w:val="24"/>
          <w:szCs w:val="24"/>
        </w:rPr>
      </w:pPr>
      <w:r>
        <w:rPr>
          <w:rFonts w:hint="eastAsia" w:ascii="宋体" w:hAnsi="宋体" w:eastAsia="宋体" w:cs="宋体"/>
          <w:sz w:val="24"/>
          <w:szCs w:val="24"/>
        </w:rPr>
        <w:t>1.3.8 根据工程特点编制施工组织设计、施工方案、作业指导书，制订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措施等，并严格履行审批手续后实施。对危险性较大的分部分项工程必须编制专项安全施工方案，并按规定组织专家评审。</w:t>
      </w:r>
    </w:p>
    <w:p w14:paraId="51AA84FF">
      <w:pPr>
        <w:spacing w:line="360" w:lineRule="auto"/>
        <w:rPr>
          <w:rFonts w:hint="eastAsia" w:ascii="宋体" w:hAnsi="宋体" w:eastAsia="宋体" w:cs="宋体"/>
          <w:sz w:val="24"/>
          <w:szCs w:val="24"/>
        </w:rPr>
      </w:pPr>
      <w:r>
        <w:rPr>
          <w:rFonts w:hint="eastAsia" w:ascii="宋体" w:hAnsi="宋体" w:eastAsia="宋体" w:cs="宋体"/>
          <w:sz w:val="24"/>
          <w:szCs w:val="24"/>
        </w:rPr>
        <w:t>1.3.9 编制应急预案并报</w:t>
      </w:r>
      <w:r>
        <w:rPr>
          <w:rFonts w:hint="eastAsia" w:ascii="宋体" w:hAnsi="宋体" w:eastAsia="宋体" w:cs="宋体"/>
          <w:sz w:val="24"/>
          <w:szCs w:val="24"/>
          <w:lang w:eastAsia="zh-CN"/>
        </w:rPr>
        <w:t>承包人</w:t>
      </w:r>
      <w:r>
        <w:rPr>
          <w:rFonts w:hint="eastAsia" w:ascii="宋体" w:hAnsi="宋体" w:eastAsia="宋体" w:cs="宋体"/>
          <w:sz w:val="24"/>
          <w:szCs w:val="24"/>
        </w:rPr>
        <w:t>备案，建立应急救援组织，配备应急救援器材设备。</w:t>
      </w:r>
    </w:p>
    <w:p w14:paraId="1E6965CB">
      <w:pPr>
        <w:spacing w:line="360" w:lineRule="auto"/>
        <w:rPr>
          <w:rFonts w:hint="eastAsia" w:ascii="宋体" w:hAnsi="宋体" w:eastAsia="宋体" w:cs="宋体"/>
          <w:sz w:val="24"/>
          <w:szCs w:val="24"/>
        </w:rPr>
      </w:pPr>
      <w:r>
        <w:rPr>
          <w:rFonts w:hint="eastAsia" w:ascii="宋体" w:hAnsi="宋体" w:eastAsia="宋体" w:cs="宋体"/>
          <w:sz w:val="24"/>
          <w:szCs w:val="24"/>
        </w:rPr>
        <w:t>1.3.10 做好安全教育和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交底工作，保证“三级教育”质量，做好培训记录。</w:t>
      </w:r>
    </w:p>
    <w:p w14:paraId="4B43625B">
      <w:pPr>
        <w:spacing w:line="360" w:lineRule="auto"/>
        <w:rPr>
          <w:rFonts w:hint="eastAsia" w:ascii="宋体" w:hAnsi="宋体" w:eastAsia="宋体" w:cs="宋体"/>
          <w:sz w:val="24"/>
          <w:szCs w:val="24"/>
        </w:rPr>
      </w:pPr>
      <w:r>
        <w:rPr>
          <w:rFonts w:hint="eastAsia" w:ascii="宋体" w:hAnsi="宋体" w:eastAsia="宋体" w:cs="宋体"/>
          <w:sz w:val="24"/>
          <w:szCs w:val="24"/>
        </w:rPr>
        <w:t>1.3.11 在施工过程中，对可能造成损害的毗邻建筑物、构筑物和地下管线，必须采取专项保护措施；对可能危及安全的邻近高压架空线、军用设施、光缆等，必须采取安全防护措施。对危险部位应设置安全警示标志。对易燃易爆物品应加强管理。对现场所有人的不安全行为、物的不安全状态、作业环境的不安全因素和管理缺陷均应进行控制，确保安全施工。</w:t>
      </w:r>
    </w:p>
    <w:p w14:paraId="68BD0042">
      <w:pPr>
        <w:spacing w:line="360" w:lineRule="auto"/>
        <w:rPr>
          <w:rFonts w:hint="eastAsia" w:ascii="宋体" w:hAnsi="宋体" w:eastAsia="宋体" w:cs="宋体"/>
          <w:sz w:val="24"/>
          <w:szCs w:val="24"/>
        </w:rPr>
      </w:pPr>
      <w:r>
        <w:rPr>
          <w:rFonts w:hint="eastAsia" w:ascii="宋体" w:hAnsi="宋体" w:eastAsia="宋体" w:cs="宋体"/>
          <w:sz w:val="24"/>
          <w:szCs w:val="24"/>
        </w:rPr>
        <w:t>1.3.12 负责制定施工职业健康安全环境管理实施计划，项目施工现场实行安全生产标准化管理。</w:t>
      </w:r>
    </w:p>
    <w:p w14:paraId="0760FD83">
      <w:pPr>
        <w:spacing w:line="360" w:lineRule="auto"/>
        <w:rPr>
          <w:rFonts w:hint="eastAsia" w:ascii="宋体" w:hAnsi="宋体" w:eastAsia="宋体" w:cs="宋体"/>
          <w:sz w:val="24"/>
          <w:szCs w:val="24"/>
        </w:rPr>
      </w:pPr>
      <w:r>
        <w:rPr>
          <w:rFonts w:hint="eastAsia" w:ascii="宋体" w:hAnsi="宋体" w:eastAsia="宋体" w:cs="宋体"/>
          <w:sz w:val="24"/>
          <w:szCs w:val="24"/>
        </w:rPr>
        <w:t>1.3.13 负责编制施工现场危险源和环境因素辨识清单，对重大危险源及重要环境因素，按规定向</w:t>
      </w:r>
      <w:r>
        <w:rPr>
          <w:rFonts w:hint="eastAsia" w:ascii="宋体" w:hAnsi="宋体" w:eastAsia="宋体" w:cs="宋体"/>
          <w:sz w:val="24"/>
          <w:szCs w:val="24"/>
          <w:lang w:eastAsia="zh-CN"/>
        </w:rPr>
        <w:t>承包人</w:t>
      </w:r>
      <w:r>
        <w:rPr>
          <w:rFonts w:hint="eastAsia" w:ascii="宋体" w:hAnsi="宋体" w:eastAsia="宋体" w:cs="宋体"/>
          <w:sz w:val="24"/>
          <w:szCs w:val="24"/>
        </w:rPr>
        <w:t>及当地政府安监部门报备，并对重大危险源进行公示管理。定期组织安全隐患排查，建立安全隐患整改台帐。</w:t>
      </w:r>
    </w:p>
    <w:p w14:paraId="49937EDD">
      <w:pPr>
        <w:spacing w:line="360" w:lineRule="auto"/>
        <w:rPr>
          <w:rFonts w:hint="eastAsia" w:ascii="宋体" w:hAnsi="宋体" w:eastAsia="宋体" w:cs="宋体"/>
          <w:sz w:val="24"/>
          <w:szCs w:val="24"/>
        </w:rPr>
      </w:pPr>
      <w:r>
        <w:rPr>
          <w:rFonts w:hint="eastAsia" w:ascii="宋体" w:hAnsi="宋体" w:eastAsia="宋体" w:cs="宋体"/>
          <w:sz w:val="24"/>
          <w:szCs w:val="24"/>
        </w:rPr>
        <w:t>1.3.14建立安全管理台账和记录档案，内容应包括但不限于：安全技术交底，安全生产培训，安全生产例会，安全检查，隐患整改通知书，安全生产奖惩，应急演练，特种作业人员持证上岗，项目设备、设施、施工机具管理，安全防护，安全生产管理费用使用情况等。并按</w:t>
      </w:r>
      <w:r>
        <w:rPr>
          <w:rFonts w:hint="eastAsia" w:ascii="宋体" w:hAnsi="宋体" w:eastAsia="宋体" w:cs="宋体"/>
          <w:sz w:val="24"/>
          <w:szCs w:val="24"/>
          <w:lang w:eastAsia="zh-CN"/>
        </w:rPr>
        <w:t>承包人</w:t>
      </w:r>
      <w:r>
        <w:rPr>
          <w:rFonts w:hint="eastAsia" w:ascii="宋体" w:hAnsi="宋体" w:eastAsia="宋体" w:cs="宋体"/>
          <w:sz w:val="24"/>
          <w:szCs w:val="24"/>
        </w:rPr>
        <w:t>要求定期向</w:t>
      </w:r>
      <w:r>
        <w:rPr>
          <w:rFonts w:hint="eastAsia" w:ascii="宋体" w:hAnsi="宋体" w:eastAsia="宋体" w:cs="宋体"/>
          <w:sz w:val="24"/>
          <w:szCs w:val="24"/>
          <w:lang w:eastAsia="zh-CN"/>
        </w:rPr>
        <w:t>承包人</w:t>
      </w:r>
      <w:r>
        <w:rPr>
          <w:rFonts w:hint="eastAsia" w:ascii="宋体" w:hAnsi="宋体" w:eastAsia="宋体" w:cs="宋体"/>
          <w:sz w:val="24"/>
          <w:szCs w:val="24"/>
        </w:rPr>
        <w:t>上报各种安全统计报表。</w:t>
      </w:r>
    </w:p>
    <w:p w14:paraId="2652A6DE">
      <w:pPr>
        <w:spacing w:line="360" w:lineRule="auto"/>
        <w:rPr>
          <w:rFonts w:hint="eastAsia" w:ascii="宋体" w:hAnsi="宋体" w:eastAsia="宋体" w:cs="宋体"/>
          <w:sz w:val="24"/>
          <w:szCs w:val="24"/>
        </w:rPr>
      </w:pPr>
      <w:r>
        <w:rPr>
          <w:rFonts w:hint="eastAsia" w:ascii="宋体" w:hAnsi="宋体" w:eastAsia="宋体" w:cs="宋体"/>
          <w:sz w:val="24"/>
          <w:szCs w:val="24"/>
        </w:rPr>
        <w:t>2.安全生产组织机构和人员</w:t>
      </w:r>
    </w:p>
    <w:p w14:paraId="6BF1294F">
      <w:pPr>
        <w:spacing w:line="360" w:lineRule="auto"/>
        <w:rPr>
          <w:rFonts w:hint="eastAsia" w:ascii="宋体" w:hAnsi="宋体" w:eastAsia="宋体" w:cs="宋体"/>
          <w:sz w:val="24"/>
          <w:szCs w:val="24"/>
        </w:rPr>
      </w:pPr>
      <w:r>
        <w:rPr>
          <w:rFonts w:hint="eastAsia" w:ascii="宋体" w:hAnsi="宋体" w:eastAsia="宋体" w:cs="宋体"/>
          <w:sz w:val="24"/>
          <w:szCs w:val="24"/>
        </w:rPr>
        <w:t>2.1.在</w:t>
      </w:r>
      <w:r>
        <w:rPr>
          <w:rFonts w:hint="eastAsia" w:ascii="宋体" w:hAnsi="宋体" w:eastAsia="宋体" w:cs="宋体"/>
          <w:sz w:val="24"/>
          <w:szCs w:val="24"/>
          <w:lang w:eastAsia="zh-CN"/>
        </w:rPr>
        <w:t>承包人</w:t>
      </w:r>
      <w:r>
        <w:rPr>
          <w:rFonts w:hint="eastAsia" w:ascii="宋体" w:hAnsi="宋体" w:eastAsia="宋体" w:cs="宋体"/>
          <w:sz w:val="24"/>
          <w:szCs w:val="24"/>
        </w:rPr>
        <w:t>的统一领导下，共同建立施工现场安全生产管理机构、安全生产保证体系；定期召开安全工作会议；建立健全安全生产责任制、安全生产管理制度、工作制度和群防群治制度；制定安全生产目标责任，形成一体化的安全生产监督管理体系和保证体系，并按照职责分工抓好落实。</w:t>
      </w:r>
    </w:p>
    <w:p w14:paraId="472883CF">
      <w:pPr>
        <w:spacing w:line="360" w:lineRule="auto"/>
        <w:rPr>
          <w:rFonts w:hint="eastAsia" w:ascii="宋体" w:hAnsi="宋体" w:eastAsia="宋体" w:cs="宋体"/>
          <w:sz w:val="24"/>
          <w:szCs w:val="24"/>
        </w:rPr>
      </w:pPr>
      <w:r>
        <w:rPr>
          <w:rFonts w:hint="eastAsia" w:ascii="宋体" w:hAnsi="宋体" w:eastAsia="宋体" w:cs="宋体"/>
          <w:sz w:val="24"/>
          <w:szCs w:val="24"/>
        </w:rPr>
        <w:t>2.2.除共同建立的安全生产管理机构外，</w:t>
      </w:r>
      <w:r>
        <w:rPr>
          <w:rFonts w:hint="eastAsia" w:ascii="宋体" w:hAnsi="宋体" w:eastAsia="宋体" w:cs="宋体"/>
          <w:sz w:val="24"/>
          <w:szCs w:val="24"/>
          <w:lang w:eastAsia="zh-CN"/>
        </w:rPr>
        <w:t>分包人</w:t>
      </w:r>
      <w:r>
        <w:rPr>
          <w:rFonts w:hint="eastAsia" w:ascii="宋体" w:hAnsi="宋体" w:eastAsia="宋体" w:cs="宋体"/>
          <w:sz w:val="24"/>
          <w:szCs w:val="24"/>
        </w:rPr>
        <w:t>还应建立、保持自己的安全管理组织机构、管理体系及规章制度。</w:t>
      </w:r>
    </w:p>
    <w:p w14:paraId="7743EDC9">
      <w:pPr>
        <w:spacing w:line="360" w:lineRule="auto"/>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分包人</w:t>
      </w:r>
      <w:r>
        <w:rPr>
          <w:rFonts w:hint="eastAsia" w:ascii="宋体" w:hAnsi="宋体" w:eastAsia="宋体" w:cs="宋体"/>
          <w:sz w:val="24"/>
          <w:szCs w:val="24"/>
        </w:rPr>
        <w:t>应确保施工现场安全生产管理机构设置和人员配备到位、安全生产保证体系有效运行，按有关规定配备专职安全生产管理人员，落实现场安全责任制和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"http://www.hbsafety.cn/article/65/"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消防</w:t>
      </w:r>
      <w:r>
        <w:rPr>
          <w:rFonts w:hint="eastAsia" w:ascii="宋体" w:hAnsi="宋体" w:eastAsia="宋体" w:cs="宋体"/>
          <w:sz w:val="24"/>
          <w:szCs w:val="24"/>
        </w:rPr>
        <w:fldChar w:fldCharType="end"/>
      </w:r>
      <w:r>
        <w:rPr>
          <w:rFonts w:hint="eastAsia" w:ascii="宋体" w:hAnsi="宋体" w:eastAsia="宋体" w:cs="宋体"/>
          <w:sz w:val="24"/>
          <w:szCs w:val="24"/>
        </w:rPr>
        <w:t>安全责任制度。</w:t>
      </w:r>
      <w:r>
        <w:rPr>
          <w:rFonts w:hint="eastAsia" w:ascii="宋体" w:hAnsi="宋体" w:eastAsia="宋体" w:cs="宋体"/>
          <w:sz w:val="24"/>
          <w:szCs w:val="24"/>
          <w:lang w:eastAsia="zh-CN"/>
        </w:rPr>
        <w:t>分包人</w:t>
      </w:r>
      <w:r>
        <w:rPr>
          <w:rFonts w:hint="eastAsia" w:ascii="宋体" w:hAnsi="宋体" w:eastAsia="宋体" w:cs="宋体"/>
          <w:sz w:val="24"/>
          <w:szCs w:val="24"/>
        </w:rPr>
        <w:t>在本工程中配备的安全生产负责人为       ；专职安全生产管理人员为：       。</w:t>
      </w:r>
    </w:p>
    <w:p w14:paraId="148763A9">
      <w:pPr>
        <w:spacing w:line="360" w:lineRule="auto"/>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分包人</w:t>
      </w:r>
      <w:r>
        <w:rPr>
          <w:rFonts w:hint="eastAsia" w:ascii="宋体" w:hAnsi="宋体" w:eastAsia="宋体" w:cs="宋体"/>
          <w:sz w:val="24"/>
          <w:szCs w:val="24"/>
        </w:rPr>
        <w:t>的项目经理、安全生产管理人员和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"http://www.hbsafety.cn/article/76/"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特种作业</w:t>
      </w:r>
      <w:r>
        <w:rPr>
          <w:rFonts w:hint="eastAsia" w:ascii="宋体" w:hAnsi="宋体" w:eastAsia="宋体" w:cs="宋体"/>
          <w:sz w:val="24"/>
          <w:szCs w:val="24"/>
        </w:rPr>
        <w:fldChar w:fldCharType="end"/>
      </w:r>
      <w:r>
        <w:rPr>
          <w:rFonts w:hint="eastAsia" w:ascii="宋体" w:hAnsi="宋体" w:eastAsia="宋体" w:cs="宋体"/>
          <w:sz w:val="24"/>
          <w:szCs w:val="24"/>
        </w:rPr>
        <w:t>人员应按照国家有关规定经过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"http://www.aqpx.cn"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培训</w:t>
      </w:r>
      <w:r>
        <w:rPr>
          <w:rFonts w:hint="eastAsia" w:ascii="宋体" w:hAnsi="宋体" w:eastAsia="宋体" w:cs="宋体"/>
          <w:sz w:val="24"/>
          <w:szCs w:val="24"/>
        </w:rPr>
        <w:fldChar w:fldCharType="end"/>
      </w:r>
      <w:r>
        <w:rPr>
          <w:rFonts w:hint="eastAsia" w:ascii="宋体" w:hAnsi="宋体" w:eastAsia="宋体" w:cs="宋体"/>
          <w:sz w:val="24"/>
          <w:szCs w:val="24"/>
        </w:rPr>
        <w:t>考核合格后，持证上岗。</w:t>
      </w:r>
    </w:p>
    <w:p w14:paraId="39D2D5CC">
      <w:pPr>
        <w:spacing w:line="360" w:lineRule="auto"/>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eastAsia="zh-CN"/>
        </w:rPr>
        <w:t>分包人</w:t>
      </w:r>
      <w:r>
        <w:rPr>
          <w:rFonts w:hint="eastAsia" w:ascii="宋体" w:hAnsi="宋体" w:eastAsia="宋体" w:cs="宋体"/>
          <w:sz w:val="24"/>
          <w:szCs w:val="24"/>
        </w:rPr>
        <w:t>应对其派出人员认真地进行政治、业务素质和身体审查，确保从业人员质量。</w:t>
      </w:r>
    </w:p>
    <w:p w14:paraId="7946380A">
      <w:pPr>
        <w:spacing w:line="360" w:lineRule="auto"/>
        <w:rPr>
          <w:rFonts w:hint="eastAsia" w:ascii="宋体" w:hAnsi="宋体" w:eastAsia="宋体" w:cs="宋体"/>
          <w:sz w:val="24"/>
          <w:szCs w:val="24"/>
        </w:rPr>
      </w:pPr>
      <w:r>
        <w:rPr>
          <w:rFonts w:hint="eastAsia" w:ascii="宋体" w:hAnsi="宋体" w:eastAsia="宋体" w:cs="宋体"/>
          <w:sz w:val="24"/>
          <w:szCs w:val="24"/>
        </w:rPr>
        <w:t>3.安全文明措施费用管理</w:t>
      </w:r>
    </w:p>
    <w:p w14:paraId="2FBB564C">
      <w:pPr>
        <w:spacing w:line="360" w:lineRule="auto"/>
        <w:rPr>
          <w:rFonts w:hint="eastAsia" w:ascii="宋体" w:hAnsi="宋体" w:eastAsia="宋体" w:cs="宋体"/>
          <w:sz w:val="24"/>
          <w:szCs w:val="24"/>
        </w:rPr>
      </w:pPr>
      <w:r>
        <w:rPr>
          <w:rFonts w:hint="eastAsia" w:ascii="宋体" w:hAnsi="宋体" w:eastAsia="宋体" w:cs="宋体"/>
          <w:sz w:val="24"/>
          <w:szCs w:val="24"/>
        </w:rPr>
        <w:t>3.1安全文明施工措施费用已经包含在合同总价之中，</w:t>
      </w:r>
      <w:r>
        <w:rPr>
          <w:rFonts w:hint="eastAsia" w:ascii="宋体" w:hAnsi="宋体" w:eastAsia="宋体" w:cs="宋体"/>
          <w:sz w:val="24"/>
          <w:szCs w:val="24"/>
          <w:lang w:eastAsia="zh-CN"/>
        </w:rPr>
        <w:t>分包人</w:t>
      </w:r>
      <w:r>
        <w:rPr>
          <w:rFonts w:hint="eastAsia" w:ascii="宋体" w:hAnsi="宋体" w:eastAsia="宋体" w:cs="宋体"/>
          <w:sz w:val="24"/>
          <w:szCs w:val="24"/>
        </w:rPr>
        <w:t>应严格按照国家、工程所在地的相关规定使用和管理。</w:t>
      </w:r>
    </w:p>
    <w:p w14:paraId="2EA1B62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3.2 </w:t>
      </w:r>
      <w:r>
        <w:rPr>
          <w:rFonts w:hint="eastAsia" w:ascii="宋体" w:hAnsi="宋体" w:eastAsia="宋体" w:cs="宋体"/>
          <w:sz w:val="24"/>
          <w:szCs w:val="24"/>
          <w:lang w:eastAsia="zh-CN"/>
        </w:rPr>
        <w:t>分包人</w:t>
      </w:r>
      <w:r>
        <w:rPr>
          <w:rFonts w:hint="eastAsia" w:ascii="宋体" w:hAnsi="宋体" w:eastAsia="宋体" w:cs="宋体"/>
          <w:sz w:val="24"/>
          <w:szCs w:val="24"/>
        </w:rPr>
        <w:t>对安全文明措施及其费用的使用报</w:t>
      </w:r>
      <w:r>
        <w:rPr>
          <w:rFonts w:hint="eastAsia" w:ascii="宋体" w:hAnsi="宋体" w:eastAsia="宋体" w:cs="宋体"/>
          <w:sz w:val="24"/>
          <w:szCs w:val="24"/>
          <w:lang w:eastAsia="zh-CN"/>
        </w:rPr>
        <w:t>承包人</w:t>
      </w:r>
      <w:r>
        <w:rPr>
          <w:rFonts w:hint="eastAsia" w:ascii="宋体" w:hAnsi="宋体" w:eastAsia="宋体" w:cs="宋体"/>
          <w:sz w:val="24"/>
          <w:szCs w:val="24"/>
        </w:rPr>
        <w:t>审核，</w:t>
      </w:r>
      <w:r>
        <w:rPr>
          <w:rFonts w:hint="eastAsia" w:ascii="宋体" w:hAnsi="宋体" w:eastAsia="宋体" w:cs="宋体"/>
          <w:sz w:val="24"/>
          <w:szCs w:val="24"/>
          <w:lang w:eastAsia="zh-CN"/>
        </w:rPr>
        <w:t>分包人</w:t>
      </w:r>
      <w:r>
        <w:rPr>
          <w:rFonts w:hint="eastAsia" w:ascii="宋体" w:hAnsi="宋体" w:eastAsia="宋体" w:cs="宋体"/>
          <w:sz w:val="24"/>
          <w:szCs w:val="24"/>
        </w:rPr>
        <w:t>应对本项目的安全文明措施费的使用提供备查资料。</w:t>
      </w:r>
    </w:p>
    <w:p w14:paraId="72AC3C6F">
      <w:pPr>
        <w:spacing w:line="360" w:lineRule="auto"/>
        <w:rPr>
          <w:rFonts w:hint="eastAsia" w:ascii="宋体" w:hAnsi="宋体" w:eastAsia="宋体" w:cs="宋体"/>
          <w:sz w:val="24"/>
          <w:szCs w:val="24"/>
        </w:rPr>
      </w:pPr>
      <w:r>
        <w:rPr>
          <w:rFonts w:hint="eastAsia" w:ascii="宋体" w:hAnsi="宋体" w:eastAsia="宋体" w:cs="宋体"/>
          <w:sz w:val="24"/>
          <w:szCs w:val="24"/>
        </w:rPr>
        <w:t>4.安全检查</w:t>
      </w:r>
    </w:p>
    <w:p w14:paraId="7D3321A3">
      <w:pPr>
        <w:spacing w:line="360" w:lineRule="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eastAsia="zh-CN"/>
        </w:rPr>
        <w:t>承包人</w:t>
      </w:r>
      <w:r>
        <w:rPr>
          <w:rFonts w:hint="eastAsia" w:ascii="宋体" w:hAnsi="宋体" w:eastAsia="宋体" w:cs="宋体"/>
          <w:sz w:val="24"/>
          <w:szCs w:val="24"/>
        </w:rPr>
        <w:t>对</w:t>
      </w:r>
      <w:r>
        <w:rPr>
          <w:rFonts w:hint="eastAsia" w:ascii="宋体" w:hAnsi="宋体" w:eastAsia="宋体" w:cs="宋体"/>
          <w:sz w:val="24"/>
          <w:szCs w:val="24"/>
          <w:lang w:eastAsia="zh-CN"/>
        </w:rPr>
        <w:t>分包人</w:t>
      </w:r>
      <w:r>
        <w:rPr>
          <w:rFonts w:hint="eastAsia" w:ascii="宋体" w:hAnsi="宋体" w:eastAsia="宋体" w:cs="宋体"/>
          <w:sz w:val="24"/>
          <w:szCs w:val="24"/>
        </w:rPr>
        <w:t>所制定的安全方案和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措施进行审查并检查其现场落实情况，对无方案、现场无措施或措施不落实的有权责令停止施工，限期整改，必要时可开具安全隐患整改通知单并根据具体情况进行处罚。</w:t>
      </w:r>
      <w:r>
        <w:rPr>
          <w:rFonts w:hint="eastAsia" w:ascii="宋体" w:hAnsi="宋体" w:eastAsia="宋体" w:cs="宋体"/>
          <w:sz w:val="24"/>
          <w:szCs w:val="24"/>
          <w:lang w:eastAsia="zh-CN"/>
        </w:rPr>
        <w:t>承包人</w:t>
      </w:r>
      <w:r>
        <w:rPr>
          <w:rFonts w:hint="eastAsia" w:ascii="宋体" w:hAnsi="宋体" w:eastAsia="宋体" w:cs="宋体"/>
          <w:sz w:val="24"/>
          <w:szCs w:val="24"/>
        </w:rPr>
        <w:t>对安全方案和安全技术措施的审查及现场检查等并不能解除</w:t>
      </w:r>
      <w:r>
        <w:rPr>
          <w:rFonts w:hint="eastAsia" w:ascii="宋体" w:hAnsi="宋体" w:eastAsia="宋体" w:cs="宋体"/>
          <w:sz w:val="24"/>
          <w:szCs w:val="24"/>
          <w:lang w:eastAsia="zh-CN"/>
        </w:rPr>
        <w:t>分包人</w:t>
      </w:r>
      <w:r>
        <w:rPr>
          <w:rFonts w:hint="eastAsia" w:ascii="宋体" w:hAnsi="宋体" w:eastAsia="宋体" w:cs="宋体"/>
          <w:sz w:val="24"/>
          <w:szCs w:val="24"/>
        </w:rPr>
        <w:t>对施工安全的任何责任。</w:t>
      </w:r>
    </w:p>
    <w:p w14:paraId="1C2C37A5">
      <w:pPr>
        <w:spacing w:line="360" w:lineRule="auto"/>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lang w:eastAsia="zh-CN"/>
        </w:rPr>
        <w:t>分包人</w:t>
      </w:r>
      <w:r>
        <w:rPr>
          <w:rFonts w:hint="eastAsia" w:ascii="宋体" w:hAnsi="宋体" w:eastAsia="宋体" w:cs="宋体"/>
          <w:sz w:val="24"/>
          <w:szCs w:val="24"/>
        </w:rPr>
        <w:t>应建立安全检查制度，并按工作制度要求定期进行安全检查，对安全隐患及时排查、治理、整改。对</w:t>
      </w:r>
      <w:r>
        <w:rPr>
          <w:rFonts w:hint="eastAsia" w:ascii="宋体" w:hAnsi="宋体" w:eastAsia="宋体" w:cs="宋体"/>
          <w:sz w:val="24"/>
          <w:szCs w:val="24"/>
          <w:lang w:eastAsia="zh-CN"/>
        </w:rPr>
        <w:t>承包人</w:t>
      </w:r>
      <w:r>
        <w:rPr>
          <w:rFonts w:hint="eastAsia" w:ascii="宋体" w:hAnsi="宋体" w:eastAsia="宋体" w:cs="宋体"/>
          <w:sz w:val="24"/>
          <w:szCs w:val="24"/>
        </w:rPr>
        <w:t>签发的安全隐患整改通知单</w:t>
      </w:r>
      <w:r>
        <w:rPr>
          <w:rFonts w:hint="eastAsia" w:ascii="宋体" w:hAnsi="宋体" w:eastAsia="宋体" w:cs="宋体"/>
          <w:sz w:val="24"/>
          <w:szCs w:val="24"/>
          <w:lang w:eastAsia="zh-CN"/>
        </w:rPr>
        <w:t>分包人</w:t>
      </w:r>
      <w:r>
        <w:rPr>
          <w:rFonts w:hint="eastAsia" w:ascii="宋体" w:hAnsi="宋体" w:eastAsia="宋体" w:cs="宋体"/>
          <w:sz w:val="24"/>
          <w:szCs w:val="24"/>
        </w:rPr>
        <w:t>应无条件地及时整改，并按整改通知要求将整改结果书面报告给</w:t>
      </w:r>
      <w:r>
        <w:rPr>
          <w:rFonts w:hint="eastAsia" w:ascii="宋体" w:hAnsi="宋体" w:eastAsia="宋体" w:cs="宋体"/>
          <w:sz w:val="24"/>
          <w:szCs w:val="24"/>
          <w:lang w:eastAsia="zh-CN"/>
        </w:rPr>
        <w:t>承包人</w:t>
      </w:r>
      <w:r>
        <w:rPr>
          <w:rFonts w:hint="eastAsia" w:ascii="宋体" w:hAnsi="宋体" w:eastAsia="宋体" w:cs="宋体"/>
          <w:sz w:val="24"/>
          <w:szCs w:val="24"/>
        </w:rPr>
        <w:t>。</w:t>
      </w:r>
    </w:p>
    <w:p w14:paraId="5C1A1608">
      <w:pPr>
        <w:spacing w:line="360" w:lineRule="auto"/>
        <w:rPr>
          <w:rFonts w:hint="eastAsia" w:ascii="宋体" w:hAnsi="宋体" w:eastAsia="宋体" w:cs="宋体"/>
          <w:sz w:val="24"/>
          <w:szCs w:val="24"/>
        </w:rPr>
      </w:pPr>
      <w:r>
        <w:rPr>
          <w:rFonts w:hint="eastAsia" w:ascii="宋体" w:hAnsi="宋体" w:eastAsia="宋体" w:cs="宋体"/>
          <w:sz w:val="24"/>
          <w:szCs w:val="24"/>
        </w:rPr>
        <w:t>5.安全事故的报告处置</w:t>
      </w:r>
    </w:p>
    <w:p w14:paraId="4E891F4D">
      <w:pPr>
        <w:spacing w:line="360" w:lineRule="auto"/>
        <w:rPr>
          <w:rFonts w:hint="eastAsia" w:ascii="宋体" w:hAnsi="宋体" w:eastAsia="宋体" w:cs="宋体"/>
          <w:sz w:val="24"/>
          <w:szCs w:val="24"/>
        </w:rPr>
      </w:pPr>
      <w:r>
        <w:rPr>
          <w:rFonts w:hint="eastAsia" w:ascii="宋体" w:hAnsi="宋体" w:eastAsia="宋体" w:cs="宋体"/>
          <w:sz w:val="24"/>
          <w:szCs w:val="24"/>
        </w:rPr>
        <w:t>5.1如在施工过程中发生安全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lang w:eastAsia="zh-CN"/>
        </w:rPr>
        <w:t>分包人</w:t>
      </w:r>
      <w:r>
        <w:rPr>
          <w:rFonts w:hint="eastAsia" w:ascii="宋体" w:hAnsi="宋体" w:eastAsia="宋体" w:cs="宋体"/>
          <w:sz w:val="24"/>
          <w:szCs w:val="24"/>
        </w:rPr>
        <w:t>是应对、处理事故的责任主体。如需</w:t>
      </w:r>
      <w:r>
        <w:rPr>
          <w:rFonts w:hint="eastAsia" w:ascii="宋体" w:hAnsi="宋体" w:eastAsia="宋体" w:cs="宋体"/>
          <w:sz w:val="24"/>
          <w:szCs w:val="24"/>
          <w:lang w:eastAsia="zh-CN"/>
        </w:rPr>
        <w:t>承包人</w:t>
      </w:r>
      <w:r>
        <w:rPr>
          <w:rFonts w:hint="eastAsia" w:ascii="宋体" w:hAnsi="宋体" w:eastAsia="宋体" w:cs="宋体"/>
          <w:sz w:val="24"/>
          <w:szCs w:val="24"/>
        </w:rPr>
        <w:t>协调施工区域内</w:t>
      </w:r>
      <w:r>
        <w:rPr>
          <w:rFonts w:hint="eastAsia" w:ascii="宋体" w:hAnsi="宋体" w:eastAsia="宋体" w:cs="宋体"/>
          <w:sz w:val="24"/>
          <w:szCs w:val="24"/>
          <w:lang w:eastAsia="zh-CN"/>
        </w:rPr>
        <w:t>承包人</w:t>
      </w:r>
      <w:r>
        <w:rPr>
          <w:rFonts w:hint="eastAsia" w:ascii="宋体" w:hAnsi="宋体" w:eastAsia="宋体" w:cs="宋体"/>
          <w:sz w:val="24"/>
          <w:szCs w:val="24"/>
        </w:rPr>
        <w:t>发包的其他分包方时，</w:t>
      </w:r>
      <w:r>
        <w:rPr>
          <w:rFonts w:hint="eastAsia" w:ascii="宋体" w:hAnsi="宋体" w:eastAsia="宋体" w:cs="宋体"/>
          <w:sz w:val="24"/>
          <w:szCs w:val="24"/>
          <w:lang w:eastAsia="zh-CN"/>
        </w:rPr>
        <w:t>分包人</w:t>
      </w:r>
      <w:r>
        <w:rPr>
          <w:rFonts w:hint="eastAsia" w:ascii="宋体" w:hAnsi="宋体" w:eastAsia="宋体" w:cs="宋体"/>
          <w:sz w:val="24"/>
          <w:szCs w:val="24"/>
        </w:rPr>
        <w:t>应向</w:t>
      </w:r>
      <w:r>
        <w:rPr>
          <w:rFonts w:hint="eastAsia" w:ascii="宋体" w:hAnsi="宋体" w:eastAsia="宋体" w:cs="宋体"/>
          <w:sz w:val="24"/>
          <w:szCs w:val="24"/>
          <w:lang w:eastAsia="zh-CN"/>
        </w:rPr>
        <w:t>承包人</w:t>
      </w:r>
      <w:r>
        <w:rPr>
          <w:rFonts w:hint="eastAsia" w:ascii="宋体" w:hAnsi="宋体" w:eastAsia="宋体" w:cs="宋体"/>
          <w:sz w:val="24"/>
          <w:szCs w:val="24"/>
        </w:rPr>
        <w:t>提出，</w:t>
      </w:r>
      <w:r>
        <w:rPr>
          <w:rFonts w:hint="eastAsia" w:ascii="宋体" w:hAnsi="宋体" w:eastAsia="宋体" w:cs="宋体"/>
          <w:sz w:val="24"/>
          <w:szCs w:val="24"/>
          <w:lang w:eastAsia="zh-CN"/>
        </w:rPr>
        <w:t>承包人</w:t>
      </w:r>
      <w:r>
        <w:rPr>
          <w:rFonts w:hint="eastAsia" w:ascii="宋体" w:hAnsi="宋体" w:eastAsia="宋体" w:cs="宋体"/>
          <w:sz w:val="24"/>
          <w:szCs w:val="24"/>
        </w:rPr>
        <w:t>提供协助。</w:t>
      </w:r>
    </w:p>
    <w:p w14:paraId="624A1B78">
      <w:pPr>
        <w:spacing w:line="360" w:lineRule="auto"/>
        <w:rPr>
          <w:rFonts w:hint="eastAsia" w:ascii="宋体" w:hAnsi="宋体" w:eastAsia="宋体" w:cs="宋体"/>
          <w:sz w:val="24"/>
          <w:szCs w:val="24"/>
        </w:rPr>
      </w:pPr>
      <w:r>
        <w:rPr>
          <w:rFonts w:hint="eastAsia" w:ascii="宋体" w:hAnsi="宋体" w:eastAsia="宋体" w:cs="宋体"/>
          <w:sz w:val="24"/>
          <w:szCs w:val="24"/>
        </w:rPr>
        <w:t>5.2.发生事故后</w:t>
      </w:r>
      <w:r>
        <w:rPr>
          <w:rFonts w:hint="eastAsia" w:ascii="宋体" w:hAnsi="宋体" w:eastAsia="宋体" w:cs="宋体"/>
          <w:sz w:val="24"/>
          <w:szCs w:val="24"/>
          <w:lang w:eastAsia="zh-CN"/>
        </w:rPr>
        <w:t>分包人</w:t>
      </w:r>
      <w:r>
        <w:rPr>
          <w:rFonts w:hint="eastAsia" w:ascii="宋体" w:hAnsi="宋体" w:eastAsia="宋体" w:cs="宋体"/>
          <w:sz w:val="24"/>
          <w:szCs w:val="24"/>
        </w:rPr>
        <w:t>应当按照中国或工程所在国有关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报告和调查处理的规定，及时如实上报</w:t>
      </w:r>
      <w:r>
        <w:rPr>
          <w:rFonts w:hint="eastAsia" w:ascii="宋体" w:hAnsi="宋体" w:eastAsia="宋体" w:cs="宋体"/>
          <w:sz w:val="24"/>
          <w:szCs w:val="24"/>
          <w:lang w:eastAsia="zh-CN"/>
        </w:rPr>
        <w:t>承包人</w:t>
      </w:r>
      <w:r>
        <w:rPr>
          <w:rFonts w:hint="eastAsia" w:ascii="宋体" w:hAnsi="宋体" w:eastAsia="宋体" w:cs="宋体"/>
          <w:sz w:val="24"/>
          <w:szCs w:val="24"/>
        </w:rPr>
        <w:t>和有关部门；同时</w:t>
      </w:r>
      <w:r>
        <w:rPr>
          <w:rFonts w:hint="eastAsia" w:ascii="宋体" w:hAnsi="宋体" w:eastAsia="宋体" w:cs="宋体"/>
          <w:sz w:val="24"/>
          <w:szCs w:val="24"/>
          <w:lang w:eastAsia="zh-CN"/>
        </w:rPr>
        <w:t>分包人</w:t>
      </w:r>
      <w:r>
        <w:rPr>
          <w:rFonts w:hint="eastAsia" w:ascii="宋体" w:hAnsi="宋体" w:eastAsia="宋体" w:cs="宋体"/>
          <w:sz w:val="24"/>
          <w:szCs w:val="24"/>
        </w:rPr>
        <w:t>应当抢救伤员，采取措施防止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扩大，保护</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现场，按照中国或工程所在国有关规定配合进行调查、处理，作好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的善后工作，事故造成的经济和法律责任均由</w:t>
      </w:r>
      <w:r>
        <w:rPr>
          <w:rFonts w:hint="eastAsia" w:ascii="宋体" w:hAnsi="宋体" w:eastAsia="宋体" w:cs="宋体"/>
          <w:sz w:val="24"/>
          <w:szCs w:val="24"/>
          <w:lang w:eastAsia="zh-CN"/>
        </w:rPr>
        <w:t>分包人</w:t>
      </w:r>
      <w:r>
        <w:rPr>
          <w:rFonts w:hint="eastAsia" w:ascii="宋体" w:hAnsi="宋体" w:eastAsia="宋体" w:cs="宋体"/>
          <w:sz w:val="24"/>
          <w:szCs w:val="24"/>
        </w:rPr>
        <w:t>承担。</w:t>
      </w:r>
    </w:p>
    <w:p w14:paraId="0C2FDF04">
      <w:pPr>
        <w:spacing w:line="360" w:lineRule="auto"/>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lang w:eastAsia="zh-CN"/>
        </w:rPr>
        <w:t>分包人</w:t>
      </w:r>
      <w:r>
        <w:rPr>
          <w:rFonts w:hint="eastAsia" w:ascii="宋体" w:hAnsi="宋体" w:eastAsia="宋体" w:cs="宋体"/>
          <w:sz w:val="24"/>
          <w:szCs w:val="24"/>
        </w:rPr>
        <w:t>在施工中必须加强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"http://www.hbsafety.cn/article/12/"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安全、文明施工管理</w:t>
      </w:r>
      <w:r>
        <w:rPr>
          <w:rFonts w:hint="eastAsia" w:ascii="宋体" w:hAnsi="宋体" w:eastAsia="宋体" w:cs="宋体"/>
          <w:sz w:val="24"/>
          <w:szCs w:val="24"/>
        </w:rPr>
        <w:fldChar w:fldCharType="end"/>
      </w:r>
      <w:r>
        <w:rPr>
          <w:rFonts w:hint="eastAsia" w:ascii="宋体" w:hAnsi="宋体" w:eastAsia="宋体" w:cs="宋体"/>
          <w:sz w:val="24"/>
          <w:szCs w:val="24"/>
        </w:rPr>
        <w:t>，由于管理不到位造成政府主管部门问责、媒体抨击、重大投诉等负面影响，</w:t>
      </w:r>
      <w:r>
        <w:rPr>
          <w:rFonts w:hint="eastAsia" w:ascii="宋体" w:hAnsi="宋体" w:eastAsia="宋体" w:cs="宋体"/>
          <w:sz w:val="24"/>
          <w:szCs w:val="24"/>
          <w:lang w:eastAsia="zh-CN"/>
        </w:rPr>
        <w:t>分包人</w:t>
      </w:r>
      <w:r>
        <w:rPr>
          <w:rFonts w:hint="eastAsia" w:ascii="宋体" w:hAnsi="宋体" w:eastAsia="宋体" w:cs="宋体"/>
          <w:sz w:val="24"/>
          <w:szCs w:val="24"/>
        </w:rPr>
        <w:t>应承担全部责任，并承担由此给</w:t>
      </w:r>
      <w:r>
        <w:rPr>
          <w:rFonts w:hint="eastAsia" w:ascii="宋体" w:hAnsi="宋体" w:eastAsia="宋体" w:cs="宋体"/>
          <w:sz w:val="24"/>
          <w:szCs w:val="24"/>
          <w:lang w:eastAsia="zh-CN"/>
        </w:rPr>
        <w:t>承包人</w:t>
      </w:r>
      <w:r>
        <w:rPr>
          <w:rFonts w:hint="eastAsia" w:ascii="宋体" w:hAnsi="宋体" w:eastAsia="宋体" w:cs="宋体"/>
          <w:sz w:val="24"/>
          <w:szCs w:val="24"/>
        </w:rPr>
        <w:t>造成的工期及经济损失。</w:t>
      </w:r>
    </w:p>
    <w:p w14:paraId="5E22E77E">
      <w:pPr>
        <w:spacing w:line="360" w:lineRule="auto"/>
        <w:rPr>
          <w:rFonts w:hint="eastAsia" w:ascii="宋体" w:hAnsi="宋体" w:eastAsia="宋体" w:cs="宋体"/>
          <w:sz w:val="24"/>
          <w:szCs w:val="24"/>
        </w:rPr>
      </w:pPr>
      <w:r>
        <w:rPr>
          <w:rFonts w:hint="eastAsia" w:ascii="宋体" w:hAnsi="宋体" w:eastAsia="宋体" w:cs="宋体"/>
          <w:sz w:val="24"/>
          <w:szCs w:val="24"/>
        </w:rPr>
        <w:t>6.安全奖罚</w:t>
      </w:r>
    </w:p>
    <w:p w14:paraId="4BC6704A">
      <w:pPr>
        <w:spacing w:line="360" w:lineRule="auto"/>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eastAsia="zh-CN"/>
        </w:rPr>
        <w:t>承包人</w:t>
      </w:r>
      <w:r>
        <w:rPr>
          <w:rFonts w:hint="eastAsia" w:ascii="宋体" w:hAnsi="宋体" w:eastAsia="宋体" w:cs="宋体"/>
          <w:sz w:val="24"/>
          <w:szCs w:val="24"/>
        </w:rPr>
        <w:t>有权对</w:t>
      </w:r>
      <w:r>
        <w:rPr>
          <w:rFonts w:hint="eastAsia" w:ascii="宋体" w:hAnsi="宋体" w:eastAsia="宋体" w:cs="宋体"/>
          <w:sz w:val="24"/>
          <w:szCs w:val="24"/>
          <w:lang w:eastAsia="zh-CN"/>
        </w:rPr>
        <w:t>分包人</w:t>
      </w:r>
      <w:r>
        <w:rPr>
          <w:rFonts w:hint="eastAsia" w:ascii="宋体" w:hAnsi="宋体" w:eastAsia="宋体" w:cs="宋体"/>
          <w:sz w:val="24"/>
          <w:szCs w:val="24"/>
        </w:rPr>
        <w:t>安全生产进行监督、检查和管理，对违规、违章行为有权制止，限期整改，并根据具体情况进行处罚。如发生死亡安全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有权解除合同并按照相关规定对</w:t>
      </w:r>
      <w:r>
        <w:rPr>
          <w:rFonts w:hint="eastAsia" w:ascii="宋体" w:hAnsi="宋体" w:eastAsia="宋体" w:cs="宋体"/>
          <w:sz w:val="24"/>
          <w:szCs w:val="24"/>
          <w:lang w:eastAsia="zh-CN"/>
        </w:rPr>
        <w:t>分包人</w:t>
      </w:r>
      <w:r>
        <w:rPr>
          <w:rFonts w:hint="eastAsia" w:ascii="宋体" w:hAnsi="宋体" w:eastAsia="宋体" w:cs="宋体"/>
          <w:sz w:val="24"/>
          <w:szCs w:val="24"/>
        </w:rPr>
        <w:t>予以罚款；如发生重大事故或连续发生一般事故，</w:t>
      </w:r>
      <w:r>
        <w:rPr>
          <w:rFonts w:hint="eastAsia" w:ascii="宋体" w:hAnsi="宋体" w:eastAsia="宋体" w:cs="宋体"/>
          <w:sz w:val="24"/>
          <w:szCs w:val="24"/>
          <w:lang w:eastAsia="zh-CN"/>
        </w:rPr>
        <w:t>承包人</w:t>
      </w:r>
      <w:r>
        <w:rPr>
          <w:rFonts w:hint="eastAsia" w:ascii="宋体" w:hAnsi="宋体" w:eastAsia="宋体" w:cs="宋体"/>
          <w:sz w:val="24"/>
          <w:szCs w:val="24"/>
        </w:rPr>
        <w:t>有权要求</w:t>
      </w:r>
      <w:r>
        <w:rPr>
          <w:rFonts w:hint="eastAsia" w:ascii="宋体" w:hAnsi="宋体" w:eastAsia="宋体" w:cs="宋体"/>
          <w:sz w:val="24"/>
          <w:szCs w:val="24"/>
          <w:lang w:eastAsia="zh-CN"/>
        </w:rPr>
        <w:t>分包人</w:t>
      </w:r>
      <w:r>
        <w:rPr>
          <w:rFonts w:hint="eastAsia" w:ascii="宋体" w:hAnsi="宋体" w:eastAsia="宋体" w:cs="宋体"/>
          <w:sz w:val="24"/>
          <w:szCs w:val="24"/>
        </w:rPr>
        <w:t>撤换项目经理、项目安全生产负责人和专职安全生产管理人员，并对相关责任人进行处罚。</w:t>
      </w:r>
    </w:p>
    <w:p w14:paraId="40DF33D8">
      <w:pPr>
        <w:spacing w:line="360" w:lineRule="auto"/>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eastAsia="zh-CN"/>
        </w:rPr>
        <w:t>承包人</w:t>
      </w:r>
      <w:r>
        <w:rPr>
          <w:rFonts w:hint="eastAsia" w:ascii="宋体" w:hAnsi="宋体" w:eastAsia="宋体" w:cs="宋体"/>
          <w:sz w:val="24"/>
          <w:szCs w:val="24"/>
        </w:rPr>
        <w:t>有权根据项目情况制定奖惩制度、确定具体的奖罚标准，并在项目执行过程中实施。</w:t>
      </w:r>
    </w:p>
    <w:p w14:paraId="63F0412E">
      <w:pPr>
        <w:spacing w:line="360" w:lineRule="auto"/>
        <w:rPr>
          <w:rFonts w:hint="eastAsia" w:ascii="宋体" w:hAnsi="宋体" w:eastAsia="宋体" w:cs="宋体"/>
          <w:sz w:val="24"/>
          <w:szCs w:val="24"/>
        </w:rPr>
      </w:pPr>
      <w:r>
        <w:rPr>
          <w:rFonts w:hint="eastAsia" w:ascii="宋体" w:hAnsi="宋体" w:eastAsia="宋体" w:cs="宋体"/>
          <w:sz w:val="24"/>
          <w:szCs w:val="24"/>
        </w:rPr>
        <w:t>6.3.如因</w:t>
      </w:r>
      <w:r>
        <w:rPr>
          <w:rFonts w:hint="eastAsia" w:ascii="宋体" w:hAnsi="宋体" w:eastAsia="宋体" w:cs="宋体"/>
          <w:sz w:val="24"/>
          <w:szCs w:val="24"/>
          <w:lang w:eastAsia="zh-CN"/>
        </w:rPr>
        <w:t>分包人</w:t>
      </w:r>
      <w:r>
        <w:rPr>
          <w:rFonts w:hint="eastAsia" w:ascii="宋体" w:hAnsi="宋体" w:eastAsia="宋体" w:cs="宋体"/>
          <w:sz w:val="24"/>
          <w:szCs w:val="24"/>
        </w:rPr>
        <w:t>造成的安全事故导致</w:t>
      </w:r>
      <w:r>
        <w:rPr>
          <w:rFonts w:hint="eastAsia" w:ascii="宋体" w:hAnsi="宋体" w:eastAsia="宋体" w:cs="宋体"/>
          <w:sz w:val="24"/>
          <w:szCs w:val="24"/>
          <w:lang w:eastAsia="zh-CN"/>
        </w:rPr>
        <w:t>承包人</w:t>
      </w:r>
      <w:r>
        <w:rPr>
          <w:rFonts w:hint="eastAsia" w:ascii="宋体" w:hAnsi="宋体" w:eastAsia="宋体" w:cs="宋体"/>
          <w:sz w:val="24"/>
          <w:szCs w:val="24"/>
        </w:rPr>
        <w:t>被追究责任，或根据实际需要由</w:t>
      </w:r>
      <w:r>
        <w:rPr>
          <w:rFonts w:hint="eastAsia" w:ascii="宋体" w:hAnsi="宋体" w:eastAsia="宋体" w:cs="宋体"/>
          <w:sz w:val="24"/>
          <w:szCs w:val="24"/>
          <w:lang w:eastAsia="zh-CN"/>
        </w:rPr>
        <w:t>承包人</w:t>
      </w:r>
      <w:r>
        <w:rPr>
          <w:rFonts w:hint="eastAsia" w:ascii="宋体" w:hAnsi="宋体" w:eastAsia="宋体" w:cs="宋体"/>
          <w:sz w:val="24"/>
          <w:szCs w:val="24"/>
        </w:rPr>
        <w:t>先行承担安全事故责任的，</w:t>
      </w:r>
      <w:r>
        <w:rPr>
          <w:rFonts w:hint="eastAsia" w:ascii="宋体" w:hAnsi="宋体" w:eastAsia="宋体" w:cs="宋体"/>
          <w:sz w:val="24"/>
          <w:szCs w:val="24"/>
          <w:lang w:eastAsia="zh-CN"/>
        </w:rPr>
        <w:t>承包人</w:t>
      </w:r>
      <w:r>
        <w:rPr>
          <w:rFonts w:hint="eastAsia" w:ascii="宋体" w:hAnsi="宋体" w:eastAsia="宋体" w:cs="宋体"/>
          <w:sz w:val="24"/>
          <w:szCs w:val="24"/>
        </w:rPr>
        <w:t>有权要求</w:t>
      </w:r>
      <w:r>
        <w:rPr>
          <w:rFonts w:hint="eastAsia" w:ascii="宋体" w:hAnsi="宋体" w:eastAsia="宋体" w:cs="宋体"/>
          <w:sz w:val="24"/>
          <w:szCs w:val="24"/>
          <w:lang w:eastAsia="zh-CN"/>
        </w:rPr>
        <w:t>分包人</w:t>
      </w:r>
      <w:r>
        <w:rPr>
          <w:rFonts w:hint="eastAsia" w:ascii="宋体" w:hAnsi="宋体" w:eastAsia="宋体" w:cs="宋体"/>
          <w:sz w:val="24"/>
          <w:szCs w:val="24"/>
        </w:rPr>
        <w:t>赔偿相应的损失。</w:t>
      </w:r>
    </w:p>
    <w:p w14:paraId="410339DE">
      <w:pPr>
        <w:spacing w:line="360" w:lineRule="auto"/>
        <w:rPr>
          <w:rFonts w:hint="eastAsia" w:ascii="宋体" w:hAnsi="宋体" w:eastAsia="宋体" w:cs="宋体"/>
          <w:sz w:val="24"/>
          <w:szCs w:val="24"/>
        </w:rPr>
      </w:pPr>
      <w:r>
        <w:rPr>
          <w:rFonts w:hint="eastAsia" w:ascii="宋体" w:hAnsi="宋体" w:eastAsia="宋体" w:cs="宋体"/>
          <w:sz w:val="24"/>
          <w:szCs w:val="24"/>
        </w:rPr>
        <w:t>7.本协议作为合同的附件，是合同的不可分割部分，与合同具有同等的法律效力。</w:t>
      </w:r>
    </w:p>
    <w:p w14:paraId="06C37C65">
      <w:pPr>
        <w:spacing w:line="360" w:lineRule="auto"/>
        <w:rPr>
          <w:rFonts w:hint="eastAsia" w:ascii="宋体" w:hAnsi="宋体" w:eastAsia="宋体" w:cs="宋体"/>
          <w:sz w:val="24"/>
          <w:szCs w:val="24"/>
        </w:rPr>
      </w:pPr>
    </w:p>
    <w:p w14:paraId="526EF383">
      <w:pPr>
        <w:spacing w:line="360" w:lineRule="auto"/>
        <w:rPr>
          <w:rFonts w:hint="eastAsia" w:ascii="宋体" w:hAnsi="宋体" w:eastAsia="宋体" w:cs="宋体"/>
          <w:sz w:val="24"/>
          <w:szCs w:val="24"/>
          <w:lang w:eastAsia="zh-CN"/>
        </w:rPr>
      </w:pPr>
    </w:p>
    <w:p w14:paraId="5594B6D5">
      <w:pPr>
        <w:spacing w:line="360" w:lineRule="auto"/>
        <w:rPr>
          <w:rFonts w:hint="eastAsia" w:ascii="宋体" w:hAnsi="宋体" w:eastAsia="宋体" w:cs="宋体"/>
          <w:sz w:val="24"/>
          <w:szCs w:val="24"/>
          <w:lang w:eastAsia="zh-CN"/>
        </w:rPr>
      </w:pPr>
    </w:p>
    <w:p w14:paraId="7A222CC7">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承包人</w:t>
      </w:r>
      <w:r>
        <w:rPr>
          <w:rFonts w:hint="eastAsia" w:ascii="宋体" w:hAnsi="宋体" w:eastAsia="宋体" w:cs="宋体"/>
          <w:sz w:val="24"/>
          <w:szCs w:val="24"/>
        </w:rPr>
        <w:t>：（公章）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分包人</w:t>
      </w:r>
      <w:r>
        <w:rPr>
          <w:rFonts w:hint="eastAsia" w:ascii="宋体" w:hAnsi="宋体" w:eastAsia="宋体" w:cs="宋体"/>
          <w:sz w:val="24"/>
          <w:szCs w:val="24"/>
        </w:rPr>
        <w:t xml:space="preserve">：（公章）　　  </w:t>
      </w:r>
    </w:p>
    <w:p w14:paraId="4724B1CE">
      <w:pPr>
        <w:spacing w:line="360" w:lineRule="auto"/>
        <w:rPr>
          <w:rFonts w:hint="eastAsia" w:ascii="宋体" w:hAnsi="宋体" w:eastAsia="宋体" w:cs="宋体"/>
          <w:sz w:val="24"/>
          <w:szCs w:val="24"/>
        </w:rPr>
      </w:pPr>
    </w:p>
    <w:p w14:paraId="4DA4D775">
      <w:pPr>
        <w:spacing w:line="360" w:lineRule="auto"/>
        <w:rPr>
          <w:rFonts w:hint="eastAsia"/>
          <w:color w:val="auto"/>
          <w:sz w:val="24"/>
          <w:szCs w:val="24"/>
        </w:rPr>
        <w:sectPr>
          <w:headerReference r:id="rId4" w:type="default"/>
          <w:footerReference r:id="rId5"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rPr>
        <w:t xml:space="preserve">日期：　　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日期：　　年   月</w:t>
      </w:r>
      <w:r>
        <w:rPr>
          <w:rFonts w:hint="eastAsia" w:ascii="宋体" w:hAnsi="宋体" w:eastAsia="宋体" w:cs="宋体"/>
          <w:sz w:val="24"/>
          <w:szCs w:val="24"/>
          <w:lang w:val="en-US" w:eastAsia="zh-CN"/>
        </w:rPr>
        <w:t xml:space="preserve">     日</w:t>
      </w:r>
    </w:p>
    <w:bookmarkEnd w:id="827"/>
    <w:bookmarkEnd w:id="828"/>
    <w:bookmarkEnd w:id="829"/>
    <w:bookmarkEnd w:id="830"/>
    <w:bookmarkEnd w:id="831"/>
    <w:bookmarkEnd w:id="832"/>
    <w:bookmarkEnd w:id="833"/>
    <w:p w14:paraId="62642DF1">
      <w:pPr>
        <w:shd w:val="clear" w:color="auto" w:fill="auto"/>
        <w:wordWrap w:val="0"/>
        <w:spacing w:line="360" w:lineRule="auto"/>
        <w:rPr>
          <w:rFonts w:hint="eastAsia" w:ascii="宋体" w:hAnsi="宋体" w:eastAsia="宋体" w:cs="宋体"/>
          <w:color w:val="auto"/>
          <w:sz w:val="24"/>
          <w:szCs w:val="24"/>
        </w:rPr>
      </w:pPr>
    </w:p>
    <w:p w14:paraId="0009346F">
      <w:pPr>
        <w:shd w:val="clear" w:color="auto" w:fill="auto"/>
        <w:wordWrap/>
        <w:spacing w:line="360" w:lineRule="auto"/>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附</w:t>
      </w:r>
      <w:bookmarkStart w:id="835" w:name="_Toc296347231"/>
      <w:bookmarkStart w:id="836" w:name="_Toc296346733"/>
      <w:bookmarkStart w:id="837" w:name="_Toc296944571"/>
      <w:bookmarkStart w:id="838" w:name="_Toc267261702"/>
      <w:bookmarkStart w:id="839" w:name="_Toc296503232"/>
      <w:bookmarkStart w:id="840" w:name="_Toc296891272"/>
      <w:bookmarkStart w:id="841" w:name="_Toc296891060"/>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8</w:t>
      </w:r>
    </w:p>
    <w:p w14:paraId="6D83F41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安全文明措施分配表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05"/>
        <w:gridCol w:w="1995"/>
        <w:gridCol w:w="1788"/>
      </w:tblGrid>
      <w:tr w14:paraId="6F9E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47F9C71F">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305" w:type="dxa"/>
            <w:noWrap w:val="0"/>
            <w:vAlign w:val="top"/>
          </w:tcPr>
          <w:p w14:paraId="643B43D7">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安全文明措施</w:t>
            </w:r>
          </w:p>
        </w:tc>
        <w:tc>
          <w:tcPr>
            <w:tcW w:w="1995" w:type="dxa"/>
            <w:noWrap w:val="0"/>
            <w:vAlign w:val="top"/>
          </w:tcPr>
          <w:p w14:paraId="1206C7D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承包人</w:t>
            </w:r>
          </w:p>
        </w:tc>
        <w:tc>
          <w:tcPr>
            <w:tcW w:w="1788" w:type="dxa"/>
            <w:noWrap w:val="0"/>
            <w:vAlign w:val="top"/>
          </w:tcPr>
          <w:p w14:paraId="61860A81">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分包人</w:t>
            </w:r>
          </w:p>
        </w:tc>
      </w:tr>
      <w:tr w14:paraId="755E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458B8B6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0034E0F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AD00E51">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5ACA109F">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0526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2CF56BC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095E3EC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67BD205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E2482B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3A4B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2E3BACC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2C4344F4">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15E81F9">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4742F30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66B6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5704B51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13C15892">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0E8F887D">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B41544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9C8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7BDA52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7048637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BE0AF2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205AF99D">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3DB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50ACF959">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327AF80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22A231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B354F8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2ED1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7AE61FD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5B50640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653D4B0">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5A993C3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511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35B6A866">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3BFC6C2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2B59060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EDC51E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078F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76B7CA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5F2DAA75">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F4C4E72">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4E75CAF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bl>
    <w:p w14:paraId="18F9C2C4">
      <w:pPr>
        <w:pStyle w:val="20"/>
        <w:shd w:val="clear" w:color="auto" w:fill="auto"/>
        <w:rPr>
          <w:rFonts w:hint="default"/>
          <w:color w:val="auto"/>
          <w:lang w:val="en-US" w:eastAsia="zh-CN"/>
        </w:rPr>
      </w:pPr>
    </w:p>
    <w:p w14:paraId="41E13B5F">
      <w:pPr>
        <w:pStyle w:val="20"/>
        <w:shd w:val="clear" w:color="auto" w:fill="auto"/>
        <w:wordWrap/>
        <w:rPr>
          <w:rFonts w:hint="default"/>
          <w:color w:val="auto"/>
          <w:lang w:val="en-US" w:eastAsia="zh-CN"/>
        </w:rPr>
      </w:pPr>
    </w:p>
    <w:bookmarkEnd w:id="835"/>
    <w:bookmarkEnd w:id="836"/>
    <w:bookmarkEnd w:id="837"/>
    <w:bookmarkEnd w:id="838"/>
    <w:bookmarkEnd w:id="839"/>
    <w:bookmarkEnd w:id="840"/>
    <w:bookmarkEnd w:id="841"/>
    <w:p w14:paraId="6073F170">
      <w:pPr>
        <w:shd w:val="clear" w:color="auto" w:fill="auto"/>
        <w:wordWrap/>
        <w:spacing w:line="440" w:lineRule="exact"/>
        <w:jc w:val="left"/>
        <w:rPr>
          <w:rFonts w:hint="eastAsia" w:ascii="宋体" w:hAnsi="宋体" w:eastAsia="宋体" w:cs="宋体"/>
          <w:b/>
          <w:bCs/>
          <w:color w:val="auto"/>
          <w:sz w:val="24"/>
          <w:szCs w:val="24"/>
          <w:lang w:val="en-US" w:eastAsia="zh-CN"/>
        </w:rPr>
      </w:pPr>
      <w:r>
        <w:rPr>
          <w:rFonts w:hint="eastAsia" w:ascii="宋体" w:hAnsi="宋体" w:eastAsia="宋体" w:cs="宋体"/>
          <w:b/>
          <w:color w:val="auto"/>
          <w:sz w:val="24"/>
          <w:szCs w:val="24"/>
        </w:rPr>
        <w:br w:type="page"/>
      </w: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9</w:t>
      </w:r>
    </w:p>
    <w:p w14:paraId="3331283D">
      <w:pPr>
        <w:shd w:val="clear" w:color="auto" w:fill="auto"/>
        <w:spacing w:after="156" w:afterLines="50"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施工现场安全生产奖罚细则</w:t>
      </w:r>
    </w:p>
    <w:p w14:paraId="55B096E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为认真贯彻落实“安全第一、预防为主、综合治理”的安全生产方针，完善安全生产激励和约束机制，严肃生产安全事故责任追究和施工现场隐患处置，强化安全生产管理工作，特制定本细则。</w:t>
      </w:r>
    </w:p>
    <w:p w14:paraId="205276A8">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细则的基本原则是从严管理，奖优罚劣。对于在安全生产工作中积极进行科学管理，严格执行安全生产规章制度，搞好安全生产的单位和人员，给予奖励，对于忽视安全生产，不执行安全生产规章制度，安全管理混乱，漠视事故隐患，违章指挥，违章作业，发生因工死亡事故，突破控制指标的单位及有关人员，给予通报批评、停产整顿、经济处罚情节恶劣、后果严重的移交司法部门追究法律责任，本细则确定了安全生产奖罚的内容和标准。</w:t>
      </w:r>
    </w:p>
    <w:p w14:paraId="1CEE0EB7">
      <w:pPr>
        <w:pStyle w:val="3"/>
        <w:numPr>
          <w:ilvl w:val="1"/>
          <w:numId w:val="0"/>
        </w:numPr>
        <w:shd w:val="clear" w:color="auto" w:fill="auto"/>
        <w:spacing w:before="0" w:after="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一、安全生产奖励制度</w:t>
      </w:r>
    </w:p>
    <w:p w14:paraId="179A1358">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1、在安全生产中有特殊贡献的人员，如及时制止重大事故发生，发现重大安全事故隐患，予以100~500经济奖励。</w:t>
      </w:r>
    </w:p>
    <w:p w14:paraId="7A7ADA5F">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2、对安全生产工作提出合理化建议，并经实施而取得显著效果的，依据具体情况，予以100～500元经济奖励。</w:t>
      </w:r>
    </w:p>
    <w:p w14:paraId="1B7BBEAA">
      <w:pPr>
        <w:pStyle w:val="1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3、对安全生产工作积极提出多项合理化建议，虽未被采纳但精神可嘉，予以100~200经济奖励，以资鼓励。</w:t>
      </w:r>
    </w:p>
    <w:p w14:paraId="5A3A14D7">
      <w:pPr>
        <w:pStyle w:val="3"/>
        <w:numPr>
          <w:ilvl w:val="1"/>
          <w:numId w:val="0"/>
        </w:numPr>
        <w:shd w:val="clear" w:color="auto" w:fill="auto"/>
        <w:spacing w:before="0" w:after="0"/>
        <w:ind w:firstLine="480" w:firstLineChars="200"/>
        <w:rPr>
          <w:rFonts w:hint="eastAsia" w:ascii="宋体" w:hAnsi="宋体" w:eastAsia="宋体" w:cs="宋体"/>
          <w:b/>
          <w:bCs w:val="0"/>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eastAsia="宋体" w:cs="宋体"/>
          <w:b/>
          <w:bCs w:val="0"/>
          <w:color w:val="auto"/>
          <w:sz w:val="24"/>
          <w:szCs w:val="24"/>
          <w:highlight w:val="none"/>
          <w:lang w:eastAsia="zh-CN"/>
        </w:rPr>
        <w:t>安全考核内容与标准表</w:t>
      </w:r>
    </w:p>
    <w:tbl>
      <w:tblPr>
        <w:tblStyle w:val="16"/>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966"/>
        <w:gridCol w:w="2893"/>
      </w:tblGrid>
      <w:tr w14:paraId="0434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3ADDC6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序号</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CE2F2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考核项目</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9D47CD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考核标准</w:t>
            </w:r>
          </w:p>
        </w:tc>
      </w:tr>
      <w:tr w14:paraId="1E39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6E00F3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6649D3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分包人不符合发包人专业管理要求，不设立现场组织管理机构，不按要求设置安全员。</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E8D9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考核1000－10000元/次。</w:t>
            </w:r>
          </w:p>
        </w:tc>
      </w:tr>
      <w:tr w14:paraId="0B7F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404614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C00895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分包人不服从发包人对口管理部门的生产调度指挥，有令不行，拒不整改。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4B106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考核1000－10000元/次。</w:t>
            </w:r>
          </w:p>
        </w:tc>
      </w:tr>
      <w:tr w14:paraId="4BB5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5E642C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DF5725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分包人工作人员工作态度不端正，不服从指挥，态度恶劣。</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978F13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考核500－5000元/人·次，情节严重者驱逐出厂。</w:t>
            </w:r>
          </w:p>
        </w:tc>
      </w:tr>
      <w:tr w14:paraId="14CD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EF64E1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24D04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分包人管理人员、技术人员不到位（未事实履行职责），或未经同意更换工作人员。</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E7B937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考核500－2000元/人·天。</w:t>
            </w:r>
          </w:p>
        </w:tc>
      </w:tr>
      <w:tr w14:paraId="3A8A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D01E0B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7BD5F7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分包人管理岗位人员、主要技术岗位人员驻工地时间不满合同期的80%。</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29044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考核500－2000元/人·天。</w:t>
            </w:r>
          </w:p>
        </w:tc>
      </w:tr>
      <w:tr w14:paraId="731B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397B92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F533E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分包人缺席或未准时参加发包人项目部门专业会、事故调查会</w:t>
            </w:r>
            <w:r>
              <w:rPr>
                <w:rFonts w:hint="eastAsia" w:ascii="宋体" w:hAnsi="宋体" w:eastAsia="宋体" w:cs="宋体"/>
                <w:color w:val="auto"/>
                <w:kern w:val="2"/>
                <w:sz w:val="21"/>
                <w:szCs w:val="21"/>
                <w:highlight w:val="none"/>
                <w:lang w:val="en-US" w:eastAsia="zh-CN"/>
              </w:rPr>
              <w:t>等</w:t>
            </w:r>
            <w:r>
              <w:rPr>
                <w:rFonts w:hint="eastAsia" w:ascii="宋体" w:hAnsi="宋体" w:eastAsia="宋体" w:cs="宋体"/>
                <w:color w:val="auto"/>
                <w:kern w:val="2"/>
                <w:sz w:val="21"/>
                <w:szCs w:val="21"/>
                <w:highlight w:val="none"/>
                <w:lang w:eastAsia="zh-CN"/>
              </w:rPr>
              <w:t>协调会，会议期间不遵守会议纪律。</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C77522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考核100-500元/次，迟到100元/次，手机未置静音100元/次。</w:t>
            </w:r>
          </w:p>
        </w:tc>
      </w:tr>
      <w:tr w14:paraId="5CF6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0DED85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61CC51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分包人值班人员不能随叫随到，无法满足生产需要，延误处理时机。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C9071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考核500－2000元/次，视情节考核同期电量损失。</w:t>
            </w:r>
          </w:p>
        </w:tc>
      </w:tr>
      <w:tr w14:paraId="135A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EDDBE7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3DAAEF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分包人在责任范围内，不按时执行安排的维修消缺工作。</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8658D5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考核500－2000元/次。</w:t>
            </w:r>
          </w:p>
        </w:tc>
      </w:tr>
      <w:tr w14:paraId="0F4B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075B18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106690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分包人不及时报告、处理现场不安全事件（按发包人的认定标准）。</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FC8B3F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72EC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973532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EC4186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分包人不定期开展安全教育，组织学习安全规程、安全通报和安全管理文件，或组织涣散、学习弄虚作假。</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6A9261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4568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237DA8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ADDBA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分包人新人员未经安全教育、考试不合格上岗。</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1598E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考核500-1000元/人，屡教不改或形成普遍现象的加倍考核。</w:t>
            </w:r>
          </w:p>
        </w:tc>
      </w:tr>
      <w:tr w14:paraId="4B92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EFFD9D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A9D329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分包人不及时落实发包人反事故措施。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744D6C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考核1000－3000元/项。</w:t>
            </w:r>
          </w:p>
        </w:tc>
      </w:tr>
      <w:tr w14:paraId="1C31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AC583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B8FCEB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分包人不配合发包人开展安全性评价、安全大检查工作。</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6C9D79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考核1000－3000元/次。</w:t>
            </w:r>
          </w:p>
        </w:tc>
      </w:tr>
      <w:tr w14:paraId="0B8E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68B184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E4123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分包人不按要求开展日常安健环和风险管理的工作，对有关的安全活动查无实据、或弄虚作假。</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28B5E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考核1000－3000元/项。</w:t>
            </w:r>
          </w:p>
        </w:tc>
      </w:tr>
      <w:tr w14:paraId="45A9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EBDFD5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2C29D2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分包人专职（兼职）安全员不实际履行职责，服务人员不参加安全会议、安全工作汇报等，不服从安全工作调度。</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4F2B2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考核200－1000元/次，严重者责令撤换。</w:t>
            </w:r>
          </w:p>
        </w:tc>
      </w:tr>
      <w:tr w14:paraId="309E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6BE2CE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A8D2BF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分包人发生安全事故不及时汇报，或隐瞒事实真相。</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C12A0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考核2000-50000元/次（事故责任另计）。</w:t>
            </w:r>
          </w:p>
        </w:tc>
      </w:tr>
      <w:tr w14:paraId="6AE8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B1BF4B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0E51D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分包人工作推诿，应付了事，效率不高，导致工作滞后。</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44EFF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考核500－2000元/次。</w:t>
            </w:r>
          </w:p>
        </w:tc>
      </w:tr>
      <w:tr w14:paraId="4F3A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011780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F4A45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分包人在发包人厂区内未经许可，未履行完申请报批手续，违规建设。</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D28493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考核5000－50000元/次，并恢复原貌。</w:t>
            </w:r>
          </w:p>
        </w:tc>
      </w:tr>
      <w:tr w14:paraId="66B0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4A9E28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31A2F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分包人工程开工未落实审批程序。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A54254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考核2000－10000元/次，并立即停工整改。</w:t>
            </w:r>
          </w:p>
        </w:tc>
      </w:tr>
      <w:tr w14:paraId="75C4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205056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19C0D0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分包人不按规定投入安全资金或虚报、瞒报安全设施投入情况。</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AADDEB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考核5000－20000元/次，并按规定投入足额安全资金。</w:t>
            </w:r>
          </w:p>
        </w:tc>
      </w:tr>
      <w:tr w14:paraId="724C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CE71EC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33AFCC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分包人发生责任性人身未遂事件。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EE4587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26BB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ED480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E07860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分包人发生责任性人身轻伤事件。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204E53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考核5000-20000元/人·次。</w:t>
            </w:r>
          </w:p>
        </w:tc>
      </w:tr>
      <w:tr w14:paraId="73AE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D61AB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BAA53E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分包人发生责任性一类障碍事件。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BA73D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考核1-3万元/次，视具体情况追加考核同期电量损失。</w:t>
            </w:r>
          </w:p>
        </w:tc>
      </w:tr>
      <w:tr w14:paraId="323B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700A4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5AAC5C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分包人发生责任性二类障碍事件。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1C742F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考核4000-10000元/次，视具体情况追加考核同期电量损失。</w:t>
            </w:r>
          </w:p>
        </w:tc>
      </w:tr>
      <w:tr w14:paraId="12B7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033564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6B50D1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分包人发生责任性异常事件。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22F849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考核2000-4000元/次，视具体情况追加考核同期电量损失。</w:t>
            </w:r>
          </w:p>
        </w:tc>
      </w:tr>
      <w:tr w14:paraId="7DCE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25102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B3120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分包人发生管辖范围内（生活区域和运输车辆等）的火灾事故。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E869ED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按火灾的损失程度考核，不低于3万元/次，最高按有关法律法规执行。</w:t>
            </w:r>
          </w:p>
        </w:tc>
      </w:tr>
      <w:tr w14:paraId="3A80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3A0497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357CF6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分包人因管理疏忽而发生管辖范围内（含生活区域和运输车辆等）的一般火灾险情。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DD435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火警考核4000-10000元/次。</w:t>
            </w:r>
          </w:p>
          <w:p w14:paraId="2C9DE87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火险考核1000-4000元/次。</w:t>
            </w:r>
          </w:p>
        </w:tc>
      </w:tr>
      <w:tr w14:paraId="408A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56CBB1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37CB25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分包人发生责任性环保事件。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B13DAC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考核5000－20000元/次，并按责任定性承担上级主管部门的考核或罚款，包赔发包人损失。</w:t>
            </w:r>
          </w:p>
        </w:tc>
      </w:tr>
      <w:tr w14:paraId="7B23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64CF6F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7A39E2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分包人在发包人范围内发生责任性交通伤亡事故。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B32A9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按生产人身伤亡的性质考核。</w:t>
            </w:r>
          </w:p>
        </w:tc>
      </w:tr>
      <w:tr w14:paraId="13E5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25232A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EDF562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分包人在发包人范围内发生一般责任交通事件。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6B3AA4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500-5000元/次。</w:t>
            </w:r>
          </w:p>
        </w:tc>
      </w:tr>
      <w:tr w14:paraId="7522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BFFCAE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B748DB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分包人在发包人范围内发生员工组织或参与盗窃的事件。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CD7F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考核5000－20000元/次，并负责赔偿损失，案值较大的加倍考核并按国家法律处理</w:t>
            </w:r>
          </w:p>
        </w:tc>
      </w:tr>
      <w:tr w14:paraId="7E17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336C5F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B8597F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分包人不遵守发包人安保管理制度，造成发包人财物损失。</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4F784A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考核500－5000元/次，并负责赔偿损失。监守自盗或伙同他人盗窃发包人财物的依法追究责任。</w:t>
            </w:r>
          </w:p>
        </w:tc>
      </w:tr>
      <w:tr w14:paraId="151F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CC9D38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7374D6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分包人在发包人范围内发生其它性质恶劣的治安事件。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673725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考核3000－30000元/次，并负责赔偿损失。情节特别严重的按国家法律处理。</w:t>
            </w:r>
          </w:p>
        </w:tc>
      </w:tr>
      <w:tr w14:paraId="57ED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87E785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5284A1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分包人连续2个月内发生同样性质的人身伤亡、治安事件、违法事件或火灾事故、环保事件、交通事故。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E03D8D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对应上述款项加倍处罚。</w:t>
            </w:r>
          </w:p>
        </w:tc>
      </w:tr>
      <w:tr w14:paraId="556A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884529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E6B0A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分包人发生误操作事件。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79596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一般误操作考核3000－20000元/次，恶性误操作考核2－10万元/次，造成后果的按责任定性另外考核。</w:t>
            </w:r>
          </w:p>
        </w:tc>
      </w:tr>
      <w:tr w14:paraId="5508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E81721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12A49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分包人设备加油、油脂不符合标准要求。</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44713A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200－1000元/台·次</w:t>
            </w:r>
            <w:r>
              <w:rPr>
                <w:rFonts w:hint="eastAsia" w:ascii="宋体" w:hAnsi="宋体" w:eastAsia="宋体" w:cs="宋体"/>
                <w:color w:val="auto"/>
                <w:kern w:val="2"/>
                <w:sz w:val="21"/>
                <w:szCs w:val="21"/>
                <w:highlight w:val="none"/>
                <w:lang w:eastAsia="zh-CN"/>
              </w:rPr>
              <w:t>。</w:t>
            </w:r>
          </w:p>
        </w:tc>
      </w:tr>
      <w:tr w14:paraId="07BB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1E0234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381BE6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分包人使用不符合专业标准的工器具、测量仪器或使用不符合要求的消耗性材料。</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41EE34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500－2000元/次，造成后果的加重考核。</w:t>
            </w:r>
          </w:p>
        </w:tc>
      </w:tr>
      <w:tr w14:paraId="5CF7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90460E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2244AF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分包人提交的</w:t>
            </w:r>
            <w:r>
              <w:rPr>
                <w:rFonts w:hint="eastAsia" w:ascii="宋体" w:hAnsi="宋体" w:eastAsia="宋体" w:cs="宋体"/>
                <w:color w:val="auto"/>
                <w:kern w:val="2"/>
                <w:sz w:val="21"/>
                <w:szCs w:val="21"/>
                <w:highlight w:val="none"/>
                <w:lang w:val="en-US" w:eastAsia="zh-CN"/>
              </w:rPr>
              <w:t>施工</w:t>
            </w:r>
            <w:r>
              <w:rPr>
                <w:rFonts w:hint="eastAsia" w:ascii="宋体" w:hAnsi="宋体" w:eastAsia="宋体" w:cs="宋体"/>
                <w:color w:val="auto"/>
                <w:kern w:val="2"/>
                <w:sz w:val="21"/>
                <w:szCs w:val="21"/>
                <w:highlight w:val="none"/>
                <w:lang w:eastAsia="zh-CN"/>
              </w:rPr>
              <w:t>测量记录报表不真实或不完整。</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5663E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500－2000元/项。</w:t>
            </w:r>
          </w:p>
        </w:tc>
      </w:tr>
      <w:tr w14:paraId="003B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D4DB10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70537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分包人工作人员发生习惯性违章。</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214C0E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考核200－1000元/人次，1个月内累计3起以上加重处罚。</w:t>
            </w:r>
          </w:p>
        </w:tc>
      </w:tr>
      <w:tr w14:paraId="33E1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D76617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EF46AD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分包人施工过程中特种作业人员没有特种作业证，特种作业证不随身携带，特种作业证无项目部门印章。</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BA6805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特种作业证未随身携带或特种作业证无项目部门印章考核500元/人.次；无特种作业证作业考核2000-5000元/人。</w:t>
            </w:r>
            <w:r>
              <w:rPr>
                <w:rFonts w:hint="eastAsia" w:ascii="宋体" w:hAnsi="宋体" w:eastAsia="宋体" w:cs="宋体"/>
                <w:color w:val="auto"/>
                <w:kern w:val="2"/>
                <w:sz w:val="21"/>
                <w:szCs w:val="21"/>
                <w:highlight w:val="none"/>
              </w:rPr>
              <w:t>次。</w:t>
            </w:r>
          </w:p>
        </w:tc>
      </w:tr>
      <w:tr w14:paraId="3F10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9BA538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A79514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分包人不定期检验安全工器具、起重机械或使用超过检验期的作业设备、仪表、器械。</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4DF293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考核500－5000元/项。</w:t>
            </w:r>
          </w:p>
        </w:tc>
      </w:tr>
      <w:tr w14:paraId="7F40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DAD278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12C70A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分包人不执行发包人临时电源管理规定，不正确使用现场检修电源箱，导致现场电源箱本体、线路、空气开关及电源插座损坏。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0CD2A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考核500－2000元/处。</w:t>
            </w:r>
          </w:p>
        </w:tc>
      </w:tr>
      <w:tr w14:paraId="151E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AFB729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6C3C75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分包人不发放或使用不合格安全工器具、劳动防护用品。</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FF938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考核500－1000元/人·次</w:t>
            </w:r>
            <w:r>
              <w:rPr>
                <w:rFonts w:hint="eastAsia" w:ascii="宋体" w:hAnsi="宋体" w:eastAsia="宋体" w:cs="宋体"/>
                <w:color w:val="auto"/>
                <w:kern w:val="2"/>
                <w:sz w:val="21"/>
                <w:szCs w:val="21"/>
                <w:highlight w:val="none"/>
                <w:lang w:eastAsia="zh-CN"/>
              </w:rPr>
              <w:t>。</w:t>
            </w:r>
          </w:p>
        </w:tc>
      </w:tr>
      <w:tr w14:paraId="464E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5620E1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040BA0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分包人违反起重设备使用规定或由于使用不当造成起重设备的损坏。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C127B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考核1000－3000元/次，并负责修复。</w:t>
            </w:r>
          </w:p>
        </w:tc>
      </w:tr>
      <w:tr w14:paraId="750D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833C90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A1490A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分包人违反安规中手动搬运中有关规定，搬运工作造成厂区道路污染、草木或设备损坏等。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9819EE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考核500－2000元/次，并负责修复。</w:t>
            </w:r>
          </w:p>
        </w:tc>
      </w:tr>
      <w:tr w14:paraId="3735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885CDA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169970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分包人不执行发包人有关预案等应急管理制度、临时方案，应急处置时组织不力、管理松散。</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4AE716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考核1000－5000元/次，造成设备损坏的按相应条款考核，并负责赔偿对发包人造成的损失。</w:t>
            </w:r>
          </w:p>
        </w:tc>
      </w:tr>
      <w:tr w14:paraId="75C9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4C2CFA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50442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分包人违反规定使用叉车、推扒机、电瓶车等厂内专用车辆，借用车辆、工程机械不及时或未进行定期清洗、保养、除污。</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C1645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考核500－2000元/人·次</w:t>
            </w:r>
            <w:r>
              <w:rPr>
                <w:rFonts w:hint="eastAsia" w:ascii="宋体" w:hAnsi="宋体" w:eastAsia="宋体" w:cs="宋体"/>
                <w:color w:val="auto"/>
                <w:kern w:val="2"/>
                <w:sz w:val="21"/>
                <w:szCs w:val="21"/>
                <w:highlight w:val="none"/>
                <w:lang w:eastAsia="zh-CN"/>
              </w:rPr>
              <w:t>。</w:t>
            </w:r>
          </w:p>
        </w:tc>
      </w:tr>
      <w:tr w14:paraId="5FAA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52BD81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2F1B4D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分包人场外车辆超速行驶或不按规定线路行驶、停放，不符合发包人厂内交通规定。</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62304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考核200－2500元/次，造成车辆损坏的造价赔偿并负责维修。</w:t>
            </w:r>
          </w:p>
        </w:tc>
      </w:tr>
      <w:tr w14:paraId="4642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1B0CD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9287EB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分包人不执行发包人节能措施，肆意浪费水电、物资。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2B1647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考核500－2000元/次，造成较大影响的加倍考核并赔偿损失。</w:t>
            </w:r>
          </w:p>
        </w:tc>
      </w:tr>
      <w:tr w14:paraId="131B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7B366F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1CE7A1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分包人工作人员在发包人厂区内吸烟（不在规定的吸烟点内）。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7E62A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未造成发包人经济损失的，考核1000-2000元/人·次；</w:t>
            </w:r>
          </w:p>
          <w:p w14:paraId="2ACDA10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已造成发包人经济损失的，考核1000-2000元/人次，另按实际损失进行赔偿。</w:t>
            </w:r>
          </w:p>
          <w:p w14:paraId="27E450F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构成不安全事件的，还应按照不安全事件的性质进行考核；</w:t>
            </w:r>
          </w:p>
        </w:tc>
      </w:tr>
      <w:tr w14:paraId="1964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9B877D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196A23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分包人违反安规高处作业有关规定，防护设施不到位。</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F9B6B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考核1000－500</w:t>
            </w:r>
            <w:r>
              <w:rPr>
                <w:rFonts w:hint="eastAsia" w:ascii="宋体" w:hAnsi="宋体" w:eastAsia="宋体" w:cs="宋体"/>
                <w:color w:val="auto"/>
                <w:kern w:val="2"/>
                <w:sz w:val="21"/>
                <w:szCs w:val="21"/>
                <w:highlight w:val="none"/>
                <w:lang w:eastAsia="zh-CN"/>
              </w:rPr>
              <w:t>0</w:t>
            </w:r>
            <w:r>
              <w:rPr>
                <w:rFonts w:hint="eastAsia" w:ascii="宋体" w:hAnsi="宋体" w:eastAsia="宋体" w:cs="宋体"/>
                <w:color w:val="auto"/>
                <w:kern w:val="2"/>
                <w:sz w:val="21"/>
                <w:szCs w:val="21"/>
                <w:highlight w:val="none"/>
              </w:rPr>
              <w:t>元/人次</w:t>
            </w:r>
            <w:r>
              <w:rPr>
                <w:rFonts w:hint="eastAsia" w:ascii="宋体" w:hAnsi="宋体" w:eastAsia="宋体" w:cs="宋体"/>
                <w:color w:val="auto"/>
                <w:kern w:val="2"/>
                <w:sz w:val="21"/>
                <w:szCs w:val="21"/>
                <w:highlight w:val="none"/>
                <w:lang w:eastAsia="zh-CN"/>
              </w:rPr>
              <w:t>。</w:t>
            </w:r>
          </w:p>
        </w:tc>
      </w:tr>
      <w:tr w14:paraId="62F6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903368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FFA528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分包人在施工过程中发生空中落物。</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B42D25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未造成后果者考核1000－10000元/项，造成后果的按事故等级处理。</w:t>
            </w:r>
          </w:p>
        </w:tc>
      </w:tr>
      <w:tr w14:paraId="7FCA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6BEE4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D0C913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分包人工作人员的工作服着装不符合《安规》规定。（含：穿高跟鞋（4cm）、露脚指的凉鞋、拖鞋及裙子、短裤、背心或裸背、长发披肩进入生产现场等）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D609F0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考核100－500元/人·次</w:t>
            </w:r>
            <w:r>
              <w:rPr>
                <w:rFonts w:hint="eastAsia" w:ascii="宋体" w:hAnsi="宋体" w:eastAsia="宋体" w:cs="宋体"/>
                <w:color w:val="auto"/>
                <w:kern w:val="2"/>
                <w:sz w:val="21"/>
                <w:szCs w:val="21"/>
                <w:highlight w:val="none"/>
                <w:lang w:eastAsia="zh-CN"/>
              </w:rPr>
              <w:t>。</w:t>
            </w:r>
          </w:p>
        </w:tc>
      </w:tr>
      <w:tr w14:paraId="66B9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BB0477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DB521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分包人对发包人提出的安全整改意见未及时整改的，每逾期1天。</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11FE8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考核500－2000元/天。</w:t>
            </w:r>
          </w:p>
        </w:tc>
      </w:tr>
      <w:tr w14:paraId="6188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72F899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C9741C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分包人设备作业区域存在脏、乱、差并不及时进行清理、或不按指定地点堆放垃圾的。</w:t>
            </w:r>
            <w:r>
              <w:rPr>
                <w:rFonts w:hint="eastAsia" w:ascii="宋体" w:hAnsi="宋体" w:eastAsia="宋体" w:cs="宋体"/>
                <w:color w:val="auto"/>
                <w:kern w:val="2"/>
                <w:sz w:val="21"/>
                <w:szCs w:val="21"/>
                <w:highlight w:val="none"/>
                <w:lang w:val="en-US" w:eastAsia="zh-CN"/>
              </w:rPr>
              <w:t>安装</w:t>
            </w:r>
            <w:r>
              <w:rPr>
                <w:rFonts w:hint="eastAsia" w:ascii="宋体" w:hAnsi="宋体" w:eastAsia="宋体" w:cs="宋体"/>
                <w:color w:val="auto"/>
                <w:kern w:val="2"/>
                <w:sz w:val="21"/>
                <w:szCs w:val="21"/>
                <w:highlight w:val="none"/>
                <w:lang w:eastAsia="zh-CN"/>
              </w:rPr>
              <w:t>作业未做到“工完、料尽、场地清”。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CBD09D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考核200－2000元/次。</w:t>
            </w:r>
          </w:p>
        </w:tc>
      </w:tr>
      <w:tr w14:paraId="0AE0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13231F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FC8F4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分包人在建筑物、设备、设施上乱写、乱涂、乱画等。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5E0CC5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考核200－500元/处，并负责恢复。</w:t>
            </w:r>
          </w:p>
        </w:tc>
      </w:tr>
      <w:tr w14:paraId="2738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503EA1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55823E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分包人不经批准在发包人设备、结构、建筑物上开孔或焊接临时构件，变更设备设施用途。</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476E1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考核500－5000元/处。</w:t>
            </w:r>
          </w:p>
        </w:tc>
      </w:tr>
      <w:tr w14:paraId="662A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797D56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2B243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分包人违反规程中有关电焊、气焊管理规定，气瓶储存、定置不附合规定，作业工具及施工工艺不附合要求。</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DE02BE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考核500-5000元/次。</w:t>
            </w:r>
          </w:p>
        </w:tc>
      </w:tr>
      <w:tr w14:paraId="3EDC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FA30C6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BFFD6B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分包人高处电、火焊作业，对下方的设备不采取防火隔离措施、或在地板砖、网格栅等处施工未采取保护措施。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68D69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47A9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61676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6845D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分包人违反安全规定搭设脚手架或无票随意搭设脚手架，脚手架无验收合格证或套用合格证。</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37F1C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考核1000－10000元/处。</w:t>
            </w:r>
          </w:p>
        </w:tc>
      </w:tr>
      <w:tr w14:paraId="06CF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F03434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DDD7D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w:t>
            </w:r>
            <w:r>
              <w:rPr>
                <w:rFonts w:hint="eastAsia" w:ascii="宋体" w:hAnsi="宋体" w:eastAsia="宋体" w:cs="宋体"/>
                <w:color w:val="auto"/>
                <w:kern w:val="2"/>
                <w:sz w:val="21"/>
                <w:szCs w:val="21"/>
                <w:highlight w:val="none"/>
                <w:lang w:val="en-US" w:eastAsia="zh-CN"/>
              </w:rPr>
              <w:t>施工现场</w:t>
            </w:r>
            <w:r>
              <w:rPr>
                <w:rFonts w:hint="eastAsia" w:ascii="宋体" w:hAnsi="宋体" w:eastAsia="宋体" w:cs="宋体"/>
                <w:color w:val="auto"/>
                <w:kern w:val="2"/>
                <w:sz w:val="21"/>
                <w:szCs w:val="21"/>
                <w:highlight w:val="none"/>
                <w:lang w:eastAsia="zh-CN"/>
              </w:rPr>
              <w:t>不采取主动措施，造成杂物随处掉落、尘土飞扬，严重影响厂区文明卫生或影响其它作业的。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6EDCC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考核500-5000元/次。</w:t>
            </w:r>
          </w:p>
        </w:tc>
      </w:tr>
      <w:tr w14:paraId="24AE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AD9779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E2552B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分包人现场工具柜、电焊机、气瓶、棚架、保温旧料、油漆、废料、拆装品等不要求定置，或经提出后仍不整改的。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8F11F0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考核500－2000元/项。</w:t>
            </w:r>
          </w:p>
        </w:tc>
      </w:tr>
      <w:tr w14:paraId="7936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FC0D7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082C7C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分包人损坏或丢弃设备标示牌及安措警示牌，未及时恢复。</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39BDF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考核50－500元/个，并负责恢复，赔偿。</w:t>
            </w:r>
          </w:p>
        </w:tc>
      </w:tr>
      <w:tr w14:paraId="381F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1F34E1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56468C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分包人违反规定使用明火或者施工中不按规定落实防火措施。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C232CF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考核2000－5000元/项，重点防火部位无票动火加倍考核。</w:t>
            </w:r>
          </w:p>
        </w:tc>
      </w:tr>
      <w:tr w14:paraId="30EC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AD2DF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1B7324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分包人消防责任制及预防措施不落实，消防隐患不及时整改。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79AF73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考核500-5000元/项，扩大火灾事故的按相应责任考核。</w:t>
            </w:r>
          </w:p>
        </w:tc>
      </w:tr>
      <w:tr w14:paraId="1DC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6CFB5D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0D6AA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分包人未经批准堵塞安全出口、疏散通道、消防通道或者占用防火间距。</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AAA7E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考核1000－5000元/项。</w:t>
            </w:r>
          </w:p>
        </w:tc>
      </w:tr>
      <w:tr w14:paraId="00AB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3C724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39DE40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分包人人员在工作和生活场所随意丢弃垃圾，行为随意散慢、制造环境污染、噪音等不文明行为。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E87CC1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6EA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8E183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942202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分包人外借或租用的特种设备资料不全或未及时备案，超检验期使用或未经有资质的单位检验。</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DE2208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考核2000－10000元/次。</w:t>
            </w:r>
          </w:p>
        </w:tc>
      </w:tr>
      <w:tr w14:paraId="61FD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D13294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434CD4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分包人违反发包人安全管理制度等的其它未列事项。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5E797A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考核200－1000元/次，或按发包人相关管理制度执行。</w:t>
            </w:r>
          </w:p>
        </w:tc>
      </w:tr>
      <w:tr w14:paraId="05CE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592807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AAE4A3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分包人在有限空间作业时，违反《有限空间作业安全管理规定》，未遵守通风、检测、监护、电动工具的使用、电源管理等有关规定的行为。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CDBB0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6A28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EC3441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C76436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进入生产现场不戴安全帽或不系帽带</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2135A9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考核100-200元/人次</w:t>
            </w:r>
            <w:r>
              <w:rPr>
                <w:rFonts w:hint="eastAsia" w:ascii="宋体" w:hAnsi="宋体" w:eastAsia="宋体" w:cs="宋体"/>
                <w:color w:val="auto"/>
                <w:kern w:val="2"/>
                <w:sz w:val="21"/>
                <w:szCs w:val="21"/>
                <w:highlight w:val="none"/>
                <w:lang w:eastAsia="zh-CN"/>
              </w:rPr>
              <w:t>。</w:t>
            </w:r>
          </w:p>
        </w:tc>
      </w:tr>
      <w:tr w14:paraId="58D9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724A2D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E9B81A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分包人违反《安全工作规程》、《设备典型消防规程》的其它未列事项。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A372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考核200－10000元/次</w:t>
            </w:r>
            <w:r>
              <w:rPr>
                <w:rFonts w:hint="eastAsia" w:ascii="宋体" w:hAnsi="宋体" w:eastAsia="宋体" w:cs="宋体"/>
                <w:color w:val="auto"/>
                <w:kern w:val="2"/>
                <w:sz w:val="21"/>
                <w:szCs w:val="21"/>
                <w:highlight w:val="none"/>
                <w:lang w:eastAsia="zh-CN"/>
              </w:rPr>
              <w:t>。</w:t>
            </w:r>
          </w:p>
        </w:tc>
      </w:tr>
    </w:tbl>
    <w:p w14:paraId="269EFE3B">
      <w:pPr>
        <w:shd w:val="clear" w:color="auto" w:fill="auto"/>
        <w:rPr>
          <w:rFonts w:hint="eastAsia"/>
          <w:color w:val="auto"/>
        </w:rPr>
      </w:pPr>
    </w:p>
    <w:p w14:paraId="382950FC">
      <w:pPr>
        <w:shd w:val="clear" w:color="auto" w:fill="auto"/>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三、附则</w:t>
      </w:r>
    </w:p>
    <w:p w14:paraId="6121F833">
      <w:pPr>
        <w:shd w:val="clear" w:color="auto" w:fill="auto"/>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1、本细则未提及的隐患、违章问题的处罚，根据隐患、违章的严重性决定处罚对象、处罚金额，具体以“隐患、违章罚款通知单”为准。</w:t>
      </w:r>
    </w:p>
    <w:p w14:paraId="76D2B27E">
      <w:pPr>
        <w:shd w:val="clear" w:color="auto" w:fill="auto"/>
        <w:spacing w:line="360" w:lineRule="auto"/>
        <w:ind w:firstLine="480" w:firstLineChars="200"/>
        <w:jc w:val="left"/>
        <w:rPr>
          <w:rFonts w:ascii="仿宋" w:hAnsi="仿宋" w:eastAsia="仿宋"/>
          <w:color w:val="auto"/>
          <w:sz w:val="24"/>
          <w:highlight w:val="none"/>
        </w:rPr>
      </w:pPr>
      <w:r>
        <w:rPr>
          <w:rFonts w:hint="eastAsia" w:ascii="宋体" w:hAnsi="宋体" w:eastAsia="宋体" w:cs="宋体"/>
          <w:color w:val="auto"/>
          <w:sz w:val="24"/>
          <w:highlight w:val="none"/>
        </w:rPr>
        <w:t>2、本细则条款最终解析权归</w:t>
      </w:r>
      <w:r>
        <w:rPr>
          <w:rFonts w:hint="eastAsia" w:ascii="宋体" w:hAnsi="宋体" w:eastAsia="宋体" w:cs="宋体"/>
          <w:color w:val="auto"/>
          <w:sz w:val="24"/>
          <w:highlight w:val="none"/>
          <w:lang w:val="en-US" w:eastAsia="zh-CN"/>
        </w:rPr>
        <w:t>兰州新区年产30GWh新能源电池生产基地项目（一期）</w:t>
      </w:r>
      <w:r>
        <w:rPr>
          <w:rFonts w:hint="eastAsia" w:ascii="宋体" w:hAnsi="宋体" w:eastAsia="宋体" w:cs="宋体"/>
          <w:color w:val="auto"/>
          <w:sz w:val="24"/>
          <w:highlight w:val="none"/>
        </w:rPr>
        <w:t>项目部所有。</w:t>
      </w:r>
    </w:p>
    <w:p w14:paraId="329CC867">
      <w:pPr>
        <w:shd w:val="clear" w:color="auto" w:fill="auto"/>
        <w:wordWrap/>
        <w:spacing w:line="440" w:lineRule="exact"/>
        <w:jc w:val="left"/>
        <w:rPr>
          <w:rFonts w:hint="default" w:ascii="宋体" w:hAnsi="宋体" w:eastAsia="宋体" w:cs="宋体"/>
          <w:b/>
          <w:bCs/>
          <w:color w:val="auto"/>
          <w:sz w:val="24"/>
          <w:szCs w:val="24"/>
          <w:lang w:val="en-US"/>
        </w:rPr>
      </w:pPr>
      <w:r>
        <w:rPr>
          <w:rFonts w:hint="eastAsia" w:ascii="宋体" w:hAnsi="宋体" w:eastAsia="宋体" w:cs="宋体"/>
          <w:b/>
          <w:bCs/>
          <w:color w:val="auto"/>
          <w:sz w:val="24"/>
          <w:szCs w:val="24"/>
        </w:rPr>
        <w:t>附</w:t>
      </w:r>
      <w:bookmarkStart w:id="842" w:name="_Toc296503233"/>
      <w:bookmarkStart w:id="843" w:name="_Toc296944572"/>
      <w:bookmarkStart w:id="844" w:name="_Toc296346734"/>
      <w:bookmarkStart w:id="845" w:name="_Toc296891273"/>
      <w:bookmarkStart w:id="846" w:name="_Toc296891061"/>
      <w:bookmarkStart w:id="847" w:name="_Toc296347232"/>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1</w:t>
      </w:r>
      <w:bookmarkEnd w:id="842"/>
      <w:bookmarkEnd w:id="843"/>
      <w:bookmarkEnd w:id="844"/>
      <w:bookmarkEnd w:id="845"/>
      <w:bookmarkEnd w:id="846"/>
      <w:bookmarkEnd w:id="847"/>
      <w:r>
        <w:rPr>
          <w:rFonts w:hint="eastAsia" w:ascii="宋体" w:hAnsi="宋体" w:eastAsia="宋体" w:cs="宋体"/>
          <w:b/>
          <w:bCs/>
          <w:color w:val="auto"/>
          <w:sz w:val="24"/>
          <w:szCs w:val="24"/>
          <w:lang w:val="en-US" w:eastAsia="zh-CN"/>
        </w:rPr>
        <w:t>0</w:t>
      </w:r>
    </w:p>
    <w:p w14:paraId="28352902">
      <w:pPr>
        <w:wordWrap w:val="0"/>
        <w:spacing w:before="156" w:beforeLines="50" w:after="156" w:afterLines="50"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工程质量保修书</w:t>
      </w:r>
    </w:p>
    <w:p w14:paraId="6A5D9F1F">
      <w:pPr>
        <w:wordWrap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37D31768">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分包人（全称）：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461FC2B7">
      <w:pPr>
        <w:shd w:val="clear" w:color="auto" w:fill="auto"/>
        <w:wordWrap w:val="0"/>
        <w:spacing w:line="440" w:lineRule="exact"/>
        <w:rPr>
          <w:rFonts w:hint="eastAsia" w:ascii="宋体" w:hAnsi="宋体" w:eastAsia="宋体" w:cs="宋体"/>
          <w:color w:val="auto"/>
          <w:sz w:val="24"/>
          <w:szCs w:val="24"/>
        </w:rPr>
      </w:pPr>
    </w:p>
    <w:p w14:paraId="56D346FA">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承包人和分包人根据《中华人民共和国建筑法》和《建设工程质量管理条例》，经协商一致就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（分包工程全称）签订工程质量保修书。</w:t>
      </w:r>
    </w:p>
    <w:p w14:paraId="1B3D54F8">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一、工程质量保修范围和内容</w:t>
      </w:r>
    </w:p>
    <w:p w14:paraId="7D588BAF">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分包人在保修期内，按照有关法律规定和合同约定，承担工程质量保修责任。</w:t>
      </w:r>
    </w:p>
    <w:p w14:paraId="2DC54847">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质量保修范围和内容：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9A8A951">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　　</w:t>
      </w:r>
      <w:r>
        <w:rPr>
          <w:rFonts w:hint="eastAsia" w:ascii="宋体" w:hAnsi="宋体" w:eastAsia="宋体" w:cs="宋体"/>
          <w:color w:val="auto"/>
          <w:sz w:val="24"/>
          <w:szCs w:val="24"/>
        </w:rPr>
        <w:t>二、保修期</w:t>
      </w:r>
    </w:p>
    <w:p w14:paraId="16320909">
      <w:pPr>
        <w:shd w:val="clear" w:color="auto" w:fill="auto"/>
        <w:wordWrap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根据《建设工程质量管理条例》及有关规定，分包工程的保修期如下：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693DF73">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保修期自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竣工验收合格之日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起计算。</w:t>
      </w:r>
    </w:p>
    <w:p w14:paraId="38903CC5">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三、缺陷责任期</w:t>
      </w:r>
    </w:p>
    <w:p w14:paraId="29161202">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分包工程缺陷责任期为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24</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个月，缺陷责任期自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总承包工程（名称）竣工验收合格之日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起计算。</w:t>
      </w:r>
    </w:p>
    <w:p w14:paraId="6808EEED">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缺陷责任期终止后，承包人应退还剩余的质量保证金。</w:t>
      </w:r>
    </w:p>
    <w:p w14:paraId="522569B9">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四、质量保修责任</w:t>
      </w:r>
    </w:p>
    <w:p w14:paraId="172449D4">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1．属于保修范围、内容的项目，分包人应当在接到保修通知之日起</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天内派人保修。分包人不在约定期限内派人保修的，承包人可以委托他人修理</w:t>
      </w:r>
      <w:r>
        <w:rPr>
          <w:rFonts w:hint="eastAsia" w:ascii="宋体" w:hAnsi="宋体" w:eastAsia="宋体" w:cs="宋体"/>
          <w:color w:val="auto"/>
          <w:sz w:val="24"/>
          <w:szCs w:val="24"/>
          <w:lang w:eastAsia="zh-CN"/>
        </w:rPr>
        <w:t>，修理费用由分包人承担，承包人有权直接在质量保证金中扣除</w:t>
      </w:r>
      <w:r>
        <w:rPr>
          <w:rFonts w:hint="eastAsia" w:ascii="宋体" w:hAnsi="宋体" w:eastAsia="宋体" w:cs="宋体"/>
          <w:color w:val="auto"/>
          <w:sz w:val="24"/>
          <w:szCs w:val="24"/>
        </w:rPr>
        <w:t>。</w:t>
      </w:r>
    </w:p>
    <w:p w14:paraId="0BD24198">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2．发生紧急事故需抢修的，分包人在接到事故通知后，应当立即到达事故现场抢修。</w:t>
      </w:r>
    </w:p>
    <w:p w14:paraId="39F55DBA">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14:paraId="6E63C78A">
      <w:pPr>
        <w:shd w:val="clear" w:color="auto" w:fill="auto"/>
        <w:wordWrap w:val="0"/>
        <w:spacing w:line="360" w:lineRule="auto"/>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4．质量保修完成后，由承包人组织验收。</w:t>
      </w:r>
    </w:p>
    <w:p w14:paraId="0B7EC89A">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五、保修费用</w:t>
      </w:r>
    </w:p>
    <w:p w14:paraId="7D8CD31A">
      <w:pPr>
        <w:shd w:val="clear" w:color="auto" w:fill="auto"/>
        <w:wordWrap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保修费用由造成质量缺陷的责任方承担。</w:t>
      </w:r>
    </w:p>
    <w:p w14:paraId="4B92792D">
      <w:pPr>
        <w:wordWrap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六、双方约定的其他工程质量保修事项：                  </w:t>
      </w:r>
    </w:p>
    <w:p w14:paraId="4366DB8C">
      <w:pPr>
        <w:wordWrap w:val="0"/>
        <w:spacing w:line="360" w:lineRule="auto"/>
        <w:jc w:val="left"/>
        <w:rPr>
          <w:rFonts w:hint="eastAsia"/>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166E319">
      <w:pPr>
        <w:shd w:val="clear" w:color="auto" w:fill="auto"/>
        <w:wordWrap w:val="0"/>
        <w:spacing w:line="360" w:lineRule="auto"/>
        <w:ind w:firstLine="456" w:firstLineChars="190"/>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工程质量保修书由承包人、分包人在工程完工验收前共同签署，</w:t>
      </w:r>
      <w:r>
        <w:rPr>
          <w:rFonts w:hint="eastAsia" w:ascii="宋体" w:hAnsi="宋体" w:eastAsia="宋体" w:cs="宋体"/>
          <w:color w:val="auto"/>
          <w:sz w:val="24"/>
          <w:szCs w:val="24"/>
          <w:lang w:eastAsia="zh-CN"/>
        </w:rPr>
        <w:t>自双方盖章后生效，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作为分包合同的附件，其有效期限至保修期满。</w:t>
      </w:r>
    </w:p>
    <w:p w14:paraId="4FB0CAA0">
      <w:pPr>
        <w:shd w:val="clear" w:color="auto" w:fill="auto"/>
        <w:wordWrap w:val="0"/>
        <w:spacing w:line="360" w:lineRule="auto"/>
        <w:rPr>
          <w:rFonts w:hint="eastAsia" w:ascii="宋体" w:hAnsi="宋体" w:eastAsia="宋体" w:cs="宋体"/>
          <w:color w:val="auto"/>
          <w:sz w:val="24"/>
          <w:szCs w:val="24"/>
        </w:rPr>
      </w:pPr>
    </w:p>
    <w:p w14:paraId="7A09D424">
      <w:pPr>
        <w:pStyle w:val="20"/>
        <w:shd w:val="clear" w:color="auto" w:fill="auto"/>
        <w:rPr>
          <w:rFonts w:hint="eastAsia" w:ascii="宋体" w:hAnsi="宋体" w:eastAsia="宋体" w:cs="宋体"/>
          <w:color w:val="auto"/>
          <w:sz w:val="24"/>
          <w:szCs w:val="24"/>
        </w:rPr>
      </w:pPr>
    </w:p>
    <w:p w14:paraId="594585BA">
      <w:pPr>
        <w:pStyle w:val="20"/>
        <w:shd w:val="clear" w:color="auto" w:fill="auto"/>
        <w:rPr>
          <w:rFonts w:hint="eastAsia" w:ascii="宋体" w:hAnsi="宋体" w:eastAsia="宋体" w:cs="宋体"/>
          <w:color w:val="auto"/>
          <w:sz w:val="24"/>
          <w:szCs w:val="24"/>
        </w:rPr>
      </w:pPr>
    </w:p>
    <w:p w14:paraId="7DF15130">
      <w:pPr>
        <w:shd w:val="clear" w:color="auto" w:fill="auto"/>
        <w:wordWrap w:val="0"/>
        <w:spacing w:line="360" w:lineRule="auto"/>
        <w:rPr>
          <w:rFonts w:hint="eastAsia" w:ascii="宋体" w:hAnsi="宋体" w:eastAsia="宋体" w:cs="宋体"/>
          <w:color w:val="auto"/>
          <w:sz w:val="24"/>
          <w:szCs w:val="24"/>
          <w:u w:val="none"/>
        </w:rPr>
      </w:pPr>
      <w:r>
        <w:rPr>
          <w:rFonts w:hint="eastAsia" w:ascii="宋体" w:hAnsi="宋体" w:eastAsia="宋体" w:cs="宋体"/>
          <w:color w:val="auto"/>
          <w:sz w:val="24"/>
          <w:szCs w:val="24"/>
        </w:rPr>
        <w:t>承包人(公章)：</w:t>
      </w:r>
      <w:r>
        <w:rPr>
          <w:rFonts w:hint="eastAsia" w:ascii="宋体" w:hAnsi="宋体" w:eastAsia="宋体" w:cs="宋体"/>
          <w:color w:val="auto"/>
          <w:sz w:val="24"/>
          <w:szCs w:val="24"/>
          <w:u w:val="none"/>
        </w:rPr>
        <w:t xml:space="preserve">  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分包人(公章)：</w:t>
      </w:r>
      <w:r>
        <w:rPr>
          <w:rFonts w:hint="eastAsia" w:ascii="宋体" w:hAnsi="宋体" w:eastAsia="宋体" w:cs="宋体"/>
          <w:color w:val="auto"/>
          <w:sz w:val="24"/>
          <w:szCs w:val="24"/>
          <w:u w:val="none"/>
        </w:rPr>
        <w:t xml:space="preserve">           </w:t>
      </w:r>
    </w:p>
    <w:p w14:paraId="0F158655">
      <w:pPr>
        <w:shd w:val="clear" w:color="auto" w:fill="auto"/>
        <w:wordWrap w:val="0"/>
        <w:spacing w:line="360" w:lineRule="auto"/>
        <w:rPr>
          <w:rFonts w:hint="eastAsia" w:ascii="宋体" w:hAnsi="宋体" w:eastAsia="宋体" w:cs="宋体"/>
          <w:color w:val="auto"/>
          <w:sz w:val="24"/>
          <w:szCs w:val="24"/>
          <w:u w:val="single"/>
        </w:rPr>
      </w:pPr>
    </w:p>
    <w:p w14:paraId="1D0896F4">
      <w:pPr>
        <w:shd w:val="clear" w:color="auto" w:fill="auto"/>
        <w:wordWrap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年   月   日                           年   月   日</w:t>
      </w:r>
    </w:p>
    <w:p w14:paraId="0BCAEDA6">
      <w:pPr>
        <w:shd w:val="clear" w:color="auto" w:fill="auto"/>
        <w:wordWrap w:val="0"/>
        <w:spacing w:line="360" w:lineRule="auto"/>
        <w:rPr>
          <w:rFonts w:hint="eastAsia" w:ascii="宋体" w:hAnsi="宋体" w:eastAsia="宋体" w:cs="宋体"/>
          <w:color w:val="auto"/>
          <w:sz w:val="24"/>
          <w:szCs w:val="24"/>
          <w:lang w:val="en-US" w:eastAsia="zh-CN"/>
        </w:rPr>
      </w:pPr>
    </w:p>
    <w:p w14:paraId="0125B145">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1906" w:h="16838"/>
          <w:pgMar w:top="1440" w:right="1633" w:bottom="1440" w:left="1406" w:header="851" w:footer="992" w:gutter="0"/>
          <w:cols w:space="425" w:num="1"/>
          <w:docGrid w:type="lines" w:linePitch="312" w:charSpace="0"/>
        </w:sectPr>
      </w:pPr>
    </w:p>
    <w:p w14:paraId="74CF54F1">
      <w:pPr>
        <w:shd w:val="clear" w:color="auto" w:fill="auto"/>
        <w:wordWrap/>
        <w:spacing w:line="440" w:lineRule="exact"/>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附件12</w:t>
      </w:r>
    </w:p>
    <w:p w14:paraId="335473DA">
      <w:pPr>
        <w:shd w:val="clear" w:color="auto" w:fill="auto"/>
        <w:spacing w:before="0" w:beforeLines="0" w:after="156" w:afterLines="50" w:line="360" w:lineRule="auto"/>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kern w:val="2"/>
          <w:sz w:val="24"/>
          <w:szCs w:val="24"/>
          <w:highlight w:val="none"/>
          <w:lang w:val="en-US" w:eastAsia="zh-CN"/>
        </w:rPr>
        <w:t>质量管理奖惩细则</w:t>
      </w:r>
    </w:p>
    <w:p w14:paraId="53C866EE">
      <w:pPr>
        <w:rPr>
          <w:rFonts w:hint="eastAsia" w:ascii="宋体" w:hAnsi="宋体" w:eastAsia="宋体" w:cs="宋体"/>
          <w:sz w:val="24"/>
          <w:szCs w:val="24"/>
        </w:rPr>
      </w:pPr>
      <w:bookmarkStart w:id="848" w:name="_Toc403650463"/>
      <w:r>
        <w:rPr>
          <w:rFonts w:hint="eastAsia" w:ascii="宋体" w:hAnsi="宋体" w:eastAsia="宋体" w:cs="宋体"/>
          <w:sz w:val="24"/>
          <w:szCs w:val="24"/>
          <w:lang w:val="en-US" w:eastAsia="zh-CN"/>
        </w:rPr>
        <w:t>1</w:t>
      </w:r>
      <w:r>
        <w:rPr>
          <w:rFonts w:hint="eastAsia" w:ascii="宋体" w:hAnsi="宋体" w:eastAsia="宋体" w:cs="宋体"/>
          <w:sz w:val="24"/>
          <w:szCs w:val="24"/>
        </w:rPr>
        <w:t>、隐蔽工程检查验收制度</w:t>
      </w:r>
      <w:bookmarkEnd w:id="848"/>
    </w:p>
    <w:p w14:paraId="32CE0BB0">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1）工程完工后无法进行检查的</w:t>
      </w:r>
      <w:r>
        <w:rPr>
          <w:rFonts w:hint="eastAsia" w:ascii="宋体" w:hAnsi="宋体" w:eastAsia="宋体" w:cs="宋体"/>
          <w:sz w:val="24"/>
          <w:szCs w:val="24"/>
          <w:lang w:val="en-US" w:eastAsia="zh-CN"/>
        </w:rPr>
        <w:t>工序</w:t>
      </w:r>
      <w:r>
        <w:rPr>
          <w:rFonts w:hint="eastAsia" w:ascii="宋体" w:hAnsi="宋体" w:eastAsia="宋体" w:cs="宋体"/>
          <w:sz w:val="24"/>
          <w:szCs w:val="24"/>
        </w:rPr>
        <w:t>，特别是重要结构部位及有关特殊要求的部位都</w:t>
      </w:r>
      <w:r>
        <w:rPr>
          <w:rFonts w:hint="eastAsia" w:ascii="宋体" w:hAnsi="宋体" w:eastAsia="宋体" w:cs="宋体"/>
          <w:sz w:val="24"/>
          <w:szCs w:val="24"/>
          <w:lang w:val="en-US" w:eastAsia="zh-CN"/>
        </w:rPr>
        <w:t>需</w:t>
      </w:r>
      <w:r>
        <w:rPr>
          <w:rFonts w:hint="eastAsia" w:ascii="宋体" w:hAnsi="宋体" w:eastAsia="宋体" w:cs="宋体"/>
          <w:sz w:val="24"/>
          <w:szCs w:val="24"/>
        </w:rPr>
        <w:t>进行隐蔽工程验收。</w:t>
      </w:r>
    </w:p>
    <w:p w14:paraId="6902CE69">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2）分项工程施工完毕后，应由施工员会同质检员进行自检，并签发隐蔽工程验收记录，在指定日期内，由监理（建设）单位、设计单位会签验收意见。</w:t>
      </w:r>
    </w:p>
    <w:p w14:paraId="74109569">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3）隐蔽工程在未进行验收前，不得进行下道工序施工，若有违反验收制度，造成返工损失时，应追究有关部门和人员的责任。</w:t>
      </w:r>
    </w:p>
    <w:p w14:paraId="4D78CFC3">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4）隐蔽工程验收资料由项目资料员保管，竣工后整理成册，纳入工程档案。</w:t>
      </w:r>
      <w:bookmarkStart w:id="849" w:name="_Toc273312748"/>
      <w:bookmarkStart w:id="850" w:name="_Toc333265822"/>
      <w:bookmarkStart w:id="851" w:name="_Toc11634"/>
    </w:p>
    <w:bookmarkEnd w:id="849"/>
    <w:bookmarkEnd w:id="850"/>
    <w:bookmarkEnd w:id="851"/>
    <w:p w14:paraId="42097ABF">
      <w:pPr>
        <w:rPr>
          <w:rFonts w:hint="eastAsia" w:ascii="宋体" w:hAnsi="宋体" w:eastAsia="宋体" w:cs="宋体"/>
          <w:sz w:val="24"/>
          <w:szCs w:val="24"/>
        </w:rPr>
      </w:pPr>
      <w:bookmarkStart w:id="852" w:name="_Toc403650465"/>
      <w:r>
        <w:rPr>
          <w:rFonts w:hint="eastAsia" w:ascii="宋体" w:hAnsi="宋体" w:eastAsia="宋体" w:cs="宋体"/>
          <w:sz w:val="24"/>
          <w:szCs w:val="24"/>
          <w:lang w:val="en-US" w:eastAsia="zh-CN"/>
        </w:rPr>
        <w:t>2</w:t>
      </w:r>
      <w:r>
        <w:rPr>
          <w:rFonts w:hint="eastAsia" w:ascii="宋体" w:hAnsi="宋体" w:eastAsia="宋体" w:cs="宋体"/>
          <w:sz w:val="24"/>
          <w:szCs w:val="24"/>
        </w:rPr>
        <w:t>、质量</w:t>
      </w:r>
      <w:r>
        <w:rPr>
          <w:rFonts w:hint="eastAsia" w:ascii="宋体" w:hAnsi="宋体" w:eastAsia="宋体" w:cs="宋体"/>
          <w:sz w:val="24"/>
          <w:szCs w:val="24"/>
          <w:lang w:val="en-US" w:eastAsia="zh-CN"/>
        </w:rPr>
        <w:t>技术</w:t>
      </w:r>
      <w:r>
        <w:rPr>
          <w:rFonts w:hint="eastAsia" w:ascii="宋体" w:hAnsi="宋体" w:eastAsia="宋体" w:cs="宋体"/>
          <w:sz w:val="24"/>
          <w:szCs w:val="24"/>
        </w:rPr>
        <w:t>交底制度</w:t>
      </w:r>
      <w:bookmarkEnd w:id="852"/>
    </w:p>
    <w:p w14:paraId="2DA95AAE">
      <w:pPr>
        <w:widowControl/>
        <w:spacing w:line="500" w:lineRule="exact"/>
        <w:ind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1）交底采用书面签证确认形式；</w:t>
      </w:r>
    </w:p>
    <w:p w14:paraId="2707D92C">
      <w:pPr>
        <w:widowControl/>
        <w:spacing w:line="500" w:lineRule="exact"/>
        <w:ind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2）施工组织设计编制完毕并送审确认后，由项目经理牵头，项目技术负责人组织全体人员认真学习施工方案，并进行技术、质量、安全书面交底；</w:t>
      </w:r>
    </w:p>
    <w:p w14:paraId="4902F696">
      <w:pPr>
        <w:widowControl/>
        <w:spacing w:line="50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3）施工队伍进场前，质量工程师应组织各劳务分包进行本工程质量目标、质量验收规范要求等的交底；</w:t>
      </w:r>
    </w:p>
    <w:p w14:paraId="2740B0C6">
      <w:pPr>
        <w:widowControl/>
        <w:spacing w:line="50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4）本着“谁施工谁负责质量、安全工作”的原则，各分管工种负责人在安排施工任务的同时，必须对施工班组进行书面技术质量安全交底，做到交底不明确不上岗，不签字不上岗。</w:t>
      </w:r>
    </w:p>
    <w:p w14:paraId="0B2075D8">
      <w:pPr>
        <w:rPr>
          <w:rFonts w:hint="eastAsia" w:ascii="宋体" w:hAnsi="宋体" w:eastAsia="宋体" w:cs="宋体"/>
          <w:sz w:val="24"/>
          <w:szCs w:val="24"/>
        </w:rPr>
      </w:pPr>
      <w:bookmarkStart w:id="853" w:name="_Toc403650466"/>
      <w:r>
        <w:rPr>
          <w:rFonts w:hint="eastAsia" w:ascii="宋体" w:hAnsi="宋体" w:eastAsia="宋体" w:cs="宋体"/>
          <w:sz w:val="24"/>
          <w:szCs w:val="24"/>
          <w:lang w:val="en-US" w:eastAsia="zh-CN"/>
        </w:rPr>
        <w:t>3</w:t>
      </w:r>
      <w:r>
        <w:rPr>
          <w:rFonts w:hint="eastAsia" w:ascii="宋体" w:hAnsi="宋体" w:eastAsia="宋体" w:cs="宋体"/>
          <w:sz w:val="24"/>
          <w:szCs w:val="24"/>
        </w:rPr>
        <w:t>、工程质量“四检制”</w:t>
      </w:r>
      <w:bookmarkEnd w:id="853"/>
    </w:p>
    <w:p w14:paraId="7EEE4EE6">
      <w:pPr>
        <w:widowControl/>
        <w:spacing w:line="500" w:lineRule="exact"/>
        <w:ind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（1）自检</w:t>
      </w:r>
    </w:p>
    <w:p w14:paraId="28B55F4D">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1）操作人员在操作过程中必须按相应的分项工程质量检验评定表进行自检，并经班组长验收后，方准继续进行施工。</w:t>
      </w:r>
    </w:p>
    <w:p w14:paraId="2982643E">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2）班组长对所施工分项工程，在施工过程中应检查班组每个成员的操作质量，并认真填写自检记录。</w:t>
      </w:r>
    </w:p>
    <w:p w14:paraId="42804EB5">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3）责任工程师员应督促班组长自检，应为班组创造自检条件（如提供有关表格，协助解决检测工具等）要对班组操作质量进中间检查。</w:t>
      </w:r>
    </w:p>
    <w:p w14:paraId="37325E29">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（2）互检</w:t>
      </w:r>
    </w:p>
    <w:p w14:paraId="29996D20">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一道工序完成后各班组间应进行</w:t>
      </w:r>
      <w:bookmarkStart w:id="854" w:name="_Toc403650467"/>
      <w:r>
        <w:rPr>
          <w:rFonts w:hint="eastAsia" w:ascii="宋体" w:hAnsi="宋体" w:eastAsia="宋体" w:cs="宋体"/>
          <w:sz w:val="24"/>
          <w:szCs w:val="24"/>
        </w:rPr>
        <w:t>互检查。在施工过程中，项目责任工程师、质量工程师监督指导班组对分项工程的互检情况。</w:t>
      </w:r>
    </w:p>
    <w:p w14:paraId="65618F63">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（3）交接检</w:t>
      </w:r>
    </w:p>
    <w:p w14:paraId="5E6EF385">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上道工序完成后下道工序施工前，班组长应进行交接检查，填写交接检查表，经双方签字，方准进入下道工序。</w:t>
      </w:r>
    </w:p>
    <w:p w14:paraId="7CFC7CF0">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上道工序出成品后应向下道工序办理成品保护手续，而后发生成品损坏、污染、丢失等问题时由下道工序的单位承担责任。</w:t>
      </w:r>
    </w:p>
    <w:p w14:paraId="4171F5BD">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（4）专检</w:t>
      </w:r>
    </w:p>
    <w:p w14:paraId="742F5510">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由质检工程师负责进行，对每个分项、分部工程的测量定位、放线、施工完成质量以及所用的材料、半成品、成品的施工质量，进行逐项的检验验收，及时发现存在的问题，并做好记录。</w:t>
      </w:r>
    </w:p>
    <w:p w14:paraId="3B2EEAE9">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、材料质量管理</w:t>
      </w:r>
      <w:bookmarkEnd w:id="854"/>
      <w:r>
        <w:rPr>
          <w:rFonts w:hint="eastAsia" w:ascii="宋体" w:hAnsi="宋体" w:eastAsia="宋体" w:cs="宋体"/>
          <w:sz w:val="24"/>
          <w:szCs w:val="24"/>
        </w:rPr>
        <w:t>制度</w:t>
      </w:r>
    </w:p>
    <w:p w14:paraId="71FAE285">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1）加强原材料、半成品、构件试验工作，所有原材料、半成品、构件均需提供出厂检验报告、合格证等；</w:t>
      </w:r>
    </w:p>
    <w:p w14:paraId="12212766">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2）严格控制外加工、采购材料的质量；</w:t>
      </w:r>
    </w:p>
    <w:p w14:paraId="45455C83">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3）各类建筑材料到现场后必须由项目经理和项目技术负责人组织有关人员进行抽样，发现问题立即与供应单位联系，直到退货；</w:t>
      </w:r>
    </w:p>
    <w:p w14:paraId="79C199F7">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项目经理部应根据公司提供的合格的供应商名单范围内进行采购。对所有进入工程项目的物资，由现场物资管理员、试验员和质量工程师按规定共同进行检验，并接受监理工程师的抽样见证。需复试的材料经监理工程师旁站按规定通知试验人员取样检验。经检验合格并且施工单位、监理单位应当在检验记录上会签后，材料方可使用。</w:t>
      </w:r>
    </w:p>
    <w:p w14:paraId="40A36757">
      <w:pPr>
        <w:rPr>
          <w:rFonts w:hint="eastAsia" w:ascii="宋体" w:hAnsi="宋体" w:eastAsia="宋体" w:cs="宋体"/>
          <w:sz w:val="24"/>
          <w:szCs w:val="24"/>
        </w:rPr>
      </w:pPr>
      <w:bookmarkStart w:id="855" w:name="_Toc403650468"/>
      <w:r>
        <w:rPr>
          <w:rFonts w:hint="eastAsia" w:ascii="宋体" w:hAnsi="宋体" w:eastAsia="宋体" w:cs="宋体"/>
          <w:sz w:val="24"/>
          <w:szCs w:val="24"/>
          <w:lang w:val="en-US" w:eastAsia="zh-CN"/>
        </w:rPr>
        <w:t>5</w:t>
      </w:r>
      <w:r>
        <w:rPr>
          <w:rFonts w:hint="eastAsia" w:ascii="宋体" w:hAnsi="宋体" w:eastAsia="宋体" w:cs="宋体"/>
          <w:sz w:val="24"/>
          <w:szCs w:val="24"/>
        </w:rPr>
        <w:t>、实测实量制度</w:t>
      </w:r>
      <w:bookmarkEnd w:id="855"/>
    </w:p>
    <w:p w14:paraId="0139EEE6">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项目经理部成立工程质量实测实量管理小组，主要成员有：</w:t>
      </w:r>
    </w:p>
    <w:p w14:paraId="687BC2D8">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组长：</w:t>
      </w:r>
      <w:r>
        <w:rPr>
          <w:rFonts w:hint="eastAsia" w:ascii="宋体" w:hAnsi="宋体" w:eastAsia="宋体" w:cs="宋体"/>
          <w:sz w:val="24"/>
          <w:szCs w:val="24"/>
          <w:lang w:val="en-US" w:eastAsia="zh-CN"/>
        </w:rPr>
        <w:t>技术总工</w:t>
      </w:r>
      <w:r>
        <w:rPr>
          <w:rFonts w:hint="eastAsia" w:ascii="宋体" w:hAnsi="宋体" w:eastAsia="宋体" w:cs="宋体"/>
          <w:sz w:val="24"/>
          <w:szCs w:val="24"/>
        </w:rPr>
        <w:t>（</w:t>
      </w:r>
      <w:r>
        <w:rPr>
          <w:rFonts w:hint="eastAsia" w:ascii="宋体" w:hAnsi="宋体" w:eastAsia="宋体" w:cs="宋体"/>
          <w:sz w:val="24"/>
          <w:szCs w:val="24"/>
          <w:lang w:val="en-US" w:eastAsia="zh-CN"/>
        </w:rPr>
        <w:t>熊政斌</w:t>
      </w:r>
      <w:r>
        <w:rPr>
          <w:rFonts w:hint="eastAsia" w:ascii="宋体" w:hAnsi="宋体" w:eastAsia="宋体" w:cs="宋体"/>
          <w:sz w:val="24"/>
          <w:szCs w:val="24"/>
        </w:rPr>
        <w:t>）</w:t>
      </w:r>
    </w:p>
    <w:p w14:paraId="77B85457">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组员：责任工程师（</w:t>
      </w:r>
      <w:r>
        <w:rPr>
          <w:rFonts w:hint="eastAsia" w:ascii="宋体" w:hAnsi="宋体" w:eastAsia="宋体" w:cs="宋体"/>
          <w:sz w:val="24"/>
          <w:szCs w:val="24"/>
          <w:lang w:val="en-US" w:eastAsia="zh-CN"/>
        </w:rPr>
        <w:t>李书新、石敏、卜连胜</w:t>
      </w:r>
      <w:r>
        <w:rPr>
          <w:rFonts w:hint="eastAsia" w:ascii="宋体" w:hAnsi="宋体" w:eastAsia="宋体" w:cs="宋体"/>
          <w:sz w:val="24"/>
          <w:szCs w:val="24"/>
        </w:rPr>
        <w:t>）、技术工程师（</w:t>
      </w:r>
      <w:r>
        <w:rPr>
          <w:rFonts w:hint="eastAsia" w:ascii="宋体" w:hAnsi="宋体" w:eastAsia="宋体" w:cs="宋体"/>
          <w:sz w:val="24"/>
          <w:szCs w:val="24"/>
          <w:lang w:val="en-US" w:eastAsia="zh-CN"/>
        </w:rPr>
        <w:t>田彦斌、胡金龙</w:t>
      </w:r>
      <w:r>
        <w:rPr>
          <w:rFonts w:hint="eastAsia" w:ascii="宋体" w:hAnsi="宋体" w:eastAsia="宋体" w:cs="宋体"/>
          <w:sz w:val="24"/>
          <w:szCs w:val="24"/>
        </w:rPr>
        <w:t>）、劳务班组长或分包负责人。</w:t>
      </w:r>
    </w:p>
    <w:p w14:paraId="3FC55DC8">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实测实量遵循的检测取样原则为：</w:t>
      </w:r>
    </w:p>
    <w:p w14:paraId="143429E4">
      <w:pPr>
        <w:widowControl/>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sz w:val="24"/>
          <w:szCs w:val="24"/>
        </w:rPr>
        <w:t>1）随即原则：</w:t>
      </w:r>
      <w:r>
        <w:rPr>
          <w:rFonts w:hint="eastAsia" w:ascii="宋体" w:hAnsi="宋体" w:eastAsia="宋体" w:cs="宋体"/>
          <w:kern w:val="2"/>
          <w:sz w:val="24"/>
          <w:szCs w:val="24"/>
        </w:rPr>
        <w:t>各级测量单位及实测人员，结合工程施工进度，通过图纸或现场随机抽样，随机进行抽测各结构、部位及测点等。</w:t>
      </w:r>
    </w:p>
    <w:p w14:paraId="353D278B">
      <w:pPr>
        <w:widowControl/>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2）可追溯原则：对实测实量的各项目标段结构部位做好书面记录并存档。</w:t>
      </w:r>
    </w:p>
    <w:p w14:paraId="18C7B973">
      <w:pPr>
        <w:widowControl/>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3）即时原则：实测主要目的是为了反映当前施工过程质量现状，以对后续施工质量进行改进或纠偏，因此要求项目部针对在施工序进行全面实测。</w:t>
      </w:r>
    </w:p>
    <w:p w14:paraId="3CDA53DD">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kern w:val="2"/>
          <w:sz w:val="24"/>
          <w:szCs w:val="24"/>
        </w:rPr>
        <w:t>4）效率原则：在选取实测数量时，要充分考虑各分部分项的实测指标的可测性，使所测结构包括尽可能多的实测指标，以提高实测效率。</w:t>
      </w:r>
    </w:p>
    <w:p w14:paraId="17FE61BA">
      <w:pPr>
        <w:widowControl/>
        <w:spacing w:line="500" w:lineRule="exact"/>
        <w:rPr>
          <w:rFonts w:hint="eastAsia" w:ascii="宋体" w:hAnsi="宋体" w:eastAsia="宋体" w:cs="宋体"/>
          <w:sz w:val="24"/>
          <w:szCs w:val="24"/>
        </w:rPr>
      </w:pPr>
      <w:r>
        <w:rPr>
          <w:rFonts w:hint="eastAsia" w:ascii="宋体" w:hAnsi="宋体" w:eastAsia="宋体" w:cs="宋体"/>
          <w:sz w:val="24"/>
          <w:szCs w:val="24"/>
        </w:rPr>
        <w:t>实测实量管理小组人员随施工进度及时对施工完成的结构或部位进行实测实量。所有检测数据应遵循实测实量指导手册要求的部位、顺序取样，并做好标示，以保证检查数据之真实性和参考性。然后对检查部位所取的数据进行分析，对存在问题的结构或部位的施工单位下达《质量整改通知单》，要求定措施、定人、定时间进行整改，并对整改的情况上报项目主管领导，并把当月所开展的实测实量结果与分包月度工程款相挂钩。</w:t>
      </w:r>
    </w:p>
    <w:p w14:paraId="4C98F6A6">
      <w:pPr>
        <w:rPr>
          <w:rFonts w:hint="eastAsia" w:ascii="宋体" w:hAnsi="宋体" w:eastAsia="宋体" w:cs="宋体"/>
          <w:sz w:val="24"/>
          <w:szCs w:val="24"/>
        </w:rPr>
      </w:pPr>
      <w:bookmarkStart w:id="856" w:name="_Toc403650469"/>
      <w:r>
        <w:rPr>
          <w:rFonts w:hint="eastAsia" w:ascii="宋体" w:hAnsi="宋体" w:eastAsia="宋体" w:cs="宋体"/>
          <w:sz w:val="24"/>
          <w:szCs w:val="24"/>
          <w:lang w:val="en-US" w:eastAsia="zh-CN"/>
        </w:rPr>
        <w:t>6</w:t>
      </w:r>
      <w:r>
        <w:rPr>
          <w:rFonts w:hint="eastAsia" w:ascii="宋体" w:hAnsi="宋体" w:eastAsia="宋体" w:cs="宋体"/>
          <w:sz w:val="24"/>
          <w:szCs w:val="24"/>
        </w:rPr>
        <w:t>、工程质量施工挂牌制度</w:t>
      </w:r>
      <w:bookmarkEnd w:id="856"/>
    </w:p>
    <w:p w14:paraId="196EA388">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bookmarkStart w:id="857" w:name="_Toc403650471"/>
      <w:r>
        <w:rPr>
          <w:rFonts w:hint="eastAsia" w:ascii="宋体" w:hAnsi="宋体" w:eastAsia="宋体" w:cs="宋体"/>
          <w:sz w:val="24"/>
          <w:szCs w:val="24"/>
        </w:rPr>
        <w:t>）对施工现场及仓库堆放的原材料、成品、半成品应进行分类，做好挂牌标识。标识内容为：产品名称、规格型号、产地、厂家、检验状态。</w:t>
      </w:r>
    </w:p>
    <w:p w14:paraId="0470D6E7">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2）在班组施工段醒目处悬挂“班组质量目标”挂牌由责任工程师组织实施。</w:t>
      </w:r>
    </w:p>
    <w:p w14:paraId="5DEDA43B">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3）在工人操作地点醒目处书写或粘贴“操作人员质量目标”标牌。内容应为：班组名称、操作人员、质量等级。由班组长负责实施。</w:t>
      </w:r>
    </w:p>
    <w:p w14:paraId="47F0A9C1">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、质量例会制度</w:t>
      </w:r>
    </w:p>
    <w:p w14:paraId="6852F322">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项目部每周召开质量周例会，每月召开一次质量专题会议</w:t>
      </w:r>
      <w:r>
        <w:rPr>
          <w:rFonts w:hint="eastAsia" w:ascii="宋体" w:hAnsi="宋体" w:eastAsia="宋体" w:cs="宋体"/>
          <w:sz w:val="24"/>
          <w:szCs w:val="24"/>
          <w:lang w:val="en-US" w:eastAsia="zh-CN"/>
        </w:rPr>
        <w:t>或</w:t>
      </w:r>
      <w:r>
        <w:rPr>
          <w:rFonts w:hint="eastAsia" w:ascii="宋体" w:hAnsi="宋体" w:eastAsia="宋体" w:cs="宋体"/>
          <w:sz w:val="24"/>
          <w:szCs w:val="24"/>
        </w:rPr>
        <w:t>质量分析会，由项目部</w:t>
      </w:r>
      <w:r>
        <w:rPr>
          <w:rFonts w:hint="eastAsia" w:ascii="宋体" w:hAnsi="宋体" w:eastAsia="宋体" w:cs="宋体"/>
          <w:sz w:val="24"/>
          <w:szCs w:val="24"/>
          <w:lang w:val="en-US" w:eastAsia="zh-CN"/>
        </w:rPr>
        <w:t>技术</w:t>
      </w:r>
      <w:r>
        <w:rPr>
          <w:rFonts w:hint="eastAsia" w:ascii="宋体" w:hAnsi="宋体" w:eastAsia="宋体" w:cs="宋体"/>
          <w:sz w:val="24"/>
          <w:szCs w:val="24"/>
        </w:rPr>
        <w:t>负责人组织，现场管理人员和技术人员及劳务管理人员参加，针对施工中存在的质量问题进行通报，提出解决问题的方法，防止类似的问题再次发生，</w:t>
      </w:r>
      <w:bookmarkEnd w:id="857"/>
      <w:r>
        <w:rPr>
          <w:rFonts w:hint="eastAsia" w:ascii="宋体" w:hAnsi="宋体" w:eastAsia="宋体" w:cs="宋体"/>
          <w:sz w:val="24"/>
          <w:szCs w:val="24"/>
        </w:rPr>
        <w:t>并下发给项目部和劳务队。</w:t>
      </w:r>
    </w:p>
    <w:p w14:paraId="1BA2888E">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、成品保护制度</w:t>
      </w:r>
    </w:p>
    <w:p w14:paraId="26979220">
      <w:pPr>
        <w:widowControl/>
        <w:tabs>
          <w:tab w:val="left" w:pos="0"/>
          <w:tab w:val="left" w:pos="900"/>
          <w:tab w:val="left" w:pos="1080"/>
          <w:tab w:val="left" w:pos="1260"/>
          <w:tab w:val="left" w:pos="1440"/>
          <w:tab w:val="left" w:pos="8100"/>
        </w:tabs>
        <w:snapToGrid/>
        <w:spacing w:line="500" w:lineRule="exact"/>
        <w:ind w:left="0" w:leftChars="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1）凡运进施工现场的成品、半成品一律按施工平面布置图分类堆放。</w:t>
      </w:r>
    </w:p>
    <w:p w14:paraId="01C0DD51">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2）成品、半成品堆放要符合要求。材料要分类做到成线，成行、成面的堆放，并做好保护措施。</w:t>
      </w:r>
    </w:p>
    <w:p w14:paraId="183FBBA5">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3）钢筋或钢结构原材、半成品、成品要覆盖，要采取下垫上盖防潮、防晒和防盗措施。</w:t>
      </w:r>
    </w:p>
    <w:p w14:paraId="45BCB710">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4）结构中的门窗洞口、管线要采取有效的保护措施。</w:t>
      </w:r>
    </w:p>
    <w:p w14:paraId="7EFC6648">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施工范围</w:t>
      </w:r>
      <w:r>
        <w:rPr>
          <w:rFonts w:hint="eastAsia" w:ascii="宋体" w:hAnsi="宋体" w:eastAsia="宋体" w:cs="宋体"/>
          <w:kern w:val="2"/>
          <w:sz w:val="24"/>
          <w:szCs w:val="24"/>
        </w:rPr>
        <w:t>内的垃圾要按要求堆放，并及时安排车辆运走，避免污染结构。</w:t>
      </w:r>
    </w:p>
    <w:p w14:paraId="32F783CF">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每道工序完成后，成品保护应列入交接检查内容，在责任工程师主持下认真检查交接、并计入当天施工日志中。对损坏、污染成品、半成品的班组和个人，视情节轻重程度和损坏程度，给予纪律处分和经济处罚。</w:t>
      </w:r>
    </w:p>
    <w:p w14:paraId="44BD03CE">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8"/>
          <w:sz w:val="24"/>
          <w:szCs w:val="24"/>
        </w:rPr>
      </w:pP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）各专业施工队伍必须自行设置作业范围内的保护措施，并对各自的作业成品自行负责</w:t>
      </w:r>
      <w:r>
        <w:rPr>
          <w:rFonts w:hint="eastAsia" w:ascii="宋体" w:hAnsi="宋体" w:eastAsia="宋体" w:cs="宋体"/>
          <w:kern w:val="28"/>
          <w:sz w:val="24"/>
          <w:szCs w:val="24"/>
        </w:rPr>
        <w:t>。</w:t>
      </w:r>
    </w:p>
    <w:p w14:paraId="13612C0D">
      <w:pP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 奖罚制度</w:t>
      </w:r>
    </w:p>
    <w:p w14:paraId="08E12ACC">
      <w:pPr>
        <w:widowControl/>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为了认真贯彻执行国家制定的质量方针和政策，全面落实质量责任制，牢固树立“百年大计，质量第一”的观念，防止质量事故的发生，保障项目部和员工的经济利益，特制定本制度。</w:t>
      </w:r>
    </w:p>
    <w:p w14:paraId="26898F86">
      <w:pPr>
        <w:pStyle w:val="20"/>
        <w:rPr>
          <w:rFonts w:hint="eastAsia" w:ascii="仿宋" w:hAnsi="仿宋" w:eastAsia="仿宋" w:cs="仿宋"/>
          <w:kern w:val="0"/>
          <w:sz w:val="28"/>
          <w:szCs w:val="28"/>
          <w:highlight w:val="none"/>
        </w:rPr>
      </w:pPr>
      <w:r>
        <w:rPr>
          <w:rFonts w:hint="eastAsia" w:ascii="宋体" w:hAnsi="宋体" w:eastAsia="宋体" w:cs="宋体"/>
          <w:kern w:val="2"/>
          <w:sz w:val="24"/>
          <w:szCs w:val="24"/>
        </w:rPr>
        <w:t>本制度本着以教育为主处罚为辅的原则进行实施，对于屡教不改者可就情节的严重程度按照标准翻倍处罚，罚款以罚款单的形式告知罚款对象，罚金将直接从每月工程进度款中直接扣除。</w:t>
      </w:r>
    </w:p>
    <w:bookmarkEnd w:id="0"/>
    <w:bookmarkEnd w:id="1"/>
    <w:p w14:paraId="66EDFE1A">
      <w:pPr>
        <w:jc w:val="center"/>
        <w:rPr>
          <w:rFonts w:ascii="黑体" w:eastAsia="黑体"/>
          <w:b/>
        </w:rPr>
      </w:pPr>
      <w:r>
        <w:rPr>
          <w:rFonts w:hint="eastAsia" w:ascii="黑体" w:eastAsia="黑体"/>
          <w:b/>
          <w:sz w:val="28"/>
          <w:szCs w:val="28"/>
        </w:rPr>
        <w:t>工程质量处罚标准表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2887"/>
        <w:gridCol w:w="1841"/>
      </w:tblGrid>
      <w:tr w14:paraId="15B6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FB3C9F3">
            <w:pPr>
              <w:spacing w:after="120"/>
              <w:jc w:val="center"/>
              <w:rPr>
                <w:rFonts w:ascii="宋体" w:hAnsi="宋体"/>
                <w:sz w:val="21"/>
                <w:szCs w:val="21"/>
              </w:rPr>
            </w:pPr>
            <w:r>
              <w:rPr>
                <w:rFonts w:hint="eastAsia" w:ascii="宋体" w:hAnsi="宋体"/>
                <w:sz w:val="21"/>
                <w:szCs w:val="21"/>
              </w:rPr>
              <w:t>项目</w:t>
            </w:r>
          </w:p>
        </w:tc>
        <w:tc>
          <w:tcPr>
            <w:tcW w:w="3119" w:type="dxa"/>
            <w:vAlign w:val="center"/>
          </w:tcPr>
          <w:p w14:paraId="5C4C3A8E">
            <w:pPr>
              <w:spacing w:after="120"/>
              <w:ind w:firstLine="420" w:firstLineChars="200"/>
              <w:jc w:val="center"/>
              <w:rPr>
                <w:rFonts w:ascii="宋体" w:hAnsi="宋体"/>
                <w:sz w:val="21"/>
                <w:szCs w:val="21"/>
              </w:rPr>
            </w:pPr>
            <w:r>
              <w:rPr>
                <w:rFonts w:hint="eastAsia" w:ascii="宋体" w:hAnsi="宋体"/>
                <w:sz w:val="21"/>
                <w:szCs w:val="21"/>
              </w:rPr>
              <w:t>内      容</w:t>
            </w:r>
          </w:p>
        </w:tc>
        <w:tc>
          <w:tcPr>
            <w:tcW w:w="2887" w:type="dxa"/>
            <w:vAlign w:val="center"/>
          </w:tcPr>
          <w:p w14:paraId="771D92E4">
            <w:pPr>
              <w:spacing w:after="120"/>
              <w:jc w:val="center"/>
              <w:rPr>
                <w:rFonts w:ascii="宋体" w:hAnsi="宋体"/>
                <w:sz w:val="21"/>
                <w:szCs w:val="21"/>
              </w:rPr>
            </w:pPr>
            <w:r>
              <w:rPr>
                <w:rFonts w:hint="eastAsia" w:ascii="宋体" w:hAnsi="宋体"/>
                <w:sz w:val="21"/>
                <w:szCs w:val="21"/>
              </w:rPr>
              <w:t>处 罚 金 额</w:t>
            </w:r>
          </w:p>
        </w:tc>
        <w:tc>
          <w:tcPr>
            <w:tcW w:w="1841" w:type="dxa"/>
            <w:vAlign w:val="center"/>
          </w:tcPr>
          <w:p w14:paraId="47C4EBEC">
            <w:pPr>
              <w:spacing w:after="120"/>
              <w:jc w:val="center"/>
              <w:rPr>
                <w:rFonts w:ascii="宋体" w:hAnsi="宋体"/>
                <w:sz w:val="21"/>
                <w:szCs w:val="21"/>
              </w:rPr>
            </w:pPr>
            <w:r>
              <w:rPr>
                <w:rFonts w:hint="eastAsia" w:ascii="宋体" w:hAnsi="宋体"/>
                <w:sz w:val="21"/>
                <w:szCs w:val="21"/>
              </w:rPr>
              <w:t>备    注</w:t>
            </w:r>
          </w:p>
        </w:tc>
      </w:tr>
      <w:tr w14:paraId="3CFC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2E5C57C3">
            <w:pPr>
              <w:spacing w:after="120"/>
              <w:jc w:val="center"/>
              <w:rPr>
                <w:rFonts w:hint="eastAsia" w:ascii="宋体" w:hAnsi="宋体" w:eastAsia="宋体"/>
                <w:sz w:val="21"/>
                <w:szCs w:val="21"/>
                <w:lang w:val="en-US" w:eastAsia="zh-CN"/>
              </w:rPr>
            </w:pPr>
            <w:r>
              <w:rPr>
                <w:rFonts w:hint="eastAsia" w:ascii="宋体" w:hAnsi="宋体"/>
                <w:sz w:val="21"/>
                <w:szCs w:val="21"/>
              </w:rPr>
              <w:t>管理</w:t>
            </w:r>
            <w:r>
              <w:rPr>
                <w:rFonts w:hint="eastAsia" w:ascii="宋体" w:hAnsi="宋体"/>
                <w:sz w:val="21"/>
                <w:szCs w:val="21"/>
                <w:lang w:val="en-US" w:eastAsia="zh-CN"/>
              </w:rPr>
              <w:t>制度</w:t>
            </w:r>
          </w:p>
        </w:tc>
        <w:tc>
          <w:tcPr>
            <w:tcW w:w="3119" w:type="dxa"/>
            <w:vAlign w:val="center"/>
          </w:tcPr>
          <w:p w14:paraId="443F8369">
            <w:pPr>
              <w:spacing w:after="120"/>
              <w:jc w:val="left"/>
              <w:rPr>
                <w:rFonts w:hint="eastAsia" w:ascii="宋体" w:hAnsi="宋体" w:cs="Times New Roman"/>
                <w:sz w:val="21"/>
                <w:szCs w:val="21"/>
                <w:lang w:val="en-US" w:eastAsia="zh-CN"/>
              </w:rPr>
            </w:pPr>
            <w:r>
              <w:rPr>
                <w:rFonts w:hint="eastAsia" w:ascii="宋体" w:hAnsi="宋体" w:cs="Times New Roman"/>
                <w:sz w:val="21"/>
                <w:szCs w:val="21"/>
                <w:lang w:val="en-US" w:eastAsia="zh-CN"/>
              </w:rPr>
              <w:t>1、未经总包单位、监理单位验收合格的，擅自进行后续施工造成损失</w:t>
            </w:r>
          </w:p>
        </w:tc>
        <w:tc>
          <w:tcPr>
            <w:tcW w:w="2887" w:type="dxa"/>
            <w:vAlign w:val="center"/>
          </w:tcPr>
          <w:p w14:paraId="6966A97F">
            <w:pPr>
              <w:spacing w:after="120"/>
              <w:jc w:val="center"/>
              <w:rPr>
                <w:rFonts w:hint="eastAsia" w:ascii="宋体" w:hAnsi="宋体" w:cs="Times New Roman"/>
                <w:sz w:val="21"/>
                <w:szCs w:val="21"/>
              </w:rPr>
            </w:pPr>
            <w:r>
              <w:rPr>
                <w:rFonts w:hint="eastAsia" w:ascii="宋体" w:hAnsi="宋体" w:cs="Times New Roman"/>
                <w:sz w:val="21"/>
                <w:szCs w:val="21"/>
                <w:lang w:val="en-US" w:eastAsia="zh-CN"/>
              </w:rPr>
              <w:t>2000元/次</w:t>
            </w:r>
          </w:p>
        </w:tc>
        <w:tc>
          <w:tcPr>
            <w:tcW w:w="1841" w:type="dxa"/>
            <w:vAlign w:val="center"/>
          </w:tcPr>
          <w:p w14:paraId="093D6CBD">
            <w:pPr>
              <w:spacing w:after="120"/>
              <w:jc w:val="left"/>
              <w:rPr>
                <w:rFonts w:hint="default" w:ascii="宋体" w:hAnsi="宋体" w:cs="Times New Roman"/>
                <w:sz w:val="21"/>
                <w:szCs w:val="21"/>
                <w:lang w:val="en-US" w:eastAsia="zh-CN"/>
              </w:rPr>
            </w:pPr>
            <w:r>
              <w:rPr>
                <w:rFonts w:hint="eastAsia" w:ascii="宋体" w:hAnsi="宋体" w:cs="Times New Roman"/>
                <w:sz w:val="21"/>
                <w:szCs w:val="21"/>
                <w:lang w:val="en-US" w:eastAsia="zh-CN"/>
              </w:rPr>
              <w:t>造成经济损失的由责任单位承担。</w:t>
            </w:r>
          </w:p>
          <w:p w14:paraId="6F52FB28">
            <w:pPr>
              <w:spacing w:after="120"/>
              <w:jc w:val="left"/>
              <w:rPr>
                <w:rFonts w:hint="eastAsia" w:ascii="宋体" w:hAnsi="宋体" w:cs="Times New Roman"/>
                <w:sz w:val="21"/>
                <w:szCs w:val="21"/>
              </w:rPr>
            </w:pPr>
          </w:p>
        </w:tc>
      </w:tr>
      <w:tr w14:paraId="222A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2CCAE1E">
            <w:pPr>
              <w:spacing w:after="120"/>
              <w:jc w:val="center"/>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3119" w:type="dxa"/>
            <w:vAlign w:val="center"/>
          </w:tcPr>
          <w:p w14:paraId="76749324">
            <w:pPr>
              <w:spacing w:after="120"/>
              <w:jc w:val="left"/>
              <w:rPr>
                <w:rFonts w:hint="default" w:ascii="宋体" w:hAnsi="宋体" w:cs="Times New Roman"/>
                <w:sz w:val="21"/>
                <w:szCs w:val="21"/>
                <w:lang w:val="en-US" w:eastAsia="zh-CN"/>
              </w:rPr>
            </w:pPr>
            <w:r>
              <w:rPr>
                <w:rFonts w:hint="eastAsia" w:ascii="宋体" w:hAnsi="宋体" w:cs="Times New Roman"/>
                <w:sz w:val="21"/>
                <w:szCs w:val="21"/>
                <w:lang w:val="en-US" w:eastAsia="zh-CN"/>
              </w:rPr>
              <w:t>2、分包单位</w:t>
            </w:r>
            <w:r>
              <w:rPr>
                <w:rFonts w:hint="eastAsia" w:ascii="宋体" w:hAnsi="宋体" w:cs="Times New Roman"/>
                <w:sz w:val="21"/>
                <w:szCs w:val="21"/>
                <w:lang w:eastAsia="zh-CN"/>
              </w:rPr>
              <w:t>分部、分项工程施工时，无书面技术交底，无专项施工方案</w:t>
            </w:r>
          </w:p>
        </w:tc>
        <w:tc>
          <w:tcPr>
            <w:tcW w:w="2887" w:type="dxa"/>
            <w:vAlign w:val="center"/>
          </w:tcPr>
          <w:p w14:paraId="68176E62">
            <w:pPr>
              <w:spacing w:after="120"/>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1000元/次</w:t>
            </w:r>
          </w:p>
        </w:tc>
        <w:tc>
          <w:tcPr>
            <w:tcW w:w="1841" w:type="dxa"/>
            <w:vAlign w:val="center"/>
          </w:tcPr>
          <w:p w14:paraId="11D68C42">
            <w:pPr>
              <w:spacing w:after="120"/>
              <w:jc w:val="left"/>
              <w:rPr>
                <w:rFonts w:hint="eastAsia" w:ascii="宋体" w:hAnsi="宋体" w:cs="Times New Roman"/>
                <w:sz w:val="21"/>
                <w:szCs w:val="21"/>
              </w:rPr>
            </w:pPr>
          </w:p>
        </w:tc>
      </w:tr>
      <w:tr w14:paraId="2EE5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5F83666">
            <w:pPr>
              <w:spacing w:after="120"/>
              <w:jc w:val="center"/>
              <w:rPr>
                <w:rFonts w:hint="eastAsia" w:ascii="宋体" w:hAnsi="宋体"/>
                <w:sz w:val="21"/>
                <w:szCs w:val="21"/>
              </w:rPr>
            </w:pPr>
          </w:p>
        </w:tc>
        <w:tc>
          <w:tcPr>
            <w:tcW w:w="3119" w:type="dxa"/>
            <w:vAlign w:val="center"/>
          </w:tcPr>
          <w:p w14:paraId="2DBDF6E2">
            <w:pPr>
              <w:spacing w:after="120"/>
              <w:jc w:val="lef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、未按要求填写“四检制”记录表或填写不认真</w:t>
            </w:r>
          </w:p>
        </w:tc>
        <w:tc>
          <w:tcPr>
            <w:tcW w:w="2887" w:type="dxa"/>
            <w:vAlign w:val="center"/>
          </w:tcPr>
          <w:p w14:paraId="717114D2">
            <w:pPr>
              <w:spacing w:after="120"/>
              <w:jc w:val="center"/>
              <w:rPr>
                <w:rFonts w:hint="eastAsia" w:ascii="宋体" w:hAnsi="宋体"/>
                <w:sz w:val="21"/>
                <w:szCs w:val="21"/>
                <w:lang w:val="en-US" w:eastAsia="zh-CN"/>
              </w:rPr>
            </w:pPr>
            <w:r>
              <w:rPr>
                <w:rFonts w:hint="eastAsia" w:ascii="宋体" w:hAnsi="宋体"/>
                <w:sz w:val="21"/>
                <w:szCs w:val="21"/>
                <w:lang w:val="en-US" w:eastAsia="zh-CN"/>
              </w:rPr>
              <w:t>2</w:t>
            </w:r>
            <w:r>
              <w:rPr>
                <w:rFonts w:hint="eastAsia" w:ascii="宋体" w:hAnsi="宋体"/>
                <w:sz w:val="21"/>
                <w:szCs w:val="21"/>
              </w:rPr>
              <w:t>00元/次</w:t>
            </w:r>
          </w:p>
        </w:tc>
        <w:tc>
          <w:tcPr>
            <w:tcW w:w="1841" w:type="dxa"/>
            <w:vAlign w:val="center"/>
          </w:tcPr>
          <w:p w14:paraId="3242CC8A">
            <w:pPr>
              <w:spacing w:after="120"/>
              <w:ind w:firstLine="420" w:firstLineChars="200"/>
              <w:jc w:val="center"/>
              <w:rPr>
                <w:rFonts w:ascii="宋体" w:hAnsi="宋体"/>
                <w:sz w:val="21"/>
                <w:szCs w:val="21"/>
              </w:rPr>
            </w:pPr>
          </w:p>
        </w:tc>
      </w:tr>
      <w:tr w14:paraId="0693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C959043">
            <w:pPr>
              <w:spacing w:after="120"/>
              <w:ind w:firstLine="420" w:firstLineChars="200"/>
              <w:jc w:val="center"/>
              <w:rPr>
                <w:rFonts w:ascii="宋体" w:hAnsi="宋体"/>
                <w:sz w:val="21"/>
                <w:szCs w:val="21"/>
              </w:rPr>
            </w:pPr>
          </w:p>
        </w:tc>
        <w:tc>
          <w:tcPr>
            <w:tcW w:w="3119" w:type="dxa"/>
            <w:vAlign w:val="center"/>
          </w:tcPr>
          <w:p w14:paraId="02BB9270">
            <w:pPr>
              <w:spacing w:after="120"/>
              <w:jc w:val="left"/>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、各种施工记录、材料检验记录、报告等未填写或填写不认真</w:t>
            </w:r>
          </w:p>
        </w:tc>
        <w:tc>
          <w:tcPr>
            <w:tcW w:w="2887" w:type="dxa"/>
            <w:vAlign w:val="center"/>
          </w:tcPr>
          <w:p w14:paraId="30882989">
            <w:pPr>
              <w:spacing w:after="120"/>
              <w:jc w:val="center"/>
              <w:rPr>
                <w:rFonts w:ascii="宋体" w:hAnsi="宋体"/>
                <w:sz w:val="21"/>
                <w:szCs w:val="21"/>
              </w:rPr>
            </w:pPr>
            <w:r>
              <w:rPr>
                <w:rFonts w:hint="eastAsia" w:ascii="宋体" w:hAnsi="宋体"/>
                <w:sz w:val="21"/>
                <w:szCs w:val="21"/>
              </w:rPr>
              <w:t>100元/次</w:t>
            </w:r>
          </w:p>
        </w:tc>
        <w:tc>
          <w:tcPr>
            <w:tcW w:w="1841" w:type="dxa"/>
            <w:vAlign w:val="center"/>
          </w:tcPr>
          <w:p w14:paraId="33E5D555">
            <w:pPr>
              <w:spacing w:after="120"/>
              <w:ind w:firstLine="420" w:firstLineChars="200"/>
              <w:jc w:val="center"/>
              <w:rPr>
                <w:rFonts w:ascii="宋体" w:hAnsi="宋体"/>
                <w:sz w:val="21"/>
                <w:szCs w:val="21"/>
              </w:rPr>
            </w:pPr>
          </w:p>
        </w:tc>
      </w:tr>
      <w:tr w14:paraId="3B2F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14:paraId="431337A1">
            <w:pPr>
              <w:spacing w:after="120"/>
              <w:ind w:firstLine="420" w:firstLineChars="200"/>
              <w:jc w:val="center"/>
              <w:rPr>
                <w:rFonts w:ascii="宋体" w:hAnsi="宋体"/>
                <w:sz w:val="21"/>
                <w:szCs w:val="21"/>
              </w:rPr>
            </w:pPr>
          </w:p>
        </w:tc>
        <w:tc>
          <w:tcPr>
            <w:tcW w:w="3119" w:type="dxa"/>
            <w:vAlign w:val="center"/>
          </w:tcPr>
          <w:p w14:paraId="23FA5463">
            <w:pPr>
              <w:spacing w:after="120"/>
              <w:jc w:val="left"/>
              <w:rPr>
                <w:rFonts w:ascii="宋体" w:hAnsi="宋体"/>
                <w:sz w:val="21"/>
                <w:szCs w:val="21"/>
              </w:rPr>
            </w:pPr>
            <w:r>
              <w:rPr>
                <w:rFonts w:hint="eastAsia" w:ascii="宋体" w:hAnsi="宋体"/>
                <w:sz w:val="21"/>
                <w:szCs w:val="21"/>
                <w:lang w:val="en-US" w:eastAsia="zh-CN"/>
              </w:rPr>
              <w:t>5</w:t>
            </w:r>
            <w:r>
              <w:rPr>
                <w:rFonts w:hint="eastAsia" w:ascii="宋体" w:hAnsi="宋体"/>
                <w:sz w:val="21"/>
                <w:szCs w:val="21"/>
              </w:rPr>
              <w:t>、收到质量整改通知单未在规定时间内按要求整改</w:t>
            </w:r>
          </w:p>
        </w:tc>
        <w:tc>
          <w:tcPr>
            <w:tcW w:w="2887" w:type="dxa"/>
            <w:vAlign w:val="center"/>
          </w:tcPr>
          <w:p w14:paraId="67288A7A">
            <w:pPr>
              <w:spacing w:after="120"/>
              <w:jc w:val="center"/>
              <w:rPr>
                <w:rFonts w:ascii="宋体" w:hAnsi="宋体"/>
                <w:sz w:val="21"/>
                <w:szCs w:val="21"/>
              </w:rPr>
            </w:pPr>
            <w:r>
              <w:rPr>
                <w:rFonts w:hint="eastAsia" w:ascii="宋体" w:hAnsi="宋体"/>
                <w:sz w:val="21"/>
                <w:szCs w:val="21"/>
                <w:lang w:val="en-US" w:eastAsia="zh-CN"/>
              </w:rPr>
              <w:t>10</w:t>
            </w:r>
            <w:r>
              <w:rPr>
                <w:rFonts w:hint="eastAsia" w:ascii="宋体" w:hAnsi="宋体"/>
                <w:sz w:val="21"/>
                <w:szCs w:val="21"/>
              </w:rPr>
              <w:t>00元/次</w:t>
            </w:r>
          </w:p>
        </w:tc>
        <w:tc>
          <w:tcPr>
            <w:tcW w:w="1841" w:type="dxa"/>
            <w:vAlign w:val="center"/>
          </w:tcPr>
          <w:p w14:paraId="2C686E05">
            <w:pPr>
              <w:spacing w:after="120"/>
              <w:jc w:val="center"/>
              <w:rPr>
                <w:rFonts w:ascii="宋体" w:hAnsi="宋体"/>
                <w:sz w:val="21"/>
                <w:szCs w:val="21"/>
              </w:rPr>
            </w:pPr>
            <w:r>
              <w:rPr>
                <w:rFonts w:hint="eastAsia" w:ascii="宋体" w:hAnsi="宋体"/>
                <w:sz w:val="21"/>
                <w:szCs w:val="21"/>
              </w:rPr>
              <w:t>情节严重的进行翻倍罚款，具体罚款视现场情况定</w:t>
            </w:r>
          </w:p>
        </w:tc>
      </w:tr>
      <w:tr w14:paraId="36A8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5C9BA15">
            <w:pPr>
              <w:spacing w:after="120"/>
              <w:ind w:firstLine="420" w:firstLineChars="200"/>
              <w:jc w:val="center"/>
              <w:rPr>
                <w:rFonts w:ascii="宋体" w:hAnsi="宋体"/>
                <w:sz w:val="21"/>
                <w:szCs w:val="21"/>
              </w:rPr>
            </w:pPr>
          </w:p>
        </w:tc>
        <w:tc>
          <w:tcPr>
            <w:tcW w:w="3119" w:type="dxa"/>
            <w:vAlign w:val="center"/>
          </w:tcPr>
          <w:p w14:paraId="2B86CD51">
            <w:pPr>
              <w:spacing w:after="120"/>
              <w:jc w:val="left"/>
              <w:rPr>
                <w:rFonts w:ascii="宋体" w:hAnsi="宋体"/>
                <w:sz w:val="21"/>
                <w:szCs w:val="21"/>
              </w:rPr>
            </w:pPr>
            <w:r>
              <w:rPr>
                <w:rFonts w:hint="eastAsia" w:ascii="宋体" w:hAnsi="宋体"/>
                <w:sz w:val="21"/>
                <w:szCs w:val="21"/>
                <w:lang w:val="en-US" w:eastAsia="zh-CN"/>
              </w:rPr>
              <w:t>6</w:t>
            </w:r>
            <w:r>
              <w:rPr>
                <w:rFonts w:hint="eastAsia" w:ascii="宋体" w:hAnsi="宋体"/>
                <w:sz w:val="21"/>
                <w:szCs w:val="21"/>
              </w:rPr>
              <w:t>、对出现的质量问题进行隐瞒、谎报</w:t>
            </w:r>
          </w:p>
        </w:tc>
        <w:tc>
          <w:tcPr>
            <w:tcW w:w="2887" w:type="dxa"/>
            <w:vAlign w:val="center"/>
          </w:tcPr>
          <w:p w14:paraId="0A4816AF">
            <w:pPr>
              <w:spacing w:after="120"/>
              <w:jc w:val="center"/>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000元/次</w:t>
            </w:r>
          </w:p>
        </w:tc>
        <w:tc>
          <w:tcPr>
            <w:tcW w:w="1841" w:type="dxa"/>
            <w:vAlign w:val="center"/>
          </w:tcPr>
          <w:p w14:paraId="752A8ABD">
            <w:pPr>
              <w:spacing w:after="120"/>
              <w:jc w:val="center"/>
              <w:rPr>
                <w:rFonts w:ascii="宋体" w:hAnsi="宋体"/>
                <w:sz w:val="21"/>
                <w:szCs w:val="21"/>
              </w:rPr>
            </w:pPr>
            <w:r>
              <w:rPr>
                <w:rFonts w:hint="eastAsia" w:ascii="宋体" w:hAnsi="宋体"/>
                <w:sz w:val="21"/>
                <w:szCs w:val="21"/>
              </w:rPr>
              <w:t>情节严重的，更换现场管理人员</w:t>
            </w:r>
          </w:p>
        </w:tc>
      </w:tr>
      <w:tr w14:paraId="3137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70861F9B">
            <w:pPr>
              <w:spacing w:after="120"/>
              <w:ind w:firstLine="420" w:firstLineChars="200"/>
              <w:jc w:val="center"/>
              <w:rPr>
                <w:rFonts w:ascii="宋体" w:hAnsi="宋体"/>
                <w:sz w:val="21"/>
                <w:szCs w:val="21"/>
              </w:rPr>
            </w:pPr>
          </w:p>
        </w:tc>
        <w:tc>
          <w:tcPr>
            <w:tcW w:w="3119" w:type="dxa"/>
            <w:vAlign w:val="center"/>
          </w:tcPr>
          <w:p w14:paraId="438B7888">
            <w:pPr>
              <w:spacing w:after="120"/>
              <w:jc w:val="left"/>
              <w:rPr>
                <w:rFonts w:ascii="宋体" w:hAnsi="宋体"/>
                <w:sz w:val="21"/>
                <w:szCs w:val="21"/>
              </w:rPr>
            </w:pPr>
            <w:r>
              <w:rPr>
                <w:rFonts w:hint="eastAsia" w:ascii="宋体" w:hAnsi="宋体"/>
                <w:sz w:val="21"/>
                <w:szCs w:val="21"/>
                <w:lang w:val="en-US" w:eastAsia="zh-CN"/>
              </w:rPr>
              <w:t>7</w:t>
            </w:r>
            <w:r>
              <w:rPr>
                <w:rFonts w:hint="eastAsia" w:ascii="宋体" w:hAnsi="宋体"/>
                <w:sz w:val="21"/>
                <w:szCs w:val="21"/>
              </w:rPr>
              <w:t>、混凝土浇筑等</w:t>
            </w:r>
            <w:r>
              <w:rPr>
                <w:rFonts w:hint="eastAsia" w:ascii="宋体" w:hAnsi="宋体"/>
                <w:sz w:val="21"/>
                <w:szCs w:val="21"/>
                <w:lang w:val="en-US" w:eastAsia="zh-CN"/>
              </w:rPr>
              <w:t>重要工序</w:t>
            </w:r>
            <w:r>
              <w:rPr>
                <w:rFonts w:hint="eastAsia" w:ascii="宋体" w:hAnsi="宋体"/>
                <w:sz w:val="21"/>
                <w:szCs w:val="21"/>
              </w:rPr>
              <w:t>，要求旁站监控的重点工序施工时工长及现场值班管理人员擅自脱岗</w:t>
            </w:r>
          </w:p>
        </w:tc>
        <w:tc>
          <w:tcPr>
            <w:tcW w:w="2887" w:type="dxa"/>
            <w:vAlign w:val="center"/>
          </w:tcPr>
          <w:p w14:paraId="2440A354">
            <w:pPr>
              <w:spacing w:after="120"/>
              <w:jc w:val="center"/>
              <w:rPr>
                <w:rFonts w:ascii="宋体" w:hAnsi="宋体"/>
                <w:sz w:val="21"/>
                <w:szCs w:val="21"/>
              </w:rPr>
            </w:pPr>
            <w:r>
              <w:rPr>
                <w:rFonts w:hint="eastAsia" w:ascii="宋体" w:hAnsi="宋体"/>
                <w:sz w:val="21"/>
                <w:szCs w:val="21"/>
              </w:rPr>
              <w:t>500元/次</w:t>
            </w:r>
          </w:p>
        </w:tc>
        <w:tc>
          <w:tcPr>
            <w:tcW w:w="1841" w:type="dxa"/>
            <w:vAlign w:val="center"/>
          </w:tcPr>
          <w:p w14:paraId="1696A945">
            <w:pPr>
              <w:spacing w:after="120"/>
              <w:ind w:firstLine="420" w:firstLineChars="200"/>
              <w:jc w:val="center"/>
              <w:rPr>
                <w:rFonts w:ascii="宋体" w:hAnsi="宋体"/>
                <w:sz w:val="21"/>
                <w:szCs w:val="21"/>
              </w:rPr>
            </w:pPr>
          </w:p>
        </w:tc>
      </w:tr>
      <w:tr w14:paraId="33BA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647694ED">
            <w:pPr>
              <w:spacing w:after="120"/>
              <w:ind w:firstLine="420" w:firstLineChars="200"/>
              <w:jc w:val="center"/>
              <w:rPr>
                <w:rFonts w:ascii="宋体" w:hAnsi="宋体"/>
                <w:sz w:val="21"/>
                <w:szCs w:val="21"/>
              </w:rPr>
            </w:pPr>
          </w:p>
        </w:tc>
        <w:tc>
          <w:tcPr>
            <w:tcW w:w="3119" w:type="dxa"/>
            <w:vAlign w:val="center"/>
          </w:tcPr>
          <w:p w14:paraId="5222667A">
            <w:pPr>
              <w:tabs>
                <w:tab w:val="left" w:pos="1440"/>
              </w:tabs>
              <w:jc w:val="left"/>
              <w:rPr>
                <w:rFonts w:ascii="宋体" w:hAnsi="宋体"/>
                <w:sz w:val="21"/>
                <w:szCs w:val="21"/>
              </w:rPr>
            </w:pPr>
            <w:r>
              <w:rPr>
                <w:rFonts w:hint="eastAsia" w:ascii="宋体" w:hAnsi="宋体"/>
                <w:sz w:val="21"/>
                <w:szCs w:val="21"/>
                <w:lang w:val="en-US" w:eastAsia="zh-CN"/>
              </w:rPr>
              <w:t>8</w:t>
            </w:r>
            <w:r>
              <w:rPr>
                <w:rFonts w:hint="eastAsia" w:ascii="宋体" w:hAnsi="宋体"/>
                <w:sz w:val="21"/>
                <w:szCs w:val="21"/>
              </w:rPr>
              <w:t>、不履行项目质量验收程序，擅自进行下一道工序施工</w:t>
            </w:r>
          </w:p>
        </w:tc>
        <w:tc>
          <w:tcPr>
            <w:tcW w:w="2887" w:type="dxa"/>
            <w:vAlign w:val="center"/>
          </w:tcPr>
          <w:p w14:paraId="4D4C3A2D">
            <w:pPr>
              <w:spacing w:after="120"/>
              <w:jc w:val="center"/>
              <w:rPr>
                <w:rFonts w:ascii="宋体" w:hAnsi="宋体"/>
                <w:sz w:val="21"/>
                <w:szCs w:val="21"/>
              </w:rPr>
            </w:pPr>
            <w:r>
              <w:rPr>
                <w:rFonts w:hint="eastAsia" w:ascii="宋体" w:hAnsi="宋体"/>
                <w:sz w:val="21"/>
                <w:szCs w:val="21"/>
              </w:rPr>
              <w:t>1000元/次</w:t>
            </w:r>
          </w:p>
        </w:tc>
        <w:tc>
          <w:tcPr>
            <w:tcW w:w="1841" w:type="dxa"/>
            <w:vAlign w:val="center"/>
          </w:tcPr>
          <w:p w14:paraId="29B252DC">
            <w:pPr>
              <w:spacing w:after="120"/>
              <w:ind w:firstLine="420" w:firstLineChars="200"/>
              <w:jc w:val="center"/>
              <w:rPr>
                <w:rFonts w:ascii="宋体" w:hAnsi="宋体"/>
                <w:sz w:val="21"/>
                <w:szCs w:val="21"/>
              </w:rPr>
            </w:pPr>
          </w:p>
        </w:tc>
      </w:tr>
      <w:tr w14:paraId="1FF8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282291BC">
            <w:pPr>
              <w:spacing w:after="120"/>
              <w:ind w:firstLine="420" w:firstLineChars="200"/>
              <w:jc w:val="center"/>
              <w:rPr>
                <w:rFonts w:ascii="宋体" w:hAnsi="宋体"/>
                <w:sz w:val="21"/>
                <w:szCs w:val="21"/>
              </w:rPr>
            </w:pPr>
          </w:p>
        </w:tc>
        <w:tc>
          <w:tcPr>
            <w:tcW w:w="3119" w:type="dxa"/>
            <w:vAlign w:val="center"/>
          </w:tcPr>
          <w:p w14:paraId="21D8ACFD">
            <w:pPr>
              <w:spacing w:after="120"/>
              <w:jc w:val="left"/>
              <w:rPr>
                <w:rFonts w:ascii="宋体" w:hAnsi="宋体"/>
                <w:sz w:val="21"/>
                <w:szCs w:val="21"/>
              </w:rPr>
            </w:pPr>
            <w:r>
              <w:rPr>
                <w:rFonts w:hint="eastAsia" w:ascii="宋体" w:hAnsi="宋体"/>
                <w:sz w:val="21"/>
                <w:szCs w:val="21"/>
                <w:lang w:val="en-US" w:eastAsia="zh-CN"/>
              </w:rPr>
              <w:t>9</w:t>
            </w:r>
            <w:r>
              <w:rPr>
                <w:rFonts w:hint="eastAsia" w:ascii="宋体" w:hAnsi="宋体"/>
                <w:sz w:val="21"/>
                <w:szCs w:val="21"/>
              </w:rPr>
              <w:t>、分项分部工程验收三次不合格</w:t>
            </w:r>
          </w:p>
        </w:tc>
        <w:tc>
          <w:tcPr>
            <w:tcW w:w="2887" w:type="dxa"/>
            <w:vAlign w:val="center"/>
          </w:tcPr>
          <w:p w14:paraId="0B35B8D5">
            <w:pPr>
              <w:spacing w:after="120"/>
              <w:jc w:val="center"/>
              <w:rPr>
                <w:rFonts w:ascii="宋体" w:hAnsi="宋体"/>
                <w:sz w:val="21"/>
                <w:szCs w:val="21"/>
              </w:rPr>
            </w:pPr>
            <w:r>
              <w:rPr>
                <w:rFonts w:hint="eastAsia" w:ascii="宋体" w:hAnsi="宋体"/>
                <w:sz w:val="21"/>
                <w:szCs w:val="21"/>
              </w:rPr>
              <w:t>1000元/次</w:t>
            </w:r>
          </w:p>
        </w:tc>
        <w:tc>
          <w:tcPr>
            <w:tcW w:w="1841" w:type="dxa"/>
            <w:vAlign w:val="center"/>
          </w:tcPr>
          <w:p w14:paraId="6D9C745A">
            <w:pPr>
              <w:spacing w:after="120"/>
              <w:jc w:val="center"/>
              <w:rPr>
                <w:rFonts w:ascii="宋体" w:hAnsi="宋体"/>
                <w:sz w:val="21"/>
                <w:szCs w:val="21"/>
              </w:rPr>
            </w:pPr>
            <w:r>
              <w:rPr>
                <w:rFonts w:hint="eastAsia" w:ascii="宋体" w:hAnsi="宋体"/>
                <w:sz w:val="21"/>
                <w:szCs w:val="21"/>
              </w:rPr>
              <w:t>多次出现此情况的，更换现场管理人员</w:t>
            </w:r>
          </w:p>
        </w:tc>
      </w:tr>
      <w:tr w14:paraId="5528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2DDA60E3">
            <w:pPr>
              <w:spacing w:after="120"/>
              <w:ind w:firstLine="420" w:firstLineChars="200"/>
              <w:jc w:val="center"/>
              <w:rPr>
                <w:rFonts w:ascii="宋体" w:hAnsi="宋体"/>
                <w:sz w:val="21"/>
                <w:szCs w:val="21"/>
              </w:rPr>
            </w:pPr>
          </w:p>
        </w:tc>
        <w:tc>
          <w:tcPr>
            <w:tcW w:w="3119" w:type="dxa"/>
            <w:vAlign w:val="center"/>
          </w:tcPr>
          <w:p w14:paraId="56C187AF">
            <w:pPr>
              <w:tabs>
                <w:tab w:val="left" w:pos="1440"/>
              </w:tabs>
              <w:jc w:val="left"/>
              <w:rPr>
                <w:rFonts w:hint="eastAsia" w:ascii="宋体" w:hAnsi="宋体"/>
                <w:sz w:val="21"/>
                <w:szCs w:val="21"/>
                <w:lang w:val="en-US" w:eastAsia="zh-CN"/>
              </w:rPr>
            </w:pPr>
            <w:r>
              <w:rPr>
                <w:rFonts w:hint="eastAsia" w:ascii="宋体" w:hAnsi="宋体"/>
                <w:sz w:val="21"/>
                <w:szCs w:val="21"/>
                <w:lang w:val="en-US" w:eastAsia="zh-CN"/>
              </w:rPr>
              <w:t>10</w:t>
            </w:r>
            <w:r>
              <w:rPr>
                <w:rFonts w:hint="eastAsia" w:ascii="宋体" w:hAnsi="宋体"/>
                <w:sz w:val="21"/>
                <w:szCs w:val="21"/>
              </w:rPr>
              <w:t>、各分部分项工程经过验收合格后未做好成品保护</w:t>
            </w:r>
          </w:p>
        </w:tc>
        <w:tc>
          <w:tcPr>
            <w:tcW w:w="2887" w:type="dxa"/>
            <w:vAlign w:val="center"/>
          </w:tcPr>
          <w:p w14:paraId="455A3E3A">
            <w:pPr>
              <w:spacing w:after="120"/>
              <w:jc w:val="center"/>
              <w:rPr>
                <w:rFonts w:hint="eastAsia" w:ascii="宋体" w:hAnsi="宋体"/>
                <w:sz w:val="21"/>
                <w:szCs w:val="21"/>
              </w:rPr>
            </w:pPr>
            <w:r>
              <w:rPr>
                <w:rFonts w:hint="eastAsia" w:ascii="宋体" w:hAnsi="宋体"/>
                <w:sz w:val="21"/>
                <w:szCs w:val="21"/>
              </w:rPr>
              <w:t>100元/次</w:t>
            </w:r>
          </w:p>
        </w:tc>
        <w:tc>
          <w:tcPr>
            <w:tcW w:w="1841" w:type="dxa"/>
            <w:vAlign w:val="center"/>
          </w:tcPr>
          <w:p w14:paraId="712634FD">
            <w:pPr>
              <w:spacing w:after="120"/>
              <w:ind w:firstLine="420" w:firstLineChars="200"/>
              <w:jc w:val="center"/>
              <w:rPr>
                <w:rFonts w:hint="eastAsia" w:ascii="宋体" w:hAnsi="宋体"/>
                <w:sz w:val="21"/>
                <w:szCs w:val="21"/>
              </w:rPr>
            </w:pPr>
          </w:p>
        </w:tc>
      </w:tr>
      <w:tr w14:paraId="09FC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D44A7B2">
            <w:pPr>
              <w:spacing w:after="120"/>
              <w:ind w:firstLine="420" w:firstLineChars="200"/>
              <w:jc w:val="center"/>
              <w:rPr>
                <w:rFonts w:ascii="宋体" w:hAnsi="宋体"/>
                <w:sz w:val="21"/>
                <w:szCs w:val="21"/>
              </w:rPr>
            </w:pPr>
          </w:p>
        </w:tc>
        <w:tc>
          <w:tcPr>
            <w:tcW w:w="3119" w:type="dxa"/>
            <w:vAlign w:val="center"/>
          </w:tcPr>
          <w:p w14:paraId="57366ED1">
            <w:pPr>
              <w:tabs>
                <w:tab w:val="left" w:pos="1440"/>
              </w:tabs>
              <w:jc w:val="left"/>
              <w:rPr>
                <w:rFonts w:hint="default" w:ascii="宋体" w:hAnsi="宋体"/>
                <w:sz w:val="21"/>
                <w:szCs w:val="21"/>
                <w:lang w:val="en-US"/>
              </w:rPr>
            </w:pPr>
            <w:r>
              <w:rPr>
                <w:rFonts w:hint="eastAsia" w:ascii="宋体" w:hAnsi="宋体"/>
                <w:sz w:val="21"/>
                <w:szCs w:val="21"/>
                <w:lang w:val="en-US" w:eastAsia="zh-CN"/>
              </w:rPr>
              <w:t>11、发现问题拒不整改，除违约责任外，再按照整改情况定</w:t>
            </w:r>
          </w:p>
        </w:tc>
        <w:tc>
          <w:tcPr>
            <w:tcW w:w="2887" w:type="dxa"/>
            <w:vAlign w:val="center"/>
          </w:tcPr>
          <w:p w14:paraId="0AD06563">
            <w:pPr>
              <w:spacing w:after="120"/>
              <w:jc w:val="center"/>
              <w:rPr>
                <w:rFonts w:ascii="宋体" w:hAnsi="宋体"/>
                <w:sz w:val="21"/>
                <w:szCs w:val="21"/>
              </w:rPr>
            </w:pPr>
            <w:r>
              <w:rPr>
                <w:rFonts w:hint="eastAsia" w:ascii="宋体" w:hAnsi="宋体"/>
                <w:sz w:val="21"/>
                <w:szCs w:val="21"/>
              </w:rPr>
              <w:t>1</w:t>
            </w:r>
            <w:r>
              <w:rPr>
                <w:rFonts w:hint="eastAsia" w:ascii="宋体" w:hAnsi="宋体"/>
                <w:sz w:val="21"/>
                <w:szCs w:val="21"/>
                <w:lang w:val="en-US" w:eastAsia="zh-CN"/>
              </w:rPr>
              <w:t>0</w:t>
            </w:r>
            <w:r>
              <w:rPr>
                <w:rFonts w:hint="eastAsia" w:ascii="宋体" w:hAnsi="宋体"/>
                <w:sz w:val="21"/>
                <w:szCs w:val="21"/>
              </w:rPr>
              <w:t>00元/次</w:t>
            </w:r>
          </w:p>
        </w:tc>
        <w:tc>
          <w:tcPr>
            <w:tcW w:w="1841" w:type="dxa"/>
            <w:vAlign w:val="center"/>
          </w:tcPr>
          <w:p w14:paraId="3B0EF759">
            <w:pPr>
              <w:spacing w:after="120"/>
              <w:jc w:val="both"/>
              <w:rPr>
                <w:rFonts w:ascii="宋体" w:hAnsi="宋体"/>
                <w:sz w:val="21"/>
                <w:szCs w:val="21"/>
              </w:rPr>
            </w:pPr>
            <w:r>
              <w:rPr>
                <w:rFonts w:hint="eastAsia" w:ascii="宋体" w:hAnsi="宋体"/>
                <w:sz w:val="21"/>
                <w:szCs w:val="21"/>
                <w:lang w:val="en-US" w:eastAsia="zh-CN"/>
              </w:rPr>
              <w:t>按照人材机翻倍处罚</w:t>
            </w:r>
          </w:p>
        </w:tc>
      </w:tr>
    </w:tbl>
    <w:p w14:paraId="693CE1D6">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11B39E1A">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67A56E2E">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669C61B2">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68F53CE7">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10476BD6">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47F7BF9A">
      <w:pPr>
        <w:pStyle w:val="20"/>
        <w:rPr>
          <w:rFonts w:hint="eastAsia" w:ascii="仿宋" w:hAnsi="仿宋" w:eastAsia="仿宋" w:cs="仿宋"/>
          <w:sz w:val="32"/>
          <w:szCs w:val="32"/>
        </w:rPr>
      </w:pPr>
    </w:p>
    <w:p w14:paraId="0B332BB7">
      <w:pPr>
        <w:pStyle w:val="20"/>
        <w:rPr>
          <w:rFonts w:hint="eastAsia" w:ascii="仿宋" w:hAnsi="仿宋" w:eastAsia="仿宋" w:cs="仿宋"/>
          <w:sz w:val="32"/>
          <w:szCs w:val="32"/>
        </w:rPr>
      </w:pPr>
    </w:p>
    <w:p w14:paraId="62044B46">
      <w:pPr>
        <w:pStyle w:val="20"/>
        <w:rPr>
          <w:rFonts w:hint="eastAsia" w:ascii="仿宋" w:hAnsi="仿宋" w:eastAsia="仿宋" w:cs="仿宋"/>
          <w:sz w:val="32"/>
          <w:szCs w:val="32"/>
        </w:rPr>
      </w:pPr>
    </w:p>
    <w:p w14:paraId="288A2780">
      <w:pPr>
        <w:pStyle w:val="20"/>
        <w:rPr>
          <w:rFonts w:hint="eastAsia" w:ascii="仿宋" w:hAnsi="仿宋" w:eastAsia="仿宋" w:cs="仿宋"/>
          <w:sz w:val="32"/>
          <w:szCs w:val="32"/>
        </w:rPr>
      </w:pPr>
    </w:p>
    <w:p w14:paraId="14F381F7">
      <w:pPr>
        <w:pStyle w:val="20"/>
        <w:rPr>
          <w:rFonts w:hint="eastAsia" w:ascii="仿宋" w:hAnsi="仿宋" w:eastAsia="仿宋" w:cs="仿宋"/>
          <w:sz w:val="32"/>
          <w:szCs w:val="32"/>
        </w:rPr>
      </w:pPr>
    </w:p>
    <w:p w14:paraId="641A620B">
      <w:pPr>
        <w:pStyle w:val="20"/>
        <w:rPr>
          <w:rFonts w:hint="eastAsia" w:ascii="仿宋" w:hAnsi="仿宋" w:eastAsia="仿宋" w:cs="仿宋"/>
          <w:sz w:val="32"/>
          <w:szCs w:val="32"/>
        </w:rPr>
      </w:pPr>
    </w:p>
    <w:p w14:paraId="38EE9AD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9D9C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165388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兰州新区年产30GWh 新能源电池生产基地项目（一期）电气（一标段）专业分包工程采购</w:t>
      </w:r>
    </w:p>
    <w:p w14:paraId="1226312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895205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4242A5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D7FBD1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021B99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F100AD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212D3B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352BC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76659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11EAE1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年    月    日</w:t>
      </w:r>
    </w:p>
    <w:p w14:paraId="787D3DC8">
      <w:pPr>
        <w:rPr>
          <w:rFonts w:hint="eastAsia" w:ascii="仿宋" w:hAnsi="仿宋" w:eastAsia="仿宋" w:cs="仿宋"/>
          <w:sz w:val="32"/>
          <w:szCs w:val="32"/>
        </w:rPr>
      </w:pPr>
      <w:r>
        <w:rPr>
          <w:rFonts w:hint="eastAsia" w:ascii="仿宋" w:hAnsi="仿宋" w:eastAsia="仿宋" w:cs="仿宋"/>
          <w:sz w:val="32"/>
          <w:szCs w:val="32"/>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电气（一标段）</w:t>
      </w:r>
      <w:r>
        <w:rPr>
          <w:rFonts w:hint="eastAsia" w:ascii="仿宋" w:hAnsi="仿宋" w:eastAsia="仿宋" w:cs="仿宋"/>
          <w:sz w:val="32"/>
          <w:szCs w:val="32"/>
          <w:lang w:eastAsia="zh-CN"/>
        </w:rPr>
        <w:t>详细报价表</w:t>
      </w:r>
    </w:p>
    <w:p w14:paraId="565635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b w:val="0"/>
          <w:bCs w:val="0"/>
          <w:sz w:val="32"/>
          <w:szCs w:val="32"/>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1．我方已仔细研究了                （项目名称）采购文件的全部内容，愿意以含税价人民币（大写）           (￥           )的报价（其中不含税价为：            ；增值税税额为：            ）完成本项目工程，并按合同约定履行义务。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2.我方的</w:t>
      </w:r>
      <w:r>
        <w:rPr>
          <w:rFonts w:hint="eastAsia" w:ascii="仿宋" w:hAnsi="仿宋" w:eastAsia="仿宋" w:cs="仿宋"/>
          <w:sz w:val="32"/>
          <w:szCs w:val="32"/>
          <w:lang w:eastAsia="zh-CN"/>
        </w:rPr>
        <w:t>响应文件</w:t>
      </w:r>
      <w:r>
        <w:rPr>
          <w:rFonts w:hint="eastAsia" w:ascii="仿宋" w:hAnsi="仿宋" w:eastAsia="仿宋" w:cs="仿宋"/>
          <w:sz w:val="32"/>
          <w:szCs w:val="32"/>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346FC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0BFFFD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p>
    <w:p w14:paraId="60D2B85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响应文件</w:t>
      </w:r>
      <w:r>
        <w:rPr>
          <w:rFonts w:hint="eastAsia" w:ascii="仿宋" w:hAnsi="仿宋" w:eastAsia="仿宋" w:cs="仿宋"/>
          <w:sz w:val="32"/>
          <w:szCs w:val="32"/>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4．我方承诺在采购文件规定的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有效期内不撤销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120DE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（3）按照采购文件要求递交履约保证金；</w:t>
      </w:r>
    </w:p>
    <w:p w14:paraId="3B0E9D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6．我方在此声明，所递交的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7FA4C43">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地</w:t>
      </w:r>
      <w:r>
        <w:rPr>
          <w:rFonts w:hint="eastAsia" w:ascii="仿宋" w:hAnsi="仿宋" w:eastAsia="仿宋" w:cs="仿宋"/>
          <w:sz w:val="32"/>
          <w:szCs w:val="32"/>
          <w:lang w:eastAsia="zh-CN"/>
        </w:rPr>
        <w:t>　　</w:t>
      </w:r>
      <w:r>
        <w:rPr>
          <w:rFonts w:hint="eastAsia" w:ascii="仿宋" w:hAnsi="仿宋" w:eastAsia="仿宋" w:cs="仿宋"/>
          <w:sz w:val="32"/>
          <w:szCs w:val="32"/>
        </w:rPr>
        <w:t>址：</w:t>
      </w:r>
    </w:p>
    <w:p w14:paraId="511D10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eastAsia="zh-CN"/>
        </w:rPr>
        <w:t>　　</w:t>
      </w:r>
      <w:r>
        <w:rPr>
          <w:rFonts w:hint="eastAsia" w:ascii="仿宋" w:hAnsi="仿宋" w:eastAsia="仿宋" w:cs="仿宋"/>
          <w:sz w:val="32"/>
          <w:szCs w:val="32"/>
        </w:rPr>
        <w:t>话：</w:t>
      </w:r>
    </w:p>
    <w:p w14:paraId="7DD9E82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C44E60B">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50B9FF4">
      <w:pPr>
        <w:keepNext w:val="0"/>
        <w:keepLines w:val="0"/>
        <w:pageBreakBefore w:val="0"/>
        <w:numPr>
          <w:ilvl w:val="0"/>
          <w:numId w:val="13"/>
        </w:numPr>
        <w:wordWrap/>
        <w:overflowPunct/>
        <w:topLinePunct w:val="0"/>
        <w:bidi w:val="0"/>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sz w:val="32"/>
          <w:szCs w:val="32"/>
          <w:lang w:eastAsia="zh-CN"/>
        </w:rPr>
        <w:t>响应文件</w:t>
      </w:r>
      <w:r>
        <w:rPr>
          <w:rFonts w:hint="eastAsia" w:ascii="仿宋" w:hAnsi="仿宋" w:eastAsia="仿宋" w:cs="仿宋"/>
          <w:sz w:val="32"/>
          <w:szCs w:val="32"/>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委托期限：自本委托书签署之日起至              询比采购项目签订采购合同之日止。</w:t>
      </w:r>
      <w:r>
        <w:rPr>
          <w:rFonts w:hint="eastAsia" w:ascii="仿宋" w:hAnsi="仿宋" w:eastAsia="仿宋" w:cs="仿宋"/>
          <w:sz w:val="32"/>
          <w:szCs w:val="32"/>
        </w:rPr>
        <w:tab/>
      </w:r>
    </w:p>
    <w:p w14:paraId="637548C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代理人无转委托权。</w:t>
      </w:r>
      <w:r>
        <w:rPr>
          <w:rFonts w:hint="eastAsia" w:ascii="仿宋" w:hAnsi="仿宋" w:eastAsia="仿宋" w:cs="仿宋"/>
          <w:sz w:val="32"/>
          <w:szCs w:val="32"/>
        </w:rPr>
        <w:tab/>
      </w:r>
    </w:p>
    <w:p w14:paraId="65BCC4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873A6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CF31D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BC5C885">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年     月      日</w:t>
      </w:r>
    </w:p>
    <w:p w14:paraId="68F62F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、商务和技术偏差表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0A6EFF9B">
      <w:pPr>
        <w:pStyle w:val="2"/>
        <w:keepNext w:val="0"/>
        <w:keepLines w:val="0"/>
        <w:jc w:val="both"/>
        <w:rPr>
          <w:rFonts w:hint="eastAsia" w:ascii="宋体" w:hAnsi="宋体"/>
          <w:bCs w:val="0"/>
          <w:sz w:val="32"/>
          <w:szCs w:val="32"/>
        </w:rPr>
      </w:pPr>
      <w:bookmarkStart w:id="858" w:name="_Toc286409983"/>
      <w:bookmarkStart w:id="859" w:name="_Toc286959633"/>
      <w:r>
        <w:rPr>
          <w:rFonts w:hint="eastAsia" w:ascii="宋体" w:hAnsi="宋体"/>
          <w:bCs w:val="0"/>
          <w:sz w:val="32"/>
          <w:szCs w:val="32"/>
          <w:lang w:eastAsia="zh-CN"/>
        </w:rPr>
        <w:t>四</w:t>
      </w:r>
      <w:r>
        <w:rPr>
          <w:rFonts w:hint="eastAsia" w:ascii="宋体" w:hAnsi="宋体"/>
          <w:bCs w:val="0"/>
          <w:sz w:val="32"/>
          <w:szCs w:val="32"/>
        </w:rPr>
        <w:t>、报价表</w:t>
      </w:r>
      <w:bookmarkEnd w:id="858"/>
      <w:bookmarkEnd w:id="859"/>
      <w:r>
        <w:rPr>
          <w:rFonts w:hint="eastAsia" w:ascii="宋体" w:hAnsi="宋体"/>
          <w:bCs w:val="0"/>
          <w:sz w:val="32"/>
          <w:szCs w:val="32"/>
          <w:lang w:val="en-US" w:eastAsia="zh-CN"/>
        </w:rPr>
        <w:t xml:space="preserve">                                                                                                       </w:t>
      </w:r>
    </w:p>
    <w:p w14:paraId="31DE031F">
      <w:pPr>
        <w:pStyle w:val="20"/>
        <w:rPr>
          <w:rFonts w:hint="eastAsia" w:ascii="宋体" w:hAnsi="宋体"/>
          <w:b/>
          <w:bCs/>
          <w:sz w:val="28"/>
          <w:szCs w:val="28"/>
          <w:lang w:val="en-US" w:eastAsia="zh-CN"/>
        </w:rPr>
      </w:pPr>
      <w:r>
        <w:rPr>
          <w:rFonts w:hint="eastAsia" w:hAnsi="宋体"/>
          <w:b/>
          <w:bCs/>
          <w:sz w:val="28"/>
          <w:szCs w:val="28"/>
          <w:lang w:val="en-US" w:eastAsia="zh-CN"/>
        </w:rPr>
        <w:t>1、</w:t>
      </w:r>
      <w:r>
        <w:rPr>
          <w:rFonts w:hint="eastAsia" w:ascii="宋体" w:hAnsi="宋体"/>
          <w:b/>
          <w:bCs/>
          <w:sz w:val="28"/>
          <w:szCs w:val="28"/>
          <w:lang w:val="en-US" w:eastAsia="zh-CN"/>
        </w:rPr>
        <w:t>电芯厂房电气工程</w:t>
      </w:r>
    </w:p>
    <w:tbl>
      <w:tblPr>
        <w:tblStyle w:val="16"/>
        <w:tblW w:w="101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729"/>
        <w:gridCol w:w="4359"/>
        <w:gridCol w:w="656"/>
        <w:gridCol w:w="936"/>
        <w:gridCol w:w="873"/>
        <w:gridCol w:w="978"/>
        <w:gridCol w:w="960"/>
      </w:tblGrid>
      <w:tr w14:paraId="3E22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FD343">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4AF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34F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DA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C24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08F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9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4C5E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6F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53E4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29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552AF66">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一、动力电部分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B1881">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36103">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F4E18">
            <w:pPr>
              <w:jc w:val="center"/>
              <w:rPr>
                <w:rFonts w:hint="eastAsia" w:ascii="仿宋" w:hAnsi="仿宋" w:eastAsia="仿宋" w:cs="仿宋"/>
                <w:i w:val="0"/>
                <w:iCs w:val="0"/>
                <w:color w:val="000000"/>
                <w:sz w:val="18"/>
                <w:szCs w:val="18"/>
                <w:u w:val="none"/>
              </w:rPr>
            </w:pPr>
          </w:p>
        </w:tc>
      </w:tr>
      <w:tr w14:paraId="197E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63A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7D9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51A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2.规格:600*150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C1F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2F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1258.06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8C6F">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43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41629">
            <w:pPr>
              <w:jc w:val="center"/>
              <w:rPr>
                <w:rFonts w:hint="eastAsia" w:ascii="仿宋" w:hAnsi="仿宋" w:eastAsia="仿宋" w:cs="仿宋"/>
                <w:i w:val="0"/>
                <w:iCs w:val="0"/>
                <w:color w:val="000000"/>
                <w:sz w:val="18"/>
                <w:szCs w:val="18"/>
                <w:u w:val="none"/>
              </w:rPr>
            </w:pPr>
          </w:p>
        </w:tc>
      </w:tr>
      <w:tr w14:paraId="3F89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66B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348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0FB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2.规格:400*150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B0E2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78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0090">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CFB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348A4">
            <w:pPr>
              <w:jc w:val="center"/>
              <w:rPr>
                <w:rFonts w:hint="eastAsia" w:ascii="仿宋" w:hAnsi="仿宋" w:eastAsia="仿宋" w:cs="仿宋"/>
                <w:i w:val="0"/>
                <w:iCs w:val="0"/>
                <w:color w:val="000000"/>
                <w:sz w:val="18"/>
                <w:szCs w:val="18"/>
                <w:u w:val="none"/>
              </w:rPr>
            </w:pPr>
          </w:p>
        </w:tc>
      </w:tr>
      <w:tr w14:paraId="1A4F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2B2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4ED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E86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10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8F52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1749.09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25A7">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780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ACF8F">
            <w:pPr>
              <w:jc w:val="center"/>
              <w:rPr>
                <w:rFonts w:hint="eastAsia" w:ascii="仿宋" w:hAnsi="仿宋" w:eastAsia="仿宋" w:cs="仿宋"/>
                <w:i w:val="0"/>
                <w:iCs w:val="0"/>
                <w:color w:val="000000"/>
                <w:sz w:val="18"/>
                <w:szCs w:val="18"/>
                <w:u w:val="none"/>
              </w:rPr>
            </w:pPr>
          </w:p>
        </w:tc>
      </w:tr>
      <w:tr w14:paraId="618E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C7B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599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1F2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71A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E6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5D31">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279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E500E">
            <w:pPr>
              <w:jc w:val="center"/>
              <w:rPr>
                <w:rFonts w:hint="eastAsia" w:ascii="仿宋" w:hAnsi="仿宋" w:eastAsia="仿宋" w:cs="仿宋"/>
                <w:i w:val="0"/>
                <w:iCs w:val="0"/>
                <w:color w:val="000000"/>
                <w:sz w:val="18"/>
                <w:szCs w:val="18"/>
                <w:u w:val="none"/>
              </w:rPr>
            </w:pPr>
          </w:p>
        </w:tc>
      </w:tr>
      <w:tr w14:paraId="1657D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2E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3DA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D8C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80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6A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230.64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72CA">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CB41">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9951D">
            <w:pPr>
              <w:jc w:val="center"/>
              <w:rPr>
                <w:rFonts w:hint="eastAsia" w:ascii="仿宋" w:hAnsi="仿宋" w:eastAsia="仿宋" w:cs="仿宋"/>
                <w:i w:val="0"/>
                <w:iCs w:val="0"/>
                <w:color w:val="000000"/>
                <w:sz w:val="18"/>
                <w:szCs w:val="18"/>
                <w:u w:val="none"/>
              </w:rPr>
            </w:pPr>
          </w:p>
        </w:tc>
      </w:tr>
      <w:tr w14:paraId="058A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FF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AB5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764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2.规格:600*150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0A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24A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410.42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A628">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5E8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DAD34">
            <w:pPr>
              <w:jc w:val="center"/>
              <w:rPr>
                <w:rFonts w:hint="eastAsia" w:ascii="仿宋" w:hAnsi="仿宋" w:eastAsia="仿宋" w:cs="仿宋"/>
                <w:i w:val="0"/>
                <w:iCs w:val="0"/>
                <w:color w:val="000000"/>
                <w:sz w:val="18"/>
                <w:szCs w:val="18"/>
                <w:u w:val="none"/>
              </w:rPr>
            </w:pPr>
          </w:p>
        </w:tc>
      </w:tr>
      <w:tr w14:paraId="70A5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DF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358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934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2.规格:400*150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04B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F2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255.73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321D">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A05E">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5D377">
            <w:pPr>
              <w:jc w:val="center"/>
              <w:rPr>
                <w:rFonts w:hint="eastAsia" w:ascii="仿宋" w:hAnsi="仿宋" w:eastAsia="仿宋" w:cs="仿宋"/>
                <w:i w:val="0"/>
                <w:iCs w:val="0"/>
                <w:color w:val="000000"/>
                <w:sz w:val="18"/>
                <w:szCs w:val="18"/>
                <w:u w:val="none"/>
              </w:rPr>
            </w:pPr>
          </w:p>
        </w:tc>
      </w:tr>
      <w:tr w14:paraId="03A4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83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D9D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176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26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93B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253.22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8FA7">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101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77834">
            <w:pPr>
              <w:jc w:val="center"/>
              <w:rPr>
                <w:rFonts w:hint="eastAsia" w:ascii="仿宋" w:hAnsi="仿宋" w:eastAsia="仿宋" w:cs="仿宋"/>
                <w:i w:val="0"/>
                <w:iCs w:val="0"/>
                <w:color w:val="000000"/>
                <w:sz w:val="18"/>
                <w:szCs w:val="18"/>
                <w:u w:val="none"/>
              </w:rPr>
            </w:pPr>
          </w:p>
        </w:tc>
      </w:tr>
      <w:tr w14:paraId="18E9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784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5B7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013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498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4A2A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182.75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FE12">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26B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D1CD6">
            <w:pPr>
              <w:jc w:val="center"/>
              <w:rPr>
                <w:rFonts w:hint="eastAsia" w:ascii="仿宋" w:hAnsi="仿宋" w:eastAsia="仿宋" w:cs="仿宋"/>
                <w:i w:val="0"/>
                <w:iCs w:val="0"/>
                <w:color w:val="000000"/>
                <w:sz w:val="18"/>
                <w:szCs w:val="18"/>
                <w:u w:val="none"/>
              </w:rPr>
            </w:pPr>
          </w:p>
        </w:tc>
      </w:tr>
      <w:tr w14:paraId="5640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946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70C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9EB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1.名称:消防强电线槽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2.规格:600*150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178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8C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743.12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A864">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487A">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E8406">
            <w:pPr>
              <w:jc w:val="center"/>
              <w:rPr>
                <w:rFonts w:hint="eastAsia" w:ascii="仿宋" w:hAnsi="仿宋" w:eastAsia="仿宋" w:cs="仿宋"/>
                <w:i w:val="0"/>
                <w:iCs w:val="0"/>
                <w:color w:val="000000"/>
                <w:sz w:val="18"/>
                <w:szCs w:val="18"/>
                <w:u w:val="none"/>
              </w:rPr>
            </w:pPr>
          </w:p>
        </w:tc>
      </w:tr>
      <w:tr w14:paraId="399C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DE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521F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784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1.名称:消防强电线槽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2.规格:400*150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92C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76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66.58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6C54">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7EA5">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4EE6C">
            <w:pPr>
              <w:jc w:val="center"/>
              <w:rPr>
                <w:rFonts w:hint="eastAsia" w:ascii="仿宋" w:hAnsi="仿宋" w:eastAsia="仿宋" w:cs="仿宋"/>
                <w:i w:val="0"/>
                <w:iCs w:val="0"/>
                <w:color w:val="000000"/>
                <w:sz w:val="18"/>
                <w:szCs w:val="18"/>
                <w:u w:val="none"/>
              </w:rPr>
            </w:pPr>
          </w:p>
        </w:tc>
      </w:tr>
      <w:tr w14:paraId="6AC4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B5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C02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375F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1.名称:消防强电线槽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C8B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8A9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511.15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F114">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549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30967">
            <w:pPr>
              <w:jc w:val="center"/>
              <w:rPr>
                <w:rFonts w:hint="eastAsia" w:ascii="仿宋" w:hAnsi="仿宋" w:eastAsia="仿宋" w:cs="仿宋"/>
                <w:i w:val="0"/>
                <w:iCs w:val="0"/>
                <w:color w:val="000000"/>
                <w:sz w:val="18"/>
                <w:szCs w:val="18"/>
                <w:u w:val="none"/>
              </w:rPr>
            </w:pPr>
          </w:p>
        </w:tc>
      </w:tr>
      <w:tr w14:paraId="7727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C70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36D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FC8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1.名称:消防强电线槽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8BC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23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659.56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6BFC">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E3B4">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10BE5">
            <w:pPr>
              <w:jc w:val="center"/>
              <w:rPr>
                <w:rFonts w:hint="eastAsia" w:ascii="仿宋" w:hAnsi="仿宋" w:eastAsia="仿宋" w:cs="仿宋"/>
                <w:i w:val="0"/>
                <w:iCs w:val="0"/>
                <w:color w:val="000000"/>
                <w:sz w:val="18"/>
                <w:szCs w:val="18"/>
                <w:u w:val="none"/>
              </w:rPr>
            </w:pPr>
          </w:p>
        </w:tc>
      </w:tr>
      <w:tr w14:paraId="1439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433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392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D01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1.名称:消防强电线槽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2.规格:150*100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702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540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32.95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35BD">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C6C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C5E75">
            <w:pPr>
              <w:jc w:val="center"/>
              <w:rPr>
                <w:rFonts w:hint="eastAsia" w:ascii="仿宋" w:hAnsi="仿宋" w:eastAsia="仿宋" w:cs="仿宋"/>
                <w:i w:val="0"/>
                <w:iCs w:val="0"/>
                <w:color w:val="000000"/>
                <w:sz w:val="18"/>
                <w:szCs w:val="18"/>
                <w:u w:val="none"/>
              </w:rPr>
            </w:pPr>
          </w:p>
        </w:tc>
      </w:tr>
      <w:tr w14:paraId="1975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03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F64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线槽</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2BF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1.名称:消防强电线槽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2.规格:100*50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4.配套工作内容：含桥架接地、盖板安装、防火封堵、隔板、连接片、螺栓、弯头、变径、三通等内容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5.跨接线不允许使用铜编织带、线鼻子需镀锡处理</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5FF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958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480.26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1238">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589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D1F21">
            <w:pPr>
              <w:jc w:val="center"/>
              <w:rPr>
                <w:rFonts w:hint="eastAsia" w:ascii="仿宋" w:hAnsi="仿宋" w:eastAsia="仿宋" w:cs="仿宋"/>
                <w:i w:val="0"/>
                <w:iCs w:val="0"/>
                <w:color w:val="000000"/>
                <w:sz w:val="18"/>
                <w:szCs w:val="18"/>
                <w:u w:val="none"/>
              </w:rPr>
            </w:pPr>
          </w:p>
        </w:tc>
      </w:tr>
      <w:tr w14:paraId="40F8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D2D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557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45C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2.规格:ZC-YJV-4x120+1x70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5C2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C2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145.28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1998">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B3B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53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9273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F3C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C2D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B8A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2.规格:YJV-3x120+2x70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DCE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36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4948.16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2923">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1A5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83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1B21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C40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0D9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B3F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2.规格:ZC-YJV-4x150+1x70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21F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7055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145.28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C19A">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3B7C">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62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0999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38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498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988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2.规格:YJV-3x150+2x70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B8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ED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1686.64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38AE">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4CE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15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F73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C2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5A4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0080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2.规格:ZC-YJV-4x35+1x16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A1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58A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162.68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6BC5">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602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9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DA6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EF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B98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29D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2.规格:ZC-YJV-4x185+1x95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120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EF7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88E2">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80C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22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35F9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519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809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BD8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2.规格:ZC-YJV-5x16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3.敷设方式、部位:CT/MR</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8A44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240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1566.77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1A91">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2A8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CC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755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27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CDAA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CEF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2.规格:YJV-3x185+2x95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3.敷设方式、部位:CT/MR</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B3C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0E5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18292.16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29F8">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1E2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D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05E9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DF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4FB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5CA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2.规格:YJV-3x240+2x120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3.敷设方式、部位:CT/MR</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688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EC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692.98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7E32">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B111">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2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6030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44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DB3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D26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2.规格:ZCN-YJV-3x95+2x50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743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3F9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1053.53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7210">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4A1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8F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30BC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299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3B20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EAD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2.规格:ZCN-YJV-4x185+1x95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0E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B175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143.33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BB32">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22D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C4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247E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7C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FAD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F256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2.规格:ZCN-YJV-3x25+2x16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87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EE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4080.39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A88A">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973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DA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27B1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0AD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315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E62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2.规格:YJV-3x35+2x16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C6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B3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3099.41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295C">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264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B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15EE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E827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1A7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495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2.规格:ZC-YJV-4x25+1x16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05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CC4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1314.32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1B48">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492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5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3F9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00A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F8E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43D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2.规格:ZCN-YJV-3x50+2x25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90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11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2650.05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1A8D">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F58C">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0A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6284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3A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0EA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6BE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2.规格:YJV-3x70+2x35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CB6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1F2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2876.6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D0B4">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4AB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5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3E5F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FD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43D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8A0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2.规格:ZC-YJV-5x10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F8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C42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4133.8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CEBC">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43A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B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1A40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E1D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70F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146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2.规格:ZC-YJV-5x6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29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CD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5659.42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C24D">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CF8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6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068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DD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9F5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361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2.规格:YJV-5x4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64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35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1519.07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7FB2">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3D4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9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EFA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05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16E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65E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2.规格:YJV-5x16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B3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ACE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876.83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08D9">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561E">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CA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65D8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ED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583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82C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2.规格:ZC-YJV-4x10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820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A9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1AC5">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7C15">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7D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2360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D88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979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077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2.规格:ZCN-YJV-3x95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3.敷设方式、部位:WS/CE</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A60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C4C8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9FE3">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ABD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3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0063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D0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A69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F93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2.规格:ZCN-YJV-4x95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3.敷设方式、部位:WS/CE</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D5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7EC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7AE1">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2CB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03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2A3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94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73E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7F0F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2.规格:ZCN-YJV-3x4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3.敷设方式、部位:WS</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85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00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633.6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ECAE">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D65">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A5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3E5C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483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C98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4BC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2.规格:ZCN-YJV-3x25+1x16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C52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950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8B2E">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856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7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3968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B47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FD9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3B4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2.规格:ZC-YJV-4x35+1x16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CA5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334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16D4">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E83C">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66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34C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DB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072B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9F1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2.规格:ZC-YJV-5x2.5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3.敷设方式、部位:CT/WC/CE</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D402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516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1473.46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67F0">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39C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74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4AA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09C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C75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392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3.敷设方式、部位:CT/WC/CE</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CECF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709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539.74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49F4">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FA0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62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019F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D4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D7D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AD17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2.规格:ZC-YJV-5x4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3.敷设方式、部位:CT/WC/CE</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23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3C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1327.15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7A3">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FA2E">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20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3D5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F29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CED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349B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B3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57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521.43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D052">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80FA">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35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3F0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768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FA6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018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D2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31F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160.54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FFC8">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798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6C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9EC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D33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535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C32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2.规格:ZC-YJV-4x120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3.敷设方式、部位:WS.CE</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E23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6F5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DE97">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75F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F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28BE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47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AABB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181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2.规格:ZC-YJV-3x120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3.敷设方式、部位:WS.CE</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624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5FC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F961">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8481">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D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13AE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5CD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EE7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F72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2.规格:ZC-YJV-4x150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3.敷设方式、部位:WS.CE</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BD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FAC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5B9B">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2B31">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F0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6E44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9C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AADB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0B0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2.规格:ZC-YJV-3x150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3.敷设方式、部位:WS.CE</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C3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FFE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7DEB">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7B54">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9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56D8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0FF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189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1E9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2.型号:10mm2以内</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65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464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8C26">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1F5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7997">
            <w:pPr>
              <w:jc w:val="center"/>
              <w:rPr>
                <w:rFonts w:hint="eastAsia" w:ascii="仿宋" w:hAnsi="仿宋" w:eastAsia="仿宋" w:cs="仿宋"/>
                <w:i w:val="0"/>
                <w:iCs w:val="0"/>
                <w:color w:val="000000"/>
                <w:sz w:val="18"/>
                <w:szCs w:val="18"/>
                <w:u w:val="none"/>
              </w:rPr>
            </w:pPr>
          </w:p>
        </w:tc>
      </w:tr>
      <w:tr w14:paraId="3BD6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8A01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51C2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C16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2.型号:35mm2以内</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47C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24E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510D">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EC3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771C">
            <w:pPr>
              <w:jc w:val="center"/>
              <w:rPr>
                <w:rFonts w:hint="eastAsia" w:ascii="仿宋" w:hAnsi="仿宋" w:eastAsia="仿宋" w:cs="仿宋"/>
                <w:i w:val="0"/>
                <w:iCs w:val="0"/>
                <w:color w:val="000000"/>
                <w:sz w:val="18"/>
                <w:szCs w:val="18"/>
                <w:u w:val="none"/>
              </w:rPr>
            </w:pPr>
          </w:p>
        </w:tc>
      </w:tr>
      <w:tr w14:paraId="1791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750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33C9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0320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2.型号:120mm2以内</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72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9FF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E73B">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433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F605">
            <w:pPr>
              <w:jc w:val="center"/>
              <w:rPr>
                <w:rFonts w:hint="eastAsia" w:ascii="仿宋" w:hAnsi="仿宋" w:eastAsia="仿宋" w:cs="仿宋"/>
                <w:i w:val="0"/>
                <w:iCs w:val="0"/>
                <w:color w:val="000000"/>
                <w:sz w:val="18"/>
                <w:szCs w:val="18"/>
                <w:u w:val="none"/>
              </w:rPr>
            </w:pPr>
          </w:p>
        </w:tc>
      </w:tr>
      <w:tr w14:paraId="20926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E13F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532C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D3E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2.型号:240mm2以内</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49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84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A291">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12E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AA2D">
            <w:pPr>
              <w:jc w:val="center"/>
              <w:rPr>
                <w:rFonts w:hint="eastAsia" w:ascii="仿宋" w:hAnsi="仿宋" w:eastAsia="仿宋" w:cs="仿宋"/>
                <w:i w:val="0"/>
                <w:iCs w:val="0"/>
                <w:color w:val="000000"/>
                <w:sz w:val="18"/>
                <w:szCs w:val="18"/>
                <w:u w:val="none"/>
              </w:rPr>
            </w:pPr>
          </w:p>
        </w:tc>
      </w:tr>
      <w:tr w14:paraId="7ECFE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E58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FCC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CA7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2.型号:120mm2以内</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3E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F9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55FB">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B8BE">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ED78">
            <w:pPr>
              <w:jc w:val="center"/>
              <w:rPr>
                <w:rFonts w:hint="eastAsia" w:ascii="仿宋" w:hAnsi="仿宋" w:eastAsia="仿宋" w:cs="仿宋"/>
                <w:i w:val="0"/>
                <w:iCs w:val="0"/>
                <w:color w:val="000000"/>
                <w:sz w:val="18"/>
                <w:szCs w:val="18"/>
                <w:u w:val="none"/>
              </w:rPr>
            </w:pPr>
          </w:p>
        </w:tc>
      </w:tr>
      <w:tr w14:paraId="7542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CC8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30DC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412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2.型号:240mm2以内</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BD65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BC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842D">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A27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8944">
            <w:pPr>
              <w:jc w:val="center"/>
              <w:rPr>
                <w:rFonts w:hint="eastAsia" w:ascii="仿宋" w:hAnsi="仿宋" w:eastAsia="仿宋" w:cs="仿宋"/>
                <w:i w:val="0"/>
                <w:iCs w:val="0"/>
                <w:color w:val="000000"/>
                <w:sz w:val="18"/>
                <w:szCs w:val="18"/>
                <w:u w:val="none"/>
              </w:rPr>
            </w:pPr>
          </w:p>
        </w:tc>
      </w:tr>
      <w:tr w14:paraId="6524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0ACF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405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5C3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2.规格:KVV-4X1.5</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205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D4F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1750.94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AF7D">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7F7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6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2B50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504C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193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E90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2.规格:KVV-3X1.5</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22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C2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1175.59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DA4A">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753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5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26FC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A80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2E3C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15D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2.规格:WDZBN-KYJY-3x1.5</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11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A35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EEBC">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354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55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583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2A6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A749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AB1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2.规格:WDZBN-KYJY-2x1.5</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CC7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4C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36.16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67C1">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0EA1">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3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3C14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48D1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8943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0CA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2.规格:NH-KVV-12x1.5</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D53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8BE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134.42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6CF9">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6D67">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C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0E31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E6F6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DF0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999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2.规格:NH-KVV-3x1.5</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67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B6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133.91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9C76">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60C4">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E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0654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AA23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AF3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A9A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2.规格:NH-KVV-2x1.5</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CB9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440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133.99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73EF">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5B0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30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4CE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85A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231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控制电缆头</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02A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2.型号:6芯以下</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A21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1D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40FE">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8D0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4612">
            <w:pPr>
              <w:jc w:val="center"/>
              <w:rPr>
                <w:rFonts w:hint="eastAsia" w:ascii="仿宋" w:hAnsi="仿宋" w:eastAsia="仿宋" w:cs="仿宋"/>
                <w:i w:val="0"/>
                <w:iCs w:val="0"/>
                <w:color w:val="000000"/>
                <w:sz w:val="18"/>
                <w:szCs w:val="18"/>
                <w:u w:val="none"/>
              </w:rPr>
            </w:pPr>
          </w:p>
        </w:tc>
      </w:tr>
      <w:tr w14:paraId="716D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54E7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B95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控制电缆头</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E23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2.型号:14芯以下</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B8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CC1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5855">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524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5A90">
            <w:pPr>
              <w:jc w:val="center"/>
              <w:rPr>
                <w:rFonts w:hint="eastAsia" w:ascii="仿宋" w:hAnsi="仿宋" w:eastAsia="仿宋" w:cs="仿宋"/>
                <w:i w:val="0"/>
                <w:iCs w:val="0"/>
                <w:color w:val="000000"/>
                <w:sz w:val="18"/>
                <w:szCs w:val="18"/>
                <w:u w:val="none"/>
              </w:rPr>
            </w:pPr>
          </w:p>
        </w:tc>
      </w:tr>
      <w:tr w14:paraId="2E2A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C41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898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A43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2.型号:ZCN-RYJS-1.5mm2</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3B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6A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6302.62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671F">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D15C">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168C">
            <w:pPr>
              <w:jc w:val="center"/>
              <w:rPr>
                <w:rFonts w:hint="eastAsia" w:ascii="仿宋" w:hAnsi="仿宋" w:eastAsia="仿宋" w:cs="仿宋"/>
                <w:i w:val="0"/>
                <w:iCs w:val="0"/>
                <w:color w:val="000000"/>
                <w:sz w:val="18"/>
                <w:szCs w:val="18"/>
                <w:u w:val="none"/>
              </w:rPr>
            </w:pPr>
          </w:p>
        </w:tc>
      </w:tr>
      <w:tr w14:paraId="4E16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7BB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28C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965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915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8B4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3821.29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3094">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76C1">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F8BDC">
            <w:pPr>
              <w:jc w:val="center"/>
              <w:rPr>
                <w:rFonts w:hint="eastAsia" w:ascii="仿宋" w:hAnsi="仿宋" w:eastAsia="仿宋" w:cs="仿宋"/>
                <w:i w:val="0"/>
                <w:iCs w:val="0"/>
                <w:color w:val="000000"/>
                <w:sz w:val="18"/>
                <w:szCs w:val="18"/>
                <w:u w:val="none"/>
              </w:rPr>
            </w:pPr>
          </w:p>
        </w:tc>
      </w:tr>
      <w:tr w14:paraId="20C2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BDA0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05CA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B79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3.规格:DN32</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3B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F1C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E8E2">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FF1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6A3E1">
            <w:pPr>
              <w:jc w:val="center"/>
              <w:rPr>
                <w:rFonts w:hint="eastAsia" w:ascii="仿宋" w:hAnsi="仿宋" w:eastAsia="仿宋" w:cs="仿宋"/>
                <w:i w:val="0"/>
                <w:iCs w:val="0"/>
                <w:color w:val="000000"/>
                <w:sz w:val="18"/>
                <w:szCs w:val="18"/>
                <w:u w:val="none"/>
              </w:rPr>
            </w:pPr>
          </w:p>
        </w:tc>
      </w:tr>
      <w:tr w14:paraId="4658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AB4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0DB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CE1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3.规格:DN40</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90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A34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DBAC">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48D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6DB9F">
            <w:pPr>
              <w:jc w:val="center"/>
              <w:rPr>
                <w:rFonts w:hint="eastAsia" w:ascii="仿宋" w:hAnsi="仿宋" w:eastAsia="仿宋" w:cs="仿宋"/>
                <w:i w:val="0"/>
                <w:iCs w:val="0"/>
                <w:color w:val="000000"/>
                <w:sz w:val="18"/>
                <w:szCs w:val="18"/>
                <w:u w:val="none"/>
              </w:rPr>
            </w:pPr>
          </w:p>
        </w:tc>
      </w:tr>
      <w:tr w14:paraId="3EE8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2B8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F5C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74A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B1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0D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994B">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04F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DEDEA">
            <w:pPr>
              <w:jc w:val="center"/>
              <w:rPr>
                <w:rFonts w:hint="eastAsia" w:ascii="仿宋" w:hAnsi="仿宋" w:eastAsia="仿宋" w:cs="仿宋"/>
                <w:i w:val="0"/>
                <w:iCs w:val="0"/>
                <w:color w:val="000000"/>
                <w:sz w:val="18"/>
                <w:szCs w:val="18"/>
                <w:u w:val="none"/>
              </w:rPr>
            </w:pPr>
          </w:p>
        </w:tc>
      </w:tr>
      <w:tr w14:paraId="1171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78E0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464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E55E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20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B4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6604.36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E24E">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626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2103B">
            <w:pPr>
              <w:jc w:val="center"/>
              <w:rPr>
                <w:rFonts w:hint="eastAsia" w:ascii="仿宋" w:hAnsi="仿宋" w:eastAsia="仿宋" w:cs="仿宋"/>
                <w:i w:val="0"/>
                <w:iCs w:val="0"/>
                <w:color w:val="000000"/>
                <w:sz w:val="18"/>
                <w:szCs w:val="18"/>
                <w:u w:val="none"/>
              </w:rPr>
            </w:pPr>
          </w:p>
        </w:tc>
      </w:tr>
      <w:tr w14:paraId="76C5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9B18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4E3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CD0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3.规格:DN32</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E1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DA2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7075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86A8">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0FD2">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EFB51">
            <w:pPr>
              <w:jc w:val="center"/>
              <w:rPr>
                <w:rFonts w:hint="eastAsia" w:ascii="仿宋" w:hAnsi="仿宋" w:eastAsia="仿宋" w:cs="仿宋"/>
                <w:i w:val="0"/>
                <w:iCs w:val="0"/>
                <w:color w:val="000000"/>
                <w:sz w:val="18"/>
                <w:szCs w:val="18"/>
                <w:u w:val="none"/>
              </w:rPr>
            </w:pPr>
          </w:p>
        </w:tc>
      </w:tr>
      <w:tr w14:paraId="1D64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925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DBE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6D4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3.规格:DN40</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366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61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887.03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5188">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8EB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86EDA">
            <w:pPr>
              <w:jc w:val="center"/>
              <w:rPr>
                <w:rFonts w:hint="eastAsia" w:ascii="仿宋" w:hAnsi="仿宋" w:eastAsia="仿宋" w:cs="仿宋"/>
                <w:i w:val="0"/>
                <w:iCs w:val="0"/>
                <w:color w:val="000000"/>
                <w:sz w:val="18"/>
                <w:szCs w:val="18"/>
                <w:u w:val="none"/>
              </w:rPr>
            </w:pPr>
          </w:p>
        </w:tc>
      </w:tr>
      <w:tr w14:paraId="583D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39F0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A14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703C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DBB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06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2B0B">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FB3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70A76">
            <w:pPr>
              <w:jc w:val="center"/>
              <w:rPr>
                <w:rFonts w:hint="eastAsia" w:ascii="仿宋" w:hAnsi="仿宋" w:eastAsia="仿宋" w:cs="仿宋"/>
                <w:i w:val="0"/>
                <w:iCs w:val="0"/>
                <w:color w:val="000000"/>
                <w:sz w:val="18"/>
                <w:szCs w:val="18"/>
                <w:u w:val="none"/>
              </w:rPr>
            </w:pPr>
          </w:p>
        </w:tc>
      </w:tr>
      <w:tr w14:paraId="793B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2DF8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349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B12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3.规格:DN80</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F6F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02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39B7">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D7F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5ACE2">
            <w:pPr>
              <w:jc w:val="center"/>
              <w:rPr>
                <w:rFonts w:hint="eastAsia" w:ascii="仿宋" w:hAnsi="仿宋" w:eastAsia="仿宋" w:cs="仿宋"/>
                <w:i w:val="0"/>
                <w:iCs w:val="0"/>
                <w:color w:val="000000"/>
                <w:sz w:val="18"/>
                <w:szCs w:val="18"/>
                <w:u w:val="none"/>
              </w:rPr>
            </w:pPr>
          </w:p>
        </w:tc>
      </w:tr>
      <w:tr w14:paraId="3B96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E06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E15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B42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AF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9A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48.32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20E7">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BD5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12A31">
            <w:pPr>
              <w:jc w:val="center"/>
              <w:rPr>
                <w:rFonts w:hint="eastAsia" w:ascii="仿宋" w:hAnsi="仿宋" w:eastAsia="仿宋" w:cs="仿宋"/>
                <w:i w:val="0"/>
                <w:iCs w:val="0"/>
                <w:color w:val="000000"/>
                <w:sz w:val="18"/>
                <w:szCs w:val="18"/>
                <w:u w:val="none"/>
              </w:rPr>
            </w:pPr>
          </w:p>
        </w:tc>
      </w:tr>
      <w:tr w14:paraId="5767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3082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EA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桥架支架</w:t>
            </w: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E1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1.名称：桥架支架制作安装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3.综合：含除锈、刷油防腐、螺栓等满足设计及使用要求的内容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9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5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B253">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C99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75259">
            <w:pPr>
              <w:jc w:val="center"/>
              <w:rPr>
                <w:rFonts w:hint="eastAsia" w:ascii="仿宋" w:hAnsi="仿宋" w:eastAsia="仿宋" w:cs="仿宋"/>
                <w:i w:val="0"/>
                <w:iCs w:val="0"/>
                <w:color w:val="000000"/>
                <w:sz w:val="18"/>
                <w:szCs w:val="18"/>
                <w:u w:val="none"/>
              </w:rPr>
            </w:pPr>
          </w:p>
        </w:tc>
      </w:tr>
      <w:tr w14:paraId="0031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2F7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06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设备支架</w:t>
            </w:r>
          </w:p>
        </w:tc>
        <w:tc>
          <w:tcPr>
            <w:tcW w:w="4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C1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1.名称：配电柜基础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3.综合：含除锈、刷油防腐、螺栓等满足设计及使用要求的内容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7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6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551C">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0DE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40832">
            <w:pPr>
              <w:jc w:val="center"/>
              <w:rPr>
                <w:rFonts w:hint="eastAsia" w:ascii="仿宋" w:hAnsi="仿宋" w:eastAsia="仿宋" w:cs="仿宋"/>
                <w:i w:val="0"/>
                <w:iCs w:val="0"/>
                <w:color w:val="000000"/>
                <w:sz w:val="18"/>
                <w:szCs w:val="18"/>
                <w:u w:val="none"/>
              </w:rPr>
            </w:pPr>
          </w:p>
        </w:tc>
      </w:tr>
      <w:tr w14:paraId="1588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9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70C7FCC">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二、照明部分</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5EB3">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54C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329DA">
            <w:pPr>
              <w:jc w:val="center"/>
              <w:rPr>
                <w:rFonts w:hint="eastAsia" w:ascii="仿宋" w:hAnsi="仿宋" w:eastAsia="仿宋" w:cs="仿宋"/>
                <w:i w:val="0"/>
                <w:iCs w:val="0"/>
                <w:color w:val="000000"/>
                <w:sz w:val="18"/>
                <w:szCs w:val="18"/>
                <w:u w:val="none"/>
              </w:rPr>
            </w:pPr>
          </w:p>
        </w:tc>
      </w:tr>
      <w:tr w14:paraId="313F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6A2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D51E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914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2.型号:ZC-BV-2.5mm2</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E33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C8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19053.42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4853">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C33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DEAE">
            <w:pPr>
              <w:jc w:val="center"/>
              <w:rPr>
                <w:rFonts w:hint="eastAsia" w:ascii="仿宋" w:hAnsi="仿宋" w:eastAsia="仿宋" w:cs="仿宋"/>
                <w:i w:val="0"/>
                <w:iCs w:val="0"/>
                <w:color w:val="000000"/>
                <w:sz w:val="18"/>
                <w:szCs w:val="18"/>
                <w:u w:val="none"/>
              </w:rPr>
            </w:pPr>
          </w:p>
        </w:tc>
      </w:tr>
      <w:tr w14:paraId="6644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87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379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A1F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2.型号:ZC-BV-4mm2</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16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B77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68076.47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EF21">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840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7AD9">
            <w:pPr>
              <w:jc w:val="center"/>
              <w:rPr>
                <w:rFonts w:hint="eastAsia" w:ascii="仿宋" w:hAnsi="仿宋" w:eastAsia="仿宋" w:cs="仿宋"/>
                <w:i w:val="0"/>
                <w:iCs w:val="0"/>
                <w:color w:val="000000"/>
                <w:sz w:val="18"/>
                <w:szCs w:val="18"/>
                <w:u w:val="none"/>
              </w:rPr>
            </w:pPr>
          </w:p>
        </w:tc>
      </w:tr>
      <w:tr w14:paraId="1850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DE6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9E2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EA8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AA5D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41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21709.92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F948">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E13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48F8D">
            <w:pPr>
              <w:jc w:val="center"/>
              <w:rPr>
                <w:rFonts w:hint="eastAsia" w:ascii="仿宋" w:hAnsi="仿宋" w:eastAsia="仿宋" w:cs="仿宋"/>
                <w:i w:val="0"/>
                <w:iCs w:val="0"/>
                <w:color w:val="000000"/>
                <w:sz w:val="18"/>
                <w:szCs w:val="18"/>
                <w:u w:val="none"/>
              </w:rPr>
            </w:pPr>
          </w:p>
        </w:tc>
      </w:tr>
      <w:tr w14:paraId="480C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2A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C96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CC3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1.名称:LED洁净灯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2.详细参数:L=1200mm LED 45W,6500K,5400lm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6.安装方式:吸顶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7.适用区域:洁净间等</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F94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1B2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4A2E">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ADBA">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761C1">
            <w:pPr>
              <w:jc w:val="center"/>
              <w:rPr>
                <w:rFonts w:hint="eastAsia" w:ascii="仿宋" w:hAnsi="仿宋" w:eastAsia="仿宋" w:cs="仿宋"/>
                <w:i w:val="0"/>
                <w:iCs w:val="0"/>
                <w:color w:val="000000"/>
                <w:sz w:val="18"/>
                <w:szCs w:val="18"/>
                <w:u w:val="none"/>
              </w:rPr>
            </w:pPr>
          </w:p>
        </w:tc>
      </w:tr>
      <w:tr w14:paraId="5BDD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A04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36E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0DA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1.名称:LED平板灯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2.详细参数:1200x300mm LED 45W,6500K,5400lm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6.安装方式:嵌入/吸顶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7.适用区域:厂房、参观通道等</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46C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EF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2638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981">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AEBE">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285C1">
            <w:pPr>
              <w:jc w:val="center"/>
              <w:rPr>
                <w:rFonts w:hint="eastAsia" w:ascii="仿宋" w:hAnsi="仿宋" w:eastAsia="仿宋" w:cs="仿宋"/>
                <w:i w:val="0"/>
                <w:iCs w:val="0"/>
                <w:color w:val="000000"/>
                <w:sz w:val="18"/>
                <w:szCs w:val="18"/>
                <w:u w:val="none"/>
              </w:rPr>
            </w:pPr>
          </w:p>
        </w:tc>
      </w:tr>
      <w:tr w14:paraId="6428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03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9BD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613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1.名称:LED面板灯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2.详细参数:LED 10W,6500K,1200lm 300x300mm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6.安装方式:嵌入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7.适用区域:卫生间</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C6E8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9D0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BFD4">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6FF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B43A7">
            <w:pPr>
              <w:jc w:val="center"/>
              <w:rPr>
                <w:rFonts w:hint="eastAsia" w:ascii="仿宋" w:hAnsi="仿宋" w:eastAsia="仿宋" w:cs="仿宋"/>
                <w:i w:val="0"/>
                <w:iCs w:val="0"/>
                <w:color w:val="000000"/>
                <w:sz w:val="18"/>
                <w:szCs w:val="18"/>
                <w:u w:val="none"/>
              </w:rPr>
            </w:pPr>
          </w:p>
        </w:tc>
      </w:tr>
      <w:tr w14:paraId="4D36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AE6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8303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C0D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1.名称:LED面板灯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2.详细参数:LED 40W,6500K,4800lm 600x600mm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6.安装方式:嵌入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7.适用区域:卫生间</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E7F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4F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1ECC">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4DA4">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E92CF">
            <w:pPr>
              <w:jc w:val="center"/>
              <w:rPr>
                <w:rFonts w:hint="eastAsia" w:ascii="仿宋" w:hAnsi="仿宋" w:eastAsia="仿宋" w:cs="仿宋"/>
                <w:i w:val="0"/>
                <w:iCs w:val="0"/>
                <w:color w:val="000000"/>
                <w:sz w:val="18"/>
                <w:szCs w:val="18"/>
                <w:u w:val="none"/>
              </w:rPr>
            </w:pPr>
          </w:p>
        </w:tc>
      </w:tr>
      <w:tr w14:paraId="5DFD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FC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C32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荧光灯</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5AF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1.名称:LED支架灯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2.详细参数:L=1200mm LED 2X24W,6500K,单管2800lm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6.安装方式:吸顶/吊装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7.适用区域:辅房、配电间等</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8C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73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A0B0">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5584">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03306">
            <w:pPr>
              <w:jc w:val="center"/>
              <w:rPr>
                <w:rFonts w:hint="eastAsia" w:ascii="仿宋" w:hAnsi="仿宋" w:eastAsia="仿宋" w:cs="仿宋"/>
                <w:i w:val="0"/>
                <w:iCs w:val="0"/>
                <w:color w:val="000000"/>
                <w:sz w:val="18"/>
                <w:szCs w:val="18"/>
                <w:u w:val="none"/>
              </w:rPr>
            </w:pPr>
          </w:p>
        </w:tc>
      </w:tr>
      <w:tr w14:paraId="3368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E32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7B9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荧光灯</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60C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1.名称:LED支架灯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2.详细参数:L=1200mm LED 24W,6500K,单管2800lm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6.安装方式:吸顶/吊装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7.适用区域:辅房、配电间等</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649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58A0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0491">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630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69FD4">
            <w:pPr>
              <w:jc w:val="center"/>
              <w:rPr>
                <w:rFonts w:hint="eastAsia" w:ascii="仿宋" w:hAnsi="仿宋" w:eastAsia="仿宋" w:cs="仿宋"/>
                <w:i w:val="0"/>
                <w:iCs w:val="0"/>
                <w:color w:val="000000"/>
                <w:sz w:val="18"/>
                <w:szCs w:val="18"/>
                <w:u w:val="none"/>
              </w:rPr>
            </w:pPr>
          </w:p>
        </w:tc>
      </w:tr>
      <w:tr w14:paraId="5B06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359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41A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637E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1.名称:LED工矿灯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2.详细参数:LED 100W,6500K,12000lm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6.安装方式:壁装H+4.5m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7.适用区域:辅房等</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267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AD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9448">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247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324F5">
            <w:pPr>
              <w:jc w:val="center"/>
              <w:rPr>
                <w:rFonts w:hint="eastAsia" w:ascii="仿宋" w:hAnsi="仿宋" w:eastAsia="仿宋" w:cs="仿宋"/>
                <w:i w:val="0"/>
                <w:iCs w:val="0"/>
                <w:color w:val="000000"/>
                <w:sz w:val="18"/>
                <w:szCs w:val="18"/>
                <w:u w:val="none"/>
              </w:rPr>
            </w:pPr>
          </w:p>
        </w:tc>
      </w:tr>
      <w:tr w14:paraId="4300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FA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70A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87B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1.名称:LED工矿灯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2.详细参数:LED 150W,6500K,18000lm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6.安装方式:吊装平台标高+5.5m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7.适用区域:车间等</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20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78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A914">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E7B1">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E6797">
            <w:pPr>
              <w:jc w:val="center"/>
              <w:rPr>
                <w:rFonts w:hint="eastAsia" w:ascii="仿宋" w:hAnsi="仿宋" w:eastAsia="仿宋" w:cs="仿宋"/>
                <w:i w:val="0"/>
                <w:iCs w:val="0"/>
                <w:color w:val="000000"/>
                <w:sz w:val="18"/>
                <w:szCs w:val="18"/>
                <w:u w:val="none"/>
              </w:rPr>
            </w:pPr>
          </w:p>
        </w:tc>
      </w:tr>
      <w:tr w14:paraId="4DEE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BD0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5FD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D830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1.名称:LED工矿灯-洁净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2.详细参数:LED 150W,6500K,18000lm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6.安装方式:吊装平台标高+5.5m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7.适用区域:车间等</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042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356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4A3F">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EA3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DE9D0">
            <w:pPr>
              <w:jc w:val="center"/>
              <w:rPr>
                <w:rFonts w:hint="eastAsia" w:ascii="仿宋" w:hAnsi="仿宋" w:eastAsia="仿宋" w:cs="仿宋"/>
                <w:i w:val="0"/>
                <w:iCs w:val="0"/>
                <w:color w:val="000000"/>
                <w:sz w:val="18"/>
                <w:szCs w:val="18"/>
                <w:u w:val="none"/>
              </w:rPr>
            </w:pPr>
          </w:p>
        </w:tc>
      </w:tr>
      <w:tr w14:paraId="169B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907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442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06A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1.名称:LED壁装灯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2.详细参数:L=1200mm LED 24W,6500K,单管2800lm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3.IP等级:54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6.安装方式:壁装H+3.5m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7.适用区域:辅房等</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F2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44D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F431">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840D">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FC3D5">
            <w:pPr>
              <w:jc w:val="center"/>
              <w:rPr>
                <w:rFonts w:hint="eastAsia" w:ascii="仿宋" w:hAnsi="仿宋" w:eastAsia="仿宋" w:cs="仿宋"/>
                <w:i w:val="0"/>
                <w:iCs w:val="0"/>
                <w:color w:val="000000"/>
                <w:sz w:val="18"/>
                <w:szCs w:val="18"/>
                <w:u w:val="none"/>
              </w:rPr>
            </w:pPr>
          </w:p>
        </w:tc>
      </w:tr>
      <w:tr w14:paraId="31D1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B44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196</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F40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C7BA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1.名称:LED壁装灯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2.详细参数:L=1200mm LED 24W,6500K,单管2800lm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6.安装方式:壁装H+3.5m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7.适用区域:辅房等</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E6D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45B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13D3">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CCEA">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3F0C0">
            <w:pPr>
              <w:jc w:val="center"/>
              <w:rPr>
                <w:rFonts w:hint="eastAsia" w:ascii="仿宋" w:hAnsi="仿宋" w:eastAsia="仿宋" w:cs="仿宋"/>
                <w:i w:val="0"/>
                <w:iCs w:val="0"/>
                <w:color w:val="000000"/>
                <w:sz w:val="18"/>
                <w:szCs w:val="18"/>
                <w:u w:val="none"/>
              </w:rPr>
            </w:pPr>
          </w:p>
        </w:tc>
      </w:tr>
      <w:tr w14:paraId="05D5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3F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197</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C14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0EE8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1.名称:LED感应灯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2.详细参数:LED 18W,4000K,2000lm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3.IP等级:54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6.安装方式:吸顶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7.适用区域:楼梯间</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E886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087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8DC3">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4125">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92BD8">
            <w:pPr>
              <w:jc w:val="center"/>
              <w:rPr>
                <w:rFonts w:hint="eastAsia" w:ascii="仿宋" w:hAnsi="仿宋" w:eastAsia="仿宋" w:cs="仿宋"/>
                <w:i w:val="0"/>
                <w:iCs w:val="0"/>
                <w:color w:val="000000"/>
                <w:sz w:val="18"/>
                <w:szCs w:val="18"/>
                <w:u w:val="none"/>
              </w:rPr>
            </w:pPr>
          </w:p>
        </w:tc>
      </w:tr>
      <w:tr w14:paraId="4C7E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F60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481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普通灯具</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CDE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1.名称:LED壁灯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2.详细参数:LED 100W,6500K,12000lm 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3.IP等级:20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4.显色指数CRI:&gt;80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5.初始效能值(lm/W):≥105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6.安装方式:壁装,H+2.6m 根据实际需求高度调整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7.适用区域:设备平台层等</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14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F23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ED48">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638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A9ADF">
            <w:pPr>
              <w:jc w:val="center"/>
              <w:rPr>
                <w:rFonts w:hint="eastAsia" w:ascii="仿宋" w:hAnsi="仿宋" w:eastAsia="仿宋" w:cs="仿宋"/>
                <w:i w:val="0"/>
                <w:iCs w:val="0"/>
                <w:color w:val="000000"/>
                <w:sz w:val="18"/>
                <w:szCs w:val="18"/>
                <w:u w:val="none"/>
              </w:rPr>
            </w:pPr>
          </w:p>
        </w:tc>
      </w:tr>
      <w:tr w14:paraId="7AED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0A1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199</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8A3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9CBC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1.名称:灯具接线盒</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874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639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4862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0740">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FF8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E7002">
            <w:pPr>
              <w:jc w:val="center"/>
              <w:rPr>
                <w:rFonts w:hint="eastAsia" w:ascii="仿宋" w:hAnsi="仿宋" w:eastAsia="仿宋" w:cs="仿宋"/>
                <w:i w:val="0"/>
                <w:iCs w:val="0"/>
                <w:color w:val="000000"/>
                <w:sz w:val="18"/>
                <w:szCs w:val="18"/>
                <w:u w:val="none"/>
              </w:rPr>
            </w:pPr>
          </w:p>
        </w:tc>
      </w:tr>
      <w:tr w14:paraId="6764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CA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B9F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照明开关</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67E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1.名称:单联双控跷板开关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3.安装方式:底边距地1.3m</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1F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ED0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B4AA">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9EE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430DB">
            <w:pPr>
              <w:jc w:val="center"/>
              <w:rPr>
                <w:rFonts w:hint="eastAsia" w:ascii="仿宋" w:hAnsi="仿宋" w:eastAsia="仿宋" w:cs="仿宋"/>
                <w:i w:val="0"/>
                <w:iCs w:val="0"/>
                <w:color w:val="000000"/>
                <w:sz w:val="18"/>
                <w:szCs w:val="18"/>
                <w:u w:val="none"/>
              </w:rPr>
            </w:pPr>
          </w:p>
        </w:tc>
      </w:tr>
      <w:tr w14:paraId="7B47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3DE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4A5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照明开关</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1B7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1.名称:单联双控跷板开关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3.安装方式:底边距地1.3m</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6D2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AE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7A86">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2FB6">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84531">
            <w:pPr>
              <w:jc w:val="center"/>
              <w:rPr>
                <w:rFonts w:hint="eastAsia" w:ascii="仿宋" w:hAnsi="仿宋" w:eastAsia="仿宋" w:cs="仿宋"/>
                <w:i w:val="0"/>
                <w:iCs w:val="0"/>
                <w:color w:val="000000"/>
                <w:sz w:val="18"/>
                <w:szCs w:val="18"/>
                <w:u w:val="none"/>
              </w:rPr>
            </w:pPr>
          </w:p>
        </w:tc>
      </w:tr>
      <w:tr w14:paraId="0D6B2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A4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6F4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照明开关</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227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1.名称:双联单控跷板开关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3.安装方式:底边距地1.3m</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60B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EE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DACB">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3F8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6925A">
            <w:pPr>
              <w:jc w:val="center"/>
              <w:rPr>
                <w:rFonts w:hint="eastAsia" w:ascii="仿宋" w:hAnsi="仿宋" w:eastAsia="仿宋" w:cs="仿宋"/>
                <w:i w:val="0"/>
                <w:iCs w:val="0"/>
                <w:color w:val="000000"/>
                <w:sz w:val="18"/>
                <w:szCs w:val="18"/>
                <w:u w:val="none"/>
              </w:rPr>
            </w:pPr>
          </w:p>
        </w:tc>
      </w:tr>
      <w:tr w14:paraId="6E71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C5F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EBF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照明开关</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D9A2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1.名称:三联单控跷板开关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3.安装方式:底边距地1.3m</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C43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A1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100E">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70B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70EF7">
            <w:pPr>
              <w:jc w:val="center"/>
              <w:rPr>
                <w:rFonts w:hint="eastAsia" w:ascii="仿宋" w:hAnsi="仿宋" w:eastAsia="仿宋" w:cs="仿宋"/>
                <w:i w:val="0"/>
                <w:iCs w:val="0"/>
                <w:color w:val="000000"/>
                <w:sz w:val="18"/>
                <w:szCs w:val="18"/>
                <w:u w:val="none"/>
              </w:rPr>
            </w:pPr>
          </w:p>
        </w:tc>
      </w:tr>
      <w:tr w14:paraId="0739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7E7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204</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E41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2C7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1.名称:开关接线盒</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CE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46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4F62">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B7EE">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D600C">
            <w:pPr>
              <w:jc w:val="center"/>
              <w:rPr>
                <w:rFonts w:hint="eastAsia" w:ascii="仿宋" w:hAnsi="仿宋" w:eastAsia="仿宋" w:cs="仿宋"/>
                <w:i w:val="0"/>
                <w:iCs w:val="0"/>
                <w:color w:val="000000"/>
                <w:sz w:val="18"/>
                <w:szCs w:val="18"/>
                <w:u w:val="none"/>
              </w:rPr>
            </w:pPr>
          </w:p>
        </w:tc>
      </w:tr>
      <w:tr w14:paraId="6640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A1B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1470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插座</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442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1.名称:单相二三极安全插座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3.安装方式:未注明区域底边距地0.3m暗装，宿舍户内底边距地1.0m暗装，车间等区域空调机组用底边距地0.6m暗装</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080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806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B54C">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9071">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1EE87">
            <w:pPr>
              <w:jc w:val="center"/>
              <w:rPr>
                <w:rFonts w:hint="eastAsia" w:ascii="仿宋" w:hAnsi="仿宋" w:eastAsia="仿宋" w:cs="仿宋"/>
                <w:i w:val="0"/>
                <w:iCs w:val="0"/>
                <w:color w:val="000000"/>
                <w:sz w:val="18"/>
                <w:szCs w:val="18"/>
                <w:u w:val="none"/>
              </w:rPr>
            </w:pPr>
          </w:p>
        </w:tc>
      </w:tr>
      <w:tr w14:paraId="4575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198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C74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插座</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E0C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1.名称:防水型单相三极安全插座(烘手机用)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3.安装方式:底边距地1.3m暗装</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C0C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FEC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4E32">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FF2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65ACE">
            <w:pPr>
              <w:jc w:val="center"/>
              <w:rPr>
                <w:rFonts w:hint="eastAsia" w:ascii="仿宋" w:hAnsi="仿宋" w:eastAsia="仿宋" w:cs="仿宋"/>
                <w:i w:val="0"/>
                <w:iCs w:val="0"/>
                <w:color w:val="000000"/>
                <w:sz w:val="18"/>
                <w:szCs w:val="18"/>
                <w:u w:val="none"/>
              </w:rPr>
            </w:pPr>
          </w:p>
        </w:tc>
      </w:tr>
      <w:tr w14:paraId="7FC6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8145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207</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A01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插座</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1B1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1.名称:防水型单相三极安全插座(小厨宝用)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3.安装方式:底边距地0.5m暗装</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F14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F0E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D3A0">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3A20">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56B20">
            <w:pPr>
              <w:jc w:val="center"/>
              <w:rPr>
                <w:rFonts w:hint="eastAsia" w:ascii="仿宋" w:hAnsi="仿宋" w:eastAsia="仿宋" w:cs="仿宋"/>
                <w:i w:val="0"/>
                <w:iCs w:val="0"/>
                <w:color w:val="000000"/>
                <w:sz w:val="18"/>
                <w:szCs w:val="18"/>
                <w:u w:val="none"/>
              </w:rPr>
            </w:pPr>
          </w:p>
        </w:tc>
      </w:tr>
      <w:tr w14:paraId="3CA6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A5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1DC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插座</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C5D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1.名称:防水型单相三极安全插座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3.安装方式:底边距地0.8m暗装/台面上0.3m暗装</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85A7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D94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9BD1">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7D3">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F765B">
            <w:pPr>
              <w:jc w:val="center"/>
              <w:rPr>
                <w:rFonts w:hint="eastAsia" w:ascii="仿宋" w:hAnsi="仿宋" w:eastAsia="仿宋" w:cs="仿宋"/>
                <w:i w:val="0"/>
                <w:iCs w:val="0"/>
                <w:color w:val="000000"/>
                <w:sz w:val="18"/>
                <w:szCs w:val="18"/>
                <w:u w:val="none"/>
              </w:rPr>
            </w:pPr>
          </w:p>
        </w:tc>
      </w:tr>
      <w:tr w14:paraId="277B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F1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209</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064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插座</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D50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1.名称:单相二三极安全插座 EN</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2.规格:~250V,10A,防爆等级 Ex d IIC T6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3.安装方式:底边距地0.3m暗装</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B5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7D39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D93B">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C4C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3778F">
            <w:pPr>
              <w:jc w:val="center"/>
              <w:rPr>
                <w:rFonts w:hint="eastAsia" w:ascii="仿宋" w:hAnsi="仿宋" w:eastAsia="仿宋" w:cs="仿宋"/>
                <w:i w:val="0"/>
                <w:iCs w:val="0"/>
                <w:color w:val="000000"/>
                <w:sz w:val="18"/>
                <w:szCs w:val="18"/>
                <w:u w:val="none"/>
              </w:rPr>
            </w:pPr>
          </w:p>
        </w:tc>
      </w:tr>
      <w:tr w14:paraId="61C0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DD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E60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51D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1.名称:插座接线盒</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2E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BBC0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3F9F">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E69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C24F4">
            <w:pPr>
              <w:jc w:val="center"/>
              <w:rPr>
                <w:rFonts w:hint="eastAsia" w:ascii="仿宋" w:hAnsi="仿宋" w:eastAsia="仿宋" w:cs="仿宋"/>
                <w:i w:val="0"/>
                <w:iCs w:val="0"/>
                <w:color w:val="000000"/>
                <w:sz w:val="18"/>
                <w:szCs w:val="18"/>
                <w:u w:val="none"/>
              </w:rPr>
            </w:pPr>
          </w:p>
        </w:tc>
      </w:tr>
      <w:tr w14:paraId="5535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68C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681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46BD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1.名称:86接线盒(小便池用)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3.安装形式:底边距地1.0m暗装</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56B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5C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1E9F">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598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89A0C">
            <w:pPr>
              <w:jc w:val="center"/>
              <w:rPr>
                <w:rFonts w:hint="eastAsia" w:ascii="仿宋" w:hAnsi="仿宋" w:eastAsia="仿宋" w:cs="仿宋"/>
                <w:i w:val="0"/>
                <w:iCs w:val="0"/>
                <w:color w:val="000000"/>
                <w:sz w:val="18"/>
                <w:szCs w:val="18"/>
                <w:u w:val="none"/>
              </w:rPr>
            </w:pPr>
          </w:p>
        </w:tc>
      </w:tr>
      <w:tr w14:paraId="7A9F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E39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6614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按钮</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C75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1.名称:带指示灯启停控制按钮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2.规格:一启一停,带指示灯,10A 250V,IP41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3.+1.5m壁装</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4FF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A73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4A84">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FAC9">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05D6E">
            <w:pPr>
              <w:jc w:val="center"/>
              <w:rPr>
                <w:rFonts w:hint="eastAsia" w:ascii="仿宋" w:hAnsi="仿宋" w:eastAsia="仿宋" w:cs="仿宋"/>
                <w:i w:val="0"/>
                <w:iCs w:val="0"/>
                <w:color w:val="000000"/>
                <w:sz w:val="18"/>
                <w:szCs w:val="18"/>
                <w:u w:val="none"/>
              </w:rPr>
            </w:pPr>
          </w:p>
        </w:tc>
      </w:tr>
      <w:tr w14:paraId="63D2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29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891425E">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三、防雷接地部分</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E339">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CEC8">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42536">
            <w:pPr>
              <w:jc w:val="center"/>
              <w:rPr>
                <w:rFonts w:hint="eastAsia" w:ascii="仿宋" w:hAnsi="仿宋" w:eastAsia="仿宋" w:cs="仿宋"/>
                <w:i w:val="0"/>
                <w:iCs w:val="0"/>
                <w:color w:val="000000"/>
                <w:sz w:val="18"/>
                <w:szCs w:val="18"/>
                <w:u w:val="none"/>
              </w:rPr>
            </w:pPr>
          </w:p>
        </w:tc>
      </w:tr>
      <w:tr w14:paraId="7ED62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8EA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213</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9FA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避雷引下线</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F016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1.名称:引下线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2.安装形式:利用建筑物四周的混凝土柱做自然引下线,除标注外均从屋面引至基础。</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C93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F34F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1215.5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2289">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0FA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0978">
            <w:pPr>
              <w:jc w:val="center"/>
              <w:rPr>
                <w:rFonts w:hint="eastAsia" w:ascii="仿宋" w:hAnsi="仿宋" w:eastAsia="仿宋" w:cs="仿宋"/>
                <w:i w:val="0"/>
                <w:iCs w:val="0"/>
                <w:color w:val="000000"/>
                <w:sz w:val="18"/>
                <w:szCs w:val="18"/>
                <w:u w:val="none"/>
              </w:rPr>
            </w:pPr>
          </w:p>
        </w:tc>
      </w:tr>
      <w:tr w14:paraId="4A1D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AB9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214</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1E0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717C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1.名称:防雷检测实验盒(接地电阻测试点)H=0.5m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2.做法参见《电气物防雷设施安装》15D501第30页</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B7B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ED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D354">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E01A">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B7C54">
            <w:pPr>
              <w:jc w:val="center"/>
              <w:rPr>
                <w:rFonts w:hint="eastAsia" w:ascii="仿宋" w:hAnsi="仿宋" w:eastAsia="仿宋" w:cs="仿宋"/>
                <w:i w:val="0"/>
                <w:iCs w:val="0"/>
                <w:color w:val="000000"/>
                <w:sz w:val="18"/>
                <w:szCs w:val="18"/>
                <w:u w:val="none"/>
              </w:rPr>
            </w:pPr>
          </w:p>
        </w:tc>
      </w:tr>
      <w:tr w14:paraId="4198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DC1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DEA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0C3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1.名称:人工接地地体引出线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2.规格:不锈扁钢40x4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3.距地坪-1.00m</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4F4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5C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3C1E">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ACBE">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3829">
            <w:pPr>
              <w:jc w:val="center"/>
              <w:rPr>
                <w:rFonts w:hint="eastAsia" w:ascii="仿宋" w:hAnsi="仿宋" w:eastAsia="仿宋" w:cs="仿宋"/>
                <w:i w:val="0"/>
                <w:iCs w:val="0"/>
                <w:color w:val="000000"/>
                <w:sz w:val="18"/>
                <w:szCs w:val="18"/>
                <w:u w:val="none"/>
              </w:rPr>
            </w:pPr>
          </w:p>
        </w:tc>
      </w:tr>
      <w:tr w14:paraId="2939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F3A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C5B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156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1.名称:局部等电位箱LEB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2.规格:做法见15D502-24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3.电井、控制室底板、工艺设备厂房+0.3m</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20E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1A5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1469">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7CDB">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44053">
            <w:pPr>
              <w:jc w:val="center"/>
              <w:rPr>
                <w:rFonts w:hint="eastAsia" w:ascii="仿宋" w:hAnsi="仿宋" w:eastAsia="仿宋" w:cs="仿宋"/>
                <w:i w:val="0"/>
                <w:iCs w:val="0"/>
                <w:color w:val="000000"/>
                <w:sz w:val="18"/>
                <w:szCs w:val="18"/>
                <w:u w:val="none"/>
              </w:rPr>
            </w:pPr>
          </w:p>
        </w:tc>
      </w:tr>
      <w:tr w14:paraId="3597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47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065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F12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1.名称:防静电等电位箱 FLEB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2.H+0.3m,与防静电接地网可靠连接</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A5E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B91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FC37">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13C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FA84C">
            <w:pPr>
              <w:jc w:val="center"/>
              <w:rPr>
                <w:rFonts w:hint="eastAsia" w:ascii="仿宋" w:hAnsi="仿宋" w:eastAsia="仿宋" w:cs="仿宋"/>
                <w:i w:val="0"/>
                <w:iCs w:val="0"/>
                <w:color w:val="000000"/>
                <w:sz w:val="18"/>
                <w:szCs w:val="18"/>
                <w:u w:val="none"/>
              </w:rPr>
            </w:pPr>
          </w:p>
        </w:tc>
      </w:tr>
      <w:tr w14:paraId="678A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E0C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218</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FDF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C489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1.名称:总等电位箱MEB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2.规格:图集24DX002-1 139页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3.底板+0.3m(设置在配电房)</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AF3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EB6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5BE4">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CC4F">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9B540">
            <w:pPr>
              <w:jc w:val="center"/>
              <w:rPr>
                <w:rFonts w:hint="eastAsia" w:ascii="仿宋" w:hAnsi="仿宋" w:eastAsia="仿宋" w:cs="仿宋"/>
                <w:i w:val="0"/>
                <w:iCs w:val="0"/>
                <w:color w:val="000000"/>
                <w:sz w:val="18"/>
                <w:szCs w:val="18"/>
                <w:u w:val="none"/>
              </w:rPr>
            </w:pPr>
          </w:p>
        </w:tc>
      </w:tr>
      <w:tr w14:paraId="13E4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8D20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219</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199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A43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1.名称:配电房接地线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2.规格:镀锌扁钢-40x4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3.过门时沿地坪暗设,并与柱内或剪力墙内主钢筋焊接。保护接地干线,明敷,H+0.5m</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BDA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29C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7583">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FDB1">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4F84">
            <w:pPr>
              <w:jc w:val="center"/>
              <w:rPr>
                <w:rFonts w:hint="eastAsia" w:ascii="仿宋" w:hAnsi="仿宋" w:eastAsia="仿宋" w:cs="仿宋"/>
                <w:i w:val="0"/>
                <w:iCs w:val="0"/>
                <w:color w:val="000000"/>
                <w:sz w:val="18"/>
                <w:szCs w:val="18"/>
                <w:u w:val="none"/>
              </w:rPr>
            </w:pPr>
          </w:p>
        </w:tc>
      </w:tr>
      <w:tr w14:paraId="53DA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FE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F19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7D7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2.安装形式:利用底板钢筋焊接,标高见结施图</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922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78D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2273.37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41B9">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408C">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916B">
            <w:pPr>
              <w:jc w:val="center"/>
              <w:rPr>
                <w:rFonts w:hint="eastAsia" w:ascii="仿宋" w:hAnsi="仿宋" w:eastAsia="仿宋" w:cs="仿宋"/>
                <w:i w:val="0"/>
                <w:iCs w:val="0"/>
                <w:color w:val="000000"/>
                <w:sz w:val="18"/>
                <w:szCs w:val="18"/>
                <w:u w:val="none"/>
              </w:rPr>
            </w:pPr>
          </w:p>
        </w:tc>
      </w:tr>
      <w:tr w14:paraId="42BB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75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40CB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8D09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1.名称:做气体探测区域设置此接地干线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2.材质:不锈钢-40x4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3.安装形式:过门时沿地坪暗设,并与柱内或剪力墙内主钢筋焊接。保护接地干线,明敷,H+0.3m，不小于两处与建筑总接地网可靠连接</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8C2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6B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199.44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AF6A">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50EA">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7882">
            <w:pPr>
              <w:jc w:val="center"/>
              <w:rPr>
                <w:rFonts w:hint="eastAsia" w:ascii="仿宋" w:hAnsi="仿宋" w:eastAsia="仿宋" w:cs="仿宋"/>
                <w:i w:val="0"/>
                <w:iCs w:val="0"/>
                <w:color w:val="000000"/>
                <w:sz w:val="18"/>
                <w:szCs w:val="18"/>
                <w:u w:val="none"/>
              </w:rPr>
            </w:pPr>
          </w:p>
        </w:tc>
      </w:tr>
      <w:tr w14:paraId="3E02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A783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1662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接地装置</w:t>
            </w:r>
          </w:p>
        </w:tc>
        <w:tc>
          <w:tcPr>
            <w:tcW w:w="4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C7BE7">
            <w:pPr>
              <w:jc w:val="left"/>
              <w:rPr>
                <w:rFonts w:hint="eastAsia" w:ascii="仿宋" w:hAnsi="仿宋" w:eastAsia="仿宋" w:cs="仿宋"/>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89D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398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737A">
            <w:pPr>
              <w:jc w:val="right"/>
              <w:rPr>
                <w:rFonts w:hint="eastAsia" w:ascii="仿宋" w:hAnsi="仿宋" w:eastAsia="仿宋" w:cs="仿宋"/>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318C">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7FFBF">
            <w:pPr>
              <w:jc w:val="center"/>
              <w:rPr>
                <w:rFonts w:hint="eastAsia" w:ascii="仿宋" w:hAnsi="仿宋" w:eastAsia="仿宋" w:cs="仿宋"/>
                <w:i w:val="0"/>
                <w:iCs w:val="0"/>
                <w:color w:val="000000"/>
                <w:sz w:val="18"/>
                <w:szCs w:val="18"/>
                <w:u w:val="none"/>
              </w:rPr>
            </w:pPr>
          </w:p>
        </w:tc>
      </w:tr>
      <w:tr w14:paraId="4A8B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8"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3A2F63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6952E49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DE9D9"/>
            <w:noWrap/>
            <w:vAlign w:val="center"/>
          </w:tcPr>
          <w:p w14:paraId="066427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0BDBD2E">
            <w:pPr>
              <w:rPr>
                <w:rFonts w:hint="eastAsia" w:ascii="仿宋" w:hAnsi="仿宋" w:eastAsia="仿宋" w:cs="仿宋"/>
                <w:i w:val="0"/>
                <w:iCs w:val="0"/>
                <w:color w:val="000000"/>
                <w:sz w:val="18"/>
                <w:szCs w:val="18"/>
                <w:u w:val="none"/>
              </w:rPr>
            </w:pPr>
          </w:p>
        </w:tc>
      </w:tr>
    </w:tbl>
    <w:p w14:paraId="2EB6E667">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2、室外电气工程</w:t>
      </w:r>
    </w:p>
    <w:tbl>
      <w:tblPr>
        <w:tblStyle w:val="16"/>
        <w:tblW w:w="1011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773"/>
        <w:gridCol w:w="4320"/>
        <w:gridCol w:w="694"/>
        <w:gridCol w:w="906"/>
        <w:gridCol w:w="880"/>
        <w:gridCol w:w="947"/>
        <w:gridCol w:w="987"/>
      </w:tblGrid>
      <w:tr w14:paraId="0A05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0CDE3">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DBF1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4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E11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8A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BED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421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9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8A5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B9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738A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8697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F2C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6FE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2.规格:YJV-10-3x150</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4C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024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2713.24</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C06B83">
            <w:pPr>
              <w:jc w:val="right"/>
              <w:rPr>
                <w:rFonts w:hint="eastAsia" w:ascii="仿宋" w:hAnsi="仿宋" w:eastAsia="仿宋" w:cs="仿宋"/>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D39A2">
            <w:pPr>
              <w:jc w:val="right"/>
              <w:rPr>
                <w:rFonts w:hint="eastAsia" w:ascii="仿宋" w:hAnsi="仿宋" w:eastAsia="仿宋" w:cs="仿宋"/>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1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408F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D39A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4E2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AF0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2.规格:YJV-10-3x120</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5B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965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1819.68</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87E29">
            <w:pPr>
              <w:jc w:val="right"/>
              <w:rPr>
                <w:rFonts w:hint="eastAsia" w:ascii="仿宋" w:hAnsi="仿宋" w:eastAsia="仿宋" w:cs="仿宋"/>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AC972">
            <w:pPr>
              <w:jc w:val="right"/>
              <w:rPr>
                <w:rFonts w:hint="eastAsia" w:ascii="仿宋" w:hAnsi="仿宋" w:eastAsia="仿宋" w:cs="仿宋"/>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D9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1696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4D8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B027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t>
            </w:r>
          </w:p>
        </w:tc>
        <w:tc>
          <w:tcPr>
            <w:tcW w:w="4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5E4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2.规格:YJV-10-3x95</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EC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44F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471.99</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49773">
            <w:pPr>
              <w:jc w:val="right"/>
              <w:rPr>
                <w:rFonts w:hint="eastAsia" w:ascii="仿宋" w:hAnsi="仿宋" w:eastAsia="仿宋" w:cs="仿宋"/>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EC71A">
            <w:pPr>
              <w:jc w:val="right"/>
              <w:rPr>
                <w:rFonts w:hint="eastAsia" w:ascii="仿宋" w:hAnsi="仿宋" w:eastAsia="仿宋" w:cs="仿宋"/>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DE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电缆甲供</w:t>
            </w:r>
          </w:p>
        </w:tc>
      </w:tr>
      <w:tr w14:paraId="79CF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7B17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B5F2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C19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2.型号:240mm2以内</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54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3BE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5113">
            <w:pPr>
              <w:jc w:val="right"/>
              <w:rPr>
                <w:rFonts w:hint="eastAsia" w:ascii="仿宋" w:hAnsi="仿宋" w:eastAsia="仿宋" w:cs="仿宋"/>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66807">
            <w:pPr>
              <w:jc w:val="right"/>
              <w:rPr>
                <w:rFonts w:hint="eastAsia" w:ascii="仿宋" w:hAnsi="仿宋" w:eastAsia="仿宋" w:cs="仿宋"/>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D66A">
            <w:pPr>
              <w:jc w:val="center"/>
              <w:rPr>
                <w:rFonts w:hint="eastAsia" w:ascii="仿宋" w:hAnsi="仿宋" w:eastAsia="仿宋" w:cs="仿宋"/>
                <w:i w:val="0"/>
                <w:iCs w:val="0"/>
                <w:color w:val="000000"/>
                <w:sz w:val="18"/>
                <w:szCs w:val="18"/>
                <w:u w:val="none"/>
              </w:rPr>
            </w:pPr>
          </w:p>
        </w:tc>
      </w:tr>
      <w:tr w14:paraId="1DFF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7D04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AAB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4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13F2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2.型号:120mm2以内</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C5C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9A6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DD94">
            <w:pPr>
              <w:jc w:val="right"/>
              <w:rPr>
                <w:rFonts w:hint="eastAsia" w:ascii="仿宋" w:hAnsi="仿宋" w:eastAsia="仿宋" w:cs="仿宋"/>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B442B">
            <w:pPr>
              <w:jc w:val="right"/>
              <w:rPr>
                <w:rFonts w:hint="eastAsia" w:ascii="仿宋" w:hAnsi="仿宋" w:eastAsia="仿宋" w:cs="仿宋"/>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F19B">
            <w:pPr>
              <w:jc w:val="center"/>
              <w:rPr>
                <w:rFonts w:hint="eastAsia" w:ascii="仿宋" w:hAnsi="仿宋" w:eastAsia="仿宋" w:cs="仿宋"/>
                <w:i w:val="0"/>
                <w:iCs w:val="0"/>
                <w:color w:val="000000"/>
                <w:sz w:val="18"/>
                <w:szCs w:val="18"/>
                <w:u w:val="none"/>
              </w:rPr>
            </w:pPr>
          </w:p>
        </w:tc>
      </w:tr>
      <w:tr w14:paraId="0837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00"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11E87D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880" w:type="dxa"/>
            <w:tcBorders>
              <w:top w:val="single" w:color="000000" w:sz="4" w:space="0"/>
              <w:left w:val="single" w:color="000000" w:sz="4" w:space="0"/>
              <w:bottom w:val="single" w:color="000000" w:sz="4" w:space="0"/>
              <w:right w:val="nil"/>
            </w:tcBorders>
            <w:shd w:val="clear" w:color="auto" w:fill="FDE9D9"/>
            <w:noWrap/>
            <w:vAlign w:val="center"/>
          </w:tcPr>
          <w:p w14:paraId="3F14E671">
            <w:pPr>
              <w:jc w:val="center"/>
              <w:rPr>
                <w:rFonts w:hint="eastAsia" w:ascii="仿宋" w:hAnsi="仿宋" w:eastAsia="仿宋" w:cs="仿宋"/>
                <w:i w:val="0"/>
                <w:iCs w:val="0"/>
                <w:color w:val="000000"/>
                <w:sz w:val="18"/>
                <w:szCs w:val="18"/>
                <w:u w:val="none"/>
              </w:rPr>
            </w:pPr>
          </w:p>
        </w:tc>
        <w:tc>
          <w:tcPr>
            <w:tcW w:w="947" w:type="dxa"/>
            <w:tcBorders>
              <w:top w:val="single" w:color="000000" w:sz="4" w:space="0"/>
              <w:left w:val="nil"/>
              <w:bottom w:val="single" w:color="000000" w:sz="4" w:space="0"/>
              <w:right w:val="single" w:color="000000" w:sz="4" w:space="0"/>
            </w:tcBorders>
            <w:shd w:val="clear" w:color="auto" w:fill="FDE9D9"/>
            <w:noWrap/>
            <w:vAlign w:val="center"/>
          </w:tcPr>
          <w:p w14:paraId="19D14E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0.00 </w:t>
            </w:r>
          </w:p>
        </w:tc>
        <w:tc>
          <w:tcPr>
            <w:tcW w:w="987" w:type="dxa"/>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3A64455">
            <w:pPr>
              <w:rPr>
                <w:rFonts w:hint="eastAsia" w:ascii="仿宋" w:hAnsi="仿宋" w:eastAsia="仿宋" w:cs="仿宋"/>
                <w:i w:val="0"/>
                <w:iCs w:val="0"/>
                <w:color w:val="000000"/>
                <w:sz w:val="18"/>
                <w:szCs w:val="18"/>
                <w:u w:val="none"/>
              </w:rPr>
            </w:pPr>
          </w:p>
        </w:tc>
      </w:tr>
    </w:tbl>
    <w:p w14:paraId="055000BD">
      <w:pPr>
        <w:jc w:val="left"/>
        <w:rPr>
          <w:rFonts w:hint="eastAsia" w:ascii="宋体" w:hAnsi="宋体" w:cs="宋体"/>
          <w:sz w:val="24"/>
          <w:szCs w:val="24"/>
          <w:lang w:val="en-US" w:eastAsia="zh-CN"/>
        </w:rPr>
      </w:pPr>
    </w:p>
    <w:p w14:paraId="22133D6C">
      <w:pPr>
        <w:jc w:val="left"/>
        <w:rPr>
          <w:rFonts w:hint="default" w:ascii="宋体" w:hAnsi="宋体" w:cs="宋体"/>
          <w:sz w:val="24"/>
          <w:szCs w:val="24"/>
          <w:lang w:val="en-US" w:eastAsia="zh-CN"/>
        </w:rPr>
      </w:pPr>
      <w:r>
        <w:rPr>
          <w:rFonts w:hint="eastAsia" w:ascii="宋体" w:hAnsi="宋体" w:cs="宋体"/>
          <w:sz w:val="24"/>
          <w:szCs w:val="24"/>
          <w:lang w:val="en-US" w:eastAsia="zh-CN"/>
        </w:rPr>
        <w:t xml:space="preserve">总计金额：       </w:t>
      </w:r>
    </w:p>
    <w:p w14:paraId="085F48D2">
      <w:pPr>
        <w:jc w:val="left"/>
        <w:rPr>
          <w:rFonts w:hint="default" w:ascii="宋体" w:hAnsi="宋体" w:cs="宋体"/>
          <w:sz w:val="24"/>
          <w:szCs w:val="24"/>
          <w:lang w:val="en-US" w:eastAsia="zh-CN"/>
        </w:rPr>
        <w:sectPr>
          <w:pgSz w:w="11906" w:h="16838"/>
          <w:pgMar w:top="1440" w:right="1633" w:bottom="1440" w:left="1406" w:header="851" w:footer="992" w:gutter="0"/>
          <w:cols w:space="425" w:num="1"/>
          <w:docGrid w:type="lines" w:linePitch="312" w:charSpace="0"/>
        </w:sectPr>
      </w:pPr>
      <w:r>
        <w:rPr>
          <w:rFonts w:hint="eastAsia" w:ascii="宋体" w:hAnsi="宋体" w:cs="宋体"/>
          <w:sz w:val="24"/>
          <w:szCs w:val="24"/>
          <w:lang w:val="en-US" w:eastAsia="zh-CN"/>
        </w:rPr>
        <w:t>报价人</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 xml:space="preserve">                        </w:t>
      </w:r>
      <w:r>
        <w:rPr>
          <w:rFonts w:hint="eastAsia" w:ascii="宋体" w:hAnsi="宋体" w:cs="宋体"/>
          <w:sz w:val="24"/>
          <w:szCs w:val="24"/>
          <w:lang w:val="en-US" w:eastAsia="zh-CN"/>
        </w:rPr>
        <w:t xml:space="preserve"> 时间：</w:t>
      </w:r>
    </w:p>
    <w:p w14:paraId="05AF8B7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1.供应商需随报价文件提交电子税务局一般纳税人查询截图（清晰显示纳税人名称、统一社会信用代码、资格状态及查询日期）或税务局出具的一般纳税人认定文书（盖公章且在有效期内）;2.提供近一年完税证明，无税收违法情形;</w:t>
      </w:r>
    </w:p>
    <w:p w14:paraId="41C9827B">
      <w:pPr>
        <w:keepNext w:val="0"/>
        <w:keepLines w:val="0"/>
        <w:pageBreakBefore w:val="0"/>
        <w:wordWrap/>
        <w:overflowPunct/>
        <w:topLinePunct w:val="0"/>
        <w:bidi w:val="0"/>
        <w:spacing w:line="360" w:lineRule="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r –¾’©">
    <w:altName w:val="MS Gothic"/>
    <w:panose1 w:val="00000000000000000000"/>
    <w:charset w:val="80"/>
    <w:family w:val="roman"/>
    <w:pitch w:val="default"/>
    <w:sig w:usb0="00000000" w:usb1="00000000" w:usb2="00000000" w:usb3="00000000" w:csb0="0004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F997">
    <w:pPr>
      <w:pStyle w:val="11"/>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C2C98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2C2C98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66FF9">
    <w:pPr>
      <w:pStyle w:val="11"/>
      <w:ind w:right="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7528A">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8D7528A">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8D87">
    <w:pPr>
      <w:pStyle w:val="12"/>
      <w:pBdr>
        <w:bottom w:val="none" w:color="auto" w:sz="0" w:space="0"/>
      </w:pBdr>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35704"/>
    <w:multiLevelType w:val="singleLevel"/>
    <w:tmpl w:val="C3835704"/>
    <w:lvl w:ilvl="0" w:tentative="0">
      <w:start w:val="1"/>
      <w:numFmt w:val="decimal"/>
      <w:lvlText w:val="(%1)"/>
      <w:lvlJc w:val="left"/>
      <w:pPr>
        <w:ind w:left="425" w:hanging="425"/>
      </w:pPr>
      <w:rPr>
        <w:rFonts w:hint="default"/>
      </w:rPr>
    </w:lvl>
  </w:abstractNum>
  <w:abstractNum w:abstractNumId="1">
    <w:nsid w:val="CA1249E4"/>
    <w:multiLevelType w:val="singleLevel"/>
    <w:tmpl w:val="CA1249E4"/>
    <w:lvl w:ilvl="0" w:tentative="0">
      <w:start w:val="25"/>
      <w:numFmt w:val="decimal"/>
      <w:suff w:val="space"/>
      <w:lvlText w:val="%1."/>
      <w:lvlJc w:val="left"/>
    </w:lvl>
  </w:abstractNum>
  <w:abstractNum w:abstractNumId="2">
    <w:nsid w:val="CF05CE1C"/>
    <w:multiLevelType w:val="singleLevel"/>
    <w:tmpl w:val="CF05CE1C"/>
    <w:lvl w:ilvl="0" w:tentative="0">
      <w:start w:val="1"/>
      <w:numFmt w:val="decimal"/>
      <w:suff w:val="nothing"/>
      <w:lvlText w:val="（%1）"/>
      <w:lvlJc w:val="left"/>
    </w:lvl>
  </w:abstractNum>
  <w:abstractNum w:abstractNumId="3">
    <w:nsid w:val="E9E5D6A5"/>
    <w:multiLevelType w:val="singleLevel"/>
    <w:tmpl w:val="E9E5D6A5"/>
    <w:lvl w:ilvl="0" w:tentative="0">
      <w:start w:val="2"/>
      <w:numFmt w:val="decimal"/>
      <w:suff w:val="space"/>
      <w:lvlText w:val="%1."/>
      <w:lvlJc w:val="left"/>
    </w:lvl>
  </w:abstractNum>
  <w:abstractNum w:abstractNumId="4">
    <w:nsid w:val="FD9EC899"/>
    <w:multiLevelType w:val="singleLevel"/>
    <w:tmpl w:val="FD9EC899"/>
    <w:lvl w:ilvl="0" w:tentative="0">
      <w:start w:val="2"/>
      <w:numFmt w:val="chineseCounting"/>
      <w:suff w:val="nothing"/>
      <w:lvlText w:val="%1、"/>
      <w:lvlJc w:val="left"/>
      <w:rPr>
        <w:rFonts w:hint="eastAsia"/>
      </w:rPr>
    </w:lvl>
  </w:abstractNum>
  <w:abstractNum w:abstractNumId="5">
    <w:nsid w:val="0902382D"/>
    <w:multiLevelType w:val="singleLevel"/>
    <w:tmpl w:val="0902382D"/>
    <w:lvl w:ilvl="0" w:tentative="0">
      <w:start w:val="3"/>
      <w:numFmt w:val="chineseCounting"/>
      <w:suff w:val="space"/>
      <w:lvlText w:val="第%1部分"/>
      <w:lvlJc w:val="left"/>
      <w:rPr>
        <w:rFonts w:hint="eastAsia"/>
      </w:rPr>
    </w:lvl>
  </w:abstractNum>
  <w:abstractNum w:abstractNumId="6">
    <w:nsid w:val="305FF5EA"/>
    <w:multiLevelType w:val="singleLevel"/>
    <w:tmpl w:val="305FF5EA"/>
    <w:lvl w:ilvl="0" w:tentative="0">
      <w:start w:val="1"/>
      <w:numFmt w:val="decimal"/>
      <w:suff w:val="space"/>
      <w:lvlText w:val="（%1）"/>
      <w:lvlJc w:val="left"/>
    </w:lvl>
  </w:abstractNum>
  <w:abstractNum w:abstractNumId="7">
    <w:nsid w:val="53EE3C4D"/>
    <w:multiLevelType w:val="multilevel"/>
    <w:tmpl w:val="53EE3C4D"/>
    <w:lvl w:ilvl="0" w:tentative="0">
      <w:start w:val="6"/>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558D65D8"/>
    <w:multiLevelType w:val="singleLevel"/>
    <w:tmpl w:val="558D65D8"/>
    <w:lvl w:ilvl="0" w:tentative="0">
      <w:start w:val="3"/>
      <w:numFmt w:val="chineseCounting"/>
      <w:suff w:val="nothing"/>
      <w:lvlText w:val="%1、"/>
      <w:lvlJc w:val="left"/>
      <w:rPr>
        <w:rFonts w:hint="eastAsia"/>
      </w:rPr>
    </w:lvl>
  </w:abstractNum>
  <w:abstractNum w:abstractNumId="9">
    <w:nsid w:val="59657F6D"/>
    <w:multiLevelType w:val="singleLevel"/>
    <w:tmpl w:val="59657F6D"/>
    <w:lvl w:ilvl="0" w:tentative="0">
      <w:start w:val="1"/>
      <w:numFmt w:val="decimal"/>
      <w:suff w:val="nothing"/>
      <w:lvlText w:val="%1、"/>
      <w:lvlJc w:val="left"/>
    </w:lvl>
  </w:abstractNum>
  <w:abstractNum w:abstractNumId="10">
    <w:nsid w:val="667F23CF"/>
    <w:multiLevelType w:val="singleLevel"/>
    <w:tmpl w:val="667F23CF"/>
    <w:lvl w:ilvl="0" w:tentative="0">
      <w:start w:val="1"/>
      <w:numFmt w:val="decimal"/>
      <w:suff w:val="nothing"/>
      <w:lvlText w:val="（%1）"/>
      <w:lvlJc w:val="left"/>
      <w:pPr>
        <w:ind w:left="150"/>
      </w:pPr>
    </w:lvl>
  </w:abstractNum>
  <w:abstractNum w:abstractNumId="11">
    <w:nsid w:val="728FF0DC"/>
    <w:multiLevelType w:val="singleLevel"/>
    <w:tmpl w:val="728FF0DC"/>
    <w:lvl w:ilvl="0" w:tentative="0">
      <w:start w:val="4"/>
      <w:numFmt w:val="chineseCounting"/>
      <w:suff w:val="space"/>
      <w:lvlText w:val="第%1章"/>
      <w:lvlJc w:val="left"/>
      <w:rPr>
        <w:rFonts w:hint="eastAsia"/>
      </w:rPr>
    </w:lvl>
  </w:abstractNum>
  <w:abstractNum w:abstractNumId="12">
    <w:nsid w:val="7BA1169A"/>
    <w:multiLevelType w:val="singleLevel"/>
    <w:tmpl w:val="7BA1169A"/>
    <w:lvl w:ilvl="0" w:tentative="0">
      <w:start w:val="1"/>
      <w:numFmt w:val="decimal"/>
      <w:suff w:val="nothing"/>
      <w:lvlText w:val="（%1）"/>
      <w:lvlJc w:val="left"/>
    </w:lvl>
  </w:abstractNum>
  <w:num w:numId="1">
    <w:abstractNumId w:val="3"/>
  </w:num>
  <w:num w:numId="2">
    <w:abstractNumId w:val="12"/>
  </w:num>
  <w:num w:numId="3">
    <w:abstractNumId w:val="11"/>
  </w:num>
  <w:num w:numId="4">
    <w:abstractNumId w:val="8"/>
  </w:num>
  <w:num w:numId="5">
    <w:abstractNumId w:val="5"/>
  </w:num>
  <w:num w:numId="6">
    <w:abstractNumId w:val="2"/>
  </w:num>
  <w:num w:numId="7">
    <w:abstractNumId w:val="7"/>
  </w:num>
  <w:num w:numId="8">
    <w:abstractNumId w:val="10"/>
  </w:num>
  <w:num w:numId="9">
    <w:abstractNumId w:val="6"/>
  </w:num>
  <w:num w:numId="10">
    <w:abstractNumId w:val="0"/>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3A4A95"/>
    <w:rsid w:val="006316E8"/>
    <w:rsid w:val="00C16A96"/>
    <w:rsid w:val="01087D3F"/>
    <w:rsid w:val="012F4AD8"/>
    <w:rsid w:val="01C13BB4"/>
    <w:rsid w:val="02432BE9"/>
    <w:rsid w:val="03396788"/>
    <w:rsid w:val="041C018D"/>
    <w:rsid w:val="046154E2"/>
    <w:rsid w:val="050B4184"/>
    <w:rsid w:val="07022BCC"/>
    <w:rsid w:val="0874266F"/>
    <w:rsid w:val="08BE3015"/>
    <w:rsid w:val="09325578"/>
    <w:rsid w:val="09F8255A"/>
    <w:rsid w:val="0BB14E89"/>
    <w:rsid w:val="0C2D10BD"/>
    <w:rsid w:val="0C79108A"/>
    <w:rsid w:val="0CB60A5B"/>
    <w:rsid w:val="0CC65A79"/>
    <w:rsid w:val="0E0D01A7"/>
    <w:rsid w:val="10442109"/>
    <w:rsid w:val="107274DB"/>
    <w:rsid w:val="12552E37"/>
    <w:rsid w:val="12E758A2"/>
    <w:rsid w:val="13DA7FEC"/>
    <w:rsid w:val="14E7652C"/>
    <w:rsid w:val="15B60C64"/>
    <w:rsid w:val="1771145C"/>
    <w:rsid w:val="19B62BD6"/>
    <w:rsid w:val="1C3256A1"/>
    <w:rsid w:val="1D3D686F"/>
    <w:rsid w:val="1E3928F0"/>
    <w:rsid w:val="1E3A25BA"/>
    <w:rsid w:val="1E5005B6"/>
    <w:rsid w:val="1E861248"/>
    <w:rsid w:val="1E9431A9"/>
    <w:rsid w:val="1EA4474E"/>
    <w:rsid w:val="1F20700B"/>
    <w:rsid w:val="22184676"/>
    <w:rsid w:val="23541A6C"/>
    <w:rsid w:val="26452878"/>
    <w:rsid w:val="26A90584"/>
    <w:rsid w:val="26E34658"/>
    <w:rsid w:val="2754151E"/>
    <w:rsid w:val="27E62FAC"/>
    <w:rsid w:val="28173FFE"/>
    <w:rsid w:val="299A569F"/>
    <w:rsid w:val="29A85CBD"/>
    <w:rsid w:val="29BA16CF"/>
    <w:rsid w:val="2DB778EE"/>
    <w:rsid w:val="306871A9"/>
    <w:rsid w:val="32013DC7"/>
    <w:rsid w:val="324F2B84"/>
    <w:rsid w:val="33B93BC7"/>
    <w:rsid w:val="36634D19"/>
    <w:rsid w:val="36A069CA"/>
    <w:rsid w:val="36B50576"/>
    <w:rsid w:val="379F12FB"/>
    <w:rsid w:val="3A652620"/>
    <w:rsid w:val="3C4F421C"/>
    <w:rsid w:val="3CE873D1"/>
    <w:rsid w:val="3D6E7BD2"/>
    <w:rsid w:val="3E040E45"/>
    <w:rsid w:val="3E28224C"/>
    <w:rsid w:val="40BB4A38"/>
    <w:rsid w:val="40FC510A"/>
    <w:rsid w:val="428154EC"/>
    <w:rsid w:val="43DE1A6C"/>
    <w:rsid w:val="449E4F92"/>
    <w:rsid w:val="44E6547E"/>
    <w:rsid w:val="451D7884"/>
    <w:rsid w:val="471F2C66"/>
    <w:rsid w:val="479D5FDF"/>
    <w:rsid w:val="484E4529"/>
    <w:rsid w:val="498F45C3"/>
    <w:rsid w:val="49953347"/>
    <w:rsid w:val="49D53ED9"/>
    <w:rsid w:val="4ADB01AB"/>
    <w:rsid w:val="4D1B1248"/>
    <w:rsid w:val="4DBC59B8"/>
    <w:rsid w:val="4E1540B8"/>
    <w:rsid w:val="50FD535B"/>
    <w:rsid w:val="51732634"/>
    <w:rsid w:val="520E2002"/>
    <w:rsid w:val="52B76FBC"/>
    <w:rsid w:val="52CD0741"/>
    <w:rsid w:val="53A57265"/>
    <w:rsid w:val="53E866A1"/>
    <w:rsid w:val="55A51B63"/>
    <w:rsid w:val="55AF627C"/>
    <w:rsid w:val="55C81229"/>
    <w:rsid w:val="5850284B"/>
    <w:rsid w:val="58B83F01"/>
    <w:rsid w:val="598B4E8F"/>
    <w:rsid w:val="59F432C6"/>
    <w:rsid w:val="5AD75716"/>
    <w:rsid w:val="5DE80B25"/>
    <w:rsid w:val="5E9F56FC"/>
    <w:rsid w:val="5FBE11AC"/>
    <w:rsid w:val="60A7072B"/>
    <w:rsid w:val="60DB1C73"/>
    <w:rsid w:val="62036839"/>
    <w:rsid w:val="631C4156"/>
    <w:rsid w:val="659D2AA6"/>
    <w:rsid w:val="65E6688F"/>
    <w:rsid w:val="66E0214B"/>
    <w:rsid w:val="66F46529"/>
    <w:rsid w:val="673B029D"/>
    <w:rsid w:val="696857DB"/>
    <w:rsid w:val="69977773"/>
    <w:rsid w:val="69DE70ED"/>
    <w:rsid w:val="6DDD7BE1"/>
    <w:rsid w:val="6EB955BA"/>
    <w:rsid w:val="6EC336A4"/>
    <w:rsid w:val="6F961AE8"/>
    <w:rsid w:val="707C7C3D"/>
    <w:rsid w:val="710D6135"/>
    <w:rsid w:val="711236E3"/>
    <w:rsid w:val="719F32E4"/>
    <w:rsid w:val="71C86C3F"/>
    <w:rsid w:val="725F2725"/>
    <w:rsid w:val="726D5D18"/>
    <w:rsid w:val="729B0239"/>
    <w:rsid w:val="742D5A28"/>
    <w:rsid w:val="74FF6949"/>
    <w:rsid w:val="764B35A7"/>
    <w:rsid w:val="775E7E2F"/>
    <w:rsid w:val="78641CB4"/>
    <w:rsid w:val="79990A0D"/>
    <w:rsid w:val="799F166E"/>
    <w:rsid w:val="7D7122ED"/>
    <w:rsid w:val="7DE66E49"/>
    <w:rsid w:val="7EC4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napToGrid w:val="0"/>
      <w:jc w:val="left"/>
      <w:outlineLvl w:val="1"/>
    </w:pPr>
    <w:rPr>
      <w:rFonts w:ascii="Arial" w:hAnsi="Arial"/>
      <w:sz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qFormat/>
    <w:uiPriority w:val="0"/>
    <w:pPr>
      <w:tabs>
        <w:tab w:val="left" w:pos="1418"/>
      </w:tabs>
      <w:autoSpaceDE w:val="0"/>
      <w:autoSpaceDN w:val="0"/>
      <w:adjustRightInd w:val="0"/>
      <w:ind w:left="851" w:hanging="1134"/>
    </w:pPr>
    <w:rPr>
      <w:rFonts w:ascii="Arial" w:hAnsi="Arial" w:eastAsia="‚l‚r –¾’©"/>
      <w:sz w:val="22"/>
    </w:rPr>
  </w:style>
  <w:style w:type="paragraph" w:styleId="7">
    <w:name w:val="annotation text"/>
    <w:basedOn w:val="1"/>
    <w:qFormat/>
    <w:uiPriority w:val="0"/>
    <w:pPr>
      <w:jc w:val="left"/>
    </w:p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toc 3"/>
    <w:basedOn w:val="1"/>
    <w:next w:val="1"/>
    <w:qFormat/>
    <w:uiPriority w:val="39"/>
    <w:pPr>
      <w:tabs>
        <w:tab w:val="right" w:leader="dot" w:pos="8820"/>
      </w:tabs>
      <w:spacing w:line="360" w:lineRule="auto"/>
    </w:pPr>
    <w:rPr>
      <w:szCs w:val="24"/>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toc 1"/>
    <w:basedOn w:val="1"/>
    <w:next w:val="1"/>
    <w:semiHidden/>
    <w:qFormat/>
    <w:uiPriority w:val="0"/>
    <w:pPr>
      <w:tabs>
        <w:tab w:val="right" w:leader="dot" w:pos="9345"/>
      </w:tabs>
      <w:spacing w:line="360" w:lineRule="auto"/>
      <w:ind w:left="359" w:leftChars="171"/>
    </w:pPr>
  </w:style>
  <w:style w:type="paragraph" w:styleId="14">
    <w:name w:val="toc 2"/>
    <w:basedOn w:val="1"/>
    <w:next w:val="1"/>
    <w:qFormat/>
    <w:uiPriority w:val="39"/>
    <w:pPr>
      <w:tabs>
        <w:tab w:val="right" w:leader="dot" w:pos="9345"/>
      </w:tabs>
      <w:spacing w:line="360" w:lineRule="auto"/>
      <w:ind w:left="178" w:leftChars="85"/>
    </w:pPr>
  </w:style>
  <w:style w:type="paragraph" w:styleId="15">
    <w:name w:val="Normal (Web)"/>
    <w:basedOn w:val="1"/>
    <w:semiHidden/>
    <w:unhideWhenUsed/>
    <w:qFormat/>
    <w:uiPriority w:val="99"/>
    <w:pPr>
      <w:spacing w:beforeAutospacing="1" w:afterAutospacing="1"/>
      <w:jc w:val="left"/>
    </w:pPr>
    <w:rPr>
      <w:kern w:val="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cs="Times New Roman"/>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textcontents"/>
    <w:qFormat/>
    <w:uiPriority w:val="0"/>
    <w:rPr>
      <w:rFonts w:cs="Times New Roman"/>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555"/>
    <w:basedOn w:val="16"/>
    <w:autoRedefine/>
    <w:qFormat/>
    <w:uiPriority w:val="0"/>
    <w:pPr>
      <w:spacing w:line="0" w:lineRule="atLeast"/>
      <w:jc w:val="center"/>
    </w:pPr>
    <w:rPr>
      <w:sz w:val="21"/>
      <w:szCs w:val="21"/>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cPr>
      <w:vAlign w:val="center"/>
    </w:tcPr>
  </w:style>
  <w:style w:type="character" w:customStyle="1" w:styleId="24">
    <w:name w:val="font11"/>
    <w:basedOn w:val="18"/>
    <w:qFormat/>
    <w:uiPriority w:val="0"/>
    <w:rPr>
      <w:rFonts w:hint="eastAsia" w:ascii="仿宋" w:hAnsi="仿宋" w:eastAsia="仿宋" w:cs="仿宋"/>
      <w:color w:val="000000"/>
      <w:sz w:val="18"/>
      <w:szCs w:val="18"/>
      <w:u w:val="none"/>
    </w:rPr>
  </w:style>
  <w:style w:type="character" w:customStyle="1" w:styleId="25">
    <w:name w:val="font31"/>
    <w:basedOn w:val="18"/>
    <w:qFormat/>
    <w:uiPriority w:val="0"/>
    <w:rPr>
      <w:rFonts w:hint="eastAsia" w:ascii="宋体" w:hAnsi="宋体" w:eastAsia="宋体" w:cs="宋体"/>
      <w:color w:val="000000"/>
      <w:sz w:val="18"/>
      <w:szCs w:val="18"/>
      <w:u w:val="none"/>
    </w:rPr>
  </w:style>
  <w:style w:type="character" w:customStyle="1" w:styleId="26">
    <w:name w:val="font81"/>
    <w:basedOn w:val="18"/>
    <w:qFormat/>
    <w:uiPriority w:val="0"/>
    <w:rPr>
      <w:rFonts w:hint="eastAsia" w:ascii="宋体" w:hAnsi="宋体" w:eastAsia="宋体" w:cs="宋体"/>
      <w:color w:val="000000"/>
      <w:sz w:val="18"/>
      <w:szCs w:val="18"/>
      <w:u w:val="none"/>
    </w:rPr>
  </w:style>
  <w:style w:type="character" w:customStyle="1" w:styleId="27">
    <w:name w:val="font21"/>
    <w:basedOn w:val="18"/>
    <w:qFormat/>
    <w:uiPriority w:val="0"/>
    <w:rPr>
      <w:rFonts w:hint="eastAsia" w:ascii="仿宋" w:hAnsi="仿宋" w:eastAsia="仿宋" w:cs="仿宋"/>
      <w:color w:val="000000"/>
      <w:sz w:val="18"/>
      <w:szCs w:val="18"/>
      <w:u w:val="none"/>
    </w:rPr>
  </w:style>
  <w:style w:type="character" w:customStyle="1" w:styleId="28">
    <w:name w:val="font51"/>
    <w:basedOn w:val="18"/>
    <w:qFormat/>
    <w:uiPriority w:val="0"/>
    <w:rPr>
      <w:rFonts w:hint="eastAsia" w:ascii="宋体" w:hAnsi="宋体" w:eastAsia="宋体" w:cs="宋体"/>
      <w:color w:val="000000"/>
      <w:sz w:val="18"/>
      <w:szCs w:val="18"/>
      <w:u w:val="none"/>
    </w:rPr>
  </w:style>
  <w:style w:type="character" w:customStyle="1" w:styleId="29">
    <w:name w:val="font41"/>
    <w:basedOn w:val="1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175</Pages>
  <Words>2455</Words>
  <Characters>2600</Characters>
  <Lines>0</Lines>
  <Paragraphs>0</Paragraphs>
  <TotalTime>57</TotalTime>
  <ScaleCrop>false</ScaleCrop>
  <LinksUpToDate>false</LinksUpToDate>
  <CharactersWithSpaces>3280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仿佛如同一场梦</cp:lastModifiedBy>
  <dcterms:modified xsi:type="dcterms:W3CDTF">2026-05-13T02:43:00Z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15006469C5144725A78E755F588F3F11_13</vt:lpwstr>
  </property>
  <property fmtid="{D5CDD505-2E9C-101B-9397-08002B2CF9AE}" pid="4" name="KSOTemplateDocerSaveRecord">
    <vt:lpwstr>eyJoZGlkIjoiYTU4OTViOTdlOGVlNjMzNmE3MDdiZTAwMzFlYTc3ODIiLCJ1c2VySWQiOiIyNzM1OTI4MTUifQ==</vt:lpwstr>
  </property>
</Properties>
</file>