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3B78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vAlign w:val="center"/>
          </w:tcPr>
          <w:p w14:paraId="5D5CB69B">
            <w:pPr>
              <w:spacing w:line="360" w:lineRule="auto"/>
              <w:jc w:val="center"/>
              <w:rPr>
                <w:rFonts w:hint="eastAsia" w:eastAsia="宋体"/>
                <w:color w:val="auto"/>
                <w:sz w:val="24"/>
                <w:szCs w:val="24"/>
                <w:highlight w:val="none"/>
                <w:lang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hint="eastAsia" w:ascii="宋体" w:hAnsi="宋体" w:eastAsia="宋体" w:cs="宋体"/>
                <w:b w:val="0"/>
                <w:bCs w:val="0"/>
                <w:color w:val="auto"/>
                <w:sz w:val="24"/>
                <w:szCs w:val="24"/>
                <w:highlight w:val="none"/>
              </w:rPr>
              <w:t xml:space="preserve">CMIE-DP2025G023-Sub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-202</w:t>
            </w:r>
            <w:r>
              <w:rPr>
                <w:rFonts w:hint="eastAsia" w:ascii="宋体" w:hAnsi="宋体" w:eastAsia="宋体" w:cs="宋体"/>
                <w:b w:val="0"/>
                <w:bCs w:val="0"/>
                <w:color w:val="auto"/>
                <w:sz w:val="24"/>
                <w:szCs w:val="24"/>
                <w:highlight w:val="none"/>
                <w:lang w:val="en-US" w:eastAsia="zh-CN"/>
              </w:rPr>
              <w:t>5</w:t>
            </w:r>
          </w:p>
        </w:tc>
      </w:tr>
      <w:tr w14:paraId="74E7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vAlign w:val="center"/>
          </w:tcPr>
          <w:p w14:paraId="04EAA839">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26D0A9A7">
      <w:pPr>
        <w:spacing w:line="360" w:lineRule="auto"/>
        <w:jc w:val="center"/>
        <w:rPr>
          <w:rFonts w:eastAsia="黑体"/>
          <w:b/>
          <w:bCs/>
          <w:color w:val="auto"/>
          <w:sz w:val="44"/>
          <w:szCs w:val="44"/>
          <w:highlight w:val="none"/>
        </w:rPr>
      </w:pPr>
    </w:p>
    <w:p w14:paraId="7E2EFB23">
      <w:pPr>
        <w:spacing w:line="360" w:lineRule="auto"/>
        <w:jc w:val="center"/>
        <w:rPr>
          <w:rFonts w:eastAsia="黑体"/>
          <w:b/>
          <w:bCs/>
          <w:color w:val="auto"/>
          <w:sz w:val="44"/>
          <w:szCs w:val="44"/>
          <w:highlight w:val="none"/>
        </w:rPr>
      </w:pPr>
    </w:p>
    <w:p w14:paraId="7D79C142">
      <w:pPr>
        <w:spacing w:line="360" w:lineRule="auto"/>
        <w:jc w:val="center"/>
        <w:rPr>
          <w:rFonts w:eastAsia="黑体"/>
          <w:b/>
          <w:bCs/>
          <w:color w:val="auto"/>
          <w:sz w:val="44"/>
          <w:szCs w:val="44"/>
          <w:highlight w:val="none"/>
        </w:rPr>
      </w:pPr>
    </w:p>
    <w:p w14:paraId="4D03D550">
      <w:pPr>
        <w:spacing w:line="360" w:lineRule="auto"/>
        <w:rPr>
          <w:rFonts w:eastAsia="黑体"/>
          <w:b/>
          <w:color w:val="auto"/>
          <w:sz w:val="48"/>
          <w:szCs w:val="48"/>
          <w:highlight w:val="none"/>
        </w:rPr>
      </w:pPr>
    </w:p>
    <w:p w14:paraId="50B2E942">
      <w:pPr>
        <w:ind w:firstLine="803" w:firstLineChars="200"/>
        <w:rPr>
          <w:color w:val="auto"/>
          <w:sz w:val="44"/>
          <w:szCs w:val="44"/>
          <w:highlight w:val="none"/>
        </w:rPr>
      </w:pPr>
      <w:r>
        <w:rPr>
          <w:rFonts w:hint="eastAsia" w:ascii="黑体" w:hAnsi="黑体" w:eastAsia="黑体"/>
          <w:b/>
          <w:color w:val="auto"/>
          <w:sz w:val="40"/>
          <w:szCs w:val="40"/>
          <w:highlight w:val="none"/>
          <w:lang w:val="en-US" w:eastAsia="zh-CN"/>
        </w:rPr>
        <w:t xml:space="preserve">兴宁市工业园200mw/400mwh新型共享电站项目 </w:t>
      </w:r>
    </w:p>
    <w:p w14:paraId="0D47E298">
      <w:pPr>
        <w:spacing w:line="360" w:lineRule="auto"/>
        <w:jc w:val="center"/>
        <w:rPr>
          <w:rFonts w:ascii="黑体" w:hAnsi="黑体" w:eastAsia="黑体"/>
          <w:b/>
          <w:color w:val="auto"/>
          <w:sz w:val="40"/>
          <w:szCs w:val="40"/>
          <w:highlight w:val="none"/>
        </w:rPr>
      </w:pPr>
      <w:r>
        <w:rPr>
          <w:rFonts w:hint="eastAsia" w:ascii="黑体" w:hAnsi="黑体" w:eastAsia="黑体"/>
          <w:b/>
          <w:bCs/>
          <w:color w:val="auto"/>
          <w:sz w:val="44"/>
          <w:szCs w:val="44"/>
          <w:highlight w:val="none"/>
          <w:lang w:val="en-US" w:eastAsia="zh-CN"/>
        </w:rPr>
        <w:t>二次设备</w:t>
      </w:r>
      <w:r>
        <w:rPr>
          <w:rFonts w:hint="eastAsia" w:ascii="黑体" w:hAnsi="黑体" w:eastAsia="黑体"/>
          <w:b/>
          <w:bCs/>
          <w:color w:val="auto"/>
          <w:sz w:val="44"/>
          <w:szCs w:val="44"/>
          <w:highlight w:val="none"/>
        </w:rPr>
        <w:t>采购合同</w:t>
      </w:r>
    </w:p>
    <w:p w14:paraId="050DBE0B">
      <w:pPr>
        <w:spacing w:line="360" w:lineRule="auto"/>
        <w:jc w:val="center"/>
        <w:rPr>
          <w:rFonts w:ascii="黑体" w:hAnsi="黑体" w:eastAsia="黑体"/>
          <w:b/>
          <w:color w:val="auto"/>
          <w:sz w:val="40"/>
          <w:szCs w:val="40"/>
          <w:highlight w:val="none"/>
        </w:rPr>
      </w:pPr>
    </w:p>
    <w:p w14:paraId="056EBA35">
      <w:pPr>
        <w:spacing w:line="360" w:lineRule="auto"/>
        <w:rPr>
          <w:rFonts w:eastAsia="黑体"/>
          <w:b/>
          <w:bCs/>
          <w:color w:val="auto"/>
          <w:sz w:val="44"/>
          <w:szCs w:val="44"/>
          <w:highlight w:val="none"/>
        </w:rPr>
      </w:pPr>
    </w:p>
    <w:p w14:paraId="272D017F">
      <w:pPr>
        <w:widowControl/>
        <w:spacing w:line="500" w:lineRule="exact"/>
        <w:ind w:firstLine="2080"/>
        <w:outlineLvl w:val="0"/>
        <w:rPr>
          <w:b/>
          <w:color w:val="auto"/>
          <w:sz w:val="28"/>
          <w:szCs w:val="20"/>
          <w:highlight w:val="none"/>
        </w:rPr>
      </w:pPr>
    </w:p>
    <w:p w14:paraId="0AA79896">
      <w:pPr>
        <w:spacing w:line="360" w:lineRule="auto"/>
        <w:jc w:val="center"/>
        <w:rPr>
          <w:b/>
          <w:color w:val="auto"/>
          <w:sz w:val="28"/>
          <w:szCs w:val="20"/>
          <w:highlight w:val="none"/>
        </w:rPr>
      </w:pPr>
    </w:p>
    <w:p w14:paraId="5A4A9706">
      <w:pPr>
        <w:widowControl/>
        <w:spacing w:line="500" w:lineRule="exact"/>
        <w:ind w:left="210" w:firstLine="1680"/>
        <w:rPr>
          <w:color w:val="auto"/>
          <w:sz w:val="28"/>
          <w:szCs w:val="20"/>
          <w:highlight w:val="none"/>
        </w:rPr>
      </w:pPr>
      <w:r>
        <w:rPr>
          <w:color w:val="auto"/>
          <w:sz w:val="28"/>
          <w:szCs w:val="20"/>
          <w:highlight w:val="none"/>
        </w:rPr>
        <w:t>甲方：中机国际工程设计研究院有限责任公司</w:t>
      </w:r>
    </w:p>
    <w:p w14:paraId="5A70ED69">
      <w:pPr>
        <w:spacing w:line="360" w:lineRule="auto"/>
        <w:ind w:left="210" w:firstLine="2160"/>
        <w:jc w:val="center"/>
        <w:rPr>
          <w:color w:val="auto"/>
          <w:sz w:val="36"/>
          <w:highlight w:val="none"/>
        </w:rPr>
      </w:pPr>
    </w:p>
    <w:p w14:paraId="03F7A686">
      <w:pPr>
        <w:widowControl/>
        <w:spacing w:line="500" w:lineRule="exact"/>
        <w:ind w:left="210" w:firstLine="1680"/>
        <w:rPr>
          <w:rFonts w:asciiTheme="minorEastAsia" w:hAnsiTheme="minorEastAsia" w:eastAsiaTheme="minorEastAsia"/>
          <w:color w:val="auto"/>
          <w:sz w:val="28"/>
          <w:szCs w:val="20"/>
          <w:highlight w:val="none"/>
        </w:rPr>
      </w:pPr>
      <w:r>
        <w:rPr>
          <w:rFonts w:asciiTheme="minorEastAsia" w:hAnsiTheme="minorEastAsia" w:eastAsiaTheme="minorEastAsia"/>
          <w:color w:val="auto"/>
          <w:sz w:val="28"/>
          <w:szCs w:val="20"/>
          <w:highlight w:val="none"/>
        </w:rPr>
        <w:t>乙方：</w:t>
      </w:r>
    </w:p>
    <w:p w14:paraId="6CF55B28">
      <w:pPr>
        <w:widowControl/>
        <w:spacing w:line="500" w:lineRule="exact"/>
        <w:ind w:left="210" w:firstLine="1680"/>
        <w:rPr>
          <w:rFonts w:asciiTheme="minorEastAsia" w:hAnsiTheme="minorEastAsia" w:eastAsiaTheme="minorEastAsia"/>
          <w:color w:val="auto"/>
          <w:sz w:val="28"/>
          <w:highlight w:val="none"/>
        </w:rPr>
      </w:pPr>
    </w:p>
    <w:p w14:paraId="265D128C">
      <w:pPr>
        <w:spacing w:line="360" w:lineRule="auto"/>
        <w:ind w:left="210" w:firstLine="168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54BB7963">
      <w:pPr>
        <w:spacing w:line="360" w:lineRule="auto"/>
        <w:jc w:val="center"/>
        <w:rPr>
          <w:rFonts w:asciiTheme="minorEastAsia" w:hAnsiTheme="minorEastAsia" w:eastAsiaTheme="minorEastAsia"/>
          <w:color w:val="auto"/>
          <w:highlight w:val="none"/>
        </w:rPr>
      </w:pPr>
    </w:p>
    <w:p w14:paraId="40FD2650">
      <w:pPr>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linePitch="360" w:charSpace="0"/>
        </w:sectPr>
      </w:pPr>
      <w:r>
        <w:rPr>
          <w:rFonts w:hint="eastAsia" w:asciiTheme="minorEastAsia" w:hAnsiTheme="minorEastAsia" w:eastAsiaTheme="minorEastAsia"/>
          <w:color w:val="auto"/>
          <w:sz w:val="28"/>
          <w:highlight w:val="none"/>
        </w:rPr>
        <w:t>20</w:t>
      </w:r>
      <w:r>
        <w:rPr>
          <w:rFonts w:hint="eastAsia" w:eastAsia="宋体" w:asciiTheme="minorEastAsia" w:hAnsiTheme="minorEastAsia"/>
          <w:color w:val="auto"/>
          <w:sz w:val="28"/>
          <w:highlight w:val="none"/>
          <w:lang w:val="en-US" w:eastAsia="zh-CN"/>
        </w:rPr>
        <w:t>25</w:t>
      </w:r>
      <w:r>
        <w:rPr>
          <w:rFonts w:hint="eastAsia" w:asciiTheme="minorEastAsia" w:hAnsiTheme="minorEastAsia" w:eastAsiaTheme="minorEastAsia"/>
          <w:color w:val="auto"/>
          <w:sz w:val="28"/>
          <w:highlight w:val="none"/>
        </w:rPr>
        <w:t>年</w:t>
      </w:r>
      <w:r>
        <w:rPr>
          <w:rFonts w:asciiTheme="minorEastAsia" w:hAnsiTheme="minorEastAsia" w:eastAsiaTheme="minorEastAsia"/>
          <w:color w:val="auto"/>
          <w:sz w:val="28"/>
          <w:highlight w:val="none"/>
        </w:rPr>
        <w:t>0</w:t>
      </w:r>
      <w:r>
        <w:rPr>
          <w:rFonts w:hint="eastAsia" w:asciiTheme="minorEastAsia" w:hAnsiTheme="minorEastAsia"/>
          <w:color w:val="auto"/>
          <w:sz w:val="28"/>
          <w:highlight w:val="none"/>
          <w:lang w:val="en-US" w:eastAsia="zh-CN"/>
        </w:rPr>
        <w:t>8</w:t>
      </w:r>
      <w:r>
        <w:rPr>
          <w:rFonts w:asciiTheme="minorEastAsia" w:hAnsiTheme="minorEastAsia" w:eastAsiaTheme="minorEastAsia"/>
          <w:color w:val="auto"/>
          <w:sz w:val="28"/>
          <w:highlight w:val="none"/>
        </w:rPr>
        <w:t>月</w:t>
      </w:r>
    </w:p>
    <w:p w14:paraId="44E724C7">
      <w:pPr>
        <w:rPr>
          <w:b/>
          <w:bCs/>
          <w:color w:val="auto"/>
          <w:sz w:val="32"/>
          <w:highlight w:val="none"/>
        </w:rPr>
      </w:pPr>
      <w:r>
        <w:rPr>
          <w:b/>
          <w:bCs/>
          <w:color w:val="auto"/>
          <w:sz w:val="32"/>
          <w:highlight w:val="none"/>
        </w:rPr>
        <w:br w:type="page" w:clear="all"/>
      </w:r>
    </w:p>
    <w:p w14:paraId="25479757">
      <w:pPr>
        <w:ind w:firstLine="358"/>
        <w:jc w:val="center"/>
        <w:rPr>
          <w:b/>
          <w:bCs/>
          <w:color w:val="auto"/>
          <w:sz w:val="32"/>
          <w:highlight w:val="none"/>
        </w:rPr>
      </w:pPr>
      <w:r>
        <w:rPr>
          <w:b/>
          <w:bCs/>
          <w:color w:val="auto"/>
          <w:sz w:val="32"/>
          <w:highlight w:val="none"/>
        </w:rPr>
        <w:t>目　　录</w:t>
      </w:r>
    </w:p>
    <w:p w14:paraId="61CDD919">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bCs w:val="0"/>
          <w:caps w:val="0"/>
          <w:color w:val="auto"/>
          <w:sz w:val="36"/>
          <w:highlight w:val="none"/>
        </w:rPr>
        <w:fldChar w:fldCharType="begin"/>
      </w:r>
      <w:r>
        <w:rPr>
          <w:bCs w:val="0"/>
          <w:caps w:val="0"/>
          <w:color w:val="auto"/>
          <w:sz w:val="36"/>
          <w:highlight w:val="none"/>
        </w:rPr>
        <w:instrText xml:space="preserve"> TOC \o "1-3" \h \z </w:instrText>
      </w:r>
      <w:r>
        <w:rPr>
          <w:bCs w:val="0"/>
          <w:caps w:val="0"/>
          <w:color w:val="auto"/>
          <w:sz w:val="36"/>
          <w:highlight w:val="none"/>
        </w:rPr>
        <w:fldChar w:fldCharType="separate"/>
      </w:r>
      <w:r>
        <w:rPr>
          <w:color w:val="auto"/>
          <w:highlight w:val="none"/>
        </w:rPr>
        <w:fldChar w:fldCharType="begin"/>
      </w:r>
      <w:r>
        <w:rPr>
          <w:color w:val="auto"/>
          <w:highlight w:val="none"/>
        </w:rPr>
        <w:instrText xml:space="preserve"> HYPERLINK \l "_Toc161846187" \o "#_Toc161846187" </w:instrText>
      </w:r>
      <w:r>
        <w:rPr>
          <w:color w:val="auto"/>
          <w:highlight w:val="none"/>
        </w:rPr>
        <w:fldChar w:fldCharType="separate"/>
      </w:r>
      <w:r>
        <w:rPr>
          <w:rStyle w:val="40"/>
          <w:rFonts w:hint="eastAsia" w:asciiTheme="minorEastAsia" w:hAnsiTheme="minorEastAsia"/>
          <w:color w:val="auto"/>
          <w:highlight w:val="none"/>
        </w:rPr>
        <w:t>第一条　合同当事人</w:t>
      </w:r>
      <w:r>
        <w:rPr>
          <w:color w:val="auto"/>
          <w:highlight w:val="none"/>
        </w:rPr>
        <w:tab/>
      </w:r>
      <w:r>
        <w:rPr>
          <w:color w:val="auto"/>
          <w:highlight w:val="none"/>
        </w:rPr>
        <w:fldChar w:fldCharType="begin"/>
      </w:r>
      <w:r>
        <w:rPr>
          <w:color w:val="auto"/>
          <w:highlight w:val="none"/>
        </w:rPr>
        <w:instrText xml:space="preserve"> PAGEREF _Toc161846187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8492A3A">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"_Toc161846188" \o "#_Toc161846188" </w:instrText>
      </w:r>
      <w:r>
        <w:rPr>
          <w:color w:val="auto"/>
          <w:highlight w:val="none"/>
        </w:rPr>
        <w:fldChar w:fldCharType="separate"/>
      </w:r>
      <w:r>
        <w:rPr>
          <w:rStyle w:val="40"/>
          <w:rFonts w:hint="eastAsia" w:asciiTheme="minorEastAsia" w:hAnsiTheme="minorEastAsia"/>
          <w:color w:val="auto"/>
          <w:highlight w:val="none"/>
        </w:rPr>
        <w:t>第二条　合同标的及价格</w:t>
      </w:r>
      <w:r>
        <w:rPr>
          <w:color w:val="auto"/>
          <w:highlight w:val="none"/>
        </w:rPr>
        <w:tab/>
      </w:r>
      <w:r>
        <w:rPr>
          <w:color w:val="auto"/>
          <w:highlight w:val="none"/>
        </w:rPr>
        <w:fldChar w:fldCharType="begin"/>
      </w:r>
      <w:r>
        <w:rPr>
          <w:color w:val="auto"/>
          <w:highlight w:val="none"/>
        </w:rPr>
        <w:instrText xml:space="preserve"> PAGEREF _Toc161846188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74A8A04">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"_Toc161846189" \o "#_Toc161846189" </w:instrText>
      </w:r>
      <w:r>
        <w:rPr>
          <w:color w:val="auto"/>
          <w:highlight w:val="none"/>
        </w:rPr>
        <w:fldChar w:fldCharType="separate"/>
      </w:r>
      <w:r>
        <w:rPr>
          <w:rStyle w:val="40"/>
          <w:rFonts w:hint="eastAsia" w:asciiTheme="minorEastAsia" w:hAnsiTheme="minorEastAsia"/>
          <w:color w:val="auto"/>
          <w:highlight w:val="none"/>
        </w:rPr>
        <w:t>第三条　付款方式</w:t>
      </w:r>
      <w:r>
        <w:rPr>
          <w:color w:val="auto"/>
          <w:highlight w:val="none"/>
        </w:rPr>
        <w:tab/>
      </w:r>
      <w:r>
        <w:rPr>
          <w:color w:val="auto"/>
          <w:highlight w:val="none"/>
        </w:rPr>
        <w:fldChar w:fldCharType="begin"/>
      </w:r>
      <w:r>
        <w:rPr>
          <w:color w:val="auto"/>
          <w:highlight w:val="none"/>
        </w:rPr>
        <w:instrText xml:space="preserve"> PAGEREF _Toc161846189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FCDE30E">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"_Toc161846190" \o "#_Toc161846190" </w:instrText>
      </w:r>
      <w:r>
        <w:rPr>
          <w:color w:val="auto"/>
          <w:highlight w:val="none"/>
        </w:rPr>
        <w:fldChar w:fldCharType="separate"/>
      </w:r>
      <w:r>
        <w:rPr>
          <w:rStyle w:val="40"/>
          <w:rFonts w:hint="eastAsia" w:asciiTheme="minorEastAsia" w:hAnsiTheme="minorEastAsia"/>
          <w:color w:val="auto"/>
          <w:highlight w:val="none"/>
        </w:rPr>
        <w:t>第四条　交货期限要求、地点及方式</w:t>
      </w:r>
      <w:r>
        <w:rPr>
          <w:color w:val="auto"/>
          <w:highlight w:val="none"/>
        </w:rPr>
        <w:tab/>
      </w:r>
      <w:r>
        <w:rPr>
          <w:color w:val="auto"/>
          <w:highlight w:val="none"/>
        </w:rPr>
        <w:fldChar w:fldCharType="begin"/>
      </w:r>
      <w:r>
        <w:rPr>
          <w:color w:val="auto"/>
          <w:highlight w:val="none"/>
        </w:rPr>
        <w:instrText xml:space="preserve"> PAGEREF _Toc161846190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0C491FE">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"_Toc161846191" \o "#_Toc161846191" </w:instrText>
      </w:r>
      <w:r>
        <w:rPr>
          <w:color w:val="auto"/>
          <w:highlight w:val="none"/>
        </w:rPr>
        <w:fldChar w:fldCharType="separate"/>
      </w:r>
      <w:r>
        <w:rPr>
          <w:rStyle w:val="40"/>
          <w:rFonts w:hint="eastAsia" w:asciiTheme="minorEastAsia" w:hAnsiTheme="minorEastAsia"/>
          <w:color w:val="auto"/>
          <w:highlight w:val="none"/>
        </w:rPr>
        <w:t>第五条　包装及运输</w:t>
      </w:r>
      <w:r>
        <w:rPr>
          <w:color w:val="auto"/>
          <w:highlight w:val="none"/>
        </w:rPr>
        <w:tab/>
      </w:r>
      <w:r>
        <w:rPr>
          <w:color w:val="auto"/>
          <w:highlight w:val="none"/>
        </w:rPr>
        <w:fldChar w:fldCharType="begin"/>
      </w:r>
      <w:r>
        <w:rPr>
          <w:color w:val="auto"/>
          <w:highlight w:val="none"/>
        </w:rPr>
        <w:instrText xml:space="preserve"> PAGEREF _Toc161846191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2F11270">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"_Toc161846192" \o "#_Toc161846192" </w:instrText>
      </w:r>
      <w:r>
        <w:rPr>
          <w:color w:val="auto"/>
          <w:highlight w:val="none"/>
        </w:rPr>
        <w:fldChar w:fldCharType="separate"/>
      </w:r>
      <w:r>
        <w:rPr>
          <w:rStyle w:val="40"/>
          <w:rFonts w:hint="eastAsia" w:asciiTheme="minorEastAsia" w:hAnsiTheme="minorEastAsia"/>
          <w:color w:val="auto"/>
          <w:highlight w:val="none"/>
        </w:rPr>
        <w:t>第六条　产品标准</w:t>
      </w:r>
      <w:r>
        <w:rPr>
          <w:color w:val="auto"/>
          <w:highlight w:val="none"/>
        </w:rPr>
        <w:tab/>
      </w:r>
      <w:r>
        <w:rPr>
          <w:color w:val="auto"/>
          <w:highlight w:val="none"/>
        </w:rPr>
        <w:fldChar w:fldCharType="begin"/>
      </w:r>
      <w:r>
        <w:rPr>
          <w:color w:val="auto"/>
          <w:highlight w:val="none"/>
        </w:rPr>
        <w:instrText xml:space="preserve"> PAGEREF _Toc161846192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98CBF37">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"_Toc161846193" \o "#_Toc161846193" </w:instrText>
      </w:r>
      <w:r>
        <w:rPr>
          <w:color w:val="auto"/>
          <w:highlight w:val="none"/>
        </w:rPr>
        <w:fldChar w:fldCharType="separate"/>
      </w:r>
      <w:r>
        <w:rPr>
          <w:rStyle w:val="40"/>
          <w:rFonts w:hint="eastAsia" w:asciiTheme="minorEastAsia" w:hAnsiTheme="minorEastAsia"/>
          <w:color w:val="auto"/>
          <w:highlight w:val="none"/>
        </w:rPr>
        <w:t>第七条　交货及初步检验</w:t>
      </w:r>
      <w:r>
        <w:rPr>
          <w:color w:val="auto"/>
          <w:highlight w:val="none"/>
        </w:rPr>
        <w:tab/>
      </w:r>
      <w:r>
        <w:rPr>
          <w:color w:val="auto"/>
          <w:highlight w:val="none"/>
        </w:rPr>
        <w:fldChar w:fldCharType="begin"/>
      </w:r>
      <w:r>
        <w:rPr>
          <w:color w:val="auto"/>
          <w:highlight w:val="none"/>
        </w:rPr>
        <w:instrText xml:space="preserve"> PAGEREF _Toc161846193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3909D7C">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"_Toc161846194" \o "#_Toc161846194" </w:instrText>
      </w:r>
      <w:r>
        <w:rPr>
          <w:color w:val="auto"/>
          <w:highlight w:val="none"/>
        </w:rPr>
        <w:fldChar w:fldCharType="separate"/>
      </w:r>
      <w:r>
        <w:rPr>
          <w:rStyle w:val="40"/>
          <w:rFonts w:hint="eastAsia" w:asciiTheme="minorEastAsia" w:hAnsiTheme="minorEastAsia"/>
          <w:color w:val="auto"/>
          <w:highlight w:val="none"/>
        </w:rPr>
        <w:t>第八条　产品检验</w:t>
      </w:r>
      <w:r>
        <w:rPr>
          <w:color w:val="auto"/>
          <w:highlight w:val="none"/>
        </w:rPr>
        <w:tab/>
      </w:r>
      <w:r>
        <w:rPr>
          <w:color w:val="auto"/>
          <w:highlight w:val="none"/>
        </w:rPr>
        <w:fldChar w:fldCharType="begin"/>
      </w:r>
      <w:r>
        <w:rPr>
          <w:color w:val="auto"/>
          <w:highlight w:val="none"/>
        </w:rPr>
        <w:instrText xml:space="preserve"> PAGEREF _Toc161846194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06E02F2">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"_Toc161846195" \o "#_Toc161846195" </w:instrText>
      </w:r>
      <w:r>
        <w:rPr>
          <w:color w:val="auto"/>
          <w:highlight w:val="none"/>
        </w:rPr>
        <w:fldChar w:fldCharType="separate"/>
      </w:r>
      <w:r>
        <w:rPr>
          <w:rStyle w:val="40"/>
          <w:rFonts w:hint="eastAsia" w:asciiTheme="minorEastAsia" w:hAnsiTheme="minorEastAsia"/>
          <w:color w:val="auto"/>
          <w:highlight w:val="none"/>
        </w:rPr>
        <w:t>第九条　乙方对产品的保证</w:t>
      </w:r>
      <w:r>
        <w:rPr>
          <w:color w:val="auto"/>
          <w:highlight w:val="none"/>
        </w:rPr>
        <w:tab/>
      </w:r>
      <w:r>
        <w:rPr>
          <w:color w:val="auto"/>
          <w:highlight w:val="none"/>
        </w:rPr>
        <w:fldChar w:fldCharType="begin"/>
      </w:r>
      <w:r>
        <w:rPr>
          <w:color w:val="auto"/>
          <w:highlight w:val="none"/>
        </w:rPr>
        <w:instrText xml:space="preserve"> PAGEREF _Toc161846195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88E502E">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"_Toc161846196" \o "#_Toc161846196" </w:instrText>
      </w:r>
      <w:r>
        <w:rPr>
          <w:color w:val="auto"/>
          <w:highlight w:val="none"/>
        </w:rPr>
        <w:fldChar w:fldCharType="separate"/>
      </w:r>
      <w:r>
        <w:rPr>
          <w:rStyle w:val="40"/>
          <w:rFonts w:hint="eastAsia" w:asciiTheme="minorEastAsia" w:hAnsiTheme="minorEastAsia"/>
          <w:color w:val="auto"/>
          <w:highlight w:val="none"/>
        </w:rPr>
        <w:t>第十条　产品质保期</w:t>
      </w:r>
      <w:r>
        <w:rPr>
          <w:color w:val="auto"/>
          <w:highlight w:val="none"/>
        </w:rPr>
        <w:tab/>
      </w:r>
      <w:r>
        <w:rPr>
          <w:color w:val="auto"/>
          <w:highlight w:val="none"/>
        </w:rPr>
        <w:fldChar w:fldCharType="begin"/>
      </w:r>
      <w:r>
        <w:rPr>
          <w:color w:val="auto"/>
          <w:highlight w:val="none"/>
        </w:rPr>
        <w:instrText xml:space="preserve"> PAGEREF _Toc161846196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4491F2C">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"_Toc161846197" \o "#_Toc161846197" </w:instrText>
      </w:r>
      <w:r>
        <w:rPr>
          <w:color w:val="auto"/>
          <w:highlight w:val="none"/>
        </w:rPr>
        <w:fldChar w:fldCharType="separate"/>
      </w:r>
      <w:r>
        <w:rPr>
          <w:rStyle w:val="40"/>
          <w:rFonts w:hint="eastAsia" w:asciiTheme="minorEastAsia" w:hAnsiTheme="minorEastAsia"/>
          <w:color w:val="auto"/>
          <w:highlight w:val="none"/>
        </w:rPr>
        <w:t>第十一条　违约责任</w:t>
      </w:r>
      <w:r>
        <w:rPr>
          <w:color w:val="auto"/>
          <w:highlight w:val="none"/>
        </w:rPr>
        <w:tab/>
      </w:r>
      <w:r>
        <w:rPr>
          <w:color w:val="auto"/>
          <w:highlight w:val="none"/>
        </w:rPr>
        <w:fldChar w:fldCharType="begin"/>
      </w:r>
      <w:r>
        <w:rPr>
          <w:color w:val="auto"/>
          <w:highlight w:val="none"/>
        </w:rPr>
        <w:instrText xml:space="preserve"> PAGEREF _Toc161846197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2303DB1">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"_Toc161846198" \o "#_Toc161846198" </w:instrText>
      </w:r>
      <w:r>
        <w:rPr>
          <w:color w:val="auto"/>
          <w:highlight w:val="none"/>
        </w:rPr>
        <w:fldChar w:fldCharType="separate"/>
      </w:r>
      <w:r>
        <w:rPr>
          <w:rStyle w:val="40"/>
          <w:rFonts w:hint="eastAsia" w:asciiTheme="minorEastAsia" w:hAnsiTheme="minorEastAsia"/>
          <w:color w:val="auto"/>
          <w:highlight w:val="none"/>
        </w:rPr>
        <w:t>第十二条　廉洁条款</w:t>
      </w:r>
      <w:r>
        <w:rPr>
          <w:color w:val="auto"/>
          <w:highlight w:val="none"/>
        </w:rPr>
        <w:tab/>
      </w:r>
      <w:r>
        <w:rPr>
          <w:color w:val="auto"/>
          <w:highlight w:val="none"/>
        </w:rPr>
        <w:fldChar w:fldCharType="begin"/>
      </w:r>
      <w:r>
        <w:rPr>
          <w:color w:val="auto"/>
          <w:highlight w:val="none"/>
        </w:rPr>
        <w:instrText xml:space="preserve"> PAGEREF _Toc161846198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4A04B3F">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"_Toc161846199" \o "#_Toc161846199" </w:instrText>
      </w:r>
      <w:r>
        <w:rPr>
          <w:color w:val="auto"/>
          <w:highlight w:val="none"/>
        </w:rPr>
        <w:fldChar w:fldCharType="separate"/>
      </w:r>
      <w:r>
        <w:rPr>
          <w:rStyle w:val="40"/>
          <w:rFonts w:hint="eastAsia" w:asciiTheme="minorEastAsia" w:hAnsiTheme="minorEastAsia"/>
          <w:color w:val="auto"/>
          <w:highlight w:val="none"/>
        </w:rPr>
        <w:t>第十三条　保密约定</w:t>
      </w:r>
      <w:r>
        <w:rPr>
          <w:color w:val="auto"/>
          <w:highlight w:val="none"/>
        </w:rPr>
        <w:tab/>
      </w:r>
      <w:r>
        <w:rPr>
          <w:color w:val="auto"/>
          <w:highlight w:val="none"/>
        </w:rPr>
        <w:fldChar w:fldCharType="begin"/>
      </w:r>
      <w:r>
        <w:rPr>
          <w:color w:val="auto"/>
          <w:highlight w:val="none"/>
        </w:rPr>
        <w:instrText xml:space="preserve"> PAGEREF _Toc161846199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E98611D">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"_Toc161846200" \o "#_Toc161846200" </w:instrText>
      </w:r>
      <w:r>
        <w:rPr>
          <w:color w:val="auto"/>
          <w:highlight w:val="none"/>
        </w:rPr>
        <w:fldChar w:fldCharType="separate"/>
      </w:r>
      <w:r>
        <w:rPr>
          <w:rStyle w:val="40"/>
          <w:rFonts w:hint="eastAsia" w:asciiTheme="minorEastAsia" w:hAnsiTheme="minorEastAsia"/>
          <w:color w:val="auto"/>
          <w:highlight w:val="none"/>
        </w:rPr>
        <w:t>第十四条　知识产权及其它合法权益</w:t>
      </w:r>
      <w:r>
        <w:rPr>
          <w:color w:val="auto"/>
          <w:highlight w:val="none"/>
        </w:rPr>
        <w:tab/>
      </w:r>
      <w:r>
        <w:rPr>
          <w:color w:val="auto"/>
          <w:highlight w:val="none"/>
        </w:rPr>
        <w:fldChar w:fldCharType="begin"/>
      </w:r>
      <w:r>
        <w:rPr>
          <w:color w:val="auto"/>
          <w:highlight w:val="none"/>
        </w:rPr>
        <w:instrText xml:space="preserve"> PAGEREF _Toc161846200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67B63B7">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"_Toc161846201" \o "#_Toc161846201" </w:instrText>
      </w:r>
      <w:r>
        <w:rPr>
          <w:color w:val="auto"/>
          <w:highlight w:val="none"/>
        </w:rPr>
        <w:fldChar w:fldCharType="separate"/>
      </w:r>
      <w:r>
        <w:rPr>
          <w:rStyle w:val="40"/>
          <w:rFonts w:hint="eastAsia" w:asciiTheme="minorEastAsia" w:hAnsiTheme="minorEastAsia"/>
          <w:color w:val="auto"/>
          <w:highlight w:val="none"/>
        </w:rPr>
        <w:t>第十五条　权利保留</w:t>
      </w:r>
      <w:r>
        <w:rPr>
          <w:color w:val="auto"/>
          <w:highlight w:val="none"/>
        </w:rPr>
        <w:tab/>
      </w:r>
      <w:r>
        <w:rPr>
          <w:color w:val="auto"/>
          <w:highlight w:val="none"/>
        </w:rPr>
        <w:fldChar w:fldCharType="begin"/>
      </w:r>
      <w:r>
        <w:rPr>
          <w:color w:val="auto"/>
          <w:highlight w:val="none"/>
        </w:rPr>
        <w:instrText xml:space="preserve"> PAGEREF _Toc161846201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ADA853A">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"_Toc161846202" \o "#_Toc161846202" </w:instrText>
      </w:r>
      <w:r>
        <w:rPr>
          <w:color w:val="auto"/>
          <w:highlight w:val="none"/>
        </w:rPr>
        <w:fldChar w:fldCharType="separate"/>
      </w:r>
      <w:r>
        <w:rPr>
          <w:rStyle w:val="40"/>
          <w:rFonts w:hint="eastAsia" w:asciiTheme="minorEastAsia" w:hAnsiTheme="minorEastAsia"/>
          <w:color w:val="auto"/>
          <w:highlight w:val="none"/>
        </w:rPr>
        <w:t>第十六条　不可抗力</w:t>
      </w:r>
      <w:r>
        <w:rPr>
          <w:color w:val="auto"/>
          <w:highlight w:val="none"/>
        </w:rPr>
        <w:tab/>
      </w:r>
      <w:r>
        <w:rPr>
          <w:color w:val="auto"/>
          <w:highlight w:val="none"/>
        </w:rPr>
        <w:fldChar w:fldCharType="begin"/>
      </w:r>
      <w:r>
        <w:rPr>
          <w:color w:val="auto"/>
          <w:highlight w:val="none"/>
        </w:rPr>
        <w:instrText xml:space="preserve"> PAGEREF _Toc161846202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43433029">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"_Toc161846203" \o "#_Toc161846203" </w:instrText>
      </w:r>
      <w:r>
        <w:rPr>
          <w:color w:val="auto"/>
          <w:highlight w:val="none"/>
        </w:rPr>
        <w:fldChar w:fldCharType="separate"/>
      </w:r>
      <w:r>
        <w:rPr>
          <w:rStyle w:val="40"/>
          <w:rFonts w:hint="eastAsia" w:asciiTheme="minorEastAsia" w:hAnsiTheme="minorEastAsia"/>
          <w:color w:val="auto"/>
          <w:highlight w:val="none"/>
        </w:rPr>
        <w:t>第十七条　法律适用及争议解决</w:t>
      </w:r>
      <w:r>
        <w:rPr>
          <w:color w:val="auto"/>
          <w:highlight w:val="none"/>
        </w:rPr>
        <w:tab/>
      </w:r>
      <w:r>
        <w:rPr>
          <w:color w:val="auto"/>
          <w:highlight w:val="none"/>
        </w:rPr>
        <w:fldChar w:fldCharType="begin"/>
      </w:r>
      <w:r>
        <w:rPr>
          <w:color w:val="auto"/>
          <w:highlight w:val="none"/>
        </w:rPr>
        <w:instrText xml:space="preserve"> PAGEREF _Toc161846203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77D66B1">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"_Toc161846204" \o "#_Toc161846204" </w:instrText>
      </w:r>
      <w:r>
        <w:rPr>
          <w:color w:val="auto"/>
          <w:highlight w:val="none"/>
        </w:rPr>
        <w:fldChar w:fldCharType="separate"/>
      </w:r>
      <w:r>
        <w:rPr>
          <w:rStyle w:val="40"/>
          <w:rFonts w:hint="eastAsia" w:asciiTheme="minorEastAsia" w:hAnsiTheme="minorEastAsia"/>
          <w:color w:val="auto"/>
          <w:highlight w:val="none"/>
        </w:rPr>
        <w:t>第十八条</w:t>
      </w:r>
      <w:r>
        <w:rPr>
          <w:rStyle w:val="40"/>
          <w:rFonts w:asciiTheme="minorEastAsia" w:hAnsiTheme="minorEastAsia"/>
          <w:color w:val="auto"/>
          <w:highlight w:val="none"/>
        </w:rPr>
        <w:t xml:space="preserve">  </w:t>
      </w:r>
      <w:r>
        <w:rPr>
          <w:rStyle w:val="40"/>
          <w:rFonts w:hint="eastAsia" w:asciiTheme="minorEastAsia" w:hAnsiTheme="minorEastAsia"/>
          <w:color w:val="auto"/>
          <w:highlight w:val="none"/>
        </w:rPr>
        <w:t>通知与送达</w:t>
      </w:r>
      <w:r>
        <w:rPr>
          <w:color w:val="auto"/>
          <w:highlight w:val="none"/>
        </w:rPr>
        <w:tab/>
      </w:r>
      <w:r>
        <w:rPr>
          <w:color w:val="auto"/>
          <w:highlight w:val="none"/>
        </w:rPr>
        <w:fldChar w:fldCharType="begin"/>
      </w:r>
      <w:r>
        <w:rPr>
          <w:color w:val="auto"/>
          <w:highlight w:val="none"/>
        </w:rPr>
        <w:instrText xml:space="preserve"> PAGEREF _Toc161846204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988D779">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"_Toc161846205" \o "#_Toc161846205" </w:instrText>
      </w:r>
      <w:r>
        <w:rPr>
          <w:color w:val="auto"/>
          <w:highlight w:val="none"/>
        </w:rPr>
        <w:fldChar w:fldCharType="separate"/>
      </w:r>
      <w:r>
        <w:rPr>
          <w:rStyle w:val="40"/>
          <w:rFonts w:hint="eastAsia" w:asciiTheme="minorEastAsia" w:hAnsiTheme="minorEastAsia"/>
          <w:color w:val="auto"/>
          <w:highlight w:val="none"/>
        </w:rPr>
        <w:t>第十九条　合同生效及其他</w:t>
      </w:r>
      <w:r>
        <w:rPr>
          <w:color w:val="auto"/>
          <w:highlight w:val="none"/>
        </w:rPr>
        <w:tab/>
      </w:r>
      <w:r>
        <w:rPr>
          <w:color w:val="auto"/>
          <w:highlight w:val="none"/>
        </w:rPr>
        <w:fldChar w:fldCharType="begin"/>
      </w:r>
      <w:r>
        <w:rPr>
          <w:color w:val="auto"/>
          <w:highlight w:val="none"/>
        </w:rPr>
        <w:instrText xml:space="preserve"> PAGEREF _Toc161846205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558D686">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"_Toc161846206" \o "#_Toc161846206" </w:instrText>
      </w:r>
      <w:r>
        <w:rPr>
          <w:color w:val="auto"/>
          <w:highlight w:val="none"/>
        </w:rPr>
        <w:fldChar w:fldCharType="separate"/>
      </w:r>
      <w:r>
        <w:rPr>
          <w:rStyle w:val="40"/>
          <w:rFonts w:hint="eastAsia"/>
          <w:color w:val="auto"/>
          <w:highlight w:val="none"/>
        </w:rPr>
        <w:t>附件一：</w:t>
      </w:r>
      <w:r>
        <w:rPr>
          <w:color w:val="auto"/>
          <w:highlight w:val="none"/>
        </w:rPr>
        <w:tab/>
      </w:r>
      <w:r>
        <w:rPr>
          <w:color w:val="auto"/>
          <w:highlight w:val="none"/>
        </w:rPr>
        <w:fldChar w:fldCharType="begin"/>
      </w:r>
      <w:r>
        <w:rPr>
          <w:color w:val="auto"/>
          <w:highlight w:val="none"/>
        </w:rPr>
        <w:instrText xml:space="preserve"> PAGEREF _Toc161846206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809A84B">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"_Toc161846207" \o "#_Toc161846207" </w:instrText>
      </w:r>
      <w:r>
        <w:rPr>
          <w:color w:val="auto"/>
          <w:highlight w:val="none"/>
        </w:rPr>
        <w:fldChar w:fldCharType="separate"/>
      </w:r>
      <w:r>
        <w:rPr>
          <w:rStyle w:val="40"/>
          <w:rFonts w:hint="eastAsia"/>
          <w:color w:val="auto"/>
          <w:highlight w:val="none"/>
        </w:rPr>
        <w:t>附件二：</w:t>
      </w:r>
      <w:r>
        <w:rPr>
          <w:color w:val="auto"/>
          <w:highlight w:val="none"/>
        </w:rPr>
        <w:tab/>
      </w:r>
      <w:r>
        <w:rPr>
          <w:color w:val="auto"/>
          <w:highlight w:val="none"/>
        </w:rPr>
        <w:fldChar w:fldCharType="begin"/>
      </w:r>
      <w:r>
        <w:rPr>
          <w:color w:val="auto"/>
          <w:highlight w:val="none"/>
        </w:rPr>
        <w:instrText xml:space="preserve"> PAGEREF _Toc161846207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8C672DC">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"_Toc161846208" \o "#_Toc161846208" </w:instrText>
      </w:r>
      <w:r>
        <w:rPr>
          <w:color w:val="auto"/>
          <w:highlight w:val="none"/>
        </w:rPr>
        <w:fldChar w:fldCharType="separate"/>
      </w:r>
      <w:r>
        <w:rPr>
          <w:rStyle w:val="40"/>
          <w:rFonts w:hint="eastAsia"/>
          <w:color w:val="auto"/>
          <w:highlight w:val="none"/>
        </w:rPr>
        <w:t>附件三：</w:t>
      </w:r>
      <w:r>
        <w:rPr>
          <w:color w:val="auto"/>
          <w:highlight w:val="none"/>
        </w:rPr>
        <w:tab/>
      </w:r>
      <w:r>
        <w:rPr>
          <w:color w:val="auto"/>
          <w:highlight w:val="none"/>
        </w:rPr>
        <w:fldChar w:fldCharType="begin"/>
      </w:r>
      <w:r>
        <w:rPr>
          <w:color w:val="auto"/>
          <w:highlight w:val="none"/>
        </w:rPr>
        <w:instrText xml:space="preserve"> PAGEREF _Toc161846208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23C1B5F">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"_Toc161846209" \o "#_Toc161846209" </w:instrText>
      </w:r>
      <w:r>
        <w:rPr>
          <w:color w:val="auto"/>
          <w:highlight w:val="none"/>
        </w:rPr>
        <w:fldChar w:fldCharType="separate"/>
      </w:r>
      <w:r>
        <w:rPr>
          <w:rStyle w:val="40"/>
          <w:rFonts w:hint="eastAsia"/>
          <w:color w:val="auto"/>
          <w:highlight w:val="none"/>
        </w:rPr>
        <w:t>附件四：</w:t>
      </w:r>
      <w:r>
        <w:rPr>
          <w:color w:val="auto"/>
          <w:highlight w:val="none"/>
        </w:rPr>
        <w:tab/>
      </w:r>
      <w:r>
        <w:rPr>
          <w:color w:val="auto"/>
          <w:highlight w:val="none"/>
        </w:rPr>
        <w:fldChar w:fldCharType="begin"/>
      </w:r>
      <w:r>
        <w:rPr>
          <w:color w:val="auto"/>
          <w:highlight w:val="none"/>
        </w:rPr>
        <w:instrText xml:space="preserve"> PAGEREF _Toc161846209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BE0C953">
      <w:pPr>
        <w:pStyle w:val="24"/>
        <w:tabs>
          <w:tab w:val="right" w:leader="dot" w:pos="9170"/>
        </w:tabs>
        <w:spacing w:line="360" w:lineRule="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linePitch="360" w:charSpace="0"/>
        </w:sectPr>
      </w:pPr>
      <w:r>
        <w:rPr>
          <w:bCs w:val="0"/>
          <w:caps w:val="0"/>
          <w:color w:val="auto"/>
          <w:highlight w:val="none"/>
        </w:rPr>
        <w:fldChar w:fldCharType="end"/>
      </w:r>
      <w:bookmarkStart w:id="0" w:name="_Toc68613768"/>
      <w:bookmarkStart w:id="1" w:name="_Toc398198953"/>
    </w:p>
    <w:p w14:paraId="3C570C17">
      <w:pPr>
        <w:pStyle w:val="2"/>
        <w:rPr>
          <w:rFonts w:asciiTheme="minorEastAsia" w:hAnsiTheme="minorEastAsia" w:eastAsiaTheme="minorEastAsia"/>
          <w:color w:val="auto"/>
          <w:highlight w:val="none"/>
        </w:rPr>
      </w:pPr>
      <w:bookmarkStart w:id="2" w:name="_Toc161846187"/>
      <w:r>
        <w:rPr>
          <w:rFonts w:asciiTheme="minorEastAsia" w:hAnsiTheme="minorEastAsia" w:eastAsiaTheme="minorEastAsia"/>
          <w:color w:val="auto"/>
          <w:highlight w:val="none"/>
        </w:rPr>
        <w:t>第一条　合同当事人</w:t>
      </w:r>
      <w:bookmarkEnd w:id="0"/>
      <w:bookmarkEnd w:id="1"/>
      <w:bookmarkEnd w:id="2"/>
    </w:p>
    <w:p w14:paraId="1781AA10">
      <w:pPr>
        <w:spacing w:line="360" w:lineRule="auto"/>
        <w:ind w:firstLine="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本合同由下列当事人于</w:t>
      </w:r>
      <w:r>
        <w:rPr>
          <w:rFonts w:asciiTheme="minorEastAsia" w:hAnsiTheme="minorEastAsia" w:eastAsiaTheme="minorEastAsia"/>
          <w:color w:val="auto"/>
          <w:sz w:val="24"/>
          <w:szCs w:val="24"/>
          <w:highlight w:val="none"/>
        </w:rPr>
        <w:t>20</w:t>
      </w:r>
      <w:r>
        <w:rPr>
          <w:rFonts w:hint="eastAsia" w:asciiTheme="minorEastAsia" w:hAnsiTheme="minorEastAsia" w:eastAsiaTheme="minorEastAsia"/>
          <w:color w:val="auto"/>
          <w:sz w:val="24"/>
          <w:szCs w:val="24"/>
          <w:highlight w:val="none"/>
        </w:rPr>
        <w:t>2</w:t>
      </w:r>
      <w:r>
        <w:rPr>
          <w:rFonts w:hint="eastAsia" w:eastAsia="宋体" w:asciiTheme="minorEastAsia" w:hAnsi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年0</w:t>
      </w:r>
      <w:r>
        <w:rPr>
          <w:rFonts w:hint="eastAsia" w:asciiTheme="minorEastAsia" w:hAnsiTheme="minorEastAsia"/>
          <w:color w:val="auto"/>
          <w:sz w:val="24"/>
          <w:szCs w:val="24"/>
          <w:highlight w:val="none"/>
          <w:lang w:val="en-US" w:eastAsia="zh-CN"/>
        </w:rPr>
        <w:t>8</w:t>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highlight w:val="none"/>
        </w:rPr>
        <w:t>在湖南省长沙市雨花区中机国际工程设计研究院有限责任公司签订。</w:t>
      </w:r>
    </w:p>
    <w:p w14:paraId="345162AF">
      <w:pPr>
        <w:spacing w:line="360" w:lineRule="auto"/>
        <w:ind w:firstLine="420"/>
        <w:rPr>
          <w:rFonts w:asciiTheme="minorEastAsia" w:hAnsiTheme="minorEastAsia" w:eastAsiaTheme="minorEastAsia"/>
          <w:color w:val="auto"/>
          <w:sz w:val="24"/>
          <w:highlight w:val="none"/>
        </w:rPr>
      </w:pPr>
    </w:p>
    <w:p w14:paraId="54010EAA">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0D2494C3">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sz w:val="24"/>
          <w:szCs w:val="24"/>
          <w:highlight w:val="none"/>
        </w:rPr>
        <w:t>湖南长沙市韶山中路18号</w:t>
      </w:r>
    </w:p>
    <w:p w14:paraId="43FCA976">
      <w:pPr>
        <w:widowControl/>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6DCCC1E2">
      <w:pPr>
        <w:spacing w:line="360" w:lineRule="auto"/>
        <w:ind w:firstLine="422"/>
        <w:rPr>
          <w:rFonts w:asciiTheme="minorEastAsia" w:hAnsiTheme="minorEastAsia" w:eastAsiaTheme="minorEastAsia"/>
          <w:b/>
          <w:color w:val="auto"/>
          <w:sz w:val="24"/>
          <w:highlight w:val="none"/>
        </w:rPr>
      </w:pPr>
    </w:p>
    <w:p w14:paraId="6B148178">
      <w:pPr>
        <w:spacing w:line="360" w:lineRule="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乙方</w:t>
      </w:r>
      <w:r>
        <w:rPr>
          <w:rFonts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val="en-US" w:eastAsia="zh-CN"/>
        </w:rPr>
        <w:t xml:space="preserve"> </w:t>
      </w:r>
      <w:r>
        <w:rPr>
          <w:rFonts w:asciiTheme="minorEastAsia" w:hAnsiTheme="minorEastAsia" w:eastAsiaTheme="minorEastAsia"/>
          <w:b/>
          <w:color w:val="auto"/>
          <w:sz w:val="24"/>
          <w:highlight w:val="none"/>
        </w:rPr>
        <w:t>（以下简称“乙方”）</w:t>
      </w:r>
    </w:p>
    <w:p w14:paraId="008A9343">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p>
    <w:p w14:paraId="4E1033A3">
      <w:pPr>
        <w:spacing w:line="360" w:lineRule="auto"/>
        <w:rPr>
          <w:rFonts w:hint="default" w:eastAsia="宋体" w:asciiTheme="minorEastAsia" w:hAnsiTheme="minorEastAsia"/>
          <w:color w:val="auto"/>
          <w:sz w:val="24"/>
          <w:szCs w:val="24"/>
          <w:highlight w:val="none"/>
          <w:lang w:val="en-US" w:eastAsia="zh-CN"/>
        </w:rPr>
      </w:pPr>
      <w:r>
        <w:rPr>
          <w:rFonts w:asciiTheme="minorEastAsia" w:hAnsiTheme="minorEastAsia" w:eastAsiaTheme="minorEastAsia"/>
          <w:color w:val="auto"/>
          <w:sz w:val="24"/>
          <w:highlight w:val="none"/>
        </w:rPr>
        <w:t>法定代表人：</w:t>
      </w:r>
    </w:p>
    <w:p w14:paraId="67BD1D09">
      <w:pPr>
        <w:spacing w:line="360" w:lineRule="auto"/>
        <w:rPr>
          <w:rFonts w:asciiTheme="minorEastAsia" w:hAnsiTheme="minorEastAsia" w:eastAsiaTheme="minorEastAsia"/>
          <w:color w:val="auto"/>
          <w:sz w:val="24"/>
          <w:highlight w:val="none"/>
        </w:rPr>
      </w:pPr>
    </w:p>
    <w:p w14:paraId="2EA5D8DD">
      <w:pPr>
        <w:pStyle w:val="192"/>
        <w:spacing w:line="360" w:lineRule="auto"/>
        <w:rPr>
          <w:rFonts w:asciiTheme="minorEastAsia" w:hAnsiTheme="minorEastAsia" w:eastAsiaTheme="minorEastAsia"/>
          <w:b/>
          <w:color w:val="auto"/>
          <w:sz w:val="24"/>
          <w:szCs w:val="21"/>
          <w:highlight w:val="none"/>
        </w:rPr>
      </w:pPr>
      <w:r>
        <w:rPr>
          <w:rFonts w:asciiTheme="minorEastAsia" w:hAnsiTheme="minorEastAsia" w:eastAsiaTheme="minorEastAsia"/>
          <w:b/>
          <w:color w:val="auto"/>
          <w:sz w:val="24"/>
          <w:szCs w:val="21"/>
          <w:highlight w:val="none"/>
        </w:rPr>
        <w:t>鉴于：</w:t>
      </w:r>
    </w:p>
    <w:p w14:paraId="43B4969E">
      <w:pPr>
        <w:pStyle w:val="192"/>
        <w:spacing w:line="360" w:lineRule="auto"/>
        <w:ind w:left="360" w:hanging="36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7DC3A59B">
      <w:pPr>
        <w:pStyle w:val="192"/>
        <w:spacing w:line="360" w:lineRule="auto"/>
        <w:ind w:left="360" w:hanging="36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  乙方：，一家依据中国法律成立并在中国合法注册、经营及有效存续的公司，具有签署本合同的合法主体资格，且在签署本合同时无任何法律障碍和重大事件影响乙方继续正常存续和履行本合同的能力；</w:t>
      </w:r>
    </w:p>
    <w:p w14:paraId="0E3F6DEC">
      <w:pPr>
        <w:pStyle w:val="192"/>
        <w:spacing w:line="360" w:lineRule="auto"/>
        <w:ind w:left="360" w:hanging="36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  乙方拥有合法销售本合同标的物的全部政府许可、生产和/或使用许可和/或授权，对其</w:t>
      </w:r>
      <w:r>
        <w:rPr>
          <w:rFonts w:asciiTheme="minorEastAsia" w:hAnsiTheme="minorEastAsia" w:eastAsiaTheme="minorEastAsia"/>
          <w:color w:val="auto"/>
          <w:sz w:val="24"/>
          <w:szCs w:val="21"/>
          <w:highlight w:val="none"/>
        </w:rPr>
        <w:t>所销售的标的物拥有完全的排他的所有权和</w:t>
      </w:r>
      <w:r>
        <w:rPr>
          <w:rFonts w:hint="eastAsia" w:asciiTheme="minorEastAsia" w:hAnsiTheme="minorEastAsia" w:eastAsiaTheme="minorEastAsia"/>
          <w:color w:val="auto"/>
          <w:sz w:val="24"/>
          <w:szCs w:val="21"/>
          <w:highlight w:val="none"/>
        </w:rPr>
        <w:t>/或</w:t>
      </w:r>
      <w:r>
        <w:rPr>
          <w:rFonts w:asciiTheme="minorEastAsia" w:hAnsiTheme="minorEastAsia" w:eastAsiaTheme="minorEastAsia"/>
          <w:color w:val="auto"/>
          <w:sz w:val="24"/>
          <w:szCs w:val="21"/>
          <w:highlight w:val="none"/>
        </w:rPr>
        <w:t>知识产权</w:t>
      </w:r>
      <w:r>
        <w:rPr>
          <w:rFonts w:hint="eastAsia" w:asciiTheme="minorEastAsia" w:hAnsiTheme="minorEastAsia" w:eastAsiaTheme="minorEastAsia"/>
          <w:color w:val="auto"/>
          <w:sz w:val="24"/>
          <w:szCs w:val="21"/>
          <w:highlight w:val="none"/>
        </w:rPr>
        <w:t>。乙方对本合同标的物的销售不会损害任何第三方的合法权益和社会公共利益。</w:t>
      </w:r>
    </w:p>
    <w:p w14:paraId="0242AD77">
      <w:pPr>
        <w:pStyle w:val="192"/>
        <w:spacing w:line="360" w:lineRule="auto"/>
        <w:ind w:left="958" w:hanging="958"/>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4  甲方拟购买乙方供应的本合同标的物，乙方予以同意。</w:t>
      </w:r>
    </w:p>
    <w:p w14:paraId="24C93F92">
      <w:pPr>
        <w:pStyle w:val="192"/>
        <w:spacing w:line="360" w:lineRule="auto"/>
        <w:ind w:firstLine="480"/>
        <w:rPr>
          <w:rFonts w:asciiTheme="minorEastAsia" w:hAnsiTheme="minorEastAsia" w:eastAsiaTheme="minorEastAsia"/>
          <w:color w:val="auto"/>
          <w:sz w:val="24"/>
          <w:szCs w:val="21"/>
          <w:highlight w:val="none"/>
        </w:rPr>
      </w:pPr>
    </w:p>
    <w:p w14:paraId="6BDD6A53">
      <w:pPr>
        <w:spacing w:line="360" w:lineRule="auto"/>
        <w:ind w:firstLine="48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2C8CC892">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linePitch="360" w:charSpace="0"/>
        </w:sectPr>
      </w:pPr>
    </w:p>
    <w:p w14:paraId="79F8690A">
      <w:pPr>
        <w:pStyle w:val="2"/>
        <w:rPr>
          <w:rFonts w:asciiTheme="minorEastAsia" w:hAnsiTheme="minorEastAsia" w:eastAsiaTheme="minorEastAsia"/>
          <w:color w:val="auto"/>
          <w:highlight w:val="none"/>
        </w:rPr>
      </w:pPr>
      <w:bookmarkStart w:id="3" w:name="_Toc161846188"/>
      <w:r>
        <w:rPr>
          <w:rFonts w:asciiTheme="minorEastAsia" w:hAnsiTheme="minorEastAsia" w:eastAsiaTheme="minorEastAsia"/>
          <w:color w:val="auto"/>
          <w:highlight w:val="none"/>
        </w:rPr>
        <w:t>第二条　合同标的及价格</w:t>
      </w:r>
      <w:bookmarkEnd w:id="3"/>
    </w:p>
    <w:p w14:paraId="34AB6E84">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362DAF24">
      <w:pPr>
        <w:pStyle w:val="3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2887E3AD">
      <w:pPr>
        <w:pStyle w:val="3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36"/>
        <w:tblW w:w="5798" w:type="pct"/>
        <w:tblInd w:w="-851" w:type="dxa"/>
        <w:tblLayout w:type="fixed"/>
        <w:tblCellMar>
          <w:top w:w="0" w:type="dxa"/>
          <w:left w:w="0" w:type="dxa"/>
          <w:bottom w:w="0" w:type="dxa"/>
          <w:right w:w="0" w:type="dxa"/>
        </w:tblCellMar>
      </w:tblPr>
      <w:tblGrid>
        <w:gridCol w:w="426"/>
        <w:gridCol w:w="1845"/>
        <w:gridCol w:w="427"/>
        <w:gridCol w:w="427"/>
        <w:gridCol w:w="1997"/>
        <w:gridCol w:w="1425"/>
        <w:gridCol w:w="429"/>
        <w:gridCol w:w="1425"/>
        <w:gridCol w:w="1425"/>
        <w:gridCol w:w="853"/>
      </w:tblGrid>
      <w:tr w14:paraId="0DCCC4C2">
        <w:tblPrEx>
          <w:tblCellMar>
            <w:top w:w="0" w:type="dxa"/>
            <w:left w:w="0" w:type="dxa"/>
            <w:bottom w:w="0" w:type="dxa"/>
            <w:right w:w="0" w:type="dxa"/>
          </w:tblCellMar>
        </w:tblPrEx>
        <w:trPr>
          <w:trHeight w:val="354" w:hRule="atLeast"/>
        </w:trPr>
        <w:tc>
          <w:tcPr>
            <w:tcW w:w="19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14:paraId="6CAF080A">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序号</w:t>
            </w:r>
          </w:p>
        </w:tc>
        <w:tc>
          <w:tcPr>
            <w:tcW w:w="863" w:type="pct"/>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14:paraId="1E488F1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设备型号</w:t>
            </w:r>
          </w:p>
        </w:tc>
        <w:tc>
          <w:tcPr>
            <w:tcW w:w="199" w:type="pct"/>
            <w:tcBorders>
              <w:top w:val="single" w:color="000000" w:sz="8" w:space="0"/>
              <w:left w:val="nil"/>
              <w:bottom w:val="single" w:color="000000" w:sz="8" w:space="0"/>
              <w:right w:val="single" w:color="auto" w:sz="4" w:space="0"/>
            </w:tcBorders>
            <w:noWrap w:val="0"/>
            <w:vAlign w:val="center"/>
          </w:tcPr>
          <w:p w14:paraId="1653C71C">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数量</w:t>
            </w:r>
          </w:p>
        </w:tc>
        <w:tc>
          <w:tcPr>
            <w:tcW w:w="199" w:type="pct"/>
            <w:tcBorders>
              <w:top w:val="single" w:color="000000" w:sz="8" w:space="0"/>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71C92D7D">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935" w:type="pct"/>
            <w:tcBorders>
              <w:top w:val="single" w:color="000000" w:sz="8" w:space="0"/>
              <w:left w:val="nil"/>
              <w:bottom w:val="single" w:color="000000" w:sz="8" w:space="0"/>
              <w:right w:val="single" w:color="auto" w:sz="4" w:space="0"/>
            </w:tcBorders>
            <w:shd w:val="clear" w:color="auto" w:fill="auto"/>
            <w:noWrap w:val="0"/>
            <w:tcMar>
              <w:top w:w="15" w:type="dxa"/>
              <w:left w:w="15" w:type="dxa"/>
              <w:right w:w="15" w:type="dxa"/>
            </w:tcMar>
            <w:vAlign w:val="center"/>
          </w:tcPr>
          <w:p w14:paraId="2BA685C7">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不含税单价</w:t>
            </w:r>
          </w:p>
          <w:p w14:paraId="6A059FF0">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（元/套）</w:t>
            </w:r>
          </w:p>
        </w:tc>
        <w:tc>
          <w:tcPr>
            <w:tcW w:w="66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09D4A0F">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含税单价</w:t>
            </w:r>
          </w:p>
          <w:p w14:paraId="15952393">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（元/套）</w:t>
            </w:r>
          </w:p>
        </w:tc>
        <w:tc>
          <w:tcPr>
            <w:tcW w:w="200" w:type="pct"/>
            <w:tcBorders>
              <w:top w:val="single" w:color="000000" w:sz="8" w:space="0"/>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12845FA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税率</w:t>
            </w:r>
          </w:p>
        </w:tc>
        <w:tc>
          <w:tcPr>
            <w:tcW w:w="667" w:type="pct"/>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14:paraId="07C7D7A7">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不含税总价</w:t>
            </w:r>
          </w:p>
          <w:p w14:paraId="1A6A76B8">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（元）</w:t>
            </w:r>
          </w:p>
        </w:tc>
        <w:tc>
          <w:tcPr>
            <w:tcW w:w="667" w:type="pct"/>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14:paraId="7C0B4A66">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含税总价</w:t>
            </w:r>
          </w:p>
          <w:p w14:paraId="3CBDE0ED">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（元）</w:t>
            </w:r>
          </w:p>
        </w:tc>
        <w:tc>
          <w:tcPr>
            <w:tcW w:w="399" w:type="pct"/>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14:paraId="294D3ED7">
            <w:pPr>
              <w:widowControl/>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bidi="ar"/>
              </w:rPr>
              <w:t>备 注</w:t>
            </w:r>
          </w:p>
        </w:tc>
      </w:tr>
      <w:tr w14:paraId="2B735045">
        <w:tblPrEx>
          <w:tblCellMar>
            <w:top w:w="0" w:type="dxa"/>
            <w:left w:w="0" w:type="dxa"/>
            <w:bottom w:w="0" w:type="dxa"/>
            <w:right w:w="0" w:type="dxa"/>
          </w:tblCellMar>
        </w:tblPrEx>
        <w:trPr>
          <w:trHeight w:val="557" w:hRule="atLeast"/>
        </w:trPr>
        <w:tc>
          <w:tcPr>
            <w:tcW w:w="199" w:type="pct"/>
            <w:tcBorders>
              <w:top w:val="nil"/>
              <w:left w:val="single" w:color="000000" w:sz="8" w:space="0"/>
              <w:bottom w:val="single" w:color="auto" w:sz="4" w:space="0"/>
              <w:right w:val="single" w:color="000000" w:sz="8" w:space="0"/>
            </w:tcBorders>
            <w:shd w:val="clear" w:color="auto" w:fill="auto"/>
            <w:noWrap w:val="0"/>
            <w:tcMar>
              <w:top w:w="15" w:type="dxa"/>
              <w:left w:w="15" w:type="dxa"/>
              <w:right w:w="15" w:type="dxa"/>
            </w:tcMar>
            <w:vAlign w:val="center"/>
          </w:tcPr>
          <w:p w14:paraId="0FCB4FF1">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63"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36E6988C">
            <w:pPr>
              <w:jc w:val="center"/>
              <w:rPr>
                <w:rFonts w:hint="eastAsia" w:ascii="宋体" w:hAnsi="宋体" w:eastAsia="宋体" w:cs="宋体"/>
                <w:color w:val="auto"/>
                <w:sz w:val="21"/>
                <w:szCs w:val="21"/>
                <w:highlight w:val="none"/>
                <w:lang w:val="en-US" w:eastAsia="zh-CN"/>
              </w:rPr>
            </w:pPr>
          </w:p>
        </w:tc>
        <w:tc>
          <w:tcPr>
            <w:tcW w:w="199" w:type="pct"/>
            <w:tcBorders>
              <w:top w:val="nil"/>
              <w:left w:val="nil"/>
              <w:bottom w:val="single" w:color="000000" w:sz="8" w:space="0"/>
              <w:right w:val="single" w:color="auto" w:sz="4" w:space="0"/>
            </w:tcBorders>
            <w:noWrap w:val="0"/>
            <w:vAlign w:val="center"/>
          </w:tcPr>
          <w:p w14:paraId="7B7EA95B">
            <w:pPr>
              <w:jc w:val="center"/>
              <w:rPr>
                <w:rFonts w:hint="eastAsia" w:ascii="宋体" w:hAnsi="宋体" w:eastAsia="宋体" w:cs="宋体"/>
                <w:color w:val="auto"/>
                <w:sz w:val="21"/>
                <w:szCs w:val="21"/>
                <w:highlight w:val="none"/>
              </w:rPr>
            </w:pPr>
          </w:p>
        </w:tc>
        <w:tc>
          <w:tcPr>
            <w:tcW w:w="199" w:type="pct"/>
            <w:tcBorders>
              <w:top w:val="nil"/>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2B6538C7">
            <w:pPr>
              <w:jc w:val="center"/>
              <w:rPr>
                <w:rFonts w:hint="eastAsia" w:ascii="宋体" w:hAnsi="宋体" w:eastAsia="宋体" w:cs="宋体"/>
                <w:color w:val="auto"/>
                <w:sz w:val="21"/>
                <w:szCs w:val="21"/>
                <w:highlight w:val="none"/>
              </w:rPr>
            </w:pPr>
          </w:p>
        </w:tc>
        <w:tc>
          <w:tcPr>
            <w:tcW w:w="935" w:type="pct"/>
            <w:tcBorders>
              <w:top w:val="nil"/>
              <w:left w:val="nil"/>
              <w:bottom w:val="single" w:color="000000" w:sz="8" w:space="0"/>
              <w:right w:val="single" w:color="auto" w:sz="4" w:space="0"/>
            </w:tcBorders>
            <w:shd w:val="clear" w:color="auto" w:fill="auto"/>
            <w:noWrap w:val="0"/>
            <w:tcMar>
              <w:top w:w="15" w:type="dxa"/>
              <w:left w:w="15" w:type="dxa"/>
              <w:right w:w="15" w:type="dxa"/>
            </w:tcMar>
            <w:vAlign w:val="center"/>
          </w:tcPr>
          <w:p w14:paraId="14F4C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66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4056A3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200" w:type="pct"/>
            <w:tcBorders>
              <w:top w:val="nil"/>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17868DA5">
            <w:pPr>
              <w:widowControl/>
              <w:jc w:val="center"/>
              <w:rPr>
                <w:rFonts w:hint="eastAsia" w:ascii="宋体" w:hAnsi="宋体" w:eastAsia="宋体" w:cs="宋体"/>
                <w:color w:val="auto"/>
                <w:sz w:val="21"/>
                <w:szCs w:val="21"/>
                <w:highlight w:val="none"/>
              </w:rPr>
            </w:pP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4008CA7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64F60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399" w:type="pct"/>
            <w:vMerge w:val="restart"/>
            <w:tcBorders>
              <w:top w:val="nil"/>
              <w:left w:val="nil"/>
              <w:right w:val="single" w:color="000000" w:sz="8" w:space="0"/>
            </w:tcBorders>
            <w:shd w:val="clear" w:color="auto" w:fill="auto"/>
            <w:noWrap w:val="0"/>
            <w:tcMar>
              <w:top w:w="15" w:type="dxa"/>
              <w:left w:w="15" w:type="dxa"/>
              <w:right w:w="15" w:type="dxa"/>
            </w:tcMar>
            <w:vAlign w:val="center"/>
          </w:tcPr>
          <w:p w14:paraId="24337808">
            <w:pPr>
              <w:widowControl/>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具体</w:t>
            </w:r>
            <w:r>
              <w:rPr>
                <w:rFonts w:cs="宋体" w:asciiTheme="minorEastAsia" w:hAnsiTheme="minorEastAsia" w:eastAsiaTheme="minorEastAsia"/>
                <w:color w:val="auto"/>
                <w:highlight w:val="none"/>
              </w:rPr>
              <w:t>分项</w:t>
            </w:r>
            <w:r>
              <w:rPr>
                <w:rFonts w:hint="eastAsia" w:cs="宋体" w:asciiTheme="minorEastAsia" w:hAnsiTheme="minorEastAsia" w:eastAsiaTheme="minorEastAsia"/>
                <w:color w:val="auto"/>
                <w:highlight w:val="none"/>
              </w:rPr>
              <w:t>内容</w:t>
            </w:r>
            <w:r>
              <w:rPr>
                <w:rFonts w:cs="宋体" w:asciiTheme="minorEastAsia" w:hAnsiTheme="minorEastAsia" w:eastAsiaTheme="minorEastAsia"/>
                <w:color w:val="auto"/>
                <w:highlight w:val="none"/>
              </w:rPr>
              <w:t>详见技术协议</w:t>
            </w:r>
          </w:p>
        </w:tc>
      </w:tr>
      <w:tr w14:paraId="20B64E0C">
        <w:tblPrEx>
          <w:tblCellMar>
            <w:top w:w="0" w:type="dxa"/>
            <w:left w:w="0" w:type="dxa"/>
            <w:bottom w:w="0" w:type="dxa"/>
            <w:right w:w="0" w:type="dxa"/>
          </w:tblCellMar>
        </w:tblPrEx>
        <w:trPr>
          <w:trHeight w:val="557" w:hRule="atLeast"/>
        </w:trPr>
        <w:tc>
          <w:tcPr>
            <w:tcW w:w="199" w:type="pct"/>
            <w:tcBorders>
              <w:top w:val="nil"/>
              <w:left w:val="single" w:color="000000" w:sz="8" w:space="0"/>
              <w:bottom w:val="single" w:color="auto" w:sz="4" w:space="0"/>
              <w:right w:val="single" w:color="000000" w:sz="8" w:space="0"/>
            </w:tcBorders>
            <w:shd w:val="clear" w:color="auto" w:fill="auto"/>
            <w:noWrap w:val="0"/>
            <w:tcMar>
              <w:top w:w="15" w:type="dxa"/>
              <w:left w:w="15" w:type="dxa"/>
              <w:right w:w="15" w:type="dxa"/>
            </w:tcMar>
            <w:vAlign w:val="center"/>
          </w:tcPr>
          <w:p w14:paraId="1D71EA54">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63"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2CFD5E60">
            <w:pPr>
              <w:jc w:val="center"/>
              <w:rPr>
                <w:rFonts w:hint="eastAsia" w:ascii="宋体" w:hAnsi="宋体" w:eastAsia="宋体" w:cs="宋体"/>
                <w:color w:val="auto"/>
                <w:sz w:val="21"/>
                <w:szCs w:val="21"/>
                <w:highlight w:val="none"/>
                <w:lang w:val="en-US" w:eastAsia="zh-CN"/>
              </w:rPr>
            </w:pPr>
          </w:p>
        </w:tc>
        <w:tc>
          <w:tcPr>
            <w:tcW w:w="199" w:type="pct"/>
            <w:tcBorders>
              <w:top w:val="nil"/>
              <w:left w:val="nil"/>
              <w:bottom w:val="single" w:color="000000" w:sz="8" w:space="0"/>
              <w:right w:val="single" w:color="auto" w:sz="4" w:space="0"/>
            </w:tcBorders>
            <w:noWrap w:val="0"/>
            <w:vAlign w:val="center"/>
          </w:tcPr>
          <w:p w14:paraId="455F25DB">
            <w:pPr>
              <w:jc w:val="center"/>
              <w:rPr>
                <w:rFonts w:hint="eastAsia" w:ascii="宋体" w:hAnsi="宋体" w:eastAsia="宋体" w:cs="宋体"/>
                <w:color w:val="auto"/>
                <w:sz w:val="21"/>
                <w:szCs w:val="21"/>
                <w:highlight w:val="none"/>
                <w:lang w:val="en-US" w:eastAsia="zh-CN"/>
              </w:rPr>
            </w:pPr>
          </w:p>
        </w:tc>
        <w:tc>
          <w:tcPr>
            <w:tcW w:w="199" w:type="pct"/>
            <w:tcBorders>
              <w:top w:val="nil"/>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4099DFDB">
            <w:pPr>
              <w:jc w:val="center"/>
              <w:rPr>
                <w:rFonts w:hint="eastAsia" w:ascii="宋体" w:hAnsi="宋体" w:eastAsia="宋体" w:cs="宋体"/>
                <w:color w:val="auto"/>
                <w:sz w:val="21"/>
                <w:szCs w:val="21"/>
                <w:highlight w:val="none"/>
                <w:lang w:eastAsia="zh-CN"/>
              </w:rPr>
            </w:pPr>
          </w:p>
        </w:tc>
        <w:tc>
          <w:tcPr>
            <w:tcW w:w="935"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7BC1C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3AA04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200"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33F95B26">
            <w:pPr>
              <w:jc w:val="center"/>
              <w:rPr>
                <w:rFonts w:hint="eastAsia" w:ascii="宋体" w:hAnsi="宋体" w:eastAsia="宋体" w:cs="宋体"/>
                <w:color w:val="auto"/>
                <w:sz w:val="21"/>
                <w:szCs w:val="21"/>
                <w:highlight w:val="none"/>
                <w:lang w:val="en-US" w:eastAsia="zh-CN"/>
              </w:rPr>
            </w:pP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2699F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3549A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399" w:type="pct"/>
            <w:vMerge w:val="continue"/>
            <w:tcBorders>
              <w:left w:val="nil"/>
              <w:right w:val="single" w:color="000000" w:sz="8" w:space="0"/>
            </w:tcBorders>
            <w:shd w:val="clear" w:color="auto" w:fill="auto"/>
            <w:noWrap w:val="0"/>
            <w:tcMar>
              <w:top w:w="15" w:type="dxa"/>
              <w:left w:w="15" w:type="dxa"/>
              <w:right w:w="15" w:type="dxa"/>
            </w:tcMar>
            <w:vAlign w:val="center"/>
          </w:tcPr>
          <w:p w14:paraId="1878A684">
            <w:pPr>
              <w:widowControl/>
              <w:jc w:val="center"/>
              <w:rPr>
                <w:rFonts w:hint="eastAsia" w:cs="宋体" w:asciiTheme="minorEastAsia" w:hAnsiTheme="minorEastAsia" w:eastAsiaTheme="minorEastAsia"/>
                <w:color w:val="auto"/>
                <w:highlight w:val="none"/>
              </w:rPr>
            </w:pPr>
          </w:p>
        </w:tc>
      </w:tr>
      <w:tr w14:paraId="792467FA">
        <w:tblPrEx>
          <w:tblCellMar>
            <w:top w:w="0" w:type="dxa"/>
            <w:left w:w="0" w:type="dxa"/>
            <w:bottom w:w="0" w:type="dxa"/>
            <w:right w:w="0" w:type="dxa"/>
          </w:tblCellMar>
        </w:tblPrEx>
        <w:trPr>
          <w:trHeight w:val="567" w:hRule="atLeast"/>
        </w:trPr>
        <w:tc>
          <w:tcPr>
            <w:tcW w:w="3266" w:type="pct"/>
            <w:gridSpan w:val="7"/>
            <w:tcBorders>
              <w:top w:val="nil"/>
              <w:left w:val="single" w:color="000000" w:sz="8" w:space="0"/>
              <w:bottom w:val="single" w:color="000000" w:sz="8" w:space="0"/>
              <w:right w:val="single" w:color="000000" w:sz="8" w:space="0"/>
            </w:tcBorders>
            <w:noWrap w:val="0"/>
            <w:vAlign w:val="center"/>
          </w:tcPr>
          <w:p w14:paraId="23217ECF">
            <w:pPr>
              <w:widowControl/>
              <w:spacing w:line="360" w:lineRule="auto"/>
              <w:jc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合计</w:t>
            </w:r>
          </w:p>
        </w:tc>
        <w:tc>
          <w:tcPr>
            <w:tcW w:w="667" w:type="pct"/>
            <w:tcBorders>
              <w:top w:val="nil"/>
              <w:left w:val="single" w:color="000000" w:sz="8" w:space="0"/>
              <w:bottom w:val="single" w:color="000000" w:sz="8" w:space="0"/>
              <w:right w:val="single" w:color="000000" w:sz="8" w:space="0"/>
            </w:tcBorders>
            <w:shd w:val="clear" w:color="auto" w:fill="auto"/>
            <w:noWrap w:val="0"/>
            <w:vAlign w:val="center"/>
          </w:tcPr>
          <w:p w14:paraId="68415EAA">
            <w:pPr>
              <w:keepNext w:val="0"/>
              <w:keepLines w:val="0"/>
              <w:widowControl/>
              <w:suppressLineNumbers w:val="0"/>
              <w:jc w:val="center"/>
              <w:textAlignment w:val="center"/>
              <w:rPr>
                <w:rFonts w:hint="eastAsia" w:ascii="宋体" w:hAnsi="宋体" w:eastAsia="宋体" w:cs="宋体"/>
                <w:b/>
                <w:bCs/>
                <w:color w:val="auto"/>
                <w:sz w:val="21"/>
                <w:szCs w:val="21"/>
                <w:highlight w:val="none"/>
                <w:lang w:bidi="ar"/>
              </w:rPr>
            </w:pPr>
          </w:p>
        </w:tc>
        <w:tc>
          <w:tcPr>
            <w:tcW w:w="667" w:type="pct"/>
            <w:tcBorders>
              <w:top w:val="nil"/>
              <w:left w:val="single" w:color="000000" w:sz="8" w:space="0"/>
              <w:bottom w:val="single" w:color="000000" w:sz="8" w:space="0"/>
              <w:right w:val="single" w:color="000000" w:sz="8" w:space="0"/>
            </w:tcBorders>
            <w:shd w:val="clear" w:color="auto" w:fill="auto"/>
            <w:noWrap w:val="0"/>
            <w:vAlign w:val="center"/>
          </w:tcPr>
          <w:p w14:paraId="0216EDFF">
            <w:pPr>
              <w:keepNext w:val="0"/>
              <w:keepLines w:val="0"/>
              <w:widowControl/>
              <w:suppressLineNumbers w:val="0"/>
              <w:jc w:val="center"/>
              <w:textAlignment w:val="center"/>
              <w:rPr>
                <w:rFonts w:hint="eastAsia" w:ascii="宋体" w:hAnsi="宋体" w:eastAsia="宋体" w:cs="宋体"/>
                <w:b/>
                <w:bCs/>
                <w:color w:val="auto"/>
                <w:sz w:val="21"/>
                <w:szCs w:val="21"/>
                <w:highlight w:val="none"/>
                <w:lang w:bidi="ar"/>
              </w:rPr>
            </w:pPr>
          </w:p>
        </w:tc>
        <w:tc>
          <w:tcPr>
            <w:tcW w:w="399" w:type="pct"/>
            <w:vMerge w:val="continue"/>
            <w:tcBorders>
              <w:left w:val="single" w:color="000000" w:sz="8" w:space="0"/>
              <w:bottom w:val="single" w:color="000000" w:sz="8" w:space="0"/>
              <w:right w:val="single" w:color="000000" w:sz="8" w:space="0"/>
            </w:tcBorders>
            <w:shd w:val="clear" w:color="auto" w:fill="auto"/>
            <w:noWrap w:val="0"/>
            <w:vAlign w:val="center"/>
          </w:tcPr>
          <w:p w14:paraId="641C860D">
            <w:pPr>
              <w:widowControl/>
              <w:spacing w:line="360" w:lineRule="auto"/>
              <w:jc w:val="left"/>
              <w:rPr>
                <w:rFonts w:cs="宋体" w:asciiTheme="minorEastAsia" w:hAnsiTheme="minorEastAsia" w:eastAsiaTheme="minorEastAsia"/>
                <w:b/>
                <w:color w:val="auto"/>
                <w:highlight w:val="none"/>
                <w:lang w:bidi="ar"/>
              </w:rPr>
            </w:pPr>
          </w:p>
        </w:tc>
      </w:tr>
      <w:tr w14:paraId="57897041">
        <w:tblPrEx>
          <w:tblCellMar>
            <w:top w:w="0" w:type="dxa"/>
            <w:left w:w="0" w:type="dxa"/>
            <w:bottom w:w="0" w:type="dxa"/>
            <w:right w:w="0" w:type="dxa"/>
          </w:tblCellMar>
        </w:tblPrEx>
        <w:trPr>
          <w:trHeight w:val="567" w:hRule="atLeast"/>
        </w:trPr>
        <w:tc>
          <w:tcPr>
            <w:tcW w:w="5000" w:type="pct"/>
            <w:gridSpan w:val="10"/>
            <w:tcBorders>
              <w:top w:val="nil"/>
              <w:left w:val="single" w:color="000000" w:sz="8" w:space="0"/>
              <w:bottom w:val="single" w:color="000000" w:sz="8" w:space="0"/>
              <w:right w:val="single" w:color="000000" w:sz="8" w:space="0"/>
            </w:tcBorders>
            <w:noWrap w:val="0"/>
          </w:tcPr>
          <w:p w14:paraId="5870C099">
            <w:pPr>
              <w:widowControl/>
              <w:spacing w:line="360" w:lineRule="auto"/>
              <w:jc w:val="left"/>
              <w:rPr>
                <w:rFonts w:cs="宋体" w:asciiTheme="minorEastAsia" w:hAnsiTheme="minorEastAsia" w:eastAsiaTheme="minorEastAsia"/>
                <w:b/>
                <w:color w:val="auto"/>
                <w:highlight w:val="none"/>
                <w:lang w:bidi="ar"/>
              </w:rPr>
            </w:pPr>
            <w:r>
              <w:rPr>
                <w:rFonts w:hint="eastAsia" w:cs="宋体" w:asciiTheme="minorEastAsia" w:hAnsiTheme="minorEastAsia" w:eastAsiaTheme="minorEastAsia"/>
                <w:b/>
                <w:color w:val="auto"/>
                <w:highlight w:val="none"/>
                <w:lang w:bidi="ar"/>
              </w:rPr>
              <w:t>合计不含税总价（大写）：</w:t>
            </w:r>
          </w:p>
          <w:p w14:paraId="190C2DEB">
            <w:pPr>
              <w:widowControl/>
              <w:spacing w:line="360" w:lineRule="auto"/>
              <w:jc w:val="left"/>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bidi="ar"/>
              </w:rPr>
              <w:t>人民币金额</w:t>
            </w:r>
            <w:r>
              <w:rPr>
                <w:rFonts w:hint="eastAsia" w:eastAsia="宋体" w:cs="宋体" w:asciiTheme="minorEastAsia" w:hAnsiTheme="minorEastAsia"/>
                <w:b/>
                <w:color w:val="auto"/>
                <w:highlight w:val="none"/>
                <w:lang w:val="en-US" w:eastAsia="zh-CN" w:bidi="ar"/>
              </w:rPr>
              <w:t xml:space="preserve">  </w:t>
            </w:r>
            <w:r>
              <w:rPr>
                <w:rFonts w:hint="eastAsia" w:cs="宋体" w:asciiTheme="minorEastAsia" w:hAnsiTheme="minorEastAsia" w:eastAsiaTheme="minorEastAsia"/>
                <w:b/>
                <w:color w:val="auto"/>
                <w:highlight w:val="none"/>
                <w:lang w:bidi="ar"/>
              </w:rPr>
              <w:t>（小写：</w:t>
            </w:r>
            <w:r>
              <w:rPr>
                <w:rFonts w:hint="eastAsia" w:cs="宋体" w:asciiTheme="minorEastAsia" w:hAnsiTheme="minorEastAsia" w:eastAsiaTheme="minorEastAsia"/>
                <w:b/>
                <w:bCs w:val="0"/>
                <w:color w:val="auto"/>
                <w:highlight w:val="none"/>
                <w:lang w:bidi="ar"/>
              </w:rPr>
              <w:t>¥</w:t>
            </w:r>
            <w:r>
              <w:rPr>
                <w:rFonts w:hint="eastAsia" w:cs="宋体" w:asciiTheme="minorEastAsia" w:hAnsiTheme="minorEastAsia" w:eastAsiaTheme="minorEastAsia"/>
                <w:b/>
                <w:color w:val="auto"/>
                <w:highlight w:val="none"/>
                <w:lang w:bidi="ar"/>
              </w:rPr>
              <w:t>元）</w:t>
            </w:r>
          </w:p>
        </w:tc>
      </w:tr>
      <w:tr w14:paraId="672CC59F">
        <w:tblPrEx>
          <w:tblCellMar>
            <w:top w:w="0" w:type="dxa"/>
            <w:left w:w="0" w:type="dxa"/>
            <w:bottom w:w="0" w:type="dxa"/>
            <w:right w:w="0" w:type="dxa"/>
          </w:tblCellMar>
        </w:tblPrEx>
        <w:trPr>
          <w:trHeight w:val="567" w:hRule="atLeast"/>
        </w:trPr>
        <w:tc>
          <w:tcPr>
            <w:tcW w:w="5000" w:type="pct"/>
            <w:gridSpan w:val="10"/>
            <w:tcBorders>
              <w:top w:val="nil"/>
              <w:left w:val="single" w:color="000000" w:sz="8" w:space="0"/>
              <w:bottom w:val="single" w:color="000000" w:sz="8" w:space="0"/>
              <w:right w:val="single" w:color="000000" w:sz="8" w:space="0"/>
            </w:tcBorders>
            <w:noWrap w:val="0"/>
          </w:tcPr>
          <w:p w14:paraId="0D2907C7">
            <w:pPr>
              <w:widowControl/>
              <w:spacing w:line="360" w:lineRule="auto"/>
              <w:jc w:val="left"/>
              <w:rPr>
                <w:rFonts w:cs="宋体" w:asciiTheme="minorEastAsia" w:hAnsiTheme="minorEastAsia" w:eastAsiaTheme="minorEastAsia"/>
                <w:b/>
                <w:color w:val="auto"/>
                <w:highlight w:val="none"/>
                <w:lang w:bidi="ar"/>
              </w:rPr>
            </w:pPr>
            <w:r>
              <w:rPr>
                <w:rFonts w:hint="eastAsia" w:cs="宋体" w:asciiTheme="minorEastAsia" w:hAnsiTheme="minorEastAsia" w:eastAsiaTheme="minorEastAsia"/>
                <w:b/>
                <w:color w:val="auto"/>
                <w:highlight w:val="none"/>
                <w:lang w:bidi="ar"/>
              </w:rPr>
              <w:t xml:space="preserve">合计含税总价（大写）： </w:t>
            </w:r>
          </w:p>
          <w:p w14:paraId="0E292949">
            <w:pPr>
              <w:widowControl/>
              <w:spacing w:line="360" w:lineRule="auto"/>
              <w:jc w:val="left"/>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bidi="ar"/>
              </w:rPr>
              <w:t>人民币金额</w:t>
            </w:r>
            <w:r>
              <w:rPr>
                <w:rFonts w:hint="eastAsia" w:eastAsia="宋体" w:cs="宋体" w:asciiTheme="minorEastAsia" w:hAnsiTheme="minorEastAsia"/>
                <w:b/>
                <w:color w:val="auto"/>
                <w:highlight w:val="none"/>
                <w:lang w:val="en-US" w:eastAsia="zh-CN" w:bidi="ar"/>
              </w:rPr>
              <w:t xml:space="preserve">  </w:t>
            </w:r>
            <w:r>
              <w:rPr>
                <w:rFonts w:hint="eastAsia" w:cs="宋体" w:asciiTheme="minorEastAsia" w:hAnsiTheme="minorEastAsia" w:eastAsiaTheme="minorEastAsia"/>
                <w:b/>
                <w:color w:val="auto"/>
                <w:highlight w:val="none"/>
                <w:lang w:bidi="ar"/>
              </w:rPr>
              <w:t>（小写：¥</w:t>
            </w:r>
            <w:r>
              <w:rPr>
                <w:rFonts w:hint="eastAsia" w:cs="宋体" w:asciiTheme="minorEastAsia" w:hAnsiTheme="minorEastAsia"/>
                <w:b/>
                <w:color w:val="auto"/>
                <w:highlight w:val="none"/>
                <w:lang w:val="en-US" w:eastAsia="zh-CN" w:bidi="ar"/>
              </w:rPr>
              <w:t xml:space="preserve"> </w:t>
            </w:r>
            <w:r>
              <w:rPr>
                <w:rFonts w:hint="eastAsia" w:cs="宋体" w:asciiTheme="minorEastAsia" w:hAnsiTheme="minorEastAsia" w:eastAsiaTheme="minorEastAsia"/>
                <w:b/>
                <w:color w:val="auto"/>
                <w:highlight w:val="none"/>
                <w:lang w:bidi="ar"/>
              </w:rPr>
              <w:t>元）</w:t>
            </w:r>
          </w:p>
        </w:tc>
      </w:tr>
    </w:tbl>
    <w:p w14:paraId="1100441E">
      <w:pPr>
        <w:spacing w:line="360" w:lineRule="auto"/>
        <w:rPr>
          <w:rFonts w:cs="宋体" w:asciiTheme="minorEastAsia" w:hAnsiTheme="minorEastAsia" w:eastAsiaTheme="minorEastAsia"/>
          <w:color w:val="auto"/>
          <w:highlight w:val="none"/>
        </w:rPr>
      </w:pPr>
      <w:r>
        <w:rPr>
          <w:rFonts w:hint="eastAsia" w:asciiTheme="minorEastAsia" w:hAnsiTheme="minorEastAsia" w:eastAsiaTheme="minorEastAsia"/>
          <w:b/>
          <w:color w:val="auto"/>
          <w:highlight w:val="none"/>
        </w:rPr>
        <w:t>注：具体到货时间以</w:t>
      </w:r>
      <w:r>
        <w:rPr>
          <w:rFonts w:asciiTheme="minorEastAsia" w:hAnsiTheme="minorEastAsia" w:eastAsiaTheme="minorEastAsia"/>
          <w:b/>
          <w:color w:val="auto"/>
          <w:highlight w:val="none"/>
        </w:rPr>
        <w:t>合同第四条</w:t>
      </w:r>
      <w:r>
        <w:rPr>
          <w:rFonts w:hint="eastAsia" w:asciiTheme="minorEastAsia" w:hAnsiTheme="minorEastAsia" w:eastAsiaTheme="minorEastAsia"/>
          <w:b/>
          <w:color w:val="auto"/>
          <w:highlight w:val="none"/>
        </w:rPr>
        <w:t>为准</w:t>
      </w:r>
      <w:r>
        <w:rPr>
          <w:rFonts w:hint="eastAsia" w:eastAsia="宋体" w:asciiTheme="minorEastAsia" w:hAnsiTheme="minorEastAsia"/>
          <w:b/>
          <w:color w:val="auto"/>
          <w:highlight w:val="none"/>
          <w:lang w:eastAsia="zh-CN"/>
        </w:rPr>
        <w:t>，乙方收到书面排产通知单时进行排产生产</w:t>
      </w:r>
      <w:r>
        <w:rPr>
          <w:rFonts w:hint="eastAsia" w:asciiTheme="minorEastAsia" w:hAnsiTheme="minorEastAsia" w:eastAsiaTheme="minorEastAsia"/>
          <w:b/>
          <w:color w:val="auto"/>
          <w:highlight w:val="none"/>
        </w:rPr>
        <w:t>。</w:t>
      </w:r>
    </w:p>
    <w:p w14:paraId="25A7C18A">
      <w:pPr>
        <w:spacing w:line="360" w:lineRule="auto"/>
        <w:ind w:left="360" w:hanging="36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 所提供的</w:t>
      </w:r>
      <w:r>
        <w:rPr>
          <w:rFonts w:hint="eastAsia" w:asciiTheme="minorEastAsia" w:hAnsiTheme="minorEastAsia" w:eastAsiaTheme="minorEastAsia"/>
          <w:color w:val="auto"/>
          <w:sz w:val="24"/>
          <w:szCs w:val="24"/>
          <w:highlight w:val="none"/>
        </w:rPr>
        <w:t>变压器本体</w:t>
      </w:r>
      <w:r>
        <w:rPr>
          <w:rFonts w:asciiTheme="minorEastAsia" w:hAnsiTheme="minorEastAsia" w:eastAsiaTheme="minorEastAsia"/>
          <w:color w:val="auto"/>
          <w:sz w:val="24"/>
          <w:szCs w:val="24"/>
          <w:highlight w:val="none"/>
        </w:rPr>
        <w:t>必须由</w:t>
      </w:r>
      <w:r>
        <w:rPr>
          <w:rFonts w:hint="eastAsia" w:eastAsia="宋体" w:asciiTheme="minorEastAsia" w:hAnsiTheme="minorEastAsia"/>
          <w:color w:val="auto"/>
          <w:sz w:val="24"/>
          <w:szCs w:val="24"/>
          <w:highlight w:val="none"/>
          <w:lang w:val="en-US" w:eastAsia="zh-CN"/>
        </w:rPr>
        <w:t>**</w:t>
      </w:r>
      <w:r>
        <w:rPr>
          <w:rFonts w:asciiTheme="minorEastAsia" w:hAnsiTheme="minorEastAsia" w:eastAsiaTheme="minorEastAsia"/>
          <w:color w:val="auto"/>
          <w:sz w:val="24"/>
          <w:szCs w:val="24"/>
          <w:highlight w:val="none"/>
        </w:rPr>
        <w:t>生产。</w:t>
      </w:r>
    </w:p>
    <w:p w14:paraId="2AFB4EE4">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47F12315">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w:t>
      </w:r>
      <w:r>
        <w:rPr>
          <w:rFonts w:hint="eastAsia" w:asciiTheme="minorEastAsia" w:hAnsiTheme="minorEastAsia" w:eastAsiaTheme="minorEastAsia"/>
          <w:color w:val="auto"/>
          <w:sz w:val="24"/>
          <w:highlight w:val="none"/>
        </w:rPr>
        <w:t>设备基础就位、</w:t>
      </w:r>
      <w:r>
        <w:rPr>
          <w:rFonts w:asciiTheme="minorEastAsia" w:hAnsiTheme="minorEastAsia" w:eastAsiaTheme="minorEastAsia"/>
          <w:color w:val="auto"/>
          <w:sz w:val="24"/>
          <w:highlight w:val="none"/>
        </w:rPr>
        <w:t>调试、检验、产品培训、技术服务等伴随服务的费用。</w:t>
      </w:r>
    </w:p>
    <w:p w14:paraId="5F6A5893">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备品备件</w:t>
      </w:r>
      <w:r>
        <w:rPr>
          <w:rFonts w:hint="eastAsia" w:eastAsia="宋体" w:asciiTheme="minorEastAsia" w:hAnsiTheme="minorEastAsia"/>
          <w:color w:val="auto"/>
          <w:sz w:val="24"/>
          <w:highlight w:val="none"/>
          <w:lang w:eastAsia="zh-CN"/>
        </w:rPr>
        <w:t>、</w:t>
      </w:r>
      <w:r>
        <w:rPr>
          <w:rFonts w:asciiTheme="minorEastAsia" w:hAnsiTheme="minorEastAsia" w:eastAsiaTheme="minorEastAsia"/>
          <w:color w:val="auto"/>
          <w:sz w:val="24"/>
          <w:highlight w:val="none"/>
        </w:rPr>
        <w:t>专用工具</w:t>
      </w:r>
      <w:r>
        <w:rPr>
          <w:rFonts w:hint="eastAsia" w:eastAsia="宋体" w:asciiTheme="minorEastAsia" w:hAnsiTheme="minorEastAsia"/>
          <w:color w:val="auto"/>
          <w:sz w:val="24"/>
          <w:highlight w:val="none"/>
          <w:lang w:eastAsia="zh-CN"/>
        </w:rPr>
        <w:t>及仪器仪表</w:t>
      </w:r>
      <w:r>
        <w:rPr>
          <w:rFonts w:asciiTheme="minorEastAsia" w:hAnsiTheme="minorEastAsia" w:eastAsiaTheme="minorEastAsia"/>
          <w:color w:val="auto"/>
          <w:sz w:val="24"/>
          <w:highlight w:val="none"/>
        </w:rPr>
        <w:t>的技术和质量标准双方同意按附件</w:t>
      </w:r>
      <w:r>
        <w:rPr>
          <w:rFonts w:hint="eastAsia" w:eastAsia="宋体" w:asciiTheme="minorEastAsia" w:hAnsiTheme="minorEastAsia"/>
          <w:color w:val="auto"/>
          <w:sz w:val="24"/>
          <w:highlight w:val="none"/>
          <w:lang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color w:val="auto"/>
          <w:sz w:val="24"/>
          <w:szCs w:val="24"/>
          <w:highlight w:val="none"/>
          <w:lang w:val="en-US" w:eastAsia="zh-CN"/>
        </w:rPr>
        <w:t>兴宁市工业园200mw/400mwh新型共享电站项目主变端技术规范书</w:t>
      </w:r>
      <w:r>
        <w:rPr>
          <w:rFonts w:hint="eastAsia"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eastAsia="zh-CN"/>
        </w:rPr>
        <w:t>图纸</w:t>
      </w:r>
      <w:r>
        <w:rPr>
          <w:rFonts w:asciiTheme="minorEastAsia" w:hAnsiTheme="minorEastAsia" w:eastAsiaTheme="minorEastAsia"/>
          <w:color w:val="auto"/>
          <w:sz w:val="24"/>
          <w:highlight w:val="none"/>
        </w:rPr>
        <w:t>所约定标准执行。</w:t>
      </w:r>
    </w:p>
    <w:p w14:paraId="57ED73EA">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乙方额外</w:t>
      </w:r>
      <w:r>
        <w:rPr>
          <w:rFonts w:hint="eastAsia" w:asciiTheme="minorEastAsia" w:hAnsiTheme="minorEastAsia" w:eastAsiaTheme="minorEastAsia"/>
          <w:color w:val="auto"/>
          <w:sz w:val="24"/>
          <w:highlight w:val="none"/>
        </w:rPr>
        <w:t>免费</w:t>
      </w:r>
      <w:r>
        <w:rPr>
          <w:rFonts w:asciiTheme="minorEastAsia" w:hAnsiTheme="minorEastAsia" w:eastAsiaTheme="minorEastAsia"/>
          <w:color w:val="auto"/>
          <w:sz w:val="24"/>
          <w:highlight w:val="none"/>
        </w:rPr>
        <w:t>提供备品备件</w:t>
      </w:r>
      <w:r>
        <w:rPr>
          <w:rFonts w:hint="eastAsia" w:asciiTheme="minorEastAsia" w:hAnsiTheme="minorEastAsia" w:eastAsiaTheme="minorEastAsia"/>
          <w:color w:val="auto"/>
          <w:sz w:val="24"/>
          <w:highlight w:val="none"/>
        </w:rPr>
        <w:t>及专用工具，</w:t>
      </w:r>
      <w:r>
        <w:rPr>
          <w:rFonts w:asciiTheme="minorEastAsia" w:hAnsiTheme="minorEastAsia" w:eastAsiaTheme="minorEastAsia"/>
          <w:color w:val="auto"/>
          <w:sz w:val="24"/>
          <w:highlight w:val="none"/>
        </w:rPr>
        <w:t>要求为本合同产品同批次同质量等级产品。</w:t>
      </w:r>
      <w:r>
        <w:rPr>
          <w:rFonts w:hint="eastAsia" w:asciiTheme="minorEastAsia" w:hAnsiTheme="minorEastAsia" w:eastAsiaTheme="minorEastAsia"/>
          <w:bCs/>
          <w:color w:val="auto"/>
          <w:sz w:val="24"/>
          <w:szCs w:val="24"/>
          <w:highlight w:val="none"/>
        </w:rPr>
        <w:t>具体备品备件及</w:t>
      </w:r>
      <w:r>
        <w:rPr>
          <w:rFonts w:asciiTheme="minorEastAsia" w:hAnsiTheme="minorEastAsia" w:eastAsiaTheme="minorEastAsia"/>
          <w:bCs/>
          <w:color w:val="auto"/>
          <w:sz w:val="24"/>
          <w:szCs w:val="24"/>
          <w:highlight w:val="none"/>
        </w:rPr>
        <w:t>专用工具的相关约定，以</w:t>
      </w:r>
      <w:r>
        <w:rPr>
          <w:rFonts w:hint="eastAsia" w:eastAsia="宋体" w:asciiTheme="minorEastAsia" w:hAnsiTheme="minorEastAsia"/>
          <w:bCs/>
          <w:color w:val="auto"/>
          <w:sz w:val="24"/>
          <w:szCs w:val="24"/>
          <w:highlight w:val="none"/>
          <w:lang w:eastAsia="zh-CN"/>
        </w:rPr>
        <w:t>技术协议</w:t>
      </w:r>
      <w:r>
        <w:rPr>
          <w:rFonts w:asciiTheme="minorEastAsia" w:hAnsiTheme="minorEastAsia" w:eastAsiaTheme="minorEastAsia"/>
          <w:bCs/>
          <w:color w:val="auto"/>
          <w:sz w:val="24"/>
          <w:szCs w:val="24"/>
          <w:highlight w:val="none"/>
        </w:rPr>
        <w:t>为准。</w:t>
      </w:r>
    </w:p>
    <w:p w14:paraId="029026D4">
      <w:pPr>
        <w:spacing w:line="360" w:lineRule="auto"/>
        <w:ind w:left="482" w:hanging="482"/>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如遇国家政策调整，增值税税率发生变化，合同结算价按照不含税单价及最新增值税税率计算得出。</w:t>
      </w:r>
    </w:p>
    <w:p w14:paraId="13FBD8F5">
      <w:pPr>
        <w:pStyle w:val="2"/>
        <w:rPr>
          <w:rFonts w:asciiTheme="minorEastAsia" w:hAnsiTheme="minorEastAsia" w:eastAsiaTheme="minorEastAsia"/>
          <w:color w:val="auto"/>
          <w:highlight w:val="none"/>
        </w:rPr>
      </w:pPr>
      <w:bookmarkStart w:id="4" w:name="_Toc86392957"/>
      <w:bookmarkStart w:id="5" w:name="_Toc161846189"/>
      <w:r>
        <w:rPr>
          <w:rFonts w:asciiTheme="minorEastAsia" w:hAnsiTheme="minorEastAsia" w:eastAsiaTheme="minorEastAsia"/>
          <w:color w:val="auto"/>
          <w:highlight w:val="none"/>
        </w:rPr>
        <w:t>第三条　付款方式</w:t>
      </w:r>
      <w:bookmarkEnd w:id="4"/>
      <w:bookmarkEnd w:id="5"/>
    </w:p>
    <w:p w14:paraId="325200C4">
      <w:pPr>
        <w:spacing w:line="360" w:lineRule="auto"/>
        <w:ind w:left="360" w:hanging="36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eastAsia="宋体" w:asciiTheme="minorEastAsia" w:hAnsiTheme="minorEastAsia"/>
          <w:color w:val="auto"/>
          <w:sz w:val="24"/>
          <w:highlight w:val="none"/>
          <w:lang w:val="en-US" w:eastAsia="zh-CN"/>
        </w:rPr>
        <w:t>1</w:t>
      </w:r>
      <w:r>
        <w:rPr>
          <w:rFonts w:asciiTheme="minorEastAsia" w:hAnsiTheme="minorEastAsia" w:eastAsiaTheme="minorEastAsia"/>
          <w:color w:val="auto"/>
          <w:sz w:val="24"/>
          <w:highlight w:val="none"/>
        </w:rPr>
        <w:t xml:space="preserve"> 付款方式：</w:t>
      </w:r>
    </w:p>
    <w:p w14:paraId="76B1A4F3">
      <w:pPr>
        <w:numPr>
          <w:ilvl w:val="0"/>
          <w:numId w:val="1"/>
        </w:numPr>
        <w:spacing w:line="360" w:lineRule="auto"/>
        <w:ind w:left="780" w:leftChars="200" w:hanging="360" w:hangingChars="150"/>
        <w:rPr>
          <w:rFonts w:hint="eastAsia" w:ascii="宋体" w:hAnsi="宋体" w:eastAsia="宋体" w:cs="宋体"/>
          <w:color w:val="auto"/>
          <w:kern w:val="2"/>
          <w:sz w:val="24"/>
          <w:szCs w:val="24"/>
          <w:highlight w:val="none"/>
          <w:lang w:val="en-US" w:eastAsia="zh-CN" w:bidi="ar-SA"/>
        </w:rPr>
      </w:pPr>
      <w:bookmarkStart w:id="6" w:name="_Toc86392958"/>
      <w:r>
        <w:rPr>
          <w:rFonts w:hint="eastAsia" w:ascii="宋体" w:hAnsi="宋体" w:eastAsia="宋体" w:cs="宋体"/>
          <w:color w:val="auto"/>
          <w:kern w:val="2"/>
          <w:sz w:val="24"/>
          <w:szCs w:val="24"/>
          <w:highlight w:val="none"/>
          <w:lang w:val="en-US" w:eastAsia="zh-CN" w:bidi="ar-SA"/>
        </w:rPr>
        <w:t>正式采购合同签订后5日内，乙方向甲方提供10%合同总价款的履约保函（受益人为甲方或甲方指定的第三方）及相应金额的《设备材料采购合同价款支付申请（核准）表》，甲方收到上述资料后十个工作日内，向乙方支付合同总价款的20%作为预付款；</w:t>
      </w:r>
    </w:p>
    <w:p w14:paraId="3AE8D828">
      <w:pPr>
        <w:numPr>
          <w:ilvl w:val="0"/>
          <w:numId w:val="1"/>
        </w:numPr>
        <w:spacing w:line="360" w:lineRule="auto"/>
        <w:ind w:left="780" w:leftChars="200" w:hanging="360" w:hangingChars="15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全部货到现场且初步检验合格后，甲方凭乙方提供的“货物签收单”（经甲方收货人签字确认）、全额合规增值税专用发票（税率13%）、《设备材料开箱检验单》、《设备材料入库单》、对应金额的《设备材料采购合同价款支付申请（核准）表》后十个工作日内，</w:t>
      </w:r>
      <w:r>
        <w:rPr>
          <w:rFonts w:hint="eastAsia" w:ascii="宋体" w:hAnsi="宋体" w:cs="宋体"/>
          <w:color w:val="auto"/>
          <w:kern w:val="2"/>
          <w:sz w:val="24"/>
          <w:szCs w:val="24"/>
          <w:highlight w:val="none"/>
          <w:lang w:val="en-US" w:eastAsia="zh-CN" w:bidi="ar-SA"/>
        </w:rPr>
        <w:t>支付</w:t>
      </w:r>
      <w:r>
        <w:rPr>
          <w:rFonts w:hint="eastAsia" w:ascii="宋体" w:hAnsi="宋体" w:eastAsia="宋体" w:cs="宋体"/>
          <w:color w:val="auto"/>
          <w:kern w:val="2"/>
          <w:sz w:val="24"/>
          <w:szCs w:val="24"/>
          <w:highlight w:val="none"/>
          <w:lang w:val="en-US" w:eastAsia="zh-CN" w:bidi="ar-SA"/>
        </w:rPr>
        <w:t>至合同总价款的50%；</w:t>
      </w:r>
    </w:p>
    <w:p w14:paraId="2AB2F35D">
      <w:pPr>
        <w:numPr>
          <w:ilvl w:val="0"/>
          <w:numId w:val="1"/>
        </w:numPr>
        <w:spacing w:line="360" w:lineRule="auto"/>
        <w:ind w:left="780" w:leftChars="200" w:hanging="360" w:hangingChars="15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项目竣工验收合格后或全部货到现场6个月内（两者以时间先到为准），且乙方提供《设备材料采购合同价款支付申请（核准）表》十个工作日内，支付至本合同结算总价款的95%；</w:t>
      </w:r>
    </w:p>
    <w:p w14:paraId="068CD11F">
      <w:pPr>
        <w:numPr>
          <w:ilvl w:val="0"/>
          <w:numId w:val="1"/>
        </w:numPr>
        <w:spacing w:line="360" w:lineRule="auto"/>
        <w:ind w:left="780" w:leftChars="200" w:hanging="360" w:hangingChars="15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剩余结算总价款的5%作为质保金从项目竣工验收合格起两年或全部货到现场30个月（（两者以时间先到为准），乙方无遗留问题，且乙方提供《设备材料采购合同价款支付申请（核准）表》后十个工作日内支付；</w:t>
      </w:r>
    </w:p>
    <w:p w14:paraId="69497BA7">
      <w:pPr>
        <w:spacing w:line="360" w:lineRule="auto"/>
        <w:ind w:left="780" w:leftChars="200" w:hanging="360" w:hangingChars="150"/>
        <w:rPr>
          <w:rFonts w:hint="eastAsia" w:eastAsia="宋体"/>
          <w:color w:val="auto"/>
          <w:kern w:val="2"/>
          <w:sz w:val="24"/>
          <w:szCs w:val="24"/>
          <w:highlight w:val="none"/>
          <w:lang w:val="en-US" w:eastAsia="zh-CN" w:bidi="ar-SA"/>
        </w:rPr>
      </w:pPr>
      <w:r>
        <w:rPr>
          <w:rFonts w:hint="eastAsia" w:eastAsia="宋体"/>
          <w:color w:val="auto"/>
          <w:kern w:val="2"/>
          <w:sz w:val="24"/>
          <w:szCs w:val="24"/>
          <w:highlight w:val="none"/>
          <w:lang w:val="en-US" w:eastAsia="zh-CN" w:bidi="ar-SA"/>
        </w:rPr>
        <w:t>5）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3C52A3A">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甲方不得将本合同货款汇入乙方工作人员的私人（个人）账户。甲方应将本合同货款付至如下乙方指定对公银行账户：</w:t>
      </w:r>
    </w:p>
    <w:p w14:paraId="31938EB2">
      <w:pPr>
        <w:spacing w:line="360" w:lineRule="auto"/>
        <w:ind w:left="479" w:firstLine="120"/>
        <w:rPr>
          <w:rFonts w:hint="eastAsia" w:ascii="宋体" w:hAnsi="宋体" w:eastAsia="宋体" w:cs="宋体"/>
          <w:color w:val="auto"/>
          <w:sz w:val="24"/>
          <w:highlight w:val="none"/>
        </w:rPr>
      </w:pPr>
      <w:r>
        <w:rPr>
          <w:rFonts w:hint="eastAsia" w:ascii="宋体" w:hAnsi="宋体" w:eastAsia="宋体" w:cs="宋体"/>
          <w:color w:val="auto"/>
          <w:sz w:val="24"/>
          <w:highlight w:val="none"/>
        </w:rPr>
        <w:t>户  名：</w:t>
      </w:r>
    </w:p>
    <w:p w14:paraId="5659FF77">
      <w:pPr>
        <w:spacing w:line="360" w:lineRule="auto"/>
        <w:ind w:left="479" w:firstLine="1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开户行：</w:t>
      </w:r>
    </w:p>
    <w:p w14:paraId="3B5EFB72">
      <w:pPr>
        <w:spacing w:line="360" w:lineRule="auto"/>
        <w:ind w:left="479" w:firstLine="1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帐  号：</w:t>
      </w:r>
    </w:p>
    <w:p w14:paraId="5F5B28FB">
      <w:pPr>
        <w:spacing w:line="360" w:lineRule="auto"/>
        <w:ind w:left="479" w:firstLine="1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税  号：</w:t>
      </w:r>
    </w:p>
    <w:p w14:paraId="3465ABC0">
      <w:pPr>
        <w:spacing w:line="360" w:lineRule="auto"/>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乙方必须提供增值税专用发票，标明甲方名称（以合同具体名称为准），且在备注中注明合同编号</w:t>
      </w:r>
      <w:r>
        <w:rPr>
          <w:rFonts w:hint="eastAsia" w:ascii="宋体" w:hAnsi="宋体" w:eastAsia="宋体" w:cs="宋体"/>
          <w:color w:val="auto"/>
          <w:sz w:val="24"/>
          <w:szCs w:val="24"/>
          <w:highlight w:val="none"/>
        </w:rPr>
        <w:t>按下列要求以邮寄快递方式送达：</w:t>
      </w:r>
    </w:p>
    <w:p w14:paraId="57B773E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邮寄地址：</w:t>
      </w:r>
      <w:r>
        <w:rPr>
          <w:rFonts w:hint="eastAsia" w:ascii="宋体" w:hAnsi="宋体" w:eastAsia="宋体" w:cs="宋体"/>
          <w:color w:val="auto"/>
          <w:sz w:val="24"/>
          <w:highlight w:val="none"/>
        </w:rPr>
        <w:t>长沙市雨花区韶山中路18号</w:t>
      </w:r>
    </w:p>
    <w:p w14:paraId="0CD23FB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单位名称：中机</w:t>
      </w:r>
      <w:r>
        <w:rPr>
          <w:rFonts w:hint="eastAsia" w:ascii="宋体" w:hAnsi="宋体" w:eastAsia="宋体" w:cs="宋体"/>
          <w:color w:val="auto"/>
          <w:sz w:val="24"/>
          <w:szCs w:val="24"/>
          <w:highlight w:val="none"/>
        </w:rPr>
        <w:t>国际</w:t>
      </w:r>
      <w:r>
        <w:rPr>
          <w:rFonts w:hint="eastAsia" w:ascii="宋体" w:hAnsi="宋体" w:eastAsia="宋体" w:cs="宋体"/>
          <w:color w:val="auto"/>
          <w:sz w:val="24"/>
          <w:highlight w:val="none"/>
        </w:rPr>
        <w:t>工程设计研究院有限责任公司</w:t>
      </w:r>
    </w:p>
    <w:p w14:paraId="6D92AC8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收 件 人：</w:t>
      </w:r>
    </w:p>
    <w:p w14:paraId="5F9952B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410CB80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邮    编：</w:t>
      </w:r>
    </w:p>
    <w:p w14:paraId="73834F40">
      <w:pPr>
        <w:pStyle w:val="35"/>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cs="宋体"/>
          <w:color w:val="auto"/>
          <w:sz w:val="24"/>
          <w:szCs w:val="21"/>
          <w:highlight w:val="none"/>
          <w:lang w:val="en-US" w:eastAsia="zh-CN"/>
        </w:rPr>
        <w:t>4</w:t>
      </w:r>
      <w:r>
        <w:rPr>
          <w:rFonts w:hint="eastAsia" w:ascii="宋体" w:hAnsi="宋体" w:eastAsia="宋体" w:cs="宋体"/>
          <w:color w:val="auto"/>
          <w:sz w:val="24"/>
          <w:szCs w:val="21"/>
          <w:highlight w:val="none"/>
        </w:rPr>
        <w:t xml:space="preserve"> 甲方税务信息</w:t>
      </w:r>
    </w:p>
    <w:p w14:paraId="54BC0FE7">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名 称：中机国际工程设计研究院有限责任公司</w:t>
      </w:r>
    </w:p>
    <w:p w14:paraId="49805684">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纳税人识别号：914300004448853216</w:t>
      </w:r>
    </w:p>
    <w:p w14:paraId="72B3362B">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址：长沙市雨花区韶山中路18号</w:t>
      </w:r>
    </w:p>
    <w:p w14:paraId="5C1925D4">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话：0731-85383359</w:t>
      </w:r>
    </w:p>
    <w:p w14:paraId="499A17CF">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开户行：中国建设银行股份有限公司长沙芙蓉支行</w:t>
      </w:r>
    </w:p>
    <w:p w14:paraId="75375256">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银行账号：43001539061050002926</w:t>
      </w:r>
    </w:p>
    <w:p w14:paraId="57553241">
      <w:pPr>
        <w:pStyle w:val="2"/>
        <w:rPr>
          <w:rFonts w:hint="eastAsia" w:ascii="宋体" w:hAnsi="宋体" w:eastAsia="宋体" w:cs="宋体"/>
          <w:color w:val="auto"/>
          <w:highlight w:val="none"/>
        </w:rPr>
      </w:pPr>
      <w:bookmarkStart w:id="7" w:name="_Toc161846190"/>
      <w:r>
        <w:rPr>
          <w:rFonts w:hint="eastAsia" w:ascii="宋体" w:hAnsi="宋体" w:eastAsia="宋体" w:cs="宋体"/>
          <w:color w:val="auto"/>
          <w:highlight w:val="none"/>
        </w:rPr>
        <w:t>第四条　交货期限要求、地点及方式</w:t>
      </w:r>
      <w:bookmarkEnd w:id="6"/>
      <w:bookmarkEnd w:id="7"/>
    </w:p>
    <w:p w14:paraId="173BB6DD">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4.1 乙方产品在交付前须将出厂检验报告发送至甲方邮箱【】、【</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】，获得甲方邮件回复同意后方可供货，甲方在发货前7日内以电子邮件形式通知乙方到货时间，乙方接收邮箱为【】。</w:t>
      </w:r>
    </w:p>
    <w:p w14:paraId="358C0F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 具体安排如下：</w:t>
      </w:r>
    </w:p>
    <w:p w14:paraId="22206E6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1）排产及到货时间： </w:t>
      </w:r>
    </w:p>
    <w:tbl>
      <w:tblPr>
        <w:tblStyle w:val="36"/>
        <w:tblpPr w:leftFromText="180" w:rightFromText="180" w:vertAnchor="text" w:horzAnchor="margin" w:tblpXSpec="center" w:tblpY="710"/>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28"/>
        <w:gridCol w:w="2126"/>
        <w:gridCol w:w="425"/>
        <w:gridCol w:w="442"/>
        <w:gridCol w:w="1968"/>
        <w:gridCol w:w="1387"/>
      </w:tblGrid>
      <w:tr w14:paraId="1AC5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9" w:type="dxa"/>
            <w:noWrap/>
            <w:vAlign w:val="center"/>
          </w:tcPr>
          <w:p w14:paraId="7CCC665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28" w:type="dxa"/>
            <w:noWrap/>
            <w:vAlign w:val="center"/>
          </w:tcPr>
          <w:p w14:paraId="1845162F">
            <w:pPr>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2126" w:type="dxa"/>
            <w:noWrap/>
            <w:vAlign w:val="center"/>
          </w:tcPr>
          <w:p w14:paraId="41F8C2F2">
            <w:pPr>
              <w:jc w:val="center"/>
              <w:rPr>
                <w:rFonts w:hint="eastAsia" w:ascii="宋体" w:hAnsi="宋体" w:eastAsia="宋体" w:cs="宋体"/>
                <w:color w:val="auto"/>
                <w:highlight w:val="none"/>
              </w:rPr>
            </w:pPr>
            <w:r>
              <w:rPr>
                <w:rFonts w:hint="eastAsia" w:ascii="宋体" w:hAnsi="宋体" w:eastAsia="宋体" w:cs="宋体"/>
                <w:color w:val="auto"/>
                <w:highlight w:val="none"/>
              </w:rPr>
              <w:t>到货地点</w:t>
            </w:r>
          </w:p>
        </w:tc>
        <w:tc>
          <w:tcPr>
            <w:tcW w:w="425" w:type="dxa"/>
            <w:noWrap/>
            <w:vAlign w:val="center"/>
          </w:tcPr>
          <w:p w14:paraId="24D58E7E">
            <w:pPr>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442" w:type="dxa"/>
            <w:noWrap/>
            <w:vAlign w:val="center"/>
          </w:tcPr>
          <w:p w14:paraId="2029C45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968" w:type="dxa"/>
            <w:noWrap/>
            <w:vAlign w:val="center"/>
          </w:tcPr>
          <w:p w14:paraId="2EEC935F">
            <w:pPr>
              <w:jc w:val="center"/>
              <w:rPr>
                <w:rFonts w:hint="eastAsia" w:ascii="宋体" w:hAnsi="宋体" w:eastAsia="宋体" w:cs="宋体"/>
                <w:color w:val="auto"/>
                <w:highlight w:val="none"/>
              </w:rPr>
            </w:pPr>
            <w:r>
              <w:rPr>
                <w:rFonts w:hint="eastAsia" w:ascii="宋体" w:hAnsi="宋体" w:eastAsia="宋体" w:cs="宋体"/>
                <w:color w:val="auto"/>
                <w:highlight w:val="none"/>
              </w:rPr>
              <w:t>到货（工地）时间</w:t>
            </w:r>
          </w:p>
        </w:tc>
        <w:tc>
          <w:tcPr>
            <w:tcW w:w="1387" w:type="dxa"/>
            <w:noWrap/>
            <w:vAlign w:val="center"/>
          </w:tcPr>
          <w:p w14:paraId="020F8786">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3D2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19" w:type="dxa"/>
            <w:noWrap/>
            <w:vAlign w:val="center"/>
          </w:tcPr>
          <w:p w14:paraId="68B5501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28" w:type="dxa"/>
            <w:noWrap/>
            <w:vAlign w:val="center"/>
          </w:tcPr>
          <w:p w14:paraId="30154C67">
            <w:pPr>
              <w:jc w:val="center"/>
              <w:rPr>
                <w:rFonts w:hint="eastAsia" w:ascii="宋体" w:hAnsi="宋体" w:eastAsia="宋体" w:cs="宋体"/>
                <w:color w:val="auto"/>
                <w:highlight w:val="none"/>
              </w:rPr>
            </w:pPr>
            <w:r>
              <w:rPr>
                <w:rFonts w:hint="eastAsia" w:ascii="宋体" w:hAnsi="宋体" w:eastAsia="宋体" w:cs="宋体"/>
                <w:color w:val="auto"/>
                <w:highlight w:val="none"/>
              </w:rPr>
              <w:t>电力变压器及</w:t>
            </w:r>
            <w:r>
              <w:rPr>
                <w:rFonts w:hint="eastAsia" w:ascii="宋体" w:hAnsi="宋体" w:eastAsia="宋体" w:cs="宋体"/>
                <w:color w:val="auto"/>
                <w:highlight w:val="none"/>
                <w:lang w:eastAsia="zh-CN"/>
              </w:rPr>
              <w:t>中</w:t>
            </w:r>
            <w:r>
              <w:rPr>
                <w:rFonts w:hint="eastAsia" w:ascii="宋体" w:hAnsi="宋体" w:eastAsia="宋体" w:cs="宋体"/>
                <w:color w:val="auto"/>
                <w:highlight w:val="none"/>
              </w:rPr>
              <w:t>性点成套设备</w:t>
            </w:r>
          </w:p>
        </w:tc>
        <w:tc>
          <w:tcPr>
            <w:tcW w:w="2126" w:type="dxa"/>
            <w:noWrap/>
            <w:vAlign w:val="center"/>
          </w:tcPr>
          <w:p w14:paraId="1A3063B2">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 xml:space="preserve">兴宁市工业园200mw/400mwh新型共享电站项目 </w:t>
            </w:r>
            <w:r>
              <w:rPr>
                <w:rFonts w:hint="eastAsia" w:ascii="宋体" w:hAnsi="宋体" w:eastAsia="宋体" w:cs="宋体"/>
                <w:color w:val="auto"/>
                <w:highlight w:val="none"/>
                <w:lang w:eastAsia="zh-CN"/>
              </w:rPr>
              <w:t>现场</w:t>
            </w:r>
          </w:p>
        </w:tc>
        <w:tc>
          <w:tcPr>
            <w:tcW w:w="425" w:type="dxa"/>
            <w:noWrap/>
            <w:vAlign w:val="center"/>
          </w:tcPr>
          <w:p w14:paraId="487C8AD8">
            <w:pPr>
              <w:widowControl/>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442" w:type="dxa"/>
            <w:noWrap/>
            <w:vAlign w:val="center"/>
          </w:tcPr>
          <w:p w14:paraId="672EE21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68" w:type="dxa"/>
            <w:noWrap/>
            <w:vAlign w:val="center"/>
          </w:tcPr>
          <w:p w14:paraId="529DA976">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乙方</w:t>
            </w:r>
            <w:r>
              <w:rPr>
                <w:rFonts w:hint="eastAsia" w:ascii="宋体" w:hAnsi="宋体" w:eastAsia="宋体" w:cs="宋体"/>
                <w:color w:val="auto"/>
                <w:highlight w:val="none"/>
              </w:rPr>
              <w:t>收到</w:t>
            </w:r>
            <w:r>
              <w:rPr>
                <w:rFonts w:hint="eastAsia" w:ascii="宋体" w:hAnsi="宋体" w:cs="宋体"/>
                <w:color w:val="auto"/>
                <w:highlight w:val="none"/>
                <w:lang w:eastAsia="zh-CN"/>
              </w:rPr>
              <w:t>项目</w:t>
            </w:r>
            <w:r>
              <w:rPr>
                <w:rFonts w:hint="eastAsia" w:ascii="宋体" w:hAnsi="宋体" w:eastAsia="宋体" w:cs="宋体"/>
                <w:color w:val="auto"/>
                <w:highlight w:val="none"/>
              </w:rPr>
              <w:t>排产通知单</w:t>
            </w:r>
            <w:r>
              <w:rPr>
                <w:rFonts w:hint="eastAsia" w:ascii="宋体" w:hAnsi="宋体" w:cs="宋体"/>
                <w:color w:val="auto"/>
                <w:highlight w:val="none"/>
                <w:lang w:eastAsia="zh-CN"/>
              </w:rPr>
              <w:t>后，于</w:t>
            </w:r>
            <w:r>
              <w:rPr>
                <w:rFonts w:hint="eastAsia" w:ascii="宋体" w:hAnsi="宋体" w:eastAsia="宋体" w:cs="宋体"/>
                <w:color w:val="auto"/>
                <w:highlight w:val="none"/>
              </w:rPr>
              <w:t>2025年</w:t>
            </w:r>
            <w:r>
              <w:rPr>
                <w:rFonts w:hint="eastAsia" w:ascii="宋体" w:hAnsi="宋体" w:cs="宋体"/>
                <w:color w:val="auto"/>
                <w:highlight w:val="none"/>
                <w:lang w:val="en-US" w:eastAsia="zh-CN"/>
              </w:rPr>
              <w:t>10月25</w:t>
            </w:r>
            <w:r>
              <w:rPr>
                <w:rFonts w:hint="eastAsia" w:ascii="宋体" w:hAnsi="宋体" w:eastAsia="宋体" w:cs="宋体"/>
                <w:color w:val="auto"/>
                <w:highlight w:val="none"/>
              </w:rPr>
              <w:t>日</w:t>
            </w:r>
            <w:r>
              <w:rPr>
                <w:rFonts w:hint="eastAsia" w:ascii="宋体" w:hAnsi="宋体" w:cs="宋体"/>
                <w:color w:val="auto"/>
                <w:highlight w:val="none"/>
                <w:lang w:eastAsia="zh-CN"/>
              </w:rPr>
              <w:t>前</w:t>
            </w:r>
            <w:r>
              <w:rPr>
                <w:rFonts w:hint="eastAsia" w:ascii="宋体" w:hAnsi="宋体" w:eastAsia="宋体" w:cs="宋体"/>
                <w:color w:val="auto"/>
                <w:highlight w:val="none"/>
              </w:rPr>
              <w:t>全部到货</w:t>
            </w:r>
            <w:r>
              <w:rPr>
                <w:rFonts w:hint="eastAsia" w:ascii="宋体" w:hAnsi="宋体" w:cs="宋体"/>
                <w:color w:val="auto"/>
                <w:highlight w:val="none"/>
                <w:lang w:eastAsia="zh-CN"/>
              </w:rPr>
              <w:t>，如甲方另行通知到货时间，时间以甲方书面排产通知为准。</w:t>
            </w:r>
          </w:p>
        </w:tc>
        <w:tc>
          <w:tcPr>
            <w:tcW w:w="1387" w:type="dxa"/>
            <w:noWrap/>
            <w:vAlign w:val="center"/>
          </w:tcPr>
          <w:p w14:paraId="5D29CB33">
            <w:pPr>
              <w:jc w:val="center"/>
              <w:rPr>
                <w:rFonts w:hint="eastAsia" w:ascii="宋体" w:hAnsi="宋体" w:eastAsia="宋体" w:cs="宋体"/>
                <w:color w:val="auto"/>
                <w:highlight w:val="none"/>
              </w:rPr>
            </w:pPr>
            <w:r>
              <w:rPr>
                <w:rFonts w:hint="eastAsia" w:ascii="宋体" w:hAnsi="宋体" w:eastAsia="宋体" w:cs="宋体"/>
                <w:color w:val="auto"/>
                <w:highlight w:val="none"/>
              </w:rPr>
              <w:t>全部货</w:t>
            </w:r>
          </w:p>
          <w:p w14:paraId="7E597D8D">
            <w:pPr>
              <w:jc w:val="center"/>
              <w:rPr>
                <w:rFonts w:hint="eastAsia" w:ascii="宋体" w:hAnsi="宋体" w:eastAsia="宋体" w:cs="宋体"/>
                <w:color w:val="auto"/>
                <w:highlight w:val="none"/>
              </w:rPr>
            </w:pPr>
            <w:r>
              <w:rPr>
                <w:rFonts w:hint="eastAsia" w:ascii="宋体" w:hAnsi="宋体" w:eastAsia="宋体" w:cs="宋体"/>
                <w:color w:val="auto"/>
                <w:highlight w:val="none"/>
              </w:rPr>
              <w:t>到（含备品备件及专用工具）</w:t>
            </w:r>
          </w:p>
        </w:tc>
      </w:tr>
    </w:tbl>
    <w:p w14:paraId="6494C88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到货</w:t>
      </w:r>
      <w:r>
        <w:rPr>
          <w:rFonts w:hint="eastAsia" w:ascii="宋体" w:hAnsi="宋体" w:eastAsia="宋体" w:cs="宋体"/>
          <w:color w:val="auto"/>
          <w:sz w:val="24"/>
          <w:highlight w:val="none"/>
        </w:rPr>
        <w:t>计划表</w:t>
      </w:r>
    </w:p>
    <w:p w14:paraId="35B2E7FD">
      <w:pPr>
        <w:spacing w:line="360" w:lineRule="auto"/>
        <w:ind w:left="79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注：乙方收到书面排产通知单时进行排产生产。乙方需根据甲方的</w:t>
      </w:r>
      <w:r>
        <w:rPr>
          <w:rFonts w:hint="eastAsia" w:ascii="宋体" w:hAnsi="宋体" w:cs="宋体"/>
          <w:color w:val="auto"/>
          <w:sz w:val="24"/>
          <w:szCs w:val="24"/>
          <w:highlight w:val="none"/>
          <w:lang w:eastAsia="zh-CN"/>
        </w:rPr>
        <w:t>项目部</w:t>
      </w:r>
      <w:r>
        <w:rPr>
          <w:rFonts w:hint="eastAsia" w:ascii="宋体" w:hAnsi="宋体" w:eastAsia="宋体" w:cs="宋体"/>
          <w:color w:val="auto"/>
          <w:sz w:val="24"/>
          <w:szCs w:val="24"/>
          <w:highlight w:val="none"/>
        </w:rPr>
        <w:t>排产通知单提供生产计划表，生产计划表的提供不晚于甲方发出</w:t>
      </w:r>
      <w:r>
        <w:rPr>
          <w:rFonts w:hint="eastAsia" w:ascii="宋体" w:hAnsi="宋体" w:cs="宋体"/>
          <w:strike w:val="0"/>
          <w:dstrike w:val="0"/>
          <w:color w:val="auto"/>
          <w:sz w:val="24"/>
          <w:szCs w:val="24"/>
          <w:highlight w:val="none"/>
          <w:lang w:eastAsia="zh-CN"/>
        </w:rPr>
        <w:t>排产</w:t>
      </w:r>
      <w:r>
        <w:rPr>
          <w:rFonts w:hint="eastAsia" w:ascii="宋体" w:hAnsi="宋体" w:eastAsia="宋体" w:cs="宋体"/>
          <w:color w:val="auto"/>
          <w:sz w:val="24"/>
          <w:szCs w:val="24"/>
          <w:highlight w:val="none"/>
        </w:rPr>
        <w:t>通知单3天内，乙方收到项目排产通知单后，于2025年</w:t>
      </w:r>
      <w:r>
        <w:rPr>
          <w:rFonts w:hint="eastAsia" w:ascii="宋体" w:hAnsi="宋体" w:cs="宋体"/>
          <w:color w:val="auto"/>
          <w:sz w:val="24"/>
          <w:szCs w:val="24"/>
          <w:highlight w:val="none"/>
          <w:lang w:val="en-US" w:eastAsia="zh-CN"/>
        </w:rPr>
        <w:t>10月25</w:t>
      </w:r>
      <w:r>
        <w:rPr>
          <w:rFonts w:hint="eastAsia" w:ascii="宋体" w:hAnsi="宋体" w:eastAsia="宋体" w:cs="宋体"/>
          <w:color w:val="auto"/>
          <w:sz w:val="24"/>
          <w:szCs w:val="24"/>
          <w:highlight w:val="none"/>
        </w:rPr>
        <w:t>日前全部到货，如甲方另行通知到货时间，时间以甲方书面</w:t>
      </w:r>
      <w:r>
        <w:rPr>
          <w:rFonts w:hint="eastAsia" w:ascii="宋体" w:hAnsi="宋体" w:eastAsia="宋体" w:cs="宋体"/>
          <w:color w:val="auto"/>
          <w:sz w:val="24"/>
          <w:szCs w:val="24"/>
          <w:highlight w:val="none"/>
          <w:lang w:eastAsia="zh-CN"/>
        </w:rPr>
        <w:t>排产</w:t>
      </w:r>
      <w:r>
        <w:rPr>
          <w:rFonts w:hint="eastAsia" w:ascii="宋体" w:hAnsi="宋体" w:eastAsia="宋体" w:cs="宋体"/>
          <w:color w:val="auto"/>
          <w:sz w:val="24"/>
          <w:szCs w:val="24"/>
          <w:highlight w:val="none"/>
        </w:rPr>
        <w:t>通知为准, 甲方的书面通知可以以电子邮箱</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向乙方发送。</w:t>
      </w:r>
    </w:p>
    <w:p w14:paraId="22B0233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2）交货地点及收货联系人</w:t>
      </w:r>
    </w:p>
    <w:p w14:paraId="20F3CADF">
      <w:pPr>
        <w:spacing w:line="360" w:lineRule="auto"/>
        <w:ind w:left="2040" w:hanging="1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收货地址：项目现场。以后续甲方项目部所发排产通知单中注明的指定具体收货地址为准</w:t>
      </w:r>
    </w:p>
    <w:p w14:paraId="5B3078DB">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p>
    <w:p w14:paraId="0AD4CC32">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4.3 </w:t>
      </w:r>
      <w:r>
        <w:rPr>
          <w:rFonts w:hint="eastAsia" w:ascii="宋体" w:hAnsi="宋体" w:eastAsia="宋体" w:cs="宋体"/>
          <w:color w:val="auto"/>
          <w:sz w:val="24"/>
          <w:highlight w:val="none"/>
        </w:rPr>
        <w:t>交货变更：如需变更收货地址、收货人等信息，甲方可以以电子邮箱【】、【</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】向乙方发送通知或出具加盖中机国际工程设计研究院有限责任公司公章、合同章或本项目章的送货委托书面通知。</w:t>
      </w:r>
    </w:p>
    <w:p w14:paraId="64ADD45D">
      <w:pPr>
        <w:pStyle w:val="35"/>
        <w:ind w:firstLine="0"/>
        <w:rPr>
          <w:rFonts w:hint="eastAsia" w:ascii="宋体" w:hAnsi="宋体" w:eastAsia="宋体" w:cs="宋体"/>
          <w:color w:val="auto"/>
          <w:highlight w:val="none"/>
        </w:rPr>
      </w:pPr>
      <w:r>
        <w:rPr>
          <w:rFonts w:hint="eastAsia" w:ascii="宋体" w:hAnsi="宋体" w:eastAsia="宋体" w:cs="宋体"/>
          <w:color w:val="auto"/>
          <w:highlight w:val="none"/>
        </w:rPr>
        <w:t>4.4 交货方式：基础交货。</w:t>
      </w:r>
    </w:p>
    <w:p w14:paraId="759E4D4C">
      <w:pPr>
        <w:pStyle w:val="2"/>
        <w:rPr>
          <w:rFonts w:hint="eastAsia" w:ascii="宋体" w:hAnsi="宋体" w:eastAsia="宋体" w:cs="宋体"/>
          <w:color w:val="auto"/>
          <w:highlight w:val="none"/>
        </w:rPr>
      </w:pPr>
      <w:bookmarkStart w:id="8" w:name="_Toc86392959"/>
      <w:bookmarkStart w:id="9" w:name="_Toc161846191"/>
      <w:r>
        <w:rPr>
          <w:rFonts w:hint="eastAsia" w:ascii="宋体" w:hAnsi="宋体" w:eastAsia="宋体" w:cs="宋体"/>
          <w:color w:val="auto"/>
          <w:highlight w:val="none"/>
        </w:rPr>
        <w:t>第五条　包装及运输</w:t>
      </w:r>
      <w:bookmarkEnd w:id="8"/>
      <w:bookmarkEnd w:id="9"/>
    </w:p>
    <w:p w14:paraId="0A5463BE">
      <w:pPr>
        <w:spacing w:line="360" w:lineRule="auto"/>
        <w:ind w:left="480" w:hanging="480"/>
        <w:rPr>
          <w:rFonts w:hint="eastAsia" w:ascii="宋体" w:hAnsi="宋体" w:eastAsia="宋体" w:cs="宋体"/>
          <w:color w:val="auto"/>
          <w:sz w:val="24"/>
          <w:highlight w:val="none"/>
        </w:rPr>
      </w:pPr>
      <w:bookmarkStart w:id="10" w:name="_Toc86392960"/>
      <w:r>
        <w:rPr>
          <w:rFonts w:hint="eastAsia" w:ascii="宋体" w:hAnsi="宋体" w:eastAsia="宋体" w:cs="宋体"/>
          <w:color w:val="auto"/>
          <w:sz w:val="24"/>
          <w:highlight w:val="none"/>
        </w:rPr>
        <w:t>5.1 将货物运送至甲方指定交货地点并交付给甲方指定收货人之前的货物运输由乙方负责，相关的运输费用、保险、保管、货物灭失及毁损的风险亦由乙方承担。</w:t>
      </w:r>
    </w:p>
    <w:p w14:paraId="04296715">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w:t>
      </w:r>
      <w:r>
        <w:rPr>
          <w:rFonts w:hint="eastAsia" w:ascii="宋体" w:hAnsi="宋体" w:eastAsia="宋体" w:cs="宋体"/>
          <w:color w:val="auto"/>
          <w:sz w:val="24"/>
          <w:highlight w:val="none"/>
          <w:lang w:eastAsia="zh-CN"/>
        </w:rPr>
        <w:t>适</w:t>
      </w:r>
      <w:r>
        <w:rPr>
          <w:rFonts w:hint="eastAsia" w:ascii="宋体" w:hAnsi="宋体" w:eastAsia="宋体" w:cs="宋体"/>
          <w:color w:val="auto"/>
          <w:sz w:val="24"/>
          <w:highlight w:val="none"/>
        </w:rPr>
        <w:t>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746ACD6B">
      <w:pPr>
        <w:pStyle w:val="2"/>
        <w:rPr>
          <w:rFonts w:hint="eastAsia" w:ascii="宋体" w:hAnsi="宋体" w:eastAsia="宋体" w:cs="宋体"/>
          <w:color w:val="auto"/>
          <w:highlight w:val="none"/>
        </w:rPr>
      </w:pPr>
      <w:bookmarkStart w:id="11" w:name="_Toc161846192"/>
      <w:r>
        <w:rPr>
          <w:rFonts w:hint="eastAsia" w:ascii="宋体" w:hAnsi="宋体" w:eastAsia="宋体" w:cs="宋体"/>
          <w:color w:val="auto"/>
          <w:highlight w:val="none"/>
        </w:rPr>
        <w:t>第六条　产品标准</w:t>
      </w:r>
      <w:bookmarkEnd w:id="10"/>
      <w:bookmarkEnd w:id="11"/>
    </w:p>
    <w:p w14:paraId="3A16297A">
      <w:pPr>
        <w:spacing w:line="360" w:lineRule="auto"/>
        <w:ind w:left="600" w:hanging="600"/>
        <w:rPr>
          <w:rFonts w:hint="eastAsia" w:ascii="宋体" w:hAnsi="宋体" w:eastAsia="宋体" w:cs="宋体"/>
          <w:color w:val="auto"/>
          <w:sz w:val="24"/>
          <w:highlight w:val="none"/>
        </w:rPr>
      </w:pPr>
      <w:bookmarkStart w:id="12" w:name="_Toc86392961"/>
      <w:r>
        <w:rPr>
          <w:rFonts w:hint="eastAsia" w:ascii="宋体" w:hAnsi="宋体" w:eastAsia="宋体" w:cs="宋体"/>
          <w:color w:val="auto"/>
          <w:sz w:val="24"/>
          <w:highlight w:val="none"/>
        </w:rPr>
        <w:t>6.1 产品的规格与型号符合双方确认的图纸要求、设计要求、技术协议要求（具体详见附件）。</w:t>
      </w:r>
    </w:p>
    <w:p w14:paraId="5766E455">
      <w:pPr>
        <w:spacing w:line="360" w:lineRule="auto"/>
        <w:ind w:left="552" w:hanging="552"/>
        <w:rPr>
          <w:rFonts w:hint="eastAsia" w:ascii="宋体" w:hAnsi="宋体" w:eastAsia="宋体" w:cs="宋体"/>
          <w:color w:val="auto"/>
          <w:sz w:val="24"/>
          <w:highlight w:val="none"/>
        </w:rPr>
      </w:pPr>
      <w:r>
        <w:rPr>
          <w:rFonts w:hint="eastAsia" w:ascii="宋体" w:hAnsi="宋体" w:eastAsia="宋体" w:cs="宋体"/>
          <w:color w:val="auto"/>
          <w:sz w:val="24"/>
          <w:highlight w:val="none"/>
        </w:rPr>
        <w:t>6.2 提交货物的技术规格与技术文件及图纸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428EF411">
      <w:pPr>
        <w:spacing w:line="360" w:lineRule="auto"/>
        <w:ind w:left="552" w:hanging="552"/>
        <w:rPr>
          <w:rFonts w:hint="eastAsia" w:ascii="宋体" w:hAnsi="宋体" w:eastAsia="宋体" w:cs="宋体"/>
          <w:color w:val="auto"/>
          <w:sz w:val="24"/>
          <w:highlight w:val="none"/>
        </w:rPr>
      </w:pPr>
      <w:r>
        <w:rPr>
          <w:rFonts w:hint="eastAsia" w:ascii="宋体" w:hAnsi="宋体" w:eastAsia="宋体" w:cs="宋体"/>
          <w:color w:val="auto"/>
          <w:sz w:val="24"/>
          <w:highlight w:val="none"/>
        </w:rPr>
        <w:t>6.3 每批货到现场，乙方必须提供该批产品出厂合格证、型式试验报告、出厂检验报告、产品质量保证书等产品材质证明资料。</w:t>
      </w:r>
    </w:p>
    <w:p w14:paraId="2BD48A6E">
      <w:pPr>
        <w:spacing w:line="360" w:lineRule="auto"/>
        <w:ind w:left="312" w:hanging="312"/>
        <w:rPr>
          <w:rFonts w:hint="eastAsia" w:ascii="宋体" w:hAnsi="宋体" w:eastAsia="宋体" w:cs="宋体"/>
          <w:color w:val="auto"/>
          <w:sz w:val="24"/>
          <w:highlight w:val="none"/>
        </w:rPr>
      </w:pPr>
      <w:r>
        <w:rPr>
          <w:rFonts w:hint="eastAsia" w:ascii="宋体" w:hAnsi="宋体" w:eastAsia="宋体" w:cs="宋体"/>
          <w:color w:val="auto"/>
          <w:sz w:val="24"/>
          <w:highlight w:val="none"/>
        </w:rPr>
        <w:t>6.4  乙方所供产品必须满足当地环境要求，使用寿命达到30年。</w:t>
      </w:r>
    </w:p>
    <w:p w14:paraId="4203DE12">
      <w:pPr>
        <w:pStyle w:val="2"/>
        <w:rPr>
          <w:rFonts w:hint="eastAsia" w:ascii="宋体" w:hAnsi="宋体" w:eastAsia="宋体" w:cs="宋体"/>
          <w:color w:val="auto"/>
          <w:highlight w:val="none"/>
        </w:rPr>
      </w:pPr>
      <w:bookmarkStart w:id="13" w:name="_Toc161846193"/>
      <w:r>
        <w:rPr>
          <w:rFonts w:hint="eastAsia" w:ascii="宋体" w:hAnsi="宋体" w:eastAsia="宋体" w:cs="宋体"/>
          <w:color w:val="auto"/>
          <w:highlight w:val="none"/>
        </w:rPr>
        <w:t>第七条　交货及初步检验</w:t>
      </w:r>
      <w:bookmarkEnd w:id="12"/>
      <w:bookmarkEnd w:id="13"/>
    </w:p>
    <w:p w14:paraId="06DBC610">
      <w:pPr>
        <w:spacing w:line="360" w:lineRule="auto"/>
        <w:ind w:left="480" w:hanging="480"/>
        <w:rPr>
          <w:rFonts w:hint="eastAsia" w:ascii="宋体" w:hAnsi="宋体" w:eastAsia="宋体" w:cs="宋体"/>
          <w:color w:val="auto"/>
          <w:sz w:val="24"/>
          <w:highlight w:val="none"/>
        </w:rPr>
      </w:pPr>
      <w:bookmarkStart w:id="14" w:name="_Toc86392962"/>
      <w:r>
        <w:rPr>
          <w:rFonts w:hint="eastAsia" w:ascii="宋体" w:hAnsi="宋体" w:eastAsia="宋体" w:cs="宋体"/>
          <w:color w:val="auto"/>
          <w:sz w:val="24"/>
          <w:highlight w:val="none"/>
        </w:rPr>
        <w:t>7.1 本条所述的初步检验系指在不采用任何仪器检验的情况下以目测的方式对货物</w:t>
      </w:r>
      <w:r>
        <w:rPr>
          <w:rFonts w:hint="eastAsia" w:ascii="宋体" w:hAnsi="宋体" w:eastAsia="宋体" w:cs="宋体"/>
          <w:color w:val="auto"/>
          <w:sz w:val="24"/>
          <w:highlight w:val="none"/>
          <w:lang w:eastAsia="zh-CN"/>
        </w:rPr>
        <w:t>进行</w:t>
      </w:r>
      <w:r>
        <w:rPr>
          <w:rFonts w:hint="eastAsia" w:ascii="宋体" w:hAnsi="宋体" w:eastAsia="宋体" w:cs="宋体"/>
          <w:color w:val="auto"/>
          <w:sz w:val="24"/>
          <w:highlight w:val="none"/>
        </w:rPr>
        <w:t>检验，仅包括对产品包装、外观、型号、数量、完整、无损、清洁度的检验。</w:t>
      </w:r>
    </w:p>
    <w:p w14:paraId="35AEBF15">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6BD7C06">
      <w:pPr>
        <w:spacing w:line="360" w:lineRule="auto"/>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货物到达合同指定现场后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日内为初步检验期，由甲方代表对产品进行初步检验。如存在数量不足、短缺、毁损等问题，乙方应根据甲方要求采取补足、折价、更换或退货等处理措施。</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初步检验合格后可在乙方送货单回执单上注明初步检验合格</w:t>
      </w:r>
      <w:r>
        <w:rPr>
          <w:rFonts w:hint="eastAsia" w:ascii="宋体" w:hAnsi="宋体" w:eastAsia="宋体" w:cs="宋体"/>
          <w:color w:val="auto"/>
          <w:sz w:val="24"/>
          <w:szCs w:val="24"/>
          <w:highlight w:val="none"/>
        </w:rPr>
        <w:t>。</w:t>
      </w:r>
    </w:p>
    <w:p w14:paraId="09030FDE">
      <w:pPr>
        <w:tabs>
          <w:tab w:val="left" w:pos="3060"/>
        </w:tabs>
        <w:spacing w:line="360" w:lineRule="auto"/>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甲方在初步检验期</w:t>
      </w:r>
      <w:r>
        <w:rPr>
          <w:rFonts w:hint="eastAsia" w:ascii="宋体" w:hAnsi="宋体" w:eastAsia="宋体" w:cs="宋体"/>
          <w:color w:val="auto"/>
          <w:sz w:val="24"/>
          <w:szCs w:val="24"/>
          <w:highlight w:val="none"/>
          <w:lang w:eastAsia="zh-CN"/>
        </w:rPr>
        <w:t>间及期满</w:t>
      </w:r>
      <w:r>
        <w:rPr>
          <w:rFonts w:hint="eastAsia" w:ascii="宋体" w:hAnsi="宋体" w:eastAsia="宋体" w:cs="宋体"/>
          <w:color w:val="auto"/>
          <w:sz w:val="24"/>
          <w:szCs w:val="24"/>
          <w:highlight w:val="none"/>
        </w:rPr>
        <w:t>后10日内</w:t>
      </w:r>
      <w:r>
        <w:rPr>
          <w:rFonts w:hint="eastAsia" w:ascii="宋体" w:hAnsi="宋体" w:eastAsia="宋体" w:cs="宋体"/>
          <w:color w:val="auto"/>
          <w:sz w:val="24"/>
          <w:szCs w:val="24"/>
          <w:highlight w:val="none"/>
          <w:lang w:eastAsia="zh-CN"/>
        </w:rPr>
        <w:t>未进行初步检验或</w:t>
      </w:r>
      <w:r>
        <w:rPr>
          <w:rFonts w:hint="eastAsia" w:ascii="宋体" w:hAnsi="宋体" w:eastAsia="宋体" w:cs="宋体"/>
          <w:color w:val="auto"/>
          <w:sz w:val="24"/>
          <w:szCs w:val="24"/>
          <w:highlight w:val="none"/>
        </w:rPr>
        <w:t>未提出</w:t>
      </w:r>
      <w:r>
        <w:rPr>
          <w:rFonts w:hint="eastAsia" w:ascii="宋体" w:hAnsi="宋体" w:eastAsia="宋体" w:cs="宋体"/>
          <w:color w:val="auto"/>
          <w:sz w:val="24"/>
          <w:szCs w:val="24"/>
          <w:highlight w:val="none"/>
          <w:lang w:eastAsia="zh-CN"/>
        </w:rPr>
        <w:t>任何</w:t>
      </w:r>
      <w:r>
        <w:rPr>
          <w:rFonts w:hint="eastAsia" w:ascii="宋体" w:hAnsi="宋体" w:eastAsia="宋体" w:cs="宋体"/>
          <w:color w:val="auto"/>
          <w:sz w:val="24"/>
          <w:szCs w:val="24"/>
          <w:highlight w:val="none"/>
        </w:rPr>
        <w:t>书面异议，视为已交付的产品</w:t>
      </w:r>
      <w:r>
        <w:rPr>
          <w:rFonts w:hint="eastAsia" w:ascii="宋体" w:hAnsi="宋体" w:eastAsia="宋体" w:cs="宋体"/>
          <w:color w:val="auto"/>
          <w:sz w:val="24"/>
          <w:szCs w:val="24"/>
          <w:highlight w:val="none"/>
          <w:lang w:eastAsia="zh-CN"/>
        </w:rPr>
        <w:t>初步检验合格</w:t>
      </w:r>
      <w:r>
        <w:rPr>
          <w:rFonts w:hint="eastAsia" w:ascii="宋体" w:hAnsi="宋体" w:eastAsia="宋体" w:cs="宋体"/>
          <w:color w:val="auto"/>
          <w:sz w:val="24"/>
          <w:szCs w:val="24"/>
          <w:highlight w:val="none"/>
        </w:rPr>
        <w:t>。乙方在接到甲方的书面通知之日起10日内未作答复，视为乙方已接受或认可。</w:t>
      </w:r>
    </w:p>
    <w:p w14:paraId="1EC92632">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7.5 本合同第七条所述的合格、视为合格及送货单回执单上的签收，仅证明包装、外观、型号、数量、完整、无损、清洁度等目测指标符合合同约定，不免除乙方的产品质量责任及在质保期内的保修责任。</w:t>
      </w:r>
    </w:p>
    <w:p w14:paraId="4EF403C1">
      <w:pPr>
        <w:spacing w:line="360" w:lineRule="auto"/>
        <w:ind w:left="552" w:hanging="5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全部货到现场且初步检验合格后，甲方发现乙方提供的产品不符合附件</w:t>
      </w:r>
      <w:r>
        <w:rPr>
          <w:rFonts w:hint="eastAsia" w:ascii="宋体" w:hAnsi="宋体" w:eastAsia="宋体" w:cs="宋体"/>
          <w:color w:val="auto"/>
          <w:sz w:val="24"/>
          <w:szCs w:val="24"/>
          <w:highlight w:val="none"/>
          <w:lang w:eastAsia="zh-CN"/>
        </w:rPr>
        <w:t>一</w:t>
      </w:r>
      <w:r>
        <w:rPr>
          <w:rFonts w:hint="eastAsia"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eastAsia="zh-CN"/>
        </w:rPr>
        <w:t xml:space="preserve">兴宁市工业园200mw/400mwh新型共享电站项目 </w:t>
      </w:r>
      <w:r>
        <w:rPr>
          <w:rFonts w:hint="eastAsia" w:asciiTheme="minorEastAsia" w:hAnsiTheme="minorEastAsia" w:eastAsiaTheme="minorEastAsia"/>
          <w:color w:val="auto"/>
          <w:sz w:val="24"/>
          <w:highlight w:val="none"/>
        </w:rPr>
        <w:t>主变端子箱、动力箱技术规范书》、《宁夏通久新能源经济开发区 100兆瓦/200 兆瓦时储能电站项目变压器 110kV 中性点成套装置(带避雷器)技术规范书》、《宁夏通久新能源经济开发区 100 兆瓦/200 兆瓦时储能电站项目110kV/100MVA 三相双绕组电力变压器技术协议书》</w:t>
      </w:r>
      <w:r>
        <w:rPr>
          <w:rFonts w:hint="eastAsia" w:ascii="宋体" w:hAnsi="宋体" w:eastAsia="宋体" w:cs="宋体"/>
          <w:color w:val="auto"/>
          <w:sz w:val="24"/>
          <w:szCs w:val="24"/>
          <w:highlight w:val="none"/>
        </w:rPr>
        <w:t>的，视为乙方提供的货物不合格。</w:t>
      </w:r>
    </w:p>
    <w:p w14:paraId="678E2702">
      <w:pPr>
        <w:pStyle w:val="2"/>
        <w:rPr>
          <w:rFonts w:hint="eastAsia" w:ascii="宋体" w:hAnsi="宋体" w:eastAsia="宋体" w:cs="宋体"/>
          <w:color w:val="auto"/>
          <w:highlight w:val="none"/>
        </w:rPr>
      </w:pPr>
      <w:bookmarkStart w:id="15" w:name="_Toc161846194"/>
      <w:r>
        <w:rPr>
          <w:rFonts w:hint="eastAsia" w:ascii="宋体" w:hAnsi="宋体" w:eastAsia="宋体" w:cs="宋体"/>
          <w:color w:val="auto"/>
          <w:highlight w:val="none"/>
        </w:rPr>
        <w:t>第八条　产品检验</w:t>
      </w:r>
      <w:bookmarkEnd w:id="14"/>
      <w:bookmarkEnd w:id="15"/>
    </w:p>
    <w:p w14:paraId="732B6860">
      <w:pPr>
        <w:spacing w:line="360" w:lineRule="auto"/>
        <w:ind w:left="528"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8.1 </w:t>
      </w:r>
      <w:r>
        <w:rPr>
          <w:rFonts w:hint="eastAsia" w:ascii="宋体" w:hAnsi="宋体" w:eastAsia="宋体" w:cs="宋体"/>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生产，交货时间不顺延。</w:t>
      </w:r>
    </w:p>
    <w:p w14:paraId="5CCE4CE3">
      <w:pPr>
        <w:spacing w:line="360" w:lineRule="auto"/>
        <w:ind w:left="552" w:hanging="552"/>
        <w:rPr>
          <w:rFonts w:hint="eastAsia" w:ascii="宋体" w:hAnsi="宋体" w:eastAsia="宋体" w:cs="宋体"/>
          <w:color w:val="auto"/>
          <w:sz w:val="24"/>
          <w:highlight w:val="none"/>
        </w:rPr>
      </w:pPr>
      <w:r>
        <w:rPr>
          <w:rFonts w:hint="eastAsia" w:ascii="宋体" w:hAnsi="宋体" w:eastAsia="宋体" w:cs="宋体"/>
          <w:color w:val="auto"/>
          <w:sz w:val="24"/>
          <w:highlight w:val="none"/>
        </w:rPr>
        <w:t>8.2 产品交付过程中，甲方可以在产品交付时按本合同第七条的约定对产品进行初步检验。</w:t>
      </w:r>
    </w:p>
    <w:p w14:paraId="788C1D9F">
      <w:pPr>
        <w:spacing w:line="360" w:lineRule="auto"/>
        <w:ind w:left="552" w:hanging="552"/>
        <w:rPr>
          <w:rFonts w:hint="eastAsia" w:ascii="宋体" w:hAnsi="宋体" w:eastAsia="宋体" w:cs="宋体"/>
          <w:color w:val="auto"/>
          <w:sz w:val="24"/>
          <w:highlight w:val="none"/>
        </w:rPr>
      </w:pPr>
      <w:r>
        <w:rPr>
          <w:rFonts w:hint="eastAsia" w:ascii="宋体" w:hAnsi="宋体" w:eastAsia="宋体" w:cs="宋体"/>
          <w:color w:val="auto"/>
          <w:sz w:val="24"/>
          <w:highlight w:val="none"/>
        </w:rPr>
        <w:t>8.3 产品安装调试过程中及质保期内，甲方可以对产品进行质量检验（包括系统兼容性问题）。</w:t>
      </w:r>
    </w:p>
    <w:p w14:paraId="074FE456">
      <w:pPr>
        <w:pStyle w:val="35"/>
        <w:ind w:left="480" w:hanging="480" w:hangingChars="200"/>
        <w:rPr>
          <w:rFonts w:hint="eastAsia" w:ascii="宋体" w:hAnsi="宋体" w:eastAsia="宋体" w:cs="宋体"/>
          <w:color w:val="auto"/>
          <w:highlight w:val="none"/>
        </w:rPr>
      </w:pPr>
      <w:r>
        <w:rPr>
          <w:rFonts w:hint="eastAsia" w:ascii="宋体" w:hAnsi="宋体" w:eastAsia="宋体" w:cs="宋体"/>
          <w:color w:val="auto"/>
          <w:highlight w:val="none"/>
        </w:rPr>
        <w:t xml:space="preserve">8.4 </w:t>
      </w:r>
      <w:r>
        <w:rPr>
          <w:rFonts w:hint="eastAsia" w:ascii="宋体" w:hAnsi="宋体" w:eastAsia="宋体" w:cs="宋体"/>
          <w:color w:val="auto"/>
          <w:szCs w:val="24"/>
          <w:highlight w:val="none"/>
        </w:rPr>
        <w:t>甲方可以委托有资质的第三方厂家对相关设备进行全过程监造、检测，乙方需配合。</w:t>
      </w:r>
    </w:p>
    <w:p w14:paraId="34B6093F">
      <w:pPr>
        <w:spacing w:line="360" w:lineRule="auto"/>
        <w:ind w:left="360" w:hanging="36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8.5 产品的检测不受质保期的约束且上述检验并不代替或解除乙方对产品质量的责任。</w:t>
      </w:r>
    </w:p>
    <w:p w14:paraId="6918E48A">
      <w:pPr>
        <w:pStyle w:val="2"/>
        <w:rPr>
          <w:rFonts w:hint="eastAsia" w:ascii="宋体" w:hAnsi="宋体" w:eastAsia="宋体" w:cs="宋体"/>
          <w:color w:val="auto"/>
          <w:highlight w:val="none"/>
        </w:rPr>
      </w:pPr>
      <w:bookmarkStart w:id="16" w:name="_Toc86392963"/>
      <w:bookmarkStart w:id="17" w:name="_Toc161846195"/>
      <w:r>
        <w:rPr>
          <w:rFonts w:hint="eastAsia" w:ascii="宋体" w:hAnsi="宋体" w:eastAsia="宋体" w:cs="宋体"/>
          <w:color w:val="auto"/>
          <w:highlight w:val="none"/>
        </w:rPr>
        <w:t>第九条　乙方对产品的保证</w:t>
      </w:r>
      <w:bookmarkEnd w:id="16"/>
      <w:bookmarkEnd w:id="17"/>
    </w:p>
    <w:p w14:paraId="730E97FE">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9.1 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020F3BAE">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9.2 如交付的产品不符合本合同或附件的约定，乙方保证按合同的约定采取补救措施；如乙方不采取、不按甲方要求采取上述措施，或采取上述补救措施后产品仍然不符合合同约定，按11.2条款的相应约定承担违约责任。</w:t>
      </w:r>
    </w:p>
    <w:p w14:paraId="0EDB3DF3">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9.3 质保期内乙方将按本合同第十条的约定履行质保义务。</w:t>
      </w:r>
    </w:p>
    <w:p w14:paraId="729C59BA">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9.4 未经甲方书面同意，乙方不得将本合同产品的生产或制造转交（委托）OEM商或第三方生产制造。</w:t>
      </w:r>
    </w:p>
    <w:p w14:paraId="5696BC81">
      <w:pPr>
        <w:pStyle w:val="35"/>
        <w:ind w:firstLine="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9.5 乙方产品需满足项目所在地的环境要求，满足项目使用寿命要求。</w:t>
      </w:r>
    </w:p>
    <w:p w14:paraId="289D1C5C">
      <w:pPr>
        <w:pStyle w:val="35"/>
        <w:ind w:left="480" w:hanging="480"/>
        <w:rPr>
          <w:rFonts w:hint="eastAsia" w:ascii="宋体" w:hAnsi="宋体" w:eastAsia="宋体" w:cs="宋体"/>
          <w:color w:val="auto"/>
          <w:highlight w:val="none"/>
        </w:rPr>
      </w:pPr>
      <w:r>
        <w:rPr>
          <w:rFonts w:hint="eastAsia" w:ascii="宋体" w:hAnsi="宋体" w:eastAsia="宋体" w:cs="宋体"/>
          <w:bCs/>
          <w:color w:val="auto"/>
          <w:szCs w:val="24"/>
          <w:highlight w:val="none"/>
        </w:rPr>
        <w:t>9.6 乙方承诺因乙方原因与其他第三方产生知识专利产权纠纷，该纠纷不会影响本项目的正常供货，如造成影响，则按合同第十一条违约责任执行。</w:t>
      </w:r>
    </w:p>
    <w:p w14:paraId="2793A9D7">
      <w:pPr>
        <w:pStyle w:val="2"/>
        <w:rPr>
          <w:rFonts w:hint="eastAsia" w:ascii="宋体" w:hAnsi="宋体" w:eastAsia="宋体" w:cs="宋体"/>
          <w:color w:val="auto"/>
          <w:highlight w:val="none"/>
        </w:rPr>
      </w:pPr>
      <w:bookmarkStart w:id="18" w:name="_Toc161846196"/>
      <w:bookmarkStart w:id="19" w:name="_Toc86392964"/>
      <w:r>
        <w:rPr>
          <w:rFonts w:hint="eastAsia" w:ascii="宋体" w:hAnsi="宋体" w:eastAsia="宋体" w:cs="宋体"/>
          <w:color w:val="auto"/>
          <w:highlight w:val="none"/>
        </w:rPr>
        <w:t>第十条　产品质保期</w:t>
      </w:r>
      <w:bookmarkEnd w:id="18"/>
      <w:bookmarkEnd w:id="19"/>
    </w:p>
    <w:p w14:paraId="334732D0">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10.1 全部货到现场且项目竣工验收合格第二日起货物进入质保期，本合同设备质保期为【</w:t>
      </w:r>
      <w:r>
        <w:rPr>
          <w:rFonts w:hint="eastAsia" w:ascii="宋体" w:hAnsi="宋体" w:eastAsia="宋体" w:cs="宋体"/>
          <w:color w:val="auto"/>
          <w:highlight w:val="none"/>
        </w:rPr>
        <w:t>24</w:t>
      </w:r>
      <w:r>
        <w:rPr>
          <w:rFonts w:hint="eastAsia" w:ascii="宋体" w:hAnsi="宋体" w:eastAsia="宋体" w:cs="宋体"/>
          <w:color w:val="auto"/>
          <w:sz w:val="24"/>
          <w:highlight w:val="none"/>
        </w:rPr>
        <w:t>】个月，质保金的支付不免除乙方的产品质保责任，乙方在质保期内应履行免费质保的义务。若货物在质保期内的运行状况未能满足本合同要求，则乙方应及时按甲方要求采取调换、修理或其他补救措施以使货物满足要求。修理的部分顺延质保期，更换的部分重新进入质保期。</w:t>
      </w:r>
    </w:p>
    <w:p w14:paraId="2C17EC63">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10.2 产品设计使用寿命【30】年。</w:t>
      </w:r>
    </w:p>
    <w:p w14:paraId="72ADAE99">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的部件、元件或零件的质保期顺延计算，更换的部分重新进入质保期。</w:t>
      </w:r>
    </w:p>
    <w:p w14:paraId="31DC5A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乙方保证提供必要的伴随服务，服务费用已包括在合同价中：</w:t>
      </w:r>
    </w:p>
    <w:p w14:paraId="0FD411BB">
      <w:pPr>
        <w:spacing w:line="360" w:lineRule="auto"/>
        <w:ind w:left="100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1）提供货物现场安装指导、调试和启动指导，直至货物运作正常；</w:t>
      </w:r>
    </w:p>
    <w:p w14:paraId="013A0A68">
      <w:pPr>
        <w:spacing w:line="360" w:lineRule="auto"/>
        <w:ind w:left="100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2）提供货物安装或维修所需的工具；</w:t>
      </w:r>
    </w:p>
    <w:p w14:paraId="0FDB6637">
      <w:pPr>
        <w:spacing w:line="360" w:lineRule="auto"/>
        <w:ind w:left="100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3）提供货物详细的操作和维护手册；</w:t>
      </w:r>
    </w:p>
    <w:p w14:paraId="2483071E">
      <w:pPr>
        <w:spacing w:line="360" w:lineRule="auto"/>
        <w:ind w:left="100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4）在项目现场就所供货物的安装、试运行、运行、维护或修理对甲方人员培训；</w:t>
      </w:r>
    </w:p>
    <w:p w14:paraId="396C4582">
      <w:pPr>
        <w:spacing w:line="360" w:lineRule="auto"/>
        <w:ind w:left="885"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5）货物出现故障，接通知后72小时内解除故障，并低价（与市场价相比）提供终身维护服务所需的零部件。</w:t>
      </w:r>
    </w:p>
    <w:p w14:paraId="7FDB8CC7">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10.5 质保期内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质量保函）中予以直接扣除，不足部分，甲方有权继续追索。乙方不得以任何原因影响项目正常建设及运行。</w:t>
      </w:r>
    </w:p>
    <w:p w14:paraId="16E3039B">
      <w:pPr>
        <w:pStyle w:val="2"/>
        <w:rPr>
          <w:rFonts w:hint="eastAsia" w:ascii="宋体" w:hAnsi="宋体" w:eastAsia="宋体" w:cs="宋体"/>
          <w:color w:val="auto"/>
          <w:highlight w:val="none"/>
        </w:rPr>
      </w:pPr>
      <w:bookmarkStart w:id="20" w:name="_Toc161846197"/>
      <w:bookmarkStart w:id="21" w:name="_Toc86392965"/>
      <w:r>
        <w:rPr>
          <w:rFonts w:hint="eastAsia" w:ascii="宋体" w:hAnsi="宋体" w:eastAsia="宋体" w:cs="宋体"/>
          <w:color w:val="auto"/>
          <w:highlight w:val="none"/>
        </w:rPr>
        <w:t>第十一条　违约责任</w:t>
      </w:r>
      <w:bookmarkEnd w:id="20"/>
      <w:bookmarkEnd w:id="21"/>
    </w:p>
    <w:p w14:paraId="7ACDFD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甲方的违约责任</w:t>
      </w:r>
    </w:p>
    <w:p w14:paraId="013AA2E4">
      <w:pPr>
        <w:spacing w:line="360" w:lineRule="auto"/>
        <w:ind w:left="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甲方无正当理由逾期付款的，每逾期一日按逾期付款额的万分之二支付违约金,违约金总额不得超过总价款的百分之二十。</w:t>
      </w:r>
    </w:p>
    <w:p w14:paraId="7D3ECD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乙方的</w:t>
      </w:r>
      <w:r>
        <w:rPr>
          <w:rFonts w:hint="eastAsia" w:ascii="宋体" w:hAnsi="宋体" w:eastAsia="宋体" w:cs="宋体"/>
          <w:color w:val="auto"/>
          <w:sz w:val="24"/>
          <w:highlight w:val="none"/>
        </w:rPr>
        <w:t>违约</w:t>
      </w:r>
      <w:r>
        <w:rPr>
          <w:rFonts w:hint="eastAsia" w:ascii="宋体" w:hAnsi="宋体" w:eastAsia="宋体" w:cs="宋体"/>
          <w:color w:val="auto"/>
          <w:sz w:val="24"/>
          <w:szCs w:val="24"/>
          <w:highlight w:val="none"/>
        </w:rPr>
        <w:t>责任</w:t>
      </w:r>
    </w:p>
    <w:p w14:paraId="40632318">
      <w:pPr>
        <w:spacing w:line="360" w:lineRule="auto"/>
        <w:ind w:left="885"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质保期内因乙方设备质量问题导致甲方受到业主方处罚的，该处罚的损失由乙方承担且甲方有权从乙方未付款或质保函中扣除。</w:t>
      </w:r>
    </w:p>
    <w:p w14:paraId="2B4241FF">
      <w:pPr>
        <w:spacing w:line="360" w:lineRule="auto"/>
        <w:ind w:left="885" w:leftChars="250"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交付的货物违反本合同第九条约定，若乙方不按甲方要求采取补救措施(含更换、退货)或补救后仍不符合合同约定的，甲方可以单方行使合同解除权，要求退还已经支付的合同款，同时乙方应支付本合同总价款百分之二十的违约金，且应负责拆卸运回甲方项目所在地的乙方货物;若甲方基于不影响工程工期及工程运营原因未要求乙方采取补救措施的，乙方应折价补偿甲方，折价金额为本合同总价款百分之二十，且在此期间甲方的损失(系指11.2条第3)款所述的)及采取补救措施发生的费用由乙方承担。</w:t>
      </w:r>
    </w:p>
    <w:p w14:paraId="48BE97CA">
      <w:pPr>
        <w:spacing w:line="360" w:lineRule="auto"/>
        <w:ind w:left="885"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3）乙方按11.2条第1）、2）款支付违约金后仍不足以弥补甲方的损失时，乙方须补足甲方的经济损失。甲方的损失系指乙方违约导致甲方向业主或第三方承担违约责任而支付的违约金、储能运营损失索赔金等。</w:t>
      </w:r>
    </w:p>
    <w:p w14:paraId="6024AB80">
      <w:pPr>
        <w:pStyle w:val="35"/>
        <w:ind w:left="885" w:hanging="360"/>
        <w:rPr>
          <w:rFonts w:hint="eastAsia" w:ascii="宋体" w:hAnsi="宋体" w:eastAsia="宋体" w:cs="宋体"/>
          <w:color w:val="auto"/>
          <w:highlight w:val="none"/>
        </w:rPr>
      </w:pPr>
      <w:r>
        <w:rPr>
          <w:rFonts w:hint="eastAsia" w:ascii="宋体" w:hAnsi="宋体" w:eastAsia="宋体" w:cs="宋体"/>
          <w:color w:val="auto"/>
          <w:highlight w:val="none"/>
        </w:rPr>
        <w:t>4）乙方提交的产品若因乙方产品质量的原因发生锈蚀、腐蚀等，由此引起的所有责任、损失等由乙方承担。</w:t>
      </w:r>
    </w:p>
    <w:p w14:paraId="33E54495">
      <w:pPr>
        <w:spacing w:line="360" w:lineRule="auto"/>
        <w:ind w:left="885"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5）乙方提交的产品若因乙方知识产权原因导致甲方产生损失时，由此引起的所有责任、损失等由乙方承担。</w:t>
      </w:r>
    </w:p>
    <w:p w14:paraId="1F4A8CA5">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ascii="宋体" w:hAnsi="宋体" w:cs="宋体"/>
          <w:color w:val="auto"/>
          <w:sz w:val="24"/>
          <w:highlight w:val="none"/>
          <w:lang w:eastAsia="zh-CN"/>
        </w:rPr>
        <w:t>仲裁</w:t>
      </w:r>
      <w:r>
        <w:rPr>
          <w:rFonts w:hint="eastAsia" w:ascii="宋体" w:hAnsi="宋体" w:eastAsia="宋体" w:cs="宋体"/>
          <w:color w:val="auto"/>
          <w:sz w:val="24"/>
          <w:highlight w:val="none"/>
        </w:rPr>
        <w:t>费、律师费、复印费、交通费、通讯费等可向违约方主张。</w:t>
      </w:r>
    </w:p>
    <w:p w14:paraId="564CDBE6">
      <w:pPr>
        <w:pStyle w:val="2"/>
        <w:rPr>
          <w:rFonts w:hint="eastAsia" w:ascii="宋体" w:hAnsi="宋体" w:eastAsia="宋体" w:cs="宋体"/>
          <w:color w:val="auto"/>
          <w:highlight w:val="none"/>
        </w:rPr>
      </w:pPr>
      <w:bookmarkStart w:id="22" w:name="_Toc86392966"/>
      <w:bookmarkStart w:id="23" w:name="_Toc161846198"/>
      <w:r>
        <w:rPr>
          <w:rFonts w:hint="eastAsia" w:ascii="宋体" w:hAnsi="宋体" w:eastAsia="宋体" w:cs="宋体"/>
          <w:color w:val="auto"/>
          <w:highlight w:val="none"/>
        </w:rPr>
        <w:t>第十二条　廉洁条款</w:t>
      </w:r>
      <w:bookmarkEnd w:id="22"/>
      <w:bookmarkEnd w:id="23"/>
    </w:p>
    <w:p w14:paraId="7F516F2F">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7EB8A4D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12.2 如甲方工作人员有向乙方索贿及为个人谋取不正当利益的行为，乙方应当通知甲方，甲方接收邮箱为【jwbgs@cmie.cn】。</w:t>
      </w:r>
    </w:p>
    <w:p w14:paraId="4F3D1E61">
      <w:pPr>
        <w:pStyle w:val="2"/>
        <w:rPr>
          <w:rFonts w:hint="eastAsia" w:ascii="宋体" w:hAnsi="宋体" w:eastAsia="宋体" w:cs="宋体"/>
          <w:color w:val="auto"/>
          <w:highlight w:val="none"/>
        </w:rPr>
      </w:pPr>
      <w:bookmarkStart w:id="24" w:name="_Toc86392967"/>
      <w:bookmarkStart w:id="25" w:name="_Toc161846199"/>
      <w:r>
        <w:rPr>
          <w:rFonts w:hint="eastAsia" w:ascii="宋体" w:hAnsi="宋体" w:eastAsia="宋体" w:cs="宋体"/>
          <w:color w:val="auto"/>
          <w:highlight w:val="none"/>
        </w:rPr>
        <w:t>第十三条　保密约定</w:t>
      </w:r>
      <w:bookmarkEnd w:id="24"/>
      <w:bookmarkEnd w:id="25"/>
    </w:p>
    <w:p w14:paraId="635A5961">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14:paraId="22972021">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14:paraId="7198FF8E">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13.3 甲方的律师、会计师、承包商和顾问为提供专业协助而需要了解保密信息时，甲方可向其披露保密信息，但是，其应要求上述人员签订保密协议或按照有关职业道德标准履行保密义务。</w:t>
      </w:r>
    </w:p>
    <w:p w14:paraId="404177AA">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13.4 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14:paraId="0E2E459F">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13.5 在任何情形下，本条所规定的保密义务应永久持续有效。</w:t>
      </w:r>
    </w:p>
    <w:p w14:paraId="0B33A8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 本条规定的保密义务对以下信息不适用：</w:t>
      </w:r>
    </w:p>
    <w:p w14:paraId="7221B4D3">
      <w:pPr>
        <w:spacing w:line="360" w:lineRule="auto"/>
        <w:ind w:left="990"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1）在一方披露时，已经是公众所知的信息，或者在披露后，并非由于甲方或其雇员、律师、会计师、承包商、顾问或者其他人员的过失而成为公众所知的信息；</w:t>
      </w:r>
    </w:p>
    <w:p w14:paraId="23AE76F4">
      <w:pPr>
        <w:spacing w:line="360" w:lineRule="auto"/>
        <w:ind w:left="990"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2）有书面证据证明在披露时已经由甲方掌握的信息，而且信息并非直接或间接来自乙方； </w:t>
      </w:r>
    </w:p>
    <w:p w14:paraId="1251A1A2">
      <w:pPr>
        <w:spacing w:line="360" w:lineRule="auto"/>
        <w:ind w:left="990"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3）有书面证据证明第三方已向甲方披露的信息，而该第三方并不负有保密义务，并且有权做出披露。</w:t>
      </w:r>
    </w:p>
    <w:p w14:paraId="42DEF47D">
      <w:pPr>
        <w:pStyle w:val="35"/>
        <w:ind w:firstLine="6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4"/>
          <w:highlight w:val="none"/>
        </w:rPr>
        <w:t>因项目所需要向本项目业主、监理单位提供相关信息的。</w:t>
      </w:r>
    </w:p>
    <w:p w14:paraId="51478409">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13.7 当本合同解除或终止时，甲方应立即停止使用且不得许可第三方使用乙方的保密信息，同时，甲方应按照乙方的书面要求，将乙方提供的保密信息退还乙方或予以删除或销毁。</w:t>
      </w:r>
    </w:p>
    <w:p w14:paraId="4C02C8E7">
      <w:pPr>
        <w:pStyle w:val="2"/>
        <w:rPr>
          <w:rFonts w:hint="eastAsia" w:ascii="宋体" w:hAnsi="宋体" w:eastAsia="宋体" w:cs="宋体"/>
          <w:color w:val="auto"/>
          <w:highlight w:val="none"/>
        </w:rPr>
      </w:pPr>
      <w:bookmarkStart w:id="26" w:name="_Toc86392968"/>
      <w:bookmarkStart w:id="27" w:name="_Toc161846200"/>
      <w:r>
        <w:rPr>
          <w:rFonts w:hint="eastAsia" w:ascii="宋体" w:hAnsi="宋体" w:eastAsia="宋体" w:cs="宋体"/>
          <w:color w:val="auto"/>
          <w:highlight w:val="none"/>
        </w:rPr>
        <w:t>第十四条　知识产权及其它合法权益</w:t>
      </w:r>
      <w:bookmarkEnd w:id="26"/>
      <w:bookmarkEnd w:id="27"/>
    </w:p>
    <w:p w14:paraId="0D8F3296">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26A3CD3D">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BD4524F">
      <w:pPr>
        <w:pStyle w:val="2"/>
        <w:rPr>
          <w:rFonts w:hint="eastAsia" w:ascii="宋体" w:hAnsi="宋体" w:eastAsia="宋体" w:cs="宋体"/>
          <w:color w:val="auto"/>
          <w:highlight w:val="none"/>
        </w:rPr>
      </w:pPr>
      <w:bookmarkStart w:id="28" w:name="_Toc86392969"/>
      <w:bookmarkStart w:id="29" w:name="_Toc161846201"/>
      <w:r>
        <w:rPr>
          <w:rFonts w:hint="eastAsia" w:ascii="宋体" w:hAnsi="宋体" w:eastAsia="宋体" w:cs="宋体"/>
          <w:color w:val="auto"/>
          <w:highlight w:val="none"/>
        </w:rPr>
        <w:t>第十五条　权利保留</w:t>
      </w:r>
      <w:bookmarkEnd w:id="28"/>
      <w:bookmarkEnd w:id="29"/>
    </w:p>
    <w:p w14:paraId="07572948">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33B4C60C">
      <w:pPr>
        <w:pStyle w:val="2"/>
        <w:rPr>
          <w:rFonts w:hint="eastAsia" w:ascii="宋体" w:hAnsi="宋体" w:eastAsia="宋体" w:cs="宋体"/>
          <w:color w:val="auto"/>
          <w:highlight w:val="none"/>
        </w:rPr>
      </w:pPr>
      <w:bookmarkStart w:id="30" w:name="_Toc161846202"/>
      <w:bookmarkStart w:id="31" w:name="_Toc86392970"/>
      <w:r>
        <w:rPr>
          <w:rFonts w:hint="eastAsia" w:ascii="宋体" w:hAnsi="宋体" w:eastAsia="宋体" w:cs="宋体"/>
          <w:color w:val="auto"/>
          <w:highlight w:val="none"/>
        </w:rPr>
        <w:t>第十六条　不可抗力</w:t>
      </w:r>
      <w:bookmarkEnd w:id="30"/>
      <w:bookmarkEnd w:id="31"/>
    </w:p>
    <w:p w14:paraId="6D2921BC">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16.1 本合同所指不可抗力，是自然灾害、如台风、冰雹、地震、海啸、洪水、火山爆发、山体滑坡、疫情和政府行为（</w:t>
      </w:r>
      <w:r>
        <w:rPr>
          <w:rFonts w:hint="eastAsia" w:ascii="宋体" w:hAnsi="宋体" w:cs="宋体"/>
          <w:color w:val="auto"/>
          <w:sz w:val="24"/>
          <w:highlight w:val="none"/>
          <w:lang w:eastAsia="zh-CN"/>
        </w:rPr>
        <w:t>如</w:t>
      </w:r>
      <w:r>
        <w:rPr>
          <w:rFonts w:hint="eastAsia" w:ascii="宋体" w:hAnsi="宋体" w:eastAsia="宋体" w:cs="宋体"/>
          <w:color w:val="auto"/>
          <w:sz w:val="24"/>
          <w:highlight w:val="none"/>
        </w:rPr>
        <w:t>政府政策导致项目废止）及社会异常事件（如战争、武装冲突、罢工、骚乱、暴动等）。</w:t>
      </w:r>
    </w:p>
    <w:p w14:paraId="72C35FFC">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26BCFA15">
      <w:pPr>
        <w:spacing w:line="360" w:lineRule="auto"/>
        <w:ind w:left="870"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1）受阻方不能全部或部分履行其义务，是由于不可抗力事件直接造成的，且在不可抗力发生前受阻方不存在迟延履行相关义务的情形；</w:t>
      </w:r>
    </w:p>
    <w:p w14:paraId="4664BB30">
      <w:pPr>
        <w:spacing w:line="360" w:lineRule="auto"/>
        <w:ind w:left="870"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2）受阻方已尽最大努力履行义务并减少由于不可抗力事件给另一方造成的损失；</w:t>
      </w:r>
    </w:p>
    <w:p w14:paraId="7C6B402E">
      <w:pPr>
        <w:spacing w:line="360" w:lineRule="auto"/>
        <w:ind w:left="870"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44C5985D">
      <w:pPr>
        <w:spacing w:line="360" w:lineRule="auto"/>
        <w:ind w:left="72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42FC5CD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0447F130">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16.5 当事人迟延履行后发生不可抗力的，不能免除责任。</w:t>
      </w:r>
    </w:p>
    <w:p w14:paraId="0D7560FE">
      <w:pPr>
        <w:pStyle w:val="2"/>
        <w:rPr>
          <w:rFonts w:hint="eastAsia" w:ascii="宋体" w:hAnsi="宋体" w:eastAsia="宋体" w:cs="宋体"/>
          <w:color w:val="auto"/>
          <w:highlight w:val="none"/>
        </w:rPr>
      </w:pPr>
      <w:bookmarkStart w:id="32" w:name="_Toc86392971"/>
      <w:bookmarkStart w:id="33" w:name="_Toc161846203"/>
      <w:r>
        <w:rPr>
          <w:rFonts w:hint="eastAsia" w:ascii="宋体" w:hAnsi="宋体" w:eastAsia="宋体" w:cs="宋体"/>
          <w:color w:val="auto"/>
          <w:highlight w:val="none"/>
        </w:rPr>
        <w:t>第十七条　法律适用及争议解决</w:t>
      </w:r>
      <w:bookmarkEnd w:id="32"/>
      <w:bookmarkEnd w:id="33"/>
    </w:p>
    <w:p w14:paraId="4823A8DE">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bookmarkStart w:id="34" w:name="_Toc68613779"/>
      <w:bookmarkStart w:id="35" w:name="_Toc86392972"/>
      <w:bookmarkStart w:id="36" w:name="_Toc49001500"/>
      <w:bookmarkStart w:id="37" w:name="_Toc49080816"/>
      <w:bookmarkStart w:id="38" w:name="_Toc161846204"/>
      <w:r>
        <w:rPr>
          <w:rFonts w:hint="default" w:ascii="宋体" w:hAnsi="宋体" w:eastAsia="宋体"/>
          <w:bCs/>
          <w:color w:val="auto"/>
          <w:kern w:val="0"/>
          <w:sz w:val="24"/>
          <w:szCs w:val="24"/>
          <w:highlight w:val="none"/>
          <w:lang w:val="en-US" w:eastAsia="zh-CN" w:bidi="ar-SA"/>
        </w:rPr>
        <w:t>17.1 本合同的成立、有效性、解释、履行、签署、修订和终止以及争议的解决均应适用中华人民共和国法律。</w:t>
      </w:r>
    </w:p>
    <w:p w14:paraId="264CB414">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17.2 如果任何争议或权利要求起因于本合同或与本合同有关或与本合同的解释、违约、终止或效力有关，都应由双方通过友好协商解决。协商应在一方向另一方送达关于协商的书面要求后立即开始。</w:t>
      </w:r>
    </w:p>
    <w:p w14:paraId="12F3EC38">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17.3 如果在一方提出协商要求后的十天内，双方通过协商不能解决争议，则各方同意</w:t>
      </w:r>
    </w:p>
    <w:p w14:paraId="23D652DD">
      <w:pPr>
        <w:snapToGrid w:val="0"/>
        <w:spacing w:line="360" w:lineRule="auto"/>
        <w:ind w:left="598" w:leftChars="285"/>
        <w:rPr>
          <w:rFonts w:hint="default" w:ascii="宋体" w:hAnsi="宋体" w:eastAsia="宋体"/>
          <w:bCs/>
          <w:color w:val="auto"/>
          <w:kern w:val="0"/>
          <w:sz w:val="24"/>
          <w:szCs w:val="24"/>
          <w:highlight w:val="none"/>
          <w:lang w:val="en-US" w:eastAsia="zh-CN" w:bidi="ar-SA"/>
        </w:rPr>
      </w:pPr>
      <w:r>
        <w:rPr>
          <w:rFonts w:hint="eastAsia" w:ascii="宋体" w:hAnsi="宋体" w:eastAsia="宋体"/>
          <w:bCs/>
          <w:color w:val="auto"/>
          <w:kern w:val="0"/>
          <w:sz w:val="24"/>
          <w:szCs w:val="24"/>
          <w:highlight w:val="none"/>
          <w:lang w:val="en-US" w:eastAsia="zh-CN" w:bidi="ar-SA"/>
        </w:rPr>
        <w:t>将该争议提交至长沙仲裁委员会仲裁解决。</w:t>
      </w:r>
    </w:p>
    <w:p w14:paraId="1D827406">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 xml:space="preserve">17.4 </w:t>
      </w:r>
      <w:r>
        <w:rPr>
          <w:rFonts w:hint="eastAsia" w:ascii="宋体" w:hAnsi="宋体" w:eastAsia="宋体"/>
          <w:bCs/>
          <w:color w:val="auto"/>
          <w:kern w:val="0"/>
          <w:sz w:val="24"/>
          <w:szCs w:val="24"/>
          <w:highlight w:val="none"/>
          <w:lang w:val="en-US" w:eastAsia="zh-CN" w:bidi="ar-SA"/>
        </w:rPr>
        <w:t>仲裁</w:t>
      </w:r>
      <w:r>
        <w:rPr>
          <w:rFonts w:hint="default" w:ascii="宋体" w:hAnsi="宋体" w:eastAsia="宋体"/>
          <w:bCs/>
          <w:color w:val="auto"/>
          <w:kern w:val="0"/>
          <w:sz w:val="24"/>
          <w:szCs w:val="24"/>
          <w:highlight w:val="none"/>
          <w:lang w:val="en-US" w:eastAsia="zh-CN" w:bidi="ar-SA"/>
        </w:rPr>
        <w:t>进行过程中，除双方有争议的部分外，本合同其他部分仍然有效，各方应继续履行。</w:t>
      </w:r>
    </w:p>
    <w:p w14:paraId="4084B270">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17.5 每一方同意使用本合同通知与送达条款规定的方式送达与</w:t>
      </w:r>
      <w:r>
        <w:rPr>
          <w:rFonts w:hint="eastAsia" w:ascii="宋体" w:hAnsi="宋体" w:eastAsia="宋体"/>
          <w:bCs/>
          <w:color w:val="auto"/>
          <w:kern w:val="0"/>
          <w:sz w:val="24"/>
          <w:szCs w:val="24"/>
          <w:highlight w:val="none"/>
          <w:lang w:val="en-US" w:eastAsia="zh-CN" w:bidi="ar-SA"/>
        </w:rPr>
        <w:t>仲裁</w:t>
      </w:r>
      <w:r>
        <w:rPr>
          <w:rFonts w:hint="default" w:ascii="宋体" w:hAnsi="宋体" w:eastAsia="宋体"/>
          <w:bCs/>
          <w:color w:val="auto"/>
          <w:kern w:val="0"/>
          <w:sz w:val="24"/>
          <w:szCs w:val="24"/>
          <w:highlight w:val="none"/>
          <w:lang w:val="en-US" w:eastAsia="zh-CN" w:bidi="ar-SA"/>
        </w:rPr>
        <w:t>或强制执行有关的传票、通知或其他文件。本合同通知与送达条款中的任何规定均不应影响一方以法律允许的其他方式送达上述传票、通知或其他文件的权利。</w:t>
      </w:r>
    </w:p>
    <w:p w14:paraId="5E462B65">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17.6 本合同全部或部分无效的，本条依然有效。</w:t>
      </w:r>
    </w:p>
    <w:p w14:paraId="6E354933">
      <w:pPr>
        <w:pStyle w:val="2"/>
        <w:rPr>
          <w:rFonts w:hint="eastAsia" w:ascii="宋体" w:hAnsi="宋体" w:eastAsia="宋体" w:cs="宋体"/>
          <w:color w:val="auto"/>
          <w:highlight w:val="none"/>
        </w:rPr>
      </w:pPr>
      <w:r>
        <w:rPr>
          <w:rFonts w:hint="eastAsia" w:ascii="宋体" w:hAnsi="宋体" w:eastAsia="宋体" w:cs="宋体"/>
          <w:color w:val="auto"/>
          <w:highlight w:val="none"/>
        </w:rPr>
        <w:t>第十八条  通知与送达</w:t>
      </w:r>
      <w:bookmarkEnd w:id="34"/>
      <w:bookmarkEnd w:id="35"/>
      <w:bookmarkEnd w:id="36"/>
      <w:bookmarkEnd w:id="37"/>
      <w:bookmarkEnd w:id="38"/>
    </w:p>
    <w:p w14:paraId="7F7C551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321F6E34">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7B5B86D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18.3 各方地址与联系方式如下：</w:t>
      </w:r>
    </w:p>
    <w:p w14:paraId="515E8281">
      <w:pPr>
        <w:spacing w:line="360" w:lineRule="auto"/>
        <w:ind w:firstLine="6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如致甲方：</w:t>
      </w:r>
    </w:p>
    <w:p w14:paraId="54566A57">
      <w:pPr>
        <w:spacing w:line="360" w:lineRule="auto"/>
        <w:ind w:firstLine="600" w:firstLineChars="250"/>
        <w:rPr>
          <w:rFonts w:hint="default"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中机国际工程设计研究院有限责任公司</w:t>
      </w:r>
    </w:p>
    <w:p w14:paraId="77BBBAAE">
      <w:pPr>
        <w:spacing w:line="360" w:lineRule="auto"/>
        <w:ind w:firstLine="600" w:firstLineChars="250"/>
        <w:rPr>
          <w:rFonts w:hint="eastAsia" w:ascii="宋体" w:hAnsi="宋体" w:eastAsia="宋体"/>
          <w:color w:val="auto"/>
          <w:kern w:val="0"/>
          <w:sz w:val="24"/>
          <w:szCs w:val="20"/>
          <w:highlight w:val="none"/>
          <w:lang w:val="en-US" w:eastAsia="zh-CN" w:bidi="ar-SA"/>
        </w:rPr>
      </w:pPr>
      <w:r>
        <w:rPr>
          <w:rFonts w:hint="eastAsia" w:ascii="宋体" w:hAnsi="宋体" w:eastAsia="宋体" w:cs="宋体"/>
          <w:color w:val="auto"/>
          <w:kern w:val="0"/>
          <w:sz w:val="24"/>
          <w:szCs w:val="24"/>
          <w:highlight w:val="none"/>
          <w:lang w:val="en-US" w:eastAsia="zh-CN" w:bidi="ar-SA"/>
        </w:rPr>
        <w:t>姓    名：任静</w:t>
      </w:r>
    </w:p>
    <w:p w14:paraId="2645DC80">
      <w:pPr>
        <w:spacing w:line="360" w:lineRule="auto"/>
        <w:ind w:firstLine="600" w:firstLineChars="250"/>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    址：</w:t>
      </w:r>
      <w:r>
        <w:rPr>
          <w:rFonts w:hint="eastAsia" w:ascii="宋体" w:hAnsi="宋体" w:eastAsia="宋体" w:cs="宋体"/>
          <w:color w:val="auto"/>
          <w:kern w:val="2"/>
          <w:sz w:val="24"/>
          <w:highlight w:val="none"/>
          <w:lang w:val="en-US" w:eastAsia="zh-CN" w:bidi="ar-SA"/>
        </w:rPr>
        <w:t>长沙市</w:t>
      </w:r>
      <w:r>
        <w:rPr>
          <w:rFonts w:hint="eastAsia" w:ascii="宋体" w:hAnsi="宋体" w:eastAsia="宋体" w:cs="宋体"/>
          <w:color w:val="auto"/>
          <w:kern w:val="2"/>
          <w:sz w:val="24"/>
          <w:szCs w:val="24"/>
          <w:highlight w:val="none"/>
          <w:lang w:val="en-US" w:eastAsia="zh-CN" w:bidi="ar-SA"/>
        </w:rPr>
        <w:t>雨花区</w:t>
      </w:r>
      <w:r>
        <w:rPr>
          <w:rFonts w:hint="eastAsia" w:ascii="宋体" w:hAnsi="宋体" w:eastAsia="宋体" w:cs="宋体"/>
          <w:color w:val="auto"/>
          <w:kern w:val="2"/>
          <w:sz w:val="24"/>
          <w:highlight w:val="none"/>
          <w:lang w:val="en-US" w:eastAsia="zh-CN" w:bidi="ar-SA"/>
        </w:rPr>
        <w:t>韶山中路18号</w:t>
      </w:r>
    </w:p>
    <w:p w14:paraId="158C3359">
      <w:pPr>
        <w:spacing w:line="360" w:lineRule="auto"/>
        <w:ind w:firstLine="600" w:firstLineChars="25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电    话：</w:t>
      </w:r>
      <w:r>
        <w:rPr>
          <w:rFonts w:hint="eastAsia" w:ascii="宋体" w:hAnsi="宋体" w:eastAsia="宋体" w:cs="宋体"/>
          <w:color w:val="auto"/>
          <w:kern w:val="2"/>
          <w:sz w:val="24"/>
          <w:szCs w:val="24"/>
          <w:highlight w:val="none"/>
          <w:lang w:val="en-US" w:eastAsia="zh-CN" w:bidi="ar-SA"/>
        </w:rPr>
        <w:t>18274847386</w:t>
      </w:r>
    </w:p>
    <w:p w14:paraId="610D1A46">
      <w:pPr>
        <w:spacing w:line="360" w:lineRule="auto"/>
        <w:ind w:firstLine="600" w:firstLineChars="250"/>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邮政编码：</w:t>
      </w:r>
      <w:r>
        <w:rPr>
          <w:rFonts w:hint="eastAsia" w:ascii="宋体" w:hAnsi="宋体" w:eastAsia="宋体" w:cs="宋体"/>
          <w:color w:val="auto"/>
          <w:kern w:val="2"/>
          <w:sz w:val="24"/>
          <w:szCs w:val="24"/>
          <w:highlight w:val="none"/>
          <w:lang w:val="en-US" w:eastAsia="zh-CN" w:bidi="ar-SA"/>
        </w:rPr>
        <w:t>410007</w:t>
      </w:r>
    </w:p>
    <w:p w14:paraId="06DAE20C">
      <w:pPr>
        <w:spacing w:line="360" w:lineRule="auto"/>
        <w:ind w:firstLine="600" w:firstLineChars="25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电子邮箱：</w:t>
      </w:r>
      <w:r>
        <w:rPr>
          <w:rFonts w:hint="eastAsia" w:ascii="宋体" w:hAnsi="宋体" w:eastAsia="宋体" w:cs="宋体"/>
          <w:color w:val="auto"/>
          <w:kern w:val="2"/>
          <w:sz w:val="24"/>
          <w:szCs w:val="24"/>
          <w:highlight w:val="none"/>
          <w:lang w:val="en-US" w:eastAsia="zh-CN" w:bidi="ar-SA"/>
        </w:rPr>
        <w:t>renjing@cmie.cn</w:t>
      </w:r>
    </w:p>
    <w:p w14:paraId="14541DA3">
      <w:pPr>
        <w:spacing w:line="360" w:lineRule="auto"/>
        <w:ind w:left="600" w:hanging="600"/>
        <w:rPr>
          <w:rFonts w:hint="eastAsia" w:ascii="宋体" w:hAnsi="宋体" w:eastAsia="宋体" w:cs="宋体"/>
          <w:bCs/>
          <w:color w:val="auto"/>
          <w:sz w:val="24"/>
          <w:szCs w:val="24"/>
          <w:highlight w:val="none"/>
        </w:rPr>
      </w:pPr>
    </w:p>
    <w:p w14:paraId="05117F0D">
      <w:pPr>
        <w:spacing w:line="360" w:lineRule="auto"/>
        <w:ind w:firstLine="6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如致乙方：</w:t>
      </w:r>
    </w:p>
    <w:p w14:paraId="6693C4CD">
      <w:pPr>
        <w:spacing w:line="360" w:lineRule="auto"/>
        <w:ind w:firstLine="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姓    名：</w:t>
      </w:r>
    </w:p>
    <w:p w14:paraId="032BB1E4">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14:paraId="50FDFBEA">
      <w:pPr>
        <w:spacing w:line="360" w:lineRule="auto"/>
        <w:ind w:firstLine="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p>
    <w:p w14:paraId="26F2B7B4">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14:paraId="59446B97">
      <w:pPr>
        <w:spacing w:line="360" w:lineRule="auto"/>
        <w:ind w:firstLine="60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电子邮箱：</w:t>
      </w:r>
    </w:p>
    <w:p w14:paraId="422D6270">
      <w:pPr>
        <w:pStyle w:val="2"/>
        <w:rPr>
          <w:rFonts w:hint="eastAsia" w:ascii="宋体" w:hAnsi="宋体" w:eastAsia="宋体" w:cs="宋体"/>
          <w:color w:val="auto"/>
          <w:highlight w:val="none"/>
        </w:rPr>
      </w:pPr>
      <w:bookmarkStart w:id="39" w:name="_Toc86392973"/>
      <w:bookmarkStart w:id="40" w:name="_Toc161846205"/>
      <w:r>
        <w:rPr>
          <w:rFonts w:hint="eastAsia" w:ascii="宋体" w:hAnsi="宋体" w:eastAsia="宋体" w:cs="宋体"/>
          <w:color w:val="auto"/>
          <w:highlight w:val="none"/>
        </w:rPr>
        <w:t>第十九条　合同生效及其他</w:t>
      </w:r>
      <w:bookmarkEnd w:id="39"/>
      <w:bookmarkEnd w:id="40"/>
    </w:p>
    <w:p w14:paraId="5C3F791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19.1 整体合同。本合同及其附件构成各方就本合同标的达成的完整协议，取代以前各方就本合同标的所达成的所有书面的协议、协商、意向书以及其他协议和文件。</w:t>
      </w:r>
    </w:p>
    <w:p w14:paraId="4D6D476D">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19.2 转让。未经合同另一方书面同意，一方不得转让本合同项下任何权利义务。</w:t>
      </w:r>
    </w:p>
    <w:p w14:paraId="05E8CF7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19.3 语言和文本。本合同以中文签署，一式</w:t>
      </w:r>
      <w:r>
        <w:rPr>
          <w:rFonts w:hint="eastAsia" w:ascii="宋体" w:hAnsi="宋体" w:eastAsia="宋体" w:cs="宋体"/>
          <w:color w:val="auto"/>
          <w:sz w:val="22"/>
          <w:szCs w:val="22"/>
          <w:highlight w:val="none"/>
        </w:rPr>
        <w:t>【陆】</w:t>
      </w:r>
      <w:r>
        <w:rPr>
          <w:rFonts w:hint="eastAsia" w:ascii="宋体" w:hAnsi="宋体" w:eastAsia="宋体" w:cs="宋体"/>
          <w:color w:val="auto"/>
          <w:sz w:val="24"/>
          <w:highlight w:val="none"/>
        </w:rPr>
        <w:t>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2"/>
          <w:szCs w:val="22"/>
          <w:highlight w:val="none"/>
        </w:rPr>
        <w:t>【叁】</w:t>
      </w:r>
      <w:r>
        <w:rPr>
          <w:rFonts w:hint="eastAsia" w:ascii="宋体" w:hAnsi="宋体" w:eastAsia="宋体" w:cs="宋体"/>
          <w:color w:val="auto"/>
          <w:sz w:val="24"/>
          <w:szCs w:val="24"/>
          <w:highlight w:val="none"/>
        </w:rPr>
        <w:t>份</w:t>
      </w:r>
      <w:r>
        <w:rPr>
          <w:rFonts w:hint="eastAsia" w:ascii="宋体" w:hAnsi="宋体" w:eastAsia="宋体" w:cs="宋体"/>
          <w:color w:val="auto"/>
          <w:sz w:val="24"/>
          <w:highlight w:val="none"/>
        </w:rPr>
        <w:t>，具有相同法律效力。合同中手写体与印刷体具有同等法律效力。</w:t>
      </w:r>
    </w:p>
    <w:p w14:paraId="6421E489">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19.4 标题。本合同中加入的各章、条、款、项的标题仅为方便阅读而设，不应对本合同的含义或解释有任何影响。</w:t>
      </w:r>
    </w:p>
    <w:p w14:paraId="267F62C4">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192136C4">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19.6 费用。本合同各方应各自承担其自身与本合同及本合同项下的交易有关的所有开支和费用（包括法律费用），本合同另有规定的除外。</w:t>
      </w:r>
    </w:p>
    <w:p w14:paraId="79C27FF3">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19.7 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3D6F9014">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670F9F69">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19.9 合同生效及效力。本合同已由双方加盖公司印章(公章或合同专用章)，自双方盖章之日起生效。合同将保持其效力直至各方已完全履行合同项下的所有义务并且各方之间的所有付款和索赔已结清。</w:t>
      </w:r>
    </w:p>
    <w:p w14:paraId="28DB4A97">
      <w:pPr>
        <w:keepNext w:val="0"/>
        <w:keepLines w:val="0"/>
        <w:pageBreakBefore w:val="0"/>
        <w:widowControl w:val="0"/>
        <w:kinsoku/>
        <w:wordWrap/>
        <w:overflowPunct/>
        <w:topLinePunct w:val="0"/>
        <w:autoSpaceDE/>
        <w:autoSpaceDN/>
        <w:bidi w:val="0"/>
        <w:adjustRightInd/>
        <w:snapToGrid/>
        <w:spacing w:line="360" w:lineRule="auto"/>
        <w:ind w:left="726" w:hanging="72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19.10 合同附件。合同附件为本合同的组成部分，与本合同正文具有同等法律效力。若合同附件与合同正文有任何冲突，以合同正文为准。</w:t>
      </w:r>
    </w:p>
    <w:p w14:paraId="7A4A78F1">
      <w:pPr>
        <w:pStyle w:val="35"/>
        <w:ind w:firstLine="0"/>
        <w:rPr>
          <w:rFonts w:hint="eastAsia" w:ascii="宋体" w:hAnsi="宋体" w:eastAsia="宋体" w:cs="宋体"/>
          <w:color w:val="auto"/>
          <w:highlight w:val="none"/>
        </w:rPr>
      </w:pPr>
    </w:p>
    <w:p w14:paraId="66D35A59">
      <w:pPr>
        <w:spacing w:line="360" w:lineRule="auto"/>
        <w:ind w:left="964" w:hanging="9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附件一：</w:t>
      </w:r>
      <w:r>
        <w:rPr>
          <w:rFonts w:hint="eastAsia"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eastAsia="zh-CN"/>
        </w:rPr>
        <w:t>兴宁市工业园200mw/400mwh新型共享电站项目 变压器</w:t>
      </w:r>
      <w:r>
        <w:rPr>
          <w:rFonts w:hint="eastAsia" w:asciiTheme="minorEastAsia" w:hAnsiTheme="minorEastAsia" w:eastAsiaTheme="minorEastAsia"/>
          <w:color w:val="auto"/>
          <w:sz w:val="24"/>
          <w:highlight w:val="none"/>
        </w:rPr>
        <w:t>技术规范书》、</w:t>
      </w:r>
      <w:r>
        <w:rPr>
          <w:rFonts w:hint="eastAsia" w:eastAsia="宋体" w:asciiTheme="minorEastAsia" w:hAnsiTheme="minorEastAsia"/>
          <w:color w:val="auto"/>
          <w:sz w:val="24"/>
          <w:highlight w:val="none"/>
          <w:lang w:eastAsia="zh-CN"/>
        </w:rPr>
        <w:t>图纸</w:t>
      </w:r>
    </w:p>
    <w:p w14:paraId="1410160D">
      <w:pPr>
        <w:spacing w:before="38"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附件二：《</w:t>
      </w:r>
      <w:r>
        <w:rPr>
          <w:rFonts w:hint="eastAsia" w:ascii="宋体" w:hAnsi="宋体" w:eastAsia="宋体" w:cs="宋体"/>
          <w:color w:val="auto"/>
          <w:sz w:val="24"/>
          <w:highlight w:val="none"/>
        </w:rPr>
        <w:t>设备材料采购合同价款支付申请（核准）表</w:t>
      </w:r>
      <w:r>
        <w:rPr>
          <w:rFonts w:hint="eastAsia" w:ascii="宋体" w:hAnsi="宋体" w:eastAsia="宋体" w:cs="宋体"/>
          <w:b/>
          <w:bCs/>
          <w:color w:val="auto"/>
          <w:sz w:val="24"/>
          <w:highlight w:val="none"/>
        </w:rPr>
        <w:t>》</w:t>
      </w:r>
    </w:p>
    <w:p w14:paraId="48A7E248">
      <w:pPr>
        <w:spacing w:before="38"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附件三：《</w:t>
      </w:r>
      <w:r>
        <w:rPr>
          <w:rFonts w:hint="eastAsia" w:ascii="宋体" w:hAnsi="宋体" w:eastAsia="宋体" w:cs="宋体"/>
          <w:color w:val="auto"/>
          <w:sz w:val="24"/>
          <w:highlight w:val="none"/>
        </w:rPr>
        <w:t>分包/采购廉政确认函</w:t>
      </w:r>
      <w:r>
        <w:rPr>
          <w:rFonts w:hint="eastAsia" w:ascii="宋体" w:hAnsi="宋体" w:eastAsia="宋体" w:cs="宋体"/>
          <w:b/>
          <w:bCs/>
          <w:color w:val="auto"/>
          <w:sz w:val="24"/>
          <w:highlight w:val="none"/>
        </w:rPr>
        <w:t>》</w:t>
      </w:r>
    </w:p>
    <w:p w14:paraId="0F829B44">
      <w:pPr>
        <w:pStyle w:val="35"/>
        <w:ind w:firstLine="0"/>
        <w:rPr>
          <w:rFonts w:hint="eastAsia" w:ascii="宋体" w:hAnsi="宋体" w:eastAsia="宋体" w:cs="宋体"/>
          <w:color w:val="auto"/>
          <w:highlight w:val="none"/>
        </w:rPr>
      </w:pPr>
      <w:r>
        <w:rPr>
          <w:rFonts w:hint="eastAsia" w:ascii="宋体" w:hAnsi="宋体" w:eastAsia="宋体" w:cs="宋体"/>
          <w:b/>
          <w:bCs/>
          <w:color w:val="auto"/>
          <w:highlight w:val="none"/>
        </w:rPr>
        <w:t>附件四：《</w:t>
      </w:r>
      <w:r>
        <w:rPr>
          <w:rFonts w:hint="eastAsia" w:ascii="宋体" w:hAnsi="宋体" w:eastAsia="宋体" w:cs="宋体"/>
          <w:color w:val="auto"/>
          <w:highlight w:val="none"/>
        </w:rPr>
        <w:t>分项报价表</w:t>
      </w:r>
      <w:r>
        <w:rPr>
          <w:rFonts w:hint="eastAsia" w:ascii="宋体" w:hAnsi="宋体" w:eastAsia="宋体" w:cs="宋体"/>
          <w:b/>
          <w:bCs/>
          <w:color w:val="auto"/>
          <w:highlight w:val="none"/>
        </w:rPr>
        <w:t>》</w:t>
      </w:r>
    </w:p>
    <w:p w14:paraId="1C361FF9">
      <w:pPr>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（下无正文）</w:t>
      </w:r>
    </w:p>
    <w:p w14:paraId="6FDF4184">
      <w:pPr>
        <w:spacing w:line="500" w:lineRule="exact"/>
        <w:rPr>
          <w:rFonts w:hint="eastAsia" w:ascii="宋体" w:hAnsi="宋体" w:eastAsia="宋体" w:cs="宋体"/>
          <w:color w:val="auto"/>
          <w:sz w:val="24"/>
          <w:szCs w:val="24"/>
          <w:highlight w:val="none"/>
        </w:rPr>
      </w:pPr>
    </w:p>
    <w:p w14:paraId="52291FC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clear="all"/>
      </w:r>
      <w:r>
        <w:rPr>
          <w:rFonts w:hint="eastAsia" w:ascii="宋体" w:hAnsi="宋体" w:eastAsia="宋体" w:cs="宋体"/>
          <w:color w:val="auto"/>
          <w:sz w:val="24"/>
          <w:szCs w:val="24"/>
          <w:highlight w:val="none"/>
        </w:rPr>
        <w:t>（签字页，本页无正文）</w:t>
      </w:r>
    </w:p>
    <w:p w14:paraId="6AD949B6">
      <w:pPr>
        <w:spacing w:before="79" w:after="79"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兹证明，签字方已经于本合同第一条列示日期正式签署本协议。</w:t>
      </w:r>
    </w:p>
    <w:tbl>
      <w:tblPr>
        <w:tblStyle w:val="36"/>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822"/>
      </w:tblGrid>
      <w:tr w14:paraId="6490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noWrap w:val="0"/>
          </w:tcPr>
          <w:p w14:paraId="5D9A4BC0">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p>
          <w:p w14:paraId="16916CB5">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单位名称（章）：中机国际工程设计研究院</w:t>
            </w:r>
          </w:p>
          <w:p w14:paraId="082B0B9B">
            <w:pPr>
              <w:spacing w:line="480" w:lineRule="auto"/>
              <w:ind w:firstLine="19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有限责任公司</w:t>
            </w:r>
          </w:p>
          <w:p w14:paraId="3EF60EBD">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单位地址：湖南省长沙市韶山中路18号</w:t>
            </w:r>
          </w:p>
          <w:p w14:paraId="025DE5C0">
            <w:pPr>
              <w:spacing w:line="480" w:lineRule="auto"/>
              <w:rPr>
                <w:rFonts w:hint="eastAsia" w:ascii="宋体" w:hAnsi="宋体" w:eastAsia="宋体" w:cs="宋体"/>
                <w:color w:val="auto"/>
                <w:sz w:val="24"/>
                <w:szCs w:val="24"/>
                <w:highlight w:val="none"/>
              </w:rPr>
            </w:pPr>
          </w:p>
          <w:p w14:paraId="478D8DC9">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法定代表人：陈蕃</w:t>
            </w:r>
          </w:p>
          <w:p w14:paraId="6180E80D">
            <w:pPr>
              <w:pStyle w:val="32"/>
              <w:widowControl w:val="0"/>
              <w:spacing w:beforeAutospacing="0" w:afterAutospacing="0" w:line="480" w:lineRule="auto"/>
              <w:jc w:val="both"/>
              <w:rPr>
                <w:rFonts w:hint="eastAsia" w:ascii="宋体" w:hAnsi="宋体" w:eastAsia="宋体" w:cs="宋体"/>
                <w:color w:val="auto"/>
                <w:highlight w:val="none"/>
              </w:rPr>
            </w:pPr>
          </w:p>
          <w:p w14:paraId="45B975D5">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5A04FD4A">
            <w:pPr>
              <w:spacing w:line="480" w:lineRule="auto"/>
              <w:rPr>
                <w:rFonts w:hint="eastAsia" w:ascii="宋体" w:hAnsi="宋体" w:eastAsia="宋体" w:cs="宋体"/>
                <w:color w:val="auto"/>
                <w:sz w:val="24"/>
                <w:szCs w:val="24"/>
                <w:highlight w:val="none"/>
              </w:rPr>
            </w:pPr>
          </w:p>
          <w:p w14:paraId="4E73AD98">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签字日期：</w:t>
            </w:r>
          </w:p>
          <w:p w14:paraId="262B3675">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0731-85383359</w:t>
            </w:r>
          </w:p>
          <w:p w14:paraId="21D9103C">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传： 0731-85383359</w:t>
            </w:r>
          </w:p>
          <w:p w14:paraId="0FC00751">
            <w:pPr>
              <w:spacing w:line="480" w:lineRule="auto"/>
              <w:ind w:left="1200" w:hanging="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开户银行：中国建设银行股份有限公司长沙芙蓉支行</w:t>
            </w:r>
          </w:p>
          <w:p w14:paraId="289C083B">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号：4300 1539 0610 5000 2926</w:t>
            </w:r>
          </w:p>
          <w:p w14:paraId="30980280">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税    号：914300004448853216 </w:t>
            </w:r>
          </w:p>
          <w:p w14:paraId="48E2D122">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邮政编码：410007</w:t>
            </w:r>
          </w:p>
        </w:tc>
        <w:tc>
          <w:tcPr>
            <w:tcW w:w="4822" w:type="dxa"/>
            <w:tcBorders>
              <w:top w:val="single" w:color="auto" w:sz="4" w:space="0"/>
              <w:left w:val="single" w:color="auto" w:sz="4" w:space="0"/>
              <w:bottom w:val="single" w:color="auto" w:sz="4" w:space="0"/>
              <w:right w:val="single" w:color="auto" w:sz="4" w:space="0"/>
            </w:tcBorders>
            <w:noWrap w:val="0"/>
          </w:tcPr>
          <w:p w14:paraId="690B2900">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w:t>
            </w:r>
          </w:p>
          <w:p w14:paraId="71B540BF">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单位名称（章）：</w:t>
            </w:r>
          </w:p>
          <w:p w14:paraId="035636AE">
            <w:pPr>
              <w:pStyle w:val="32"/>
              <w:rPr>
                <w:rFonts w:hint="eastAsia" w:cs="宋体"/>
                <w:color w:val="auto"/>
                <w:highlight w:val="none"/>
              </w:rPr>
            </w:pPr>
          </w:p>
          <w:p w14:paraId="7796E19E">
            <w:pPr>
              <w:pStyle w:val="32"/>
              <w:rPr>
                <w:rFonts w:cs="宋体"/>
                <w:color w:val="auto"/>
                <w:highlight w:val="none"/>
              </w:rPr>
            </w:pPr>
            <w:r>
              <w:rPr>
                <w:rFonts w:hint="eastAsia" w:cs="宋体"/>
                <w:color w:val="auto"/>
                <w:highlight w:val="none"/>
              </w:rPr>
              <w:t>单位地址：</w:t>
            </w:r>
          </w:p>
          <w:p w14:paraId="1ED69287">
            <w:pPr>
              <w:spacing w:line="480" w:lineRule="auto"/>
              <w:rPr>
                <w:rFonts w:ascii="宋体" w:hAnsi="宋体" w:cs="宋体"/>
                <w:color w:val="auto"/>
                <w:sz w:val="24"/>
                <w:szCs w:val="24"/>
                <w:highlight w:val="none"/>
              </w:rPr>
            </w:pPr>
          </w:p>
          <w:p w14:paraId="6CB73BF6">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14:paraId="5F06340B">
            <w:pPr>
              <w:spacing w:line="480" w:lineRule="auto"/>
              <w:rPr>
                <w:rFonts w:ascii="宋体" w:hAnsi="宋体" w:cs="宋体"/>
                <w:color w:val="auto"/>
                <w:sz w:val="24"/>
                <w:szCs w:val="24"/>
                <w:highlight w:val="none"/>
              </w:rPr>
            </w:pPr>
          </w:p>
          <w:p w14:paraId="527968EF">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委托代理人：</w:t>
            </w:r>
          </w:p>
          <w:p w14:paraId="09FCF304">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签字日期：</w:t>
            </w:r>
          </w:p>
          <w:p w14:paraId="4636A956">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电    话：电    传：</w:t>
            </w:r>
          </w:p>
          <w:p w14:paraId="7C84A9F8">
            <w:pPr>
              <w:pStyle w:val="32"/>
              <w:rPr>
                <w:rFonts w:hint="eastAsia" w:cs="宋体"/>
                <w:color w:val="auto"/>
                <w:highlight w:val="none"/>
              </w:rPr>
            </w:pPr>
            <w:r>
              <w:rPr>
                <w:rFonts w:hint="eastAsia" w:cs="宋体"/>
                <w:color w:val="auto"/>
                <w:highlight w:val="none"/>
              </w:rPr>
              <w:t>开户银行：帐    号：</w:t>
            </w:r>
          </w:p>
          <w:p w14:paraId="7B679614">
            <w:pPr>
              <w:pStyle w:val="32"/>
              <w:rPr>
                <w:rFonts w:hint="eastAsia" w:cs="宋体"/>
                <w:color w:val="auto"/>
                <w:highlight w:val="none"/>
              </w:rPr>
            </w:pPr>
            <w:r>
              <w:rPr>
                <w:rFonts w:hint="eastAsia" w:cs="宋体"/>
                <w:color w:val="auto"/>
                <w:highlight w:val="none"/>
              </w:rPr>
              <w:t>税    号：</w:t>
            </w:r>
          </w:p>
          <w:p w14:paraId="43313EF4">
            <w:pPr>
              <w:spacing w:line="48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邮政编码：</w:t>
            </w:r>
          </w:p>
        </w:tc>
      </w:tr>
    </w:tbl>
    <w:p w14:paraId="3F5FE037">
      <w:pPr>
        <w:spacing w:line="360" w:lineRule="auto"/>
        <w:rPr>
          <w:rFonts w:hint="eastAsia" w:ascii="宋体" w:hAnsi="宋体" w:eastAsia="宋体" w:cs="宋体"/>
          <w:color w:val="auto"/>
          <w:highlight w:val="none"/>
        </w:rPr>
      </w:pPr>
    </w:p>
    <w:p w14:paraId="7C93025E">
      <w:pPr>
        <w:rPr>
          <w:rFonts w:hint="eastAsia" w:ascii="宋体" w:hAnsi="宋体" w:eastAsia="宋体" w:cs="宋体"/>
          <w:color w:val="auto"/>
          <w:highlight w:val="none"/>
        </w:rPr>
      </w:pPr>
    </w:p>
    <w:p w14:paraId="6A966BDA">
      <w:pPr>
        <w:spacing w:line="360" w:lineRule="auto"/>
        <w:ind w:left="360" w:hanging="360"/>
        <w:rPr>
          <w:rFonts w:hint="eastAsia" w:ascii="宋体" w:hAnsi="宋体" w:eastAsia="宋体" w:cs="宋体"/>
          <w:color w:val="auto"/>
          <w:sz w:val="24"/>
          <w:highlight w:val="none"/>
        </w:rPr>
        <w:sectPr>
          <w:headerReference r:id="rId9" w:type="first"/>
          <w:pgSz w:w="11906" w:h="16838"/>
          <w:pgMar w:top="1452" w:right="1106" w:bottom="1452" w:left="1622" w:header="851" w:footer="992" w:gutter="0"/>
          <w:cols w:space="720" w:num="1"/>
          <w:titlePg/>
          <w:docGrid w:linePitch="360" w:charSpace="0"/>
        </w:sectPr>
      </w:pPr>
    </w:p>
    <w:p w14:paraId="7DE20C69">
      <w:pPr>
        <w:pStyle w:val="2"/>
        <w:rPr>
          <w:rFonts w:hint="eastAsia" w:ascii="宋体" w:hAnsi="宋体" w:eastAsia="宋体" w:cs="宋体"/>
          <w:color w:val="auto"/>
          <w:highlight w:val="none"/>
        </w:rPr>
      </w:pPr>
      <w:bookmarkStart w:id="41" w:name="_Toc161846206"/>
      <w:bookmarkStart w:id="42" w:name="_Toc86392974"/>
      <w:r>
        <w:rPr>
          <w:rFonts w:hint="eastAsia" w:ascii="宋体" w:hAnsi="宋体" w:eastAsia="宋体" w:cs="宋体"/>
          <w:color w:val="auto"/>
          <w:highlight w:val="none"/>
        </w:rPr>
        <w:t>附件一：</w:t>
      </w:r>
      <w:bookmarkEnd w:id="41"/>
      <w:bookmarkEnd w:id="42"/>
    </w:p>
    <w:p w14:paraId="06A6CD8C">
      <w:pPr>
        <w:spacing w:line="360" w:lineRule="auto"/>
        <w:ind w:firstLine="720"/>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eastAsia="zh-CN"/>
        </w:rPr>
        <w:t>兴宁市工业园200mw/400mwh新型共享电站项目变压器技术规范书》</w:t>
      </w:r>
      <w:r>
        <w:rPr>
          <w:rFonts w:hint="eastAsia" w:ascii="宋体" w:hAnsi="宋体" w:eastAsia="宋体" w:cs="宋体"/>
          <w:color w:val="auto"/>
          <w:sz w:val="24"/>
          <w:szCs w:val="24"/>
          <w:highlight w:val="none"/>
        </w:rPr>
        <w:t>，另行造册。</w:t>
      </w:r>
    </w:p>
    <w:p w14:paraId="46ED64BA">
      <w:pPr>
        <w:rPr>
          <w:rFonts w:asciiTheme="minorEastAsia" w:hAnsiTheme="minorEastAsia" w:eastAsiaTheme="minorEastAsia"/>
          <w:color w:val="auto"/>
          <w:sz w:val="36"/>
          <w:szCs w:val="36"/>
          <w:highlight w:val="none"/>
        </w:rPr>
      </w:pPr>
    </w:p>
    <w:p w14:paraId="31DE868B">
      <w:pPr>
        <w:rPr>
          <w:rFonts w:asciiTheme="minorEastAsia" w:hAnsiTheme="minorEastAsia" w:eastAsiaTheme="minorEastAsia"/>
          <w:color w:val="auto"/>
          <w:sz w:val="36"/>
          <w:szCs w:val="36"/>
          <w:highlight w:val="none"/>
        </w:rPr>
      </w:pPr>
    </w:p>
    <w:p w14:paraId="07CA7AD1">
      <w:pPr>
        <w:rPr>
          <w:rFonts w:asciiTheme="minorEastAsia" w:hAnsiTheme="minorEastAsia" w:eastAsiaTheme="minorEastAsia"/>
          <w:color w:val="auto"/>
          <w:sz w:val="36"/>
          <w:szCs w:val="36"/>
          <w:highlight w:val="none"/>
        </w:rPr>
      </w:pPr>
    </w:p>
    <w:p w14:paraId="0FA8417D">
      <w:pPr>
        <w:rPr>
          <w:rFonts w:asciiTheme="minorEastAsia" w:hAnsiTheme="minorEastAsia" w:eastAsiaTheme="minorEastAsia"/>
          <w:color w:val="auto"/>
          <w:sz w:val="36"/>
          <w:szCs w:val="36"/>
          <w:highlight w:val="none"/>
        </w:rPr>
      </w:pPr>
    </w:p>
    <w:p w14:paraId="12DA55E3">
      <w:pPr>
        <w:rPr>
          <w:rFonts w:asciiTheme="minorEastAsia" w:hAnsiTheme="minorEastAsia" w:eastAsiaTheme="minorEastAsia"/>
          <w:color w:val="auto"/>
          <w:sz w:val="36"/>
          <w:szCs w:val="36"/>
          <w:highlight w:val="none"/>
        </w:rPr>
      </w:pPr>
    </w:p>
    <w:p w14:paraId="45C4D2B5">
      <w:pPr>
        <w:rPr>
          <w:rFonts w:asciiTheme="minorEastAsia" w:hAnsiTheme="minorEastAsia" w:eastAsiaTheme="minorEastAsia"/>
          <w:color w:val="auto"/>
          <w:sz w:val="36"/>
          <w:szCs w:val="36"/>
          <w:highlight w:val="none"/>
        </w:rPr>
      </w:pPr>
    </w:p>
    <w:p w14:paraId="12E83439">
      <w:pPr>
        <w:rPr>
          <w:rFonts w:asciiTheme="minorEastAsia" w:hAnsiTheme="minorEastAsia" w:eastAsiaTheme="minorEastAsia"/>
          <w:color w:val="auto"/>
          <w:sz w:val="36"/>
          <w:szCs w:val="36"/>
          <w:highlight w:val="none"/>
        </w:rPr>
      </w:pPr>
    </w:p>
    <w:p w14:paraId="6E55CC42">
      <w:pPr>
        <w:rPr>
          <w:rFonts w:asciiTheme="minorEastAsia" w:hAnsiTheme="minorEastAsia" w:eastAsiaTheme="minorEastAsia"/>
          <w:color w:val="auto"/>
          <w:sz w:val="36"/>
          <w:szCs w:val="36"/>
          <w:highlight w:val="none"/>
        </w:rPr>
      </w:pPr>
    </w:p>
    <w:p w14:paraId="1946AC76">
      <w:pPr>
        <w:rPr>
          <w:rFonts w:asciiTheme="minorEastAsia" w:hAnsiTheme="minorEastAsia" w:eastAsiaTheme="minorEastAsia"/>
          <w:color w:val="auto"/>
          <w:sz w:val="36"/>
          <w:szCs w:val="36"/>
          <w:highlight w:val="none"/>
        </w:rPr>
      </w:pPr>
    </w:p>
    <w:p w14:paraId="4DEC34AD">
      <w:pPr>
        <w:rPr>
          <w:rFonts w:asciiTheme="minorEastAsia" w:hAnsiTheme="minorEastAsia" w:eastAsiaTheme="minorEastAsia"/>
          <w:color w:val="auto"/>
          <w:sz w:val="36"/>
          <w:szCs w:val="36"/>
          <w:highlight w:val="none"/>
        </w:rPr>
      </w:pPr>
    </w:p>
    <w:p w14:paraId="3958F76C">
      <w:pPr>
        <w:rPr>
          <w:rFonts w:asciiTheme="minorEastAsia" w:hAnsiTheme="minorEastAsia" w:eastAsiaTheme="minorEastAsia"/>
          <w:color w:val="auto"/>
          <w:sz w:val="36"/>
          <w:szCs w:val="36"/>
          <w:highlight w:val="none"/>
        </w:rPr>
      </w:pPr>
    </w:p>
    <w:p w14:paraId="79405E9D">
      <w:pPr>
        <w:rPr>
          <w:rFonts w:asciiTheme="minorEastAsia" w:hAnsiTheme="minorEastAsia" w:eastAsiaTheme="minorEastAsia"/>
          <w:color w:val="auto"/>
          <w:sz w:val="36"/>
          <w:szCs w:val="36"/>
          <w:highlight w:val="none"/>
        </w:rPr>
      </w:pPr>
    </w:p>
    <w:p w14:paraId="52AA703D">
      <w:pPr>
        <w:rPr>
          <w:rFonts w:asciiTheme="minorEastAsia" w:hAnsiTheme="minorEastAsia" w:eastAsiaTheme="minorEastAsia"/>
          <w:color w:val="auto"/>
          <w:sz w:val="36"/>
          <w:szCs w:val="36"/>
          <w:highlight w:val="none"/>
        </w:rPr>
      </w:pPr>
    </w:p>
    <w:p w14:paraId="1CC39ED4">
      <w:pPr>
        <w:rPr>
          <w:rFonts w:asciiTheme="minorEastAsia" w:hAnsiTheme="minorEastAsia" w:eastAsiaTheme="minorEastAsia"/>
          <w:color w:val="auto"/>
          <w:sz w:val="36"/>
          <w:szCs w:val="36"/>
          <w:highlight w:val="none"/>
        </w:rPr>
      </w:pPr>
    </w:p>
    <w:p w14:paraId="09F8A4E7">
      <w:pPr>
        <w:rPr>
          <w:rFonts w:asciiTheme="minorEastAsia" w:hAnsiTheme="minorEastAsia" w:eastAsiaTheme="minorEastAsia"/>
          <w:color w:val="auto"/>
          <w:sz w:val="36"/>
          <w:szCs w:val="36"/>
          <w:highlight w:val="none"/>
        </w:rPr>
      </w:pPr>
    </w:p>
    <w:p w14:paraId="36C48FE6">
      <w:pPr>
        <w:rPr>
          <w:rFonts w:asciiTheme="minorEastAsia" w:hAnsiTheme="minorEastAsia" w:eastAsiaTheme="minorEastAsia"/>
          <w:color w:val="auto"/>
          <w:sz w:val="36"/>
          <w:szCs w:val="36"/>
          <w:highlight w:val="none"/>
        </w:rPr>
      </w:pPr>
    </w:p>
    <w:p w14:paraId="179E03C0">
      <w:pPr>
        <w:widowControl/>
        <w:jc w:val="left"/>
        <w:rPr>
          <w:rFonts w:asciiTheme="minorEastAsia" w:hAnsiTheme="minorEastAsia" w:eastAsiaTheme="minorEastAsia"/>
          <w:color w:val="auto"/>
          <w:sz w:val="36"/>
          <w:szCs w:val="36"/>
          <w:highlight w:val="none"/>
        </w:rPr>
      </w:pPr>
      <w:r>
        <w:rPr>
          <w:rFonts w:asciiTheme="minorEastAsia" w:hAnsiTheme="minorEastAsia" w:eastAsiaTheme="minorEastAsia"/>
          <w:color w:val="auto"/>
          <w:sz w:val="36"/>
          <w:szCs w:val="36"/>
          <w:highlight w:val="none"/>
        </w:rPr>
        <w:br w:type="page" w:clear="all"/>
      </w:r>
    </w:p>
    <w:p w14:paraId="41623CE8">
      <w:pPr>
        <w:pStyle w:val="2"/>
        <w:rPr>
          <w:color w:val="auto"/>
          <w:highlight w:val="none"/>
        </w:rPr>
      </w:pPr>
      <w:bookmarkStart w:id="43" w:name="_Toc161846207"/>
      <w:bookmarkStart w:id="44" w:name="_Toc86392975"/>
      <w:r>
        <w:rPr>
          <w:rFonts w:hint="eastAsia"/>
          <w:color w:val="auto"/>
          <w:highlight w:val="none"/>
        </w:rPr>
        <w:t>附件二：</w:t>
      </w:r>
      <w:bookmarkEnd w:id="43"/>
      <w:bookmarkEnd w:id="44"/>
    </w:p>
    <w:tbl>
      <w:tblPr>
        <w:tblStyle w:val="36"/>
        <w:tblpPr w:leftFromText="180" w:rightFromText="180" w:vertAnchor="text" w:horzAnchor="page" w:tblpX="1597" w:tblpY="712"/>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3C29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noWrap w:val="0"/>
            <w:vAlign w:val="center"/>
          </w:tcPr>
          <w:p w14:paraId="0843B9AA">
            <w:pPr>
              <w:pStyle w:val="196"/>
              <w:spacing w:before="1"/>
              <w:ind w:firstLine="63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noWrap w:val="0"/>
            <w:vAlign w:val="center"/>
          </w:tcPr>
          <w:p w14:paraId="6AFD0F50">
            <w:pPr>
              <w:pStyle w:val="196"/>
              <w:rPr>
                <w:rFonts w:asciiTheme="minorEastAsia" w:hAnsiTheme="minorEastAsia" w:eastAsiaTheme="minorEastAsia"/>
                <w:color w:val="auto"/>
                <w:sz w:val="20"/>
                <w:highlight w:val="none"/>
              </w:rPr>
            </w:pPr>
          </w:p>
        </w:tc>
      </w:tr>
      <w:tr w14:paraId="6AA62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noWrap w:val="0"/>
            <w:vAlign w:val="center"/>
          </w:tcPr>
          <w:p w14:paraId="24716676">
            <w:pPr>
              <w:pStyle w:val="196"/>
              <w:spacing w:before="1"/>
              <w:ind w:firstLine="63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noWrap w:val="0"/>
            <w:vAlign w:val="center"/>
          </w:tcPr>
          <w:p w14:paraId="75E83EEF">
            <w:pPr>
              <w:pStyle w:val="196"/>
              <w:rPr>
                <w:rFonts w:asciiTheme="minorEastAsia" w:hAnsiTheme="minorEastAsia" w:eastAsiaTheme="minorEastAsia"/>
                <w:color w:val="auto"/>
                <w:sz w:val="20"/>
                <w:highlight w:val="none"/>
              </w:rPr>
            </w:pPr>
          </w:p>
        </w:tc>
      </w:tr>
      <w:tr w14:paraId="6D2E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noWrap w:val="0"/>
            <w:vAlign w:val="center"/>
          </w:tcPr>
          <w:p w14:paraId="2A26C2C5">
            <w:pPr>
              <w:pStyle w:val="196"/>
              <w:spacing w:before="1"/>
              <w:ind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noWrap w:val="0"/>
            <w:vAlign w:val="center"/>
          </w:tcPr>
          <w:p w14:paraId="50C2992F">
            <w:pPr>
              <w:pStyle w:val="196"/>
              <w:tabs>
                <w:tab w:val="left" w:pos="1503"/>
                <w:tab w:val="left" w:pos="2553"/>
                <w:tab w:val="left" w:pos="3603"/>
                <w:tab w:val="left" w:pos="5807"/>
              </w:tabs>
              <w:spacing w:before="1"/>
              <w:ind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5395D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noWrap w:val="0"/>
            <w:vAlign w:val="center"/>
          </w:tcPr>
          <w:p w14:paraId="2DECE8A2">
            <w:pPr>
              <w:pStyle w:val="196"/>
              <w:ind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554C2922">
            <w:pPr>
              <w:pStyle w:val="196"/>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705C3BB3">
            <w:pPr>
              <w:pStyle w:val="196"/>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236B246B">
            <w:pPr>
              <w:pStyle w:val="196"/>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54F8440">
            <w:pPr>
              <w:pStyle w:val="196"/>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E5129A0">
            <w:pPr>
              <w:pStyle w:val="196"/>
              <w:spacing w:before="5"/>
              <w:rPr>
                <w:rFonts w:asciiTheme="minorEastAsia" w:hAnsiTheme="minorEastAsia" w:eastAsiaTheme="minorEastAsia"/>
                <w:b/>
                <w:color w:val="auto"/>
                <w:highlight w:val="none"/>
              </w:rPr>
            </w:pPr>
          </w:p>
          <w:p w14:paraId="5CEE7AA0">
            <w:pPr>
              <w:pStyle w:val="196"/>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6777E492">
            <w:pPr>
              <w:pStyle w:val="196"/>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5019BC58">
            <w:pPr>
              <w:pStyle w:val="196"/>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C791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noWrap w:val="0"/>
            <w:vAlign w:val="center"/>
          </w:tcPr>
          <w:p w14:paraId="25D9CDE3">
            <w:pPr>
              <w:pStyle w:val="196"/>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noWrap w:val="0"/>
            <w:vAlign w:val="center"/>
          </w:tcPr>
          <w:p w14:paraId="474B0EE2">
            <w:pPr>
              <w:pStyle w:val="196"/>
              <w:rPr>
                <w:rFonts w:asciiTheme="minorEastAsia" w:hAnsiTheme="minorEastAsia" w:eastAsiaTheme="minorEastAsia"/>
                <w:color w:val="auto"/>
                <w:sz w:val="20"/>
                <w:highlight w:val="none"/>
              </w:rPr>
            </w:pPr>
          </w:p>
        </w:tc>
      </w:tr>
      <w:tr w14:paraId="1186B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noWrap w:val="0"/>
            <w:vAlign w:val="center"/>
          </w:tcPr>
          <w:p w14:paraId="7E987ECD">
            <w:pPr>
              <w:pStyle w:val="196"/>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noWrap w:val="0"/>
            <w:vAlign w:val="center"/>
          </w:tcPr>
          <w:p w14:paraId="7BCB2775">
            <w:pPr>
              <w:pStyle w:val="196"/>
              <w:rPr>
                <w:rFonts w:asciiTheme="minorEastAsia" w:hAnsiTheme="minorEastAsia" w:eastAsiaTheme="minorEastAsia"/>
                <w:color w:val="auto"/>
                <w:sz w:val="20"/>
                <w:highlight w:val="none"/>
              </w:rPr>
            </w:pPr>
          </w:p>
        </w:tc>
        <w:tc>
          <w:tcPr>
            <w:tcW w:w="1912" w:type="dxa"/>
            <w:gridSpan w:val="2"/>
            <w:noWrap w:val="0"/>
            <w:vAlign w:val="center"/>
          </w:tcPr>
          <w:p w14:paraId="403B1454">
            <w:pPr>
              <w:pStyle w:val="196"/>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noWrap w:val="0"/>
          </w:tcPr>
          <w:p w14:paraId="667228ED">
            <w:pPr>
              <w:pStyle w:val="196"/>
              <w:rPr>
                <w:rFonts w:asciiTheme="minorEastAsia" w:hAnsiTheme="minorEastAsia" w:eastAsiaTheme="minorEastAsia"/>
                <w:color w:val="auto"/>
                <w:sz w:val="20"/>
                <w:highlight w:val="none"/>
              </w:rPr>
            </w:pPr>
          </w:p>
        </w:tc>
      </w:tr>
      <w:tr w14:paraId="4B49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noWrap w:val="0"/>
          </w:tcPr>
          <w:p w14:paraId="0C7CEE2F">
            <w:pPr>
              <w:pStyle w:val="196"/>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710055B3">
            <w:pPr>
              <w:pStyle w:val="196"/>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noWrap w:val="0"/>
          </w:tcPr>
          <w:p w14:paraId="60582703">
            <w:pPr>
              <w:pStyle w:val="196"/>
              <w:rPr>
                <w:rFonts w:asciiTheme="minorEastAsia" w:hAnsiTheme="minorEastAsia" w:eastAsiaTheme="minorEastAsia"/>
                <w:color w:val="auto"/>
                <w:sz w:val="20"/>
                <w:highlight w:val="none"/>
              </w:rPr>
            </w:pPr>
          </w:p>
        </w:tc>
        <w:tc>
          <w:tcPr>
            <w:tcW w:w="1912" w:type="dxa"/>
            <w:gridSpan w:val="2"/>
            <w:noWrap w:val="0"/>
          </w:tcPr>
          <w:p w14:paraId="02B7DFAD">
            <w:pPr>
              <w:pStyle w:val="196"/>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noWrap w:val="0"/>
          </w:tcPr>
          <w:p w14:paraId="7090E9D2">
            <w:pPr>
              <w:pStyle w:val="196"/>
              <w:rPr>
                <w:rFonts w:asciiTheme="minorEastAsia" w:hAnsiTheme="minorEastAsia" w:eastAsiaTheme="minorEastAsia"/>
                <w:color w:val="auto"/>
                <w:sz w:val="20"/>
                <w:highlight w:val="none"/>
              </w:rPr>
            </w:pPr>
          </w:p>
        </w:tc>
      </w:tr>
      <w:tr w14:paraId="7C49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noWrap w:val="0"/>
          </w:tcPr>
          <w:p w14:paraId="11B56026">
            <w:pPr>
              <w:pStyle w:val="196"/>
              <w:spacing w:before="97"/>
              <w:ind w:left="107"/>
              <w:rPr>
                <w:color w:val="auto"/>
                <w:highlight w:val="none"/>
              </w:rPr>
            </w:pPr>
            <w:r>
              <w:rPr>
                <w:rFonts w:hint="eastAsia"/>
                <w:color w:val="auto"/>
                <w:highlight w:val="none"/>
              </w:rPr>
              <w:t>复核意见：</w:t>
            </w:r>
          </w:p>
          <w:p w14:paraId="7A207628">
            <w:pPr>
              <w:pStyle w:val="196"/>
              <w:spacing w:before="139" w:line="360" w:lineRule="auto"/>
              <w:rPr>
                <w:color w:val="auto"/>
                <w:highlight w:val="none"/>
              </w:rPr>
            </w:pPr>
            <w:r>
              <w:rPr>
                <w:rFonts w:hint="eastAsia"/>
                <w:color w:val="auto"/>
                <w:highlight w:val="none"/>
              </w:rPr>
              <w:t>□与合同约定不相符，修改意见见附件。</w:t>
            </w:r>
          </w:p>
          <w:p w14:paraId="2E9FFB50">
            <w:pPr>
              <w:pStyle w:val="196"/>
              <w:spacing w:line="360" w:lineRule="auto"/>
              <w:rPr>
                <w:b/>
                <w:color w:val="auto"/>
                <w:sz w:val="20"/>
                <w:highlight w:val="none"/>
                <w:lang w:val="en-US" w:eastAsia="zh-CN"/>
              </w:rPr>
            </w:pPr>
            <w:r>
              <w:rPr>
                <w:rFonts w:hint="eastAsia"/>
                <w:color w:val="auto"/>
                <w:highlight w:val="none"/>
              </w:rPr>
              <w:t>□与合同约定相符，具体金额由造价工程师/跟踪审计复核。</w:t>
            </w:r>
            <w:r>
              <w:rPr>
                <w:rFonts w:hint="eastAsia"/>
                <w:color w:val="auto"/>
                <w:highlight w:val="none"/>
                <w:lang w:val="en-US" w:eastAsia="zh-CN"/>
              </w:rPr>
              <w:t xml:space="preserve"> </w:t>
            </w:r>
          </w:p>
          <w:p w14:paraId="20170D04">
            <w:pPr>
              <w:pStyle w:val="196"/>
              <w:tabs>
                <w:tab w:val="left" w:pos="2418"/>
              </w:tabs>
              <w:spacing w:before="240" w:line="365" w:lineRule="auto"/>
              <w:ind w:left="2520" w:right="1128"/>
              <w:rPr>
                <w:rFonts w:eastAsia="MS Mincho"/>
                <w:color w:val="auto"/>
                <w:spacing w:val="-1"/>
                <w:highlight w:val="none"/>
              </w:rPr>
            </w:pPr>
          </w:p>
          <w:p w14:paraId="6DE15A0E">
            <w:pPr>
              <w:pStyle w:val="196"/>
              <w:tabs>
                <w:tab w:val="left" w:pos="2418"/>
              </w:tabs>
              <w:spacing w:before="151" w:line="364" w:lineRule="auto"/>
              <w:ind w:left="2520" w:right="1129"/>
              <w:rPr>
                <w:rFonts w:asciiTheme="minorEastAsia" w:hAnsiTheme="minorEastAsia" w:eastAsiaTheme="minorEastAsia"/>
                <w:color w:val="auto"/>
                <w:highlight w:val="none"/>
              </w:rPr>
            </w:pPr>
            <w:r>
              <w:rPr>
                <w:rFonts w:hint="eastAsia"/>
                <w:color w:val="auto"/>
                <w:spacing w:val="-1"/>
                <w:highlight w:val="none"/>
              </w:rPr>
              <w:t>发包人</w:t>
            </w:r>
            <w:r>
              <w:rPr>
                <w:rFonts w:hint="eastAsia"/>
                <w:color w:val="auto"/>
                <w:highlight w:val="none"/>
              </w:rPr>
              <w:t>工程师（签字） 日期：</w:t>
            </w:r>
          </w:p>
        </w:tc>
        <w:tc>
          <w:tcPr>
            <w:tcW w:w="4055" w:type="dxa"/>
            <w:gridSpan w:val="2"/>
            <w:noWrap w:val="0"/>
          </w:tcPr>
          <w:p w14:paraId="36283CEB">
            <w:pPr>
              <w:pStyle w:val="196"/>
              <w:spacing w:before="97"/>
              <w:ind w:left="107"/>
              <w:rPr>
                <w:color w:val="auto"/>
                <w:highlight w:val="none"/>
              </w:rPr>
            </w:pPr>
            <w:r>
              <w:rPr>
                <w:rFonts w:hint="eastAsia"/>
                <w:color w:val="auto"/>
                <w:highlight w:val="none"/>
              </w:rPr>
              <w:t>复核意见：</w:t>
            </w:r>
          </w:p>
          <w:p w14:paraId="5C98A574">
            <w:pPr>
              <w:pStyle w:val="196"/>
              <w:tabs>
                <w:tab w:val="left" w:pos="2942"/>
              </w:tabs>
              <w:spacing w:before="139" w:line="364" w:lineRule="auto"/>
              <w:ind w:left="107" w:right="97" w:firstLine="212"/>
              <w:rPr>
                <w:rFonts w:eastAsia="MS Mincho"/>
                <w:color w:val="auto"/>
                <w:highlight w:val="none"/>
              </w:rPr>
            </w:pPr>
            <w:r>
              <w:rPr>
                <w:rFonts w:hint="eastAsia"/>
                <w:color w:val="auto"/>
                <w:highlight w:val="none"/>
              </w:rPr>
              <w:t>你方提出的支付申请经复核，本周</w:t>
            </w:r>
            <w:r>
              <w:rPr>
                <w:rFonts w:hint="eastAsia"/>
                <w:color w:val="auto"/>
                <w:spacing w:val="-12"/>
                <w:highlight w:val="none"/>
              </w:rPr>
              <w:t>期</w:t>
            </w:r>
            <w:r>
              <w:rPr>
                <w:rFonts w:hint="eastAsia"/>
                <w:color w:val="auto"/>
                <w:highlight w:val="none"/>
              </w:rPr>
              <w:t>已完成合同款额为</w:t>
            </w:r>
            <w:r>
              <w:rPr>
                <w:rFonts w:hint="eastAsia"/>
                <w:color w:val="auto"/>
                <w:highlight w:val="none"/>
                <w:lang w:eastAsia="zh-CN"/>
              </w:rPr>
              <w:t xml:space="preserve"> </w:t>
            </w:r>
            <w:r>
              <w:rPr>
                <w:rFonts w:eastAsia="MS Mincho"/>
                <w:color w:val="auto"/>
                <w:highlight w:val="none"/>
              </w:rPr>
              <w:t xml:space="preserve">      </w:t>
            </w:r>
            <w:r>
              <w:rPr>
                <w:rFonts w:hint="eastAsia"/>
                <w:color w:val="auto"/>
                <w:highlight w:val="none"/>
              </w:rPr>
              <w:t>，本期间应支付金</w:t>
            </w:r>
            <w:r>
              <w:rPr>
                <w:rFonts w:hint="eastAsia"/>
                <w:color w:val="auto"/>
                <w:spacing w:val="-12"/>
                <w:highlight w:val="none"/>
              </w:rPr>
              <w:t>额</w:t>
            </w:r>
            <w:r>
              <w:rPr>
                <w:rFonts w:hint="eastAsia"/>
                <w:color w:val="auto"/>
                <w:highlight w:val="none"/>
              </w:rPr>
              <w:t>为（小写）</w:t>
            </w:r>
          </w:p>
          <w:p w14:paraId="2DEBF890">
            <w:pPr>
              <w:pStyle w:val="196"/>
              <w:tabs>
                <w:tab w:val="left" w:pos="2942"/>
              </w:tabs>
              <w:spacing w:after="94"/>
              <w:ind w:left="108" w:right="96" w:firstLine="936"/>
              <w:rPr>
                <w:rFonts w:eastAsia="MS Mincho"/>
                <w:color w:val="auto"/>
                <w:spacing w:val="-1"/>
                <w:highlight w:val="none"/>
              </w:rPr>
            </w:pPr>
          </w:p>
          <w:p w14:paraId="07830442">
            <w:pPr>
              <w:pStyle w:val="196"/>
              <w:tabs>
                <w:tab w:val="left" w:pos="2942"/>
              </w:tabs>
              <w:ind w:left="108" w:right="96" w:firstLine="936"/>
              <w:rPr>
                <w:rFonts w:eastAsia="MS Mincho"/>
                <w:color w:val="auto"/>
                <w:highlight w:val="none"/>
              </w:rPr>
            </w:pPr>
            <w:r>
              <w:rPr>
                <w:rFonts w:hint="eastAsia"/>
                <w:color w:val="auto"/>
                <w:spacing w:val="-1"/>
                <w:highlight w:val="none"/>
                <w:lang w:eastAsia="zh-CN"/>
              </w:rPr>
              <w:t>造价</w:t>
            </w:r>
            <w:r>
              <w:rPr>
                <w:rFonts w:hint="eastAsia"/>
                <w:color w:val="auto"/>
                <w:highlight w:val="none"/>
              </w:rPr>
              <w:t xml:space="preserve">工程师（签字） </w:t>
            </w:r>
          </w:p>
          <w:p w14:paraId="2CDA1DD5">
            <w:pPr>
              <w:pStyle w:val="196"/>
              <w:tabs>
                <w:tab w:val="left" w:pos="1578"/>
              </w:tabs>
              <w:spacing w:before="151" w:line="364" w:lineRule="auto"/>
              <w:ind w:left="1470" w:right="758"/>
              <w:rPr>
                <w:rFonts w:asciiTheme="minorEastAsia" w:hAnsiTheme="minorEastAsia" w:eastAsiaTheme="minorEastAsia"/>
                <w:color w:val="auto"/>
                <w:highlight w:val="none"/>
              </w:rPr>
            </w:pPr>
            <w:r>
              <w:rPr>
                <w:rFonts w:hint="eastAsia"/>
                <w:color w:val="auto"/>
                <w:highlight w:val="none"/>
              </w:rPr>
              <w:t>日期：</w:t>
            </w:r>
          </w:p>
        </w:tc>
      </w:tr>
      <w:tr w14:paraId="69B5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noWrap w:val="0"/>
          </w:tcPr>
          <w:p w14:paraId="1B41C150">
            <w:pPr>
              <w:pStyle w:val="196"/>
              <w:spacing w:before="11"/>
              <w:rPr>
                <w:rFonts w:asciiTheme="minorEastAsia" w:hAnsiTheme="minorEastAsia" w:eastAsiaTheme="minorEastAsia"/>
                <w:b/>
                <w:color w:val="auto"/>
                <w:sz w:val="20"/>
                <w:highlight w:val="none"/>
              </w:rPr>
            </w:pPr>
          </w:p>
          <w:p w14:paraId="7580F00C">
            <w:pPr>
              <w:pStyle w:val="196"/>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2ACC47C3">
            <w:pPr>
              <w:pStyle w:val="196"/>
              <w:spacing w:before="12"/>
              <w:ind w:firstLine="126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133B1E01">
            <w:pPr>
              <w:pStyle w:val="196"/>
              <w:spacing w:before="5"/>
              <w:ind w:firstLine="126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5446CF7C">
            <w:pPr>
              <w:pStyle w:val="196"/>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0108AA7">
      <w:pPr>
        <w:spacing w:before="38"/>
        <w:ind w:firstLine="1928"/>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62278E09">
      <w:pPr>
        <w:pStyle w:val="2"/>
        <w:rPr>
          <w:color w:val="auto"/>
          <w:highlight w:val="none"/>
        </w:rPr>
        <w:sectPr>
          <w:footerReference r:id="rId11" w:type="first"/>
          <w:footerReference r:id="rId10" w:type="default"/>
          <w:pgSz w:w="11906" w:h="16838"/>
          <w:pgMar w:top="1452" w:right="1106" w:bottom="1452" w:left="1622" w:header="851" w:footer="992" w:gutter="0"/>
          <w:cols w:space="720" w:num="1"/>
          <w:titlePg/>
          <w:docGrid w:linePitch="360" w:charSpace="0"/>
        </w:sectPr>
      </w:pPr>
    </w:p>
    <w:p w14:paraId="6C4B1AA8">
      <w:pPr>
        <w:pStyle w:val="2"/>
        <w:rPr>
          <w:color w:val="auto"/>
          <w:highlight w:val="none"/>
        </w:rPr>
      </w:pPr>
      <w:bookmarkStart w:id="45" w:name="_Toc161846208"/>
      <w:bookmarkStart w:id="46" w:name="_Toc86392976"/>
      <w:r>
        <w:rPr>
          <w:rFonts w:hint="eastAsia"/>
          <w:color w:val="auto"/>
          <w:highlight w:val="none"/>
        </w:rPr>
        <w:drawing>
          <wp:anchor distT="0" distB="0" distL="114300" distR="114300" simplePos="0" relativeHeight="251660288" behindDoc="0" locked="0" layoutInCell="1" allowOverlap="1">
            <wp:simplePos x="0" y="0"/>
            <wp:positionH relativeFrom="page">
              <wp:posOffset>895350</wp:posOffset>
            </wp:positionH>
            <wp:positionV relativeFrom="paragraph">
              <wp:posOffset>449580</wp:posOffset>
            </wp:positionV>
            <wp:extent cx="5993130" cy="7277100"/>
            <wp:effectExtent l="0" t="0" r="8255"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5"/>
                    <a:stretch>
                      <a:fillRect/>
                    </a:stretch>
                  </pic:blipFill>
                  <pic:spPr>
                    <a:xfrm>
                      <a:off x="0" y="0"/>
                      <a:ext cx="5992828" cy="727710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2FAE9849">
      <w:pPr>
        <w:pStyle w:val="35"/>
        <w:ind w:firstLine="240"/>
        <w:rPr>
          <w:color w:val="auto"/>
          <w:sz w:val="28"/>
          <w:szCs w:val="44"/>
          <w:highlight w:val="none"/>
        </w:rPr>
      </w:pPr>
      <w:r>
        <w:rPr>
          <w:color w:val="auto"/>
          <w:highlight w:val="none"/>
        </w:rPr>
        <w:br w:type="page" w:clear="all"/>
      </w:r>
    </w:p>
    <w:p w14:paraId="09C34903">
      <w:pPr>
        <w:pStyle w:val="2"/>
        <w:rPr>
          <w:rFonts w:hint="eastAsia"/>
          <w:color w:val="auto"/>
          <w:highlight w:val="none"/>
        </w:rPr>
        <w:sectPr>
          <w:pgSz w:w="11906" w:h="16838"/>
          <w:pgMar w:top="1452" w:right="1106" w:bottom="1452" w:left="1622" w:header="851" w:footer="992" w:gutter="0"/>
          <w:cols w:space="720" w:num="1"/>
          <w:docGrid w:linePitch="360" w:charSpace="0"/>
        </w:sectPr>
      </w:pPr>
      <w:bookmarkStart w:id="47" w:name="_Toc161846209"/>
    </w:p>
    <w:p w14:paraId="434098B4">
      <w:pPr>
        <w:pStyle w:val="2"/>
        <w:rPr>
          <w:color w:val="auto"/>
          <w:highlight w:val="none"/>
        </w:rPr>
      </w:pPr>
      <w:r>
        <w:rPr>
          <w:rFonts w:hint="eastAsia"/>
          <w:color w:val="auto"/>
          <w:highlight w:val="none"/>
        </w:rPr>
        <w:t>附件四</w:t>
      </w:r>
      <w:r>
        <w:rPr>
          <w:color w:val="auto"/>
          <w:highlight w:val="none"/>
        </w:rPr>
        <w:t>：</w:t>
      </w:r>
      <w:bookmarkEnd w:id="47"/>
    </w:p>
    <w:p w14:paraId="1F724BAE">
      <w:pPr>
        <w:keepNext w:val="0"/>
        <w:keepLines w:val="0"/>
        <w:pageBreakBefore w:val="0"/>
        <w:widowControl w:val="0"/>
        <w:kinsoku/>
        <w:wordWrap/>
        <w:overflowPunct/>
        <w:topLinePunct w:val="0"/>
        <w:autoSpaceDE/>
        <w:autoSpaceDN/>
        <w:bidi w:val="0"/>
        <w:adjustRightInd/>
        <w:snapToGrid/>
        <w:spacing w:before="38"/>
        <w:ind w:firstLine="0"/>
        <w:jc w:val="center"/>
        <w:textAlignment w:val="auto"/>
        <w:rPr>
          <w:rFonts w:asciiTheme="minorEastAsia" w:hAnsiTheme="minorEastAsia" w:eastAsiaTheme="minorEastAsia"/>
          <w:b/>
          <w:color w:val="auto"/>
          <w:sz w:val="32"/>
          <w:highlight w:val="none"/>
        </w:rPr>
      </w:pPr>
      <w:bookmarkStart w:id="48" w:name="_GoBack"/>
      <w:bookmarkEnd w:id="48"/>
      <w:r>
        <w:rPr>
          <w:rFonts w:hint="eastAsia" w:eastAsia="宋体" w:asciiTheme="minorEastAsia" w:hAnsiTheme="minorEastAsia"/>
          <w:b/>
          <w:color w:val="auto"/>
          <w:sz w:val="32"/>
          <w:highlight w:val="none"/>
          <w:lang w:eastAsia="zh-CN"/>
        </w:rPr>
        <w:t>二次设备</w:t>
      </w:r>
      <w:r>
        <w:rPr>
          <w:rFonts w:asciiTheme="minorEastAsia" w:hAnsiTheme="minorEastAsia" w:eastAsiaTheme="minorEastAsia"/>
          <w:b/>
          <w:color w:val="auto"/>
          <w:sz w:val="32"/>
          <w:highlight w:val="none"/>
        </w:rPr>
        <w:t>分项报价单</w:t>
      </w:r>
    </w:p>
    <w:p w14:paraId="121C7594">
      <w:pPr>
        <w:pStyle w:val="15"/>
        <w:spacing w:before="78"/>
        <w:ind w:left="25" w:firstLine="238"/>
        <w:rPr>
          <w:rFonts w:hint="eastAsia"/>
          <w:color w:val="auto"/>
          <w:spacing w:val="-1"/>
          <w:highlight w:val="none"/>
        </w:rPr>
      </w:pPr>
    </w:p>
    <w:p w14:paraId="2807B442">
      <w:pPr>
        <w:pStyle w:val="15"/>
        <w:spacing w:before="78"/>
        <w:ind w:left="25" w:firstLine="238"/>
        <w:rPr>
          <w:rFonts w:hint="eastAsia"/>
          <w:color w:val="auto"/>
          <w:spacing w:val="-1"/>
          <w:highlight w:val="none"/>
        </w:rPr>
      </w:pPr>
    </w:p>
    <w:p w14:paraId="6F28EAFD">
      <w:pPr>
        <w:pStyle w:val="15"/>
        <w:spacing w:before="78"/>
        <w:ind w:left="25" w:firstLine="238"/>
        <w:rPr>
          <w:color w:val="auto"/>
          <w:highlight w:val="none"/>
        </w:rPr>
      </w:pPr>
      <w:r>
        <w:rPr>
          <w:rFonts w:hint="eastAsia"/>
          <w:color w:val="auto"/>
          <w:spacing w:val="-1"/>
          <w:highlight w:val="none"/>
        </w:rPr>
        <w:t>备注：备品备件及专用工具费需含于设备总价中。</w:t>
      </w:r>
    </w:p>
    <w:p w14:paraId="5DCADFF4">
      <w:pPr>
        <w:pStyle w:val="35"/>
        <w:ind w:firstLine="240"/>
        <w:rPr>
          <w:color w:val="auto"/>
          <w:highlight w:val="none"/>
        </w:rPr>
      </w:pPr>
    </w:p>
    <w:sectPr>
      <w:headerReference r:id="rId12" w:type="default"/>
      <w:footerReference r:id="rId13" w:type="default"/>
      <w:pgSz w:w="11906" w:h="16838"/>
      <w:pgMar w:top="1451" w:right="1106" w:bottom="1451" w:left="1621" w:header="851" w:footer="992"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623F">
    <w:pPr>
      <w:pStyle w:val="22"/>
      <w:jc w:val="center"/>
    </w:pPr>
  </w:p>
  <w:p w14:paraId="6F1CE53C">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3BDC">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a:effectLst/>
                    </wps:spPr>
                    <wps:txbx>
                      <w:txbxContent>
                        <w:p w14:paraId="01E2777B">
                          <w:pPr>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gw6e9s8BAACoAwAADgAAAAAAAAABACAAAAAfAQAAZHJz&#10;L2Uyb0RvYy54bWxQSwUGAAAAAAYABgBZAQAAYAUAAAAA&#10;">
              <v:fill on="f" focussize="0,0"/>
              <v:stroke on="f"/>
              <v:imagedata o:title=""/>
              <o:lock v:ext="edit" aspectratio="f"/>
              <v:textbox inset="0mm,0mm,0mm,0mm" style="mso-fit-shape-to-text:t;">
                <w:txbxContent>
                  <w:p w14:paraId="01E2777B">
                    <w:pPr>
                      <w:jc w:val="center"/>
                    </w:pPr>
                    <w:r>
                      <w:fldChar w:fldCharType="begin"/>
                    </w:r>
                    <w:r>
                      <w:instrText xml:space="preserve"> PAGE  \* MERGEFORMAT </w:instrText>
                    </w:r>
                    <w:r>
                      <w:fldChar w:fldCharType="separate"/>
                    </w:r>
                    <w:r>
                      <w:t>2</w:t>
                    </w:r>
                    <w:r>
                      <w:fldChar w:fldCharType="end"/>
                    </w:r>
                  </w:p>
                </w:txbxContent>
              </v:textbox>
            </v:rect>
          </w:pict>
        </mc:Fallback>
      </mc:AlternateContent>
    </w:r>
  </w:p>
  <w:p w14:paraId="2045E34C">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C5249">
    <w:pPr>
      <w:pStyle w:val="22"/>
      <w:jc w:val="center"/>
    </w:pPr>
  </w:p>
  <w:p w14:paraId="66BF08F5">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71AD">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a:effectLst/>
                    </wps:spPr>
                    <wps:txbx>
                      <w:txbxContent>
                        <w:p w14:paraId="19C3D2E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bf/do88BAACoAwAADgAAAAAAAAABACAAAAAfAQAAZHJz&#10;L2Uyb0RvYy54bWxQSwUGAAAAAAYABgBZAQAAYAUAAAAA&#10;">
              <v:fill on="f" focussize="0,0"/>
              <v:stroke on="f"/>
              <v:imagedata o:title=""/>
              <o:lock v:ext="edit" aspectratio="f"/>
              <v:textbox inset="0mm,0mm,0mm,0mm" style="mso-fit-shape-to-text:t;">
                <w:txbxContent>
                  <w:p w14:paraId="19C3D2E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06CA811">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693217"/>
      <w:docPartObj>
        <w:docPartGallery w:val="autotext"/>
      </w:docPartObj>
    </w:sdtPr>
    <w:sdtContent>
      <w:p w14:paraId="31E0361B">
        <w:pPr>
          <w:pStyle w:val="22"/>
          <w:jc w:val="center"/>
        </w:pPr>
        <w:r>
          <w:fldChar w:fldCharType="begin"/>
        </w:r>
        <w:r>
          <w:instrText xml:space="preserve">PAGE   \* MERGEFORMAT</w:instrText>
        </w:r>
        <w:r>
          <w:fldChar w:fldCharType="separate"/>
        </w:r>
        <w:r>
          <w:rPr>
            <w:lang w:val="zh-CN"/>
          </w:rPr>
          <w:t>18</w:t>
        </w:r>
        <w:r>
          <w:fldChar w:fldCharType="end"/>
        </w:r>
      </w:p>
    </w:sdtContent>
  </w:sdt>
  <w:p w14:paraId="37EB278B">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366499"/>
      <w:docPartObj>
        <w:docPartGallery w:val="autotext"/>
      </w:docPartObj>
    </w:sdtPr>
    <w:sdtContent>
      <w:p w14:paraId="5FC94054">
        <w:pPr>
          <w:pStyle w:val="22"/>
          <w:jc w:val="center"/>
        </w:pPr>
        <w:r>
          <w:fldChar w:fldCharType="begin"/>
        </w:r>
        <w:r>
          <w:instrText xml:space="preserve">PAGE   \* MERGEFORMAT</w:instrText>
        </w:r>
        <w:r>
          <w:fldChar w:fldCharType="separate"/>
        </w:r>
        <w:r>
          <w:rPr>
            <w:lang w:val="zh-CN"/>
          </w:rPr>
          <w:t>16</w:t>
        </w:r>
        <w:r>
          <w:fldChar w:fldCharType="end"/>
        </w:r>
      </w:p>
    </w:sdtContent>
  </w:sdt>
  <w:p w14:paraId="3D00CEE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753"/>
      <w:docPartObj>
        <w:docPartGallery w:val="autotext"/>
      </w:docPartObj>
    </w:sdtPr>
    <w:sdtContent>
      <w:p w14:paraId="2BA2B3C9">
        <w:pPr>
          <w:pStyle w:val="22"/>
          <w:jc w:val="center"/>
        </w:pPr>
        <w:r>
          <w:fldChar w:fldCharType="begin"/>
        </w:r>
        <w:r>
          <w:instrText xml:space="preserve">PAGE   \* MERGEFORMAT</w:instrText>
        </w:r>
        <w:r>
          <w:fldChar w:fldCharType="separate"/>
        </w:r>
        <w:r>
          <w:rPr>
            <w:lang w:val="zh-CN"/>
          </w:rPr>
          <w:t>18</w:t>
        </w:r>
        <w:r>
          <w:fldChar w:fldCharType="end"/>
        </w:r>
      </w:p>
    </w:sdtContent>
  </w:sdt>
  <w:p w14:paraId="4F318E9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6898">
    <w:pPr>
      <w:spacing w:line="360" w:lineRule="auto"/>
      <w:ind w:left="900" w:hanging="900"/>
      <w:jc w:val="left"/>
    </w:pPr>
    <w:r>
      <w:rPr>
        <w:rFonts w:hint="eastAsia"/>
        <w:sz w:val="18"/>
        <w:szCs w:val="18"/>
        <w:highlight w:val="none"/>
        <w:u w:val="single"/>
        <w:lang w:val="en-US" w:eastAsia="zh-CN"/>
      </w:rPr>
      <w:t xml:space="preserve">兴宁市工业园200mw/400mwh新型共享电站项目 </w:t>
    </w:r>
    <w:r>
      <w:rPr>
        <w:rFonts w:hint="eastAsia"/>
        <w:sz w:val="18"/>
        <w:szCs w:val="18"/>
        <w:highlight w:val="none"/>
        <w:u w:val="single"/>
      </w:rPr>
      <w:t xml:space="preserve"> </w:t>
    </w:r>
    <w:r>
      <w:rPr>
        <w:sz w:val="18"/>
        <w:szCs w:val="18"/>
        <w:highlight w:val="none"/>
        <w:u w:val="single"/>
      </w:rPr>
      <w:t xml:space="preserve">  </w:t>
    </w:r>
    <w:r>
      <w:rPr>
        <w:rFonts w:hint="eastAsia"/>
        <w:sz w:val="18"/>
        <w:szCs w:val="18"/>
        <w:highlight w:val="none"/>
        <w:u w:val="single"/>
      </w:rPr>
      <w:t xml:space="preserve">   </w:t>
    </w:r>
    <w:r>
      <w:rPr>
        <w:rFonts w:hint="eastAsia"/>
        <w:sz w:val="18"/>
        <w:szCs w:val="18"/>
        <w:highlight w:val="none"/>
        <w:u w:val="single"/>
        <w:lang w:val="en-US" w:eastAsia="zh-CN"/>
      </w:rPr>
      <w:t xml:space="preserve"> </w:t>
    </w:r>
    <w:r>
      <w:rPr>
        <w:rFonts w:hint="eastAsia"/>
        <w:sz w:val="18"/>
        <w:szCs w:val="18"/>
        <w:highlight w:val="none"/>
        <w:u w:val="single"/>
      </w:rPr>
      <w:t xml:space="preserve"> </w:t>
    </w:r>
    <w:r>
      <w:rPr>
        <w:rFonts w:hint="eastAsia"/>
        <w:sz w:val="18"/>
        <w:szCs w:val="18"/>
        <w:highlight w:val="none"/>
        <w:u w:val="single"/>
        <w:lang w:val="en-US" w:eastAsia="zh-CN"/>
      </w:rPr>
      <w:t xml:space="preserve">                                  二次设备</w:t>
    </w:r>
    <w:r>
      <w:rPr>
        <w:rFonts w:hint="eastAsia"/>
        <w:sz w:val="18"/>
        <w:szCs w:val="18"/>
        <w:highlight w:val="none"/>
        <w:u w:val="single"/>
      </w:rPr>
      <w:t>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BF43">
    <w:pPr>
      <w:spacing w:line="360" w:lineRule="auto"/>
      <w:ind w:left="900" w:hanging="900"/>
      <w:jc w:val="left"/>
      <w:rPr>
        <w:sz w:val="18"/>
        <w:szCs w:val="18"/>
        <w:highlight w:val="none"/>
        <w:u w:val="single"/>
      </w:rPr>
    </w:pPr>
    <w:r>
      <w:rPr>
        <w:rFonts w:hint="eastAsia"/>
        <w:spacing w:val="-11"/>
        <w:sz w:val="18"/>
        <w:szCs w:val="18"/>
        <w:highlight w:val="none"/>
        <w:u w:val="single"/>
        <w:lang w:val="en-US" w:eastAsia="zh-CN"/>
      </w:rPr>
      <w:t xml:space="preserve">兴宁市工业园200mw/400mwh新型共享电站项目       </w:t>
    </w:r>
    <w:r>
      <w:rPr>
        <w:rFonts w:hint="eastAsia"/>
        <w:sz w:val="18"/>
        <w:szCs w:val="18"/>
        <w:highlight w:val="none"/>
        <w:u w:val="single"/>
      </w:rPr>
      <w:t xml:space="preserve"> </w:t>
    </w:r>
    <w:r>
      <w:rPr>
        <w:rFonts w:hint="eastAsia"/>
        <w:sz w:val="18"/>
        <w:szCs w:val="18"/>
        <w:highlight w:val="none"/>
        <w:u w:val="single"/>
        <w:lang w:val="en-US" w:eastAsia="zh-CN"/>
      </w:rPr>
      <w:t>110KV三相双绕组电力变压器及中性点成套装置</w:t>
    </w:r>
    <w:r>
      <w:rPr>
        <w:rFonts w:hint="eastAsia"/>
        <w:sz w:val="18"/>
        <w:szCs w:val="18"/>
        <w:highlight w:val="none"/>
        <w:u w:val="single"/>
      </w:rPr>
      <w:t>采购合同</w:t>
    </w:r>
  </w:p>
  <w:p w14:paraId="5637634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4900">
    <w:pPr>
      <w:spacing w:line="360" w:lineRule="auto"/>
      <w:ind w:left="900" w:hanging="900"/>
      <w:jc w:val="left"/>
    </w:pPr>
    <w:r>
      <w:rPr>
        <w:rFonts w:hint="eastAsia"/>
        <w:sz w:val="18"/>
        <w:szCs w:val="18"/>
        <w:highlight w:val="none"/>
        <w:u w:val="single"/>
        <w:lang w:val="en-US" w:eastAsia="zh-CN"/>
      </w:rPr>
      <w:t xml:space="preserve">兴宁市工业园200mw/400mwh新型共享电站项目 </w:t>
    </w:r>
    <w:r>
      <w:rPr>
        <w:rFonts w:hint="eastAsia"/>
        <w:sz w:val="18"/>
        <w:szCs w:val="18"/>
        <w:highlight w:val="none"/>
        <w:u w:val="single"/>
      </w:rPr>
      <w:t xml:space="preserve"> </w:t>
    </w:r>
    <w:r>
      <w:rPr>
        <w:sz w:val="18"/>
        <w:szCs w:val="18"/>
        <w:highlight w:val="none"/>
        <w:u w:val="single"/>
      </w:rPr>
      <w:t xml:space="preserve">  </w:t>
    </w:r>
    <w:r>
      <w:rPr>
        <w:rFonts w:hint="eastAsia"/>
        <w:sz w:val="18"/>
        <w:szCs w:val="18"/>
        <w:highlight w:val="none"/>
        <w:u w:val="single"/>
      </w:rPr>
      <w:t xml:space="preserve">   </w:t>
    </w:r>
    <w:r>
      <w:rPr>
        <w:rFonts w:hint="eastAsia"/>
        <w:sz w:val="18"/>
        <w:szCs w:val="18"/>
        <w:highlight w:val="none"/>
        <w:u w:val="single"/>
        <w:lang w:val="en-US" w:eastAsia="zh-CN"/>
      </w:rPr>
      <w:t xml:space="preserve"> </w:t>
    </w:r>
    <w:r>
      <w:rPr>
        <w:rFonts w:hint="eastAsia"/>
        <w:sz w:val="18"/>
        <w:szCs w:val="18"/>
        <w:highlight w:val="none"/>
        <w:u w:val="single"/>
      </w:rPr>
      <w:t xml:space="preserve"> </w:t>
    </w:r>
    <w:r>
      <w:rPr>
        <w:rFonts w:hint="eastAsia"/>
        <w:sz w:val="18"/>
        <w:szCs w:val="18"/>
        <w:highlight w:val="none"/>
        <w:u w:val="single"/>
        <w:lang w:val="en-US" w:eastAsia="zh-CN"/>
      </w:rPr>
      <w:t>二次设备</w:t>
    </w:r>
    <w:r>
      <w:rPr>
        <w:rFonts w:hint="eastAsia"/>
        <w:sz w:val="18"/>
        <w:szCs w:val="18"/>
        <w:highlight w:val="none"/>
        <w:u w:val="single"/>
      </w:rPr>
      <w:t>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C72DE">
    <w:pPr>
      <w:spacing w:line="360" w:lineRule="auto"/>
      <w:ind w:left="900" w:hanging="900"/>
      <w:jc w:val="left"/>
    </w:pPr>
    <w:r>
      <w:rPr>
        <w:rFonts w:hint="eastAsia"/>
        <w:sz w:val="18"/>
        <w:szCs w:val="18"/>
        <w:highlight w:val="none"/>
        <w:u w:val="single"/>
        <w:lang w:val="en-US" w:eastAsia="zh-CN"/>
      </w:rPr>
      <w:t>兴宁市工业园200mw/400mwh新型共享电站项目                                          二次设备</w:t>
    </w:r>
    <w:r>
      <w:rPr>
        <w:rFonts w:hint="eastAsia"/>
        <w:sz w:val="18"/>
        <w:szCs w:val="18"/>
        <w:highlight w:val="none"/>
        <w:u w:val="single"/>
      </w:rPr>
      <w:t>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gwZWRiNjU0OTExZDU4ZTFjMDM3NDdlYWM4NTIifQ=="/>
  </w:docVars>
  <w:rsids>
    <w:rsidRoot w:val="00000000"/>
    <w:rsid w:val="01722330"/>
    <w:rsid w:val="01D95F0B"/>
    <w:rsid w:val="02714395"/>
    <w:rsid w:val="02BC7D06"/>
    <w:rsid w:val="02CF157F"/>
    <w:rsid w:val="030928CC"/>
    <w:rsid w:val="05571F68"/>
    <w:rsid w:val="07ED492C"/>
    <w:rsid w:val="07FE2B6F"/>
    <w:rsid w:val="08414925"/>
    <w:rsid w:val="08A8081E"/>
    <w:rsid w:val="08D77648"/>
    <w:rsid w:val="09273A00"/>
    <w:rsid w:val="09CF6571"/>
    <w:rsid w:val="0AD12477"/>
    <w:rsid w:val="0B275F39"/>
    <w:rsid w:val="0BD87233"/>
    <w:rsid w:val="0BF422BF"/>
    <w:rsid w:val="0C107BA8"/>
    <w:rsid w:val="0CB63A18"/>
    <w:rsid w:val="0D04253E"/>
    <w:rsid w:val="0D1150F2"/>
    <w:rsid w:val="0D466B4A"/>
    <w:rsid w:val="0D6B035F"/>
    <w:rsid w:val="0DC65E5E"/>
    <w:rsid w:val="0DD51C7C"/>
    <w:rsid w:val="0EAC44C3"/>
    <w:rsid w:val="104430E9"/>
    <w:rsid w:val="105552F6"/>
    <w:rsid w:val="10991687"/>
    <w:rsid w:val="12333415"/>
    <w:rsid w:val="1324792E"/>
    <w:rsid w:val="13BF7656"/>
    <w:rsid w:val="168406E3"/>
    <w:rsid w:val="16D43DC5"/>
    <w:rsid w:val="17325BB6"/>
    <w:rsid w:val="175E2CE2"/>
    <w:rsid w:val="17732C32"/>
    <w:rsid w:val="18383533"/>
    <w:rsid w:val="184D75E6"/>
    <w:rsid w:val="188449CB"/>
    <w:rsid w:val="1A343F35"/>
    <w:rsid w:val="1A5C6B33"/>
    <w:rsid w:val="1B530684"/>
    <w:rsid w:val="1BCD6688"/>
    <w:rsid w:val="1BFC2ACA"/>
    <w:rsid w:val="1C055E22"/>
    <w:rsid w:val="1C6E67F5"/>
    <w:rsid w:val="1D142372"/>
    <w:rsid w:val="1D6D0123"/>
    <w:rsid w:val="1DFD14A7"/>
    <w:rsid w:val="1E9B0CC0"/>
    <w:rsid w:val="1FA3607E"/>
    <w:rsid w:val="1FD46237"/>
    <w:rsid w:val="20087C8F"/>
    <w:rsid w:val="201C60AB"/>
    <w:rsid w:val="20765541"/>
    <w:rsid w:val="208A6782"/>
    <w:rsid w:val="20D67D8D"/>
    <w:rsid w:val="21132D8F"/>
    <w:rsid w:val="2128736B"/>
    <w:rsid w:val="2136082C"/>
    <w:rsid w:val="217A2E0F"/>
    <w:rsid w:val="217C26E3"/>
    <w:rsid w:val="21AE4866"/>
    <w:rsid w:val="21F754B0"/>
    <w:rsid w:val="224551CB"/>
    <w:rsid w:val="22567DC6"/>
    <w:rsid w:val="23690F67"/>
    <w:rsid w:val="247B3126"/>
    <w:rsid w:val="25892D60"/>
    <w:rsid w:val="26A607C6"/>
    <w:rsid w:val="26BE72FA"/>
    <w:rsid w:val="2717585B"/>
    <w:rsid w:val="27DC36B5"/>
    <w:rsid w:val="290D6316"/>
    <w:rsid w:val="29235B3A"/>
    <w:rsid w:val="29986528"/>
    <w:rsid w:val="2A4B17EC"/>
    <w:rsid w:val="2AA76586"/>
    <w:rsid w:val="2B4C75CA"/>
    <w:rsid w:val="2C3C763E"/>
    <w:rsid w:val="2C673F8F"/>
    <w:rsid w:val="2C90798A"/>
    <w:rsid w:val="2DC23B73"/>
    <w:rsid w:val="2E3C07E6"/>
    <w:rsid w:val="2E6F4DC4"/>
    <w:rsid w:val="2F25085E"/>
    <w:rsid w:val="2FA64CBD"/>
    <w:rsid w:val="30A21A3A"/>
    <w:rsid w:val="30A6152A"/>
    <w:rsid w:val="30B97AE6"/>
    <w:rsid w:val="31046251"/>
    <w:rsid w:val="315C608D"/>
    <w:rsid w:val="33024A12"/>
    <w:rsid w:val="33DA44EE"/>
    <w:rsid w:val="33E60DE8"/>
    <w:rsid w:val="342D6CBE"/>
    <w:rsid w:val="34D80445"/>
    <w:rsid w:val="366A6525"/>
    <w:rsid w:val="36743E79"/>
    <w:rsid w:val="36DA0180"/>
    <w:rsid w:val="37113475"/>
    <w:rsid w:val="38107BD1"/>
    <w:rsid w:val="39E3559D"/>
    <w:rsid w:val="3A52002D"/>
    <w:rsid w:val="3A6301C5"/>
    <w:rsid w:val="3ACF1AB6"/>
    <w:rsid w:val="3B0A0908"/>
    <w:rsid w:val="3B455D5F"/>
    <w:rsid w:val="3B810C9D"/>
    <w:rsid w:val="3B8E778B"/>
    <w:rsid w:val="3BF10DE2"/>
    <w:rsid w:val="3C291261"/>
    <w:rsid w:val="3D0C6BB9"/>
    <w:rsid w:val="3D63677C"/>
    <w:rsid w:val="3E8F5522"/>
    <w:rsid w:val="3ED454B4"/>
    <w:rsid w:val="3F5B3E78"/>
    <w:rsid w:val="405A40DF"/>
    <w:rsid w:val="423A41C8"/>
    <w:rsid w:val="45576E3F"/>
    <w:rsid w:val="45EC3A2B"/>
    <w:rsid w:val="45EF0E26"/>
    <w:rsid w:val="46B66E96"/>
    <w:rsid w:val="473C62ED"/>
    <w:rsid w:val="47A85730"/>
    <w:rsid w:val="483B0352"/>
    <w:rsid w:val="48FB5D34"/>
    <w:rsid w:val="4AEB0614"/>
    <w:rsid w:val="4BA40904"/>
    <w:rsid w:val="4CD001EF"/>
    <w:rsid w:val="4D5C0721"/>
    <w:rsid w:val="4E0538DC"/>
    <w:rsid w:val="4E6F51FA"/>
    <w:rsid w:val="4E775E5C"/>
    <w:rsid w:val="4F4915A7"/>
    <w:rsid w:val="4FC450D1"/>
    <w:rsid w:val="505A4E67"/>
    <w:rsid w:val="51046B15"/>
    <w:rsid w:val="51960CEF"/>
    <w:rsid w:val="51BE71C8"/>
    <w:rsid w:val="52331CAF"/>
    <w:rsid w:val="526E7576"/>
    <w:rsid w:val="52CB0826"/>
    <w:rsid w:val="53487DC7"/>
    <w:rsid w:val="537635D8"/>
    <w:rsid w:val="53B316E5"/>
    <w:rsid w:val="545F13F9"/>
    <w:rsid w:val="546155E5"/>
    <w:rsid w:val="54B546CE"/>
    <w:rsid w:val="55270F76"/>
    <w:rsid w:val="555667CB"/>
    <w:rsid w:val="55760C1C"/>
    <w:rsid w:val="563121C0"/>
    <w:rsid w:val="565371AF"/>
    <w:rsid w:val="56757125"/>
    <w:rsid w:val="56AF4FF1"/>
    <w:rsid w:val="56CB4F97"/>
    <w:rsid w:val="57144B90"/>
    <w:rsid w:val="57B60E22"/>
    <w:rsid w:val="58006EC2"/>
    <w:rsid w:val="58366D88"/>
    <w:rsid w:val="587E7A66"/>
    <w:rsid w:val="5D543F38"/>
    <w:rsid w:val="5DEB5F1F"/>
    <w:rsid w:val="5E38664D"/>
    <w:rsid w:val="5F30008D"/>
    <w:rsid w:val="5F4B136B"/>
    <w:rsid w:val="5F526256"/>
    <w:rsid w:val="607448F1"/>
    <w:rsid w:val="60B53347"/>
    <w:rsid w:val="60D62EB6"/>
    <w:rsid w:val="60D96503"/>
    <w:rsid w:val="60FB0B6F"/>
    <w:rsid w:val="6110461A"/>
    <w:rsid w:val="61B054B5"/>
    <w:rsid w:val="629B0400"/>
    <w:rsid w:val="62E33669"/>
    <w:rsid w:val="631A1780"/>
    <w:rsid w:val="63FF2724"/>
    <w:rsid w:val="6442435F"/>
    <w:rsid w:val="64B928D3"/>
    <w:rsid w:val="65A76BCF"/>
    <w:rsid w:val="661029C7"/>
    <w:rsid w:val="66154481"/>
    <w:rsid w:val="674E19F8"/>
    <w:rsid w:val="67CC0B6F"/>
    <w:rsid w:val="68330BEE"/>
    <w:rsid w:val="68593A4A"/>
    <w:rsid w:val="6979037C"/>
    <w:rsid w:val="69967687"/>
    <w:rsid w:val="6ACD70D8"/>
    <w:rsid w:val="6B721A2E"/>
    <w:rsid w:val="6CB467A2"/>
    <w:rsid w:val="6D6B2EFF"/>
    <w:rsid w:val="6D7C6B93"/>
    <w:rsid w:val="6E2559CF"/>
    <w:rsid w:val="6E380D0C"/>
    <w:rsid w:val="6E8B1F0A"/>
    <w:rsid w:val="6ED749C9"/>
    <w:rsid w:val="701B6B38"/>
    <w:rsid w:val="70A95EF1"/>
    <w:rsid w:val="71186BD3"/>
    <w:rsid w:val="71A072F4"/>
    <w:rsid w:val="741B2C62"/>
    <w:rsid w:val="74305732"/>
    <w:rsid w:val="748527D2"/>
    <w:rsid w:val="75271ADB"/>
    <w:rsid w:val="757A1C0A"/>
    <w:rsid w:val="76EF03D6"/>
    <w:rsid w:val="77905715"/>
    <w:rsid w:val="77CD7E14"/>
    <w:rsid w:val="78063C29"/>
    <w:rsid w:val="781C51FB"/>
    <w:rsid w:val="784A7FBA"/>
    <w:rsid w:val="78A27DF6"/>
    <w:rsid w:val="79955265"/>
    <w:rsid w:val="79AB4269"/>
    <w:rsid w:val="7A7C6425"/>
    <w:rsid w:val="7AA03EC1"/>
    <w:rsid w:val="7B183BA9"/>
    <w:rsid w:val="7B5D1DB2"/>
    <w:rsid w:val="7B7315D6"/>
    <w:rsid w:val="7B8437E3"/>
    <w:rsid w:val="7B9652C4"/>
    <w:rsid w:val="7CAD0B17"/>
    <w:rsid w:val="7E1013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1"/>
    </w:rPr>
  </w:style>
  <w:style w:type="paragraph" w:styleId="2">
    <w:name w:val="heading 1"/>
    <w:basedOn w:val="1"/>
    <w:next w:val="1"/>
    <w:link w:val="208"/>
    <w:qFormat/>
    <w:uiPriority w:val="0"/>
    <w:pPr>
      <w:keepNext/>
      <w:keepLines/>
      <w:spacing w:before="120" w:after="120" w:line="360" w:lineRule="auto"/>
      <w:outlineLvl w:val="0"/>
    </w:pPr>
    <w:rPr>
      <w:b/>
      <w:bCs/>
      <w:sz w:val="28"/>
      <w:szCs w:val="44"/>
    </w:rPr>
  </w:style>
  <w:style w:type="paragraph" w:styleId="3">
    <w:name w:val="heading 2"/>
    <w:basedOn w:val="1"/>
    <w:next w:val="1"/>
    <w:link w:val="191"/>
    <w:qFormat/>
    <w:uiPriority w:val="0"/>
    <w:pPr>
      <w:keepNext/>
      <w:keepLines/>
      <w:spacing w:line="413" w:lineRule="auto"/>
      <w:outlineLvl w:val="1"/>
    </w:pPr>
    <w:rPr>
      <w:rFonts w:ascii="Cambria" w:hAnsi="Cambria"/>
      <w:b/>
      <w:bCs/>
      <w:sz w:val="32"/>
      <w:szCs w:val="32"/>
    </w:rPr>
  </w:style>
  <w:style w:type="paragraph" w:styleId="4">
    <w:name w:val="heading 3"/>
    <w:basedOn w:val="1"/>
    <w:next w:val="1"/>
    <w:link w:val="45"/>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6"/>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7"/>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1"/>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table of authorities"/>
    <w:basedOn w:val="1"/>
    <w:next w:val="1"/>
    <w:unhideWhenUsed/>
    <w:qFormat/>
    <w:uiPriority w:val="99"/>
    <w:pPr>
      <w:spacing w:after="200"/>
      <w:ind w:left="420"/>
    </w:pPr>
    <w:rPr>
      <w:rFonts w:ascii="Tahoma" w:hAnsi="Tahoma" w:eastAsia="微软雅黑"/>
      <w:sz w:val="22"/>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19"/>
    <w:qFormat/>
    <w:uiPriority w:val="0"/>
    <w:pPr>
      <w:jc w:val="left"/>
    </w:pPr>
  </w:style>
  <w:style w:type="paragraph" w:styleId="15">
    <w:name w:val="Body Text"/>
    <w:basedOn w:val="1"/>
    <w:link w:val="207"/>
    <w:qFormat/>
    <w:uiPriority w:val="0"/>
    <w:rPr>
      <w:sz w:val="24"/>
      <w:szCs w:val="24"/>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Plain Text"/>
    <w:basedOn w:val="1"/>
    <w:qFormat/>
    <w:uiPriority w:val="0"/>
    <w:rPr>
      <w:rFonts w:ascii="宋体" w:hAnsi="Courier New"/>
      <w:snapToGrid w:val="0"/>
      <w:kern w:val="0"/>
      <w:szCs w:val="21"/>
    </w:r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9"/>
    <w:semiHidden/>
    <w:unhideWhenUsed/>
    <w:qFormat/>
    <w:uiPriority w:val="99"/>
    <w:pPr>
      <w:spacing w:after="0" w:line="240" w:lineRule="auto"/>
    </w:pPr>
    <w:rPr>
      <w:sz w:val="20"/>
    </w:rPr>
  </w:style>
  <w:style w:type="paragraph" w:styleId="21">
    <w:name w:val="Balloon Text"/>
    <w:basedOn w:val="1"/>
    <w:link w:val="206"/>
    <w:qFormat/>
    <w:uiPriority w:val="0"/>
    <w:rPr>
      <w:sz w:val="18"/>
      <w:szCs w:val="18"/>
    </w:rPr>
  </w:style>
  <w:style w:type="paragraph" w:styleId="22">
    <w:name w:val="footer"/>
    <w:basedOn w:val="1"/>
    <w:link w:val="220"/>
    <w:qFormat/>
    <w:uiPriority w:val="99"/>
    <w:pPr>
      <w:tabs>
        <w:tab w:val="center" w:pos="4153"/>
        <w:tab w:val="right" w:pos="8306"/>
      </w:tabs>
      <w:jc w:val="left"/>
    </w:pPr>
    <w:rPr>
      <w:sz w:val="18"/>
      <w:szCs w:val="18"/>
    </w:rPr>
  </w:style>
  <w:style w:type="paragraph" w:styleId="23">
    <w:name w:val="header"/>
    <w:basedOn w:val="1"/>
    <w:link w:val="211"/>
    <w:qFormat/>
    <w:uiPriority w:val="0"/>
    <w:pPr>
      <w:pBdr>
        <w:bottom w:val="single" w:color="auto" w:sz="6" w:space="1"/>
      </w:pBdr>
      <w:tabs>
        <w:tab w:val="center" w:pos="4153"/>
        <w:tab w:val="right" w:pos="8306"/>
      </w:tabs>
      <w:jc w:val="center"/>
    </w:pPr>
    <w:rPr>
      <w:sz w:val="18"/>
      <w:szCs w:val="18"/>
    </w:rPr>
  </w:style>
  <w:style w:type="paragraph" w:styleId="24">
    <w:name w:val="toc 1"/>
    <w:basedOn w:val="1"/>
    <w:next w:val="1"/>
    <w:qFormat/>
    <w:uiPriority w:val="39"/>
    <w:pPr>
      <w:jc w:val="left"/>
    </w:pPr>
    <w:rPr>
      <w:b/>
      <w:bCs/>
      <w:caps/>
      <w:szCs w:val="24"/>
    </w:rPr>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55"/>
    <w:qFormat/>
    <w:uiPriority w:val="11"/>
    <w:pPr>
      <w:spacing w:before="200" w:after="200"/>
    </w:pPr>
    <w:rPr>
      <w:sz w:val="24"/>
      <w:szCs w:val="24"/>
    </w:rPr>
  </w:style>
  <w:style w:type="paragraph" w:styleId="27">
    <w:name w:val="footnote text"/>
    <w:basedOn w:val="1"/>
    <w:link w:val="188"/>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Normal (Web)"/>
    <w:basedOn w:val="1"/>
    <w:qFormat/>
    <w:uiPriority w:val="0"/>
    <w:pPr>
      <w:widowControl/>
      <w:spacing w:beforeAutospacing="1" w:afterAutospacing="1"/>
      <w:jc w:val="left"/>
    </w:pPr>
    <w:rPr>
      <w:rFonts w:ascii="宋体" w:hAnsi="宋体"/>
      <w:sz w:val="24"/>
      <w:szCs w:val="24"/>
    </w:rPr>
  </w:style>
  <w:style w:type="paragraph" w:styleId="33">
    <w:name w:val="Title"/>
    <w:basedOn w:val="1"/>
    <w:next w:val="1"/>
    <w:link w:val="54"/>
    <w:qFormat/>
    <w:uiPriority w:val="10"/>
    <w:pPr>
      <w:spacing w:before="300" w:after="200"/>
      <w:contextualSpacing/>
    </w:pPr>
    <w:rPr>
      <w:sz w:val="48"/>
      <w:szCs w:val="48"/>
    </w:rPr>
  </w:style>
  <w:style w:type="paragraph" w:styleId="34">
    <w:name w:val="annotation subject"/>
    <w:basedOn w:val="14"/>
    <w:next w:val="14"/>
    <w:link w:val="213"/>
    <w:qFormat/>
    <w:uiPriority w:val="0"/>
    <w:rPr>
      <w:b/>
      <w:bCs/>
    </w:rPr>
  </w:style>
  <w:style w:type="paragraph" w:styleId="35">
    <w:name w:val="Body Text First Indent"/>
    <w:basedOn w:val="15"/>
    <w:qFormat/>
    <w:uiPriority w:val="0"/>
    <w:pPr>
      <w:spacing w:line="360" w:lineRule="auto"/>
      <w:ind w:firstLine="420"/>
    </w:pPr>
    <w:rPr>
      <w:szCs w:val="20"/>
    </w:rPr>
  </w:style>
  <w:style w:type="table" w:styleId="37">
    <w:name w:val="Table Grid"/>
    <w:basedOn w:val="3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basedOn w:val="38"/>
    <w:semiHidden/>
    <w:unhideWhenUsed/>
    <w:qFormat/>
    <w:uiPriority w:val="99"/>
    <w:rPr>
      <w:vertAlign w:val="superscript"/>
    </w:rPr>
  </w:style>
  <w:style w:type="character" w:styleId="40">
    <w:name w:val="Hyperlink"/>
    <w:qFormat/>
    <w:uiPriority w:val="99"/>
    <w:rPr>
      <w:rFonts w:cs="Times New Roman"/>
      <w:color w:val="0000FF"/>
      <w:u w:val="single"/>
    </w:rPr>
  </w:style>
  <w:style w:type="character" w:styleId="41">
    <w:name w:val="annotation reference"/>
    <w:qFormat/>
    <w:uiPriority w:val="0"/>
    <w:rPr>
      <w:sz w:val="21"/>
      <w:szCs w:val="21"/>
    </w:rPr>
  </w:style>
  <w:style w:type="character" w:styleId="42">
    <w:name w:val="footnote reference"/>
    <w:basedOn w:val="38"/>
    <w:unhideWhenUsed/>
    <w:qFormat/>
    <w:uiPriority w:val="99"/>
    <w:rPr>
      <w:vertAlign w:val="superscript"/>
    </w:rPr>
  </w:style>
  <w:style w:type="character" w:customStyle="1" w:styleId="43">
    <w:name w:val="Heading 1 Char"/>
    <w:basedOn w:val="38"/>
    <w:qFormat/>
    <w:uiPriority w:val="9"/>
    <w:rPr>
      <w:rFonts w:ascii="Arial" w:hAnsi="Arial" w:eastAsia="Arial" w:cs="Arial"/>
      <w:sz w:val="40"/>
      <w:szCs w:val="40"/>
    </w:rPr>
  </w:style>
  <w:style w:type="character" w:customStyle="1" w:styleId="44">
    <w:name w:val="Heading 2 Char"/>
    <w:basedOn w:val="38"/>
    <w:qFormat/>
    <w:uiPriority w:val="9"/>
    <w:rPr>
      <w:rFonts w:ascii="Arial" w:hAnsi="Arial" w:eastAsia="Arial" w:cs="Arial"/>
      <w:sz w:val="34"/>
    </w:rPr>
  </w:style>
  <w:style w:type="character" w:customStyle="1" w:styleId="45">
    <w:name w:val="Heading 3 Char"/>
    <w:basedOn w:val="38"/>
    <w:link w:val="4"/>
    <w:qFormat/>
    <w:uiPriority w:val="9"/>
    <w:rPr>
      <w:rFonts w:ascii="Arial" w:hAnsi="Arial" w:eastAsia="Arial" w:cs="Arial"/>
      <w:sz w:val="30"/>
      <w:szCs w:val="30"/>
    </w:rPr>
  </w:style>
  <w:style w:type="character" w:customStyle="1" w:styleId="46">
    <w:name w:val="Heading 4 Char"/>
    <w:basedOn w:val="38"/>
    <w:link w:val="5"/>
    <w:qFormat/>
    <w:uiPriority w:val="9"/>
    <w:rPr>
      <w:rFonts w:ascii="Arial" w:hAnsi="Arial" w:eastAsia="Arial" w:cs="Arial"/>
      <w:b/>
      <w:bCs/>
      <w:sz w:val="26"/>
      <w:szCs w:val="26"/>
    </w:rPr>
  </w:style>
  <w:style w:type="character" w:customStyle="1" w:styleId="47">
    <w:name w:val="Heading 5 Char"/>
    <w:basedOn w:val="38"/>
    <w:link w:val="6"/>
    <w:qFormat/>
    <w:uiPriority w:val="9"/>
    <w:rPr>
      <w:rFonts w:ascii="Arial" w:hAnsi="Arial" w:eastAsia="Arial" w:cs="Arial"/>
      <w:b/>
      <w:bCs/>
      <w:sz w:val="24"/>
      <w:szCs w:val="24"/>
    </w:rPr>
  </w:style>
  <w:style w:type="character" w:customStyle="1" w:styleId="48">
    <w:name w:val="Heading 6 Char"/>
    <w:basedOn w:val="38"/>
    <w:link w:val="7"/>
    <w:qFormat/>
    <w:uiPriority w:val="9"/>
    <w:rPr>
      <w:rFonts w:ascii="Arial" w:hAnsi="Arial" w:eastAsia="Arial" w:cs="Arial"/>
      <w:b/>
      <w:bCs/>
      <w:sz w:val="22"/>
      <w:szCs w:val="22"/>
    </w:rPr>
  </w:style>
  <w:style w:type="character" w:customStyle="1" w:styleId="49">
    <w:name w:val="Heading 7 Char"/>
    <w:basedOn w:val="38"/>
    <w:link w:val="8"/>
    <w:qFormat/>
    <w:uiPriority w:val="9"/>
    <w:rPr>
      <w:rFonts w:ascii="Arial" w:hAnsi="Arial" w:eastAsia="Arial" w:cs="Arial"/>
      <w:b/>
      <w:bCs/>
      <w:i/>
      <w:iCs/>
      <w:sz w:val="22"/>
      <w:szCs w:val="22"/>
    </w:rPr>
  </w:style>
  <w:style w:type="character" w:customStyle="1" w:styleId="50">
    <w:name w:val="Heading 8 Char"/>
    <w:basedOn w:val="38"/>
    <w:link w:val="9"/>
    <w:qFormat/>
    <w:uiPriority w:val="9"/>
    <w:rPr>
      <w:rFonts w:ascii="Arial" w:hAnsi="Arial" w:eastAsia="Arial" w:cs="Arial"/>
      <w:i/>
      <w:iCs/>
      <w:sz w:val="22"/>
      <w:szCs w:val="22"/>
    </w:rPr>
  </w:style>
  <w:style w:type="character" w:customStyle="1" w:styleId="51">
    <w:name w:val="Heading 9 Char"/>
    <w:basedOn w:val="38"/>
    <w:link w:val="10"/>
    <w:qFormat/>
    <w:uiPriority w:val="9"/>
    <w:rPr>
      <w:rFonts w:ascii="Arial" w:hAnsi="Arial" w:eastAsia="Arial" w:cs="Arial"/>
      <w:i/>
      <w:iCs/>
      <w:sz w:val="21"/>
      <w:szCs w:val="21"/>
    </w:rPr>
  </w:style>
  <w:style w:type="paragraph" w:styleId="52">
    <w:name w:val="List Paragraph"/>
    <w:basedOn w:val="1"/>
    <w:qFormat/>
    <w:uiPriority w:val="34"/>
    <w:pPr>
      <w:ind w:left="720"/>
      <w:contextualSpacing/>
    </w:pPr>
  </w:style>
  <w:style w:type="paragraph" w:styleId="53">
    <w:name w:val="No Spacing"/>
    <w:qFormat/>
    <w:uiPriority w:val="1"/>
    <w:pPr>
      <w:spacing w:before="0" w:after="0" w:line="240" w:lineRule="auto"/>
    </w:pPr>
    <w:rPr>
      <w:rFonts w:hint="default" w:ascii="Times New Roman" w:hAnsi="Times New Roman" w:eastAsia="宋体" w:cs="Times New Roman"/>
    </w:rPr>
  </w:style>
  <w:style w:type="character" w:customStyle="1" w:styleId="54">
    <w:name w:val="Title Char"/>
    <w:basedOn w:val="38"/>
    <w:link w:val="33"/>
    <w:qFormat/>
    <w:uiPriority w:val="10"/>
    <w:rPr>
      <w:sz w:val="48"/>
      <w:szCs w:val="48"/>
    </w:rPr>
  </w:style>
  <w:style w:type="character" w:customStyle="1" w:styleId="55">
    <w:name w:val="Subtitle Char"/>
    <w:basedOn w:val="38"/>
    <w:link w:val="26"/>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Quote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9">
    <w:name w:val="Intense Quote Char"/>
    <w:link w:val="58"/>
    <w:qFormat/>
    <w:uiPriority w:val="30"/>
    <w:rPr>
      <w:i/>
    </w:rPr>
  </w:style>
  <w:style w:type="character" w:customStyle="1" w:styleId="60">
    <w:name w:val="Header Char"/>
    <w:basedOn w:val="38"/>
    <w:qFormat/>
    <w:uiPriority w:val="99"/>
  </w:style>
  <w:style w:type="character" w:customStyle="1" w:styleId="61">
    <w:name w:val="Footer Char"/>
    <w:basedOn w:val="38"/>
    <w:qFormat/>
    <w:uiPriority w:val="99"/>
  </w:style>
  <w:style w:type="character" w:customStyle="1" w:styleId="62">
    <w:name w:val="Caption Char"/>
    <w:qFormat/>
    <w:uiPriority w:val="99"/>
  </w:style>
  <w:style w:type="table" w:customStyle="1" w:styleId="63">
    <w:name w:val="Table Grid Light"/>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basedOn w:val="3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basedOn w:val="3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basedOn w:val="3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basedOn w:val="3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basedOn w:val="3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Grid Table 2"/>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3"/>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4"/>
    <w:basedOn w:val="3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basedOn w:val="3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basedOn w:val="3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basedOn w:val="3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basedOn w:val="3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basedOn w:val="3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basedOn w:val="3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5 Dark"/>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Grid Table 6 Colorful"/>
    <w:basedOn w:val="3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basedOn w:val="3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basedOn w:val="3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6 Colorful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basedOn w:val="3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basedOn w:val="3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Grid Table 7 Colorful"/>
    <w:basedOn w:val="3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basedOn w:val="3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basedOn w:val="3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basedOn w:val="3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7 Colorful - Accent 4"/>
    <w:basedOn w:val="3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basedOn w:val="3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basedOn w:val="3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List Table 1 Light"/>
    <w:basedOn w:val="3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basedOn w:val="3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basedOn w:val="3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basedOn w:val="3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basedOn w:val="3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basedOn w:val="3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basedOn w:val="3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List Table 2"/>
    <w:basedOn w:val="3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basedOn w:val="3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basedOn w:val="3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basedOn w:val="3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basedOn w:val="3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basedOn w:val="3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basedOn w:val="3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List Table 3"/>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basedOn w:val="3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basedOn w:val="3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basedOn w:val="3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basedOn w:val="3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List Table 4"/>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basedOn w:val="3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basedOn w:val="3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basedOn w:val="3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basedOn w:val="3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basedOn w:val="3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basedOn w:val="3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5 Dark"/>
    <w:basedOn w:val="3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basedOn w:val="3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basedOn w:val="3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basedOn w:val="3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basedOn w:val="3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basedOn w:val="3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basedOn w:val="3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List Table 6 Colorful"/>
    <w:basedOn w:val="3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basedOn w:val="36"/>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basedOn w:val="36"/>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basedOn w:val="36"/>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basedOn w:val="36"/>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basedOn w:val="36"/>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basedOn w:val="3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st Table 7 Colorful"/>
    <w:basedOn w:val="3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basedOn w:val="36"/>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basedOn w:val="36"/>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basedOn w:val="36"/>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basedOn w:val="36"/>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basedOn w:val="36"/>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basedOn w:val="3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basedOn w:val="36"/>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basedOn w:val="36"/>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basedOn w:val="36"/>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basedOn w:val="36"/>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basedOn w:val="36"/>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basedOn w:val="36"/>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basedOn w:val="3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basedOn w:val="3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basedOn w:val="3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basedOn w:val="3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basedOn w:val="3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basedOn w:val="3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basedOn w:val="3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basedOn w:val="3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basedOn w:val="3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Footnote Text Char"/>
    <w:link w:val="27"/>
    <w:qFormat/>
    <w:uiPriority w:val="99"/>
    <w:rPr>
      <w:sz w:val="18"/>
    </w:rPr>
  </w:style>
  <w:style w:type="character" w:customStyle="1" w:styleId="189">
    <w:name w:val="Endnote Text Char"/>
    <w:link w:val="20"/>
    <w:qFormat/>
    <w:uiPriority w:val="99"/>
    <w:rPr>
      <w:sz w:val="20"/>
    </w:rPr>
  </w:style>
  <w:style w:type="paragraph" w:customStyle="1" w:styleId="190">
    <w:name w:val="TOC Heading"/>
    <w:unhideWhenUsed/>
    <w:qFormat/>
    <w:uiPriority w:val="39"/>
    <w:rPr>
      <w:rFonts w:hint="default" w:ascii="Times New Roman" w:hAnsi="Times New Roman" w:eastAsia="宋体" w:cs="Times New Roman"/>
    </w:rPr>
  </w:style>
  <w:style w:type="character" w:customStyle="1" w:styleId="191">
    <w:name w:val="标题 2 Char"/>
    <w:link w:val="3"/>
    <w:qFormat/>
    <w:uiPriority w:val="0"/>
    <w:rPr>
      <w:rFonts w:ascii="Cambria" w:hAnsi="Cambria" w:eastAsia="宋体" w:cs="Times New Roman"/>
      <w:b/>
      <w:bCs/>
      <w:sz w:val="32"/>
      <w:szCs w:val="32"/>
    </w:rPr>
  </w:style>
  <w:style w:type="paragraph" w:customStyle="1" w:styleId="192">
    <w:name w:val="日期1"/>
    <w:basedOn w:val="1"/>
    <w:next w:val="1"/>
    <w:link w:val="209"/>
    <w:qFormat/>
    <w:uiPriority w:val="0"/>
    <w:pPr>
      <w:spacing w:line="360" w:lineRule="atLeast"/>
    </w:pPr>
    <w:rPr>
      <w:sz w:val="20"/>
      <w:szCs w:val="20"/>
    </w:rPr>
  </w:style>
  <w:style w:type="paragraph" w:customStyle="1" w:styleId="193">
    <w:name w:val="批注主题1"/>
    <w:basedOn w:val="14"/>
    <w:next w:val="14"/>
    <w:link w:val="202"/>
    <w:qFormat/>
    <w:uiPriority w:val="0"/>
  </w:style>
  <w:style w:type="paragraph" w:customStyle="1" w:styleId="194">
    <w:name w:val="文档结构图1"/>
    <w:basedOn w:val="1"/>
    <w:link w:val="217"/>
    <w:qFormat/>
    <w:uiPriority w:val="0"/>
    <w:rPr>
      <w:rFonts w:ascii="宋体"/>
      <w:sz w:val="18"/>
      <w:szCs w:val="18"/>
    </w:rPr>
  </w:style>
  <w:style w:type="paragraph" w:customStyle="1" w:styleId="195">
    <w:name w:val="正文文本 21"/>
    <w:basedOn w:val="1"/>
    <w:link w:val="215"/>
    <w:qFormat/>
    <w:uiPriority w:val="0"/>
    <w:pPr>
      <w:spacing w:line="480" w:lineRule="auto"/>
    </w:pPr>
  </w:style>
  <w:style w:type="paragraph" w:customStyle="1" w:styleId="196">
    <w:name w:val="Table Paragraph"/>
    <w:basedOn w:val="1"/>
    <w:qFormat/>
    <w:uiPriority w:val="1"/>
    <w:rPr>
      <w:rFonts w:ascii="宋体" w:hAnsi="宋体" w:cs="宋体"/>
      <w:lang w:val="ja-JP" w:eastAsia="ja-JP" w:bidi="ja-JP"/>
    </w:rPr>
  </w:style>
  <w:style w:type="paragraph" w:customStyle="1" w:styleId="197">
    <w:name w:val="普通(网站)1"/>
    <w:basedOn w:val="1"/>
    <w:qFormat/>
    <w:uiPriority w:val="0"/>
    <w:pPr>
      <w:widowControl/>
      <w:spacing w:beforeAutospacing="1" w:afterAutospacing="1"/>
      <w:jc w:val="left"/>
    </w:pPr>
    <w:rPr>
      <w:rFonts w:ascii="宋体" w:hAnsi="宋体"/>
      <w:sz w:val="24"/>
      <w:szCs w:val="24"/>
    </w:rPr>
  </w:style>
  <w:style w:type="paragraph" w:customStyle="1" w:styleId="198">
    <w:name w:val="Char Char Char Char Char Char Char Char Char Char"/>
    <w:basedOn w:val="1"/>
    <w:qFormat/>
    <w:uiPriority w:val="0"/>
    <w:pPr>
      <w:shd w:val="clear" w:color="auto" w:fill="000080"/>
    </w:pPr>
    <w:rPr>
      <w:rFonts w:ascii="Tahoma" w:hAnsi="Tahoma"/>
      <w:sz w:val="24"/>
      <w:szCs w:val="24"/>
    </w:rPr>
  </w:style>
  <w:style w:type="paragraph" w:customStyle="1" w:styleId="199">
    <w:name w:val="列表 21"/>
    <w:basedOn w:val="1"/>
    <w:qFormat/>
    <w:uiPriority w:val="0"/>
    <w:pPr>
      <w:ind w:left="200" w:hanging="200"/>
    </w:pPr>
    <w:rPr>
      <w:szCs w:val="24"/>
    </w:rPr>
  </w:style>
  <w:style w:type="paragraph" w:customStyle="1" w:styleId="200">
    <w:name w:val="Revision1"/>
    <w:qFormat/>
    <w:uiPriority w:val="0"/>
    <w:rPr>
      <w:rFonts w:hint="default" w:ascii="Times New Roman" w:hAnsi="Times New Roman" w:eastAsia="宋体" w:cs="Times New Roman"/>
      <w:sz w:val="21"/>
      <w:szCs w:val="21"/>
    </w:rPr>
  </w:style>
  <w:style w:type="paragraph" w:customStyle="1" w:styleId="201">
    <w:name w:val="列出段落1"/>
    <w:basedOn w:val="1"/>
    <w:qFormat/>
    <w:uiPriority w:val="0"/>
    <w:pPr>
      <w:ind w:firstLine="420"/>
    </w:pPr>
    <w:rPr>
      <w:szCs w:val="24"/>
    </w:rPr>
  </w:style>
  <w:style w:type="character" w:customStyle="1" w:styleId="202">
    <w:name w:val="批注主题 Char"/>
    <w:link w:val="193"/>
    <w:qFormat/>
    <w:uiPriority w:val="0"/>
    <w:rPr>
      <w:rFonts w:cs="Times New Roman"/>
      <w:sz w:val="21"/>
      <w:szCs w:val="21"/>
    </w:rPr>
  </w:style>
  <w:style w:type="character" w:customStyle="1" w:styleId="203">
    <w:name w:val="批注主题 Char1"/>
    <w:qFormat/>
    <w:uiPriority w:val="0"/>
    <w:rPr>
      <w:rFonts w:ascii="Times New Roman" w:hAnsi="Times New Roman" w:eastAsia="宋体" w:cs="Times New Roman"/>
      <w:b/>
      <w:bCs/>
      <w:sz w:val="21"/>
      <w:szCs w:val="21"/>
    </w:rPr>
  </w:style>
  <w:style w:type="character" w:customStyle="1" w:styleId="204">
    <w:name w:val="批注引用1"/>
    <w:qFormat/>
    <w:uiPriority w:val="0"/>
    <w:rPr>
      <w:rFonts w:cs="Times New Roman"/>
      <w:sz w:val="21"/>
      <w:szCs w:val="21"/>
    </w:rPr>
  </w:style>
  <w:style w:type="character" w:customStyle="1" w:styleId="205">
    <w:name w:val="DeltaView Insertion"/>
    <w:qFormat/>
    <w:uiPriority w:val="0"/>
  </w:style>
  <w:style w:type="character" w:customStyle="1" w:styleId="206">
    <w:name w:val="批注框文本 Char"/>
    <w:link w:val="21"/>
    <w:qFormat/>
    <w:uiPriority w:val="0"/>
    <w:rPr>
      <w:rFonts w:cs="Times New Roman"/>
      <w:sz w:val="18"/>
      <w:szCs w:val="18"/>
    </w:rPr>
  </w:style>
  <w:style w:type="character" w:customStyle="1" w:styleId="207">
    <w:name w:val="正文文本 Char"/>
    <w:link w:val="15"/>
    <w:qFormat/>
    <w:uiPriority w:val="0"/>
    <w:rPr>
      <w:rFonts w:ascii="Times New Roman" w:hAnsi="Times New Roman" w:eastAsia="宋体" w:cs="Times New Roman"/>
      <w:sz w:val="24"/>
      <w:szCs w:val="24"/>
    </w:rPr>
  </w:style>
  <w:style w:type="character" w:customStyle="1" w:styleId="208">
    <w:name w:val="标题 1 Char"/>
    <w:link w:val="2"/>
    <w:qFormat/>
    <w:uiPriority w:val="0"/>
    <w:rPr>
      <w:b/>
      <w:bCs/>
      <w:sz w:val="28"/>
      <w:szCs w:val="44"/>
    </w:rPr>
  </w:style>
  <w:style w:type="character" w:customStyle="1" w:styleId="209">
    <w:name w:val="日期 Char"/>
    <w:link w:val="192"/>
    <w:qFormat/>
    <w:uiPriority w:val="0"/>
    <w:rPr>
      <w:rFonts w:ascii="Times New Roman" w:hAnsi="Times New Roman" w:eastAsia="宋体" w:cs="Times New Roman"/>
      <w:sz w:val="20"/>
      <w:szCs w:val="20"/>
    </w:rPr>
  </w:style>
  <w:style w:type="character" w:customStyle="1" w:styleId="210">
    <w:name w:val="apple-style-span"/>
    <w:qFormat/>
    <w:uiPriority w:val="0"/>
    <w:rPr>
      <w:rFonts w:cs="Times New Roman"/>
    </w:rPr>
  </w:style>
  <w:style w:type="character" w:customStyle="1" w:styleId="211">
    <w:name w:val="页眉 Char"/>
    <w:link w:val="23"/>
    <w:qFormat/>
    <w:uiPriority w:val="0"/>
    <w:rPr>
      <w:rFonts w:cs="Times New Roman"/>
      <w:sz w:val="18"/>
      <w:szCs w:val="18"/>
    </w:rPr>
  </w:style>
  <w:style w:type="character" w:customStyle="1" w:styleId="212">
    <w:name w:val="页码1"/>
    <w:qFormat/>
    <w:uiPriority w:val="0"/>
    <w:rPr>
      <w:rFonts w:cs="Times New Roman"/>
    </w:rPr>
  </w:style>
  <w:style w:type="character" w:customStyle="1" w:styleId="213">
    <w:name w:val="批注主题 Char2"/>
    <w:link w:val="34"/>
    <w:qFormat/>
    <w:uiPriority w:val="0"/>
    <w:rPr>
      <w:rFonts w:cs="Times New Roman"/>
      <w:b/>
      <w:bCs/>
      <w:sz w:val="21"/>
      <w:szCs w:val="21"/>
    </w:rPr>
  </w:style>
  <w:style w:type="character" w:customStyle="1" w:styleId="214">
    <w:name w:val="批注框文本 Char1"/>
    <w:qFormat/>
    <w:uiPriority w:val="0"/>
    <w:rPr>
      <w:rFonts w:ascii="Times New Roman" w:hAnsi="Times New Roman" w:eastAsia="宋体" w:cs="Times New Roman"/>
      <w:sz w:val="18"/>
      <w:szCs w:val="18"/>
    </w:rPr>
  </w:style>
  <w:style w:type="character" w:customStyle="1" w:styleId="215">
    <w:name w:val="正文文本 2 Char"/>
    <w:link w:val="195"/>
    <w:qFormat/>
    <w:uiPriority w:val="0"/>
    <w:rPr>
      <w:rFonts w:ascii="Times New Roman" w:hAnsi="Times New Roman" w:eastAsia="宋体" w:cs="Times New Roman"/>
      <w:sz w:val="21"/>
      <w:szCs w:val="21"/>
    </w:rPr>
  </w:style>
  <w:style w:type="character" w:customStyle="1" w:styleId="216">
    <w:name w:val="font11"/>
    <w:qFormat/>
    <w:uiPriority w:val="0"/>
    <w:rPr>
      <w:rFonts w:hint="eastAsia" w:ascii="宋体" w:hAnsi="宋体" w:eastAsia="宋体" w:cs="宋体"/>
      <w:color w:val="000000"/>
      <w:sz w:val="21"/>
      <w:szCs w:val="21"/>
      <w:u w:val="none"/>
    </w:rPr>
  </w:style>
  <w:style w:type="character" w:customStyle="1" w:styleId="217">
    <w:name w:val="文档结构图 Char"/>
    <w:link w:val="194"/>
    <w:qFormat/>
    <w:uiPriority w:val="0"/>
    <w:rPr>
      <w:rFonts w:ascii="宋体" w:hAnsi="Times New Roman" w:eastAsia="宋体" w:cs="Times New Roman"/>
      <w:sz w:val="18"/>
      <w:szCs w:val="18"/>
    </w:rPr>
  </w:style>
  <w:style w:type="character" w:customStyle="1" w:styleId="218">
    <w:name w:val="批注文字 Char1"/>
    <w:qFormat/>
    <w:uiPriority w:val="0"/>
    <w:rPr>
      <w:rFonts w:ascii="Times New Roman" w:hAnsi="Times New Roman" w:eastAsia="宋体" w:cs="Times New Roman"/>
      <w:sz w:val="21"/>
      <w:szCs w:val="21"/>
    </w:rPr>
  </w:style>
  <w:style w:type="character" w:customStyle="1" w:styleId="219">
    <w:name w:val="批注文字 Char"/>
    <w:link w:val="14"/>
    <w:qFormat/>
    <w:uiPriority w:val="0"/>
    <w:rPr>
      <w:rFonts w:cs="Times New Roman"/>
      <w:sz w:val="21"/>
      <w:szCs w:val="21"/>
    </w:rPr>
  </w:style>
  <w:style w:type="character" w:customStyle="1" w:styleId="220">
    <w:name w:val="页脚 Char"/>
    <w:link w:val="22"/>
    <w:qFormat/>
    <w:uiPriority w:val="99"/>
    <w:rPr>
      <w:rFonts w:cs="Times New Roman"/>
      <w:sz w:val="18"/>
      <w:szCs w:val="18"/>
    </w:rPr>
  </w:style>
  <w:style w:type="paragraph" w:customStyle="1" w:styleId="221">
    <w:name w:val="Revision"/>
    <w:hidden/>
    <w:semiHidden/>
    <w:qFormat/>
    <w:uiPriority w:val="99"/>
    <w:rPr>
      <w:rFonts w:hint="default" w:ascii="Times New Roman" w:hAnsi="Times New Roman" w:eastAsia="宋体" w:cs="Times New Roman"/>
      <w:sz w:val="21"/>
      <w:szCs w:val="21"/>
    </w:rPr>
  </w:style>
  <w:style w:type="table" w:customStyle="1" w:styleId="222">
    <w:name w:val="Table Normal"/>
    <w:unhideWhenUsed/>
    <w:qFormat/>
    <w:uiPriority w:val="0"/>
    <w:tblPr>
      <w:tblCellMar>
        <w:top w:w="0" w:type="dxa"/>
        <w:left w:w="0" w:type="dxa"/>
        <w:bottom w:w="0" w:type="dxa"/>
        <w:right w:w="0" w:type="dxa"/>
      </w:tblCellMar>
    </w:tblPr>
  </w:style>
  <w:style w:type="table" w:customStyle="1" w:styleId="223">
    <w:name w:val="Table Normal1"/>
    <w:basedOn w:val="36"/>
    <w:qFormat/>
    <w:uiPriority w:val="0"/>
    <w:rPr>
      <w:rFonts w:eastAsia="Times New Roman"/>
    </w:rPr>
    <w:tblPr>
      <w:tblCellMar>
        <w:top w:w="0" w:type="dxa"/>
        <w:left w:w="0" w:type="dxa"/>
        <w:bottom w:w="0" w:type="dxa"/>
        <w:right w:w="0" w:type="dxa"/>
      </w:tblCellMar>
    </w:tblPr>
  </w:style>
  <w:style w:type="paragraph" w:customStyle="1" w:styleId="224">
    <w:name w:val="Table Text"/>
    <w:basedOn w:val="1"/>
    <w:semiHidden/>
    <w:qFormat/>
    <w:uiPriority w:val="0"/>
    <w:pPr>
      <w:widowControl/>
      <w:jc w:val="left"/>
    </w:pPr>
    <w:rPr>
      <w:rFonts w:ascii="宋体" w:hAnsi="宋体" w:cs="宋体"/>
      <w:color w:val="000000"/>
      <w:sz w:val="20"/>
      <w:szCs w:val="20"/>
    </w:rPr>
  </w:style>
  <w:style w:type="table" w:customStyle="1" w:styleId="225">
    <w:name w:val="Table Normal2"/>
    <w:basedOn w:val="36"/>
    <w:qFormat/>
    <w:uiPriority w:val="0"/>
    <w:rPr>
      <w:rFonts w:eastAsia="Times New Roman"/>
    </w:rPr>
    <w:tblPr>
      <w:tblCellMar>
        <w:top w:w="0" w:type="dxa"/>
        <w:left w:w="0" w:type="dxa"/>
        <w:bottom w:w="0" w:type="dxa"/>
        <w:right w:w="0" w:type="dxa"/>
      </w:tblCellMar>
    </w:tblPr>
  </w:style>
  <w:style w:type="table" w:customStyle="1" w:styleId="226">
    <w:name w:val="Table Normal3"/>
    <w:basedOn w:val="36"/>
    <w:qFormat/>
    <w:uiPriority w:val="0"/>
    <w:rPr>
      <w:rFonts w:eastAsia="Times New Roman"/>
    </w:rPr>
    <w:tblPr>
      <w:tblCellMar>
        <w:top w:w="0" w:type="dxa"/>
        <w:left w:w="0" w:type="dxa"/>
        <w:bottom w:w="0" w:type="dxa"/>
        <w:right w:w="0" w:type="dxa"/>
      </w:tblCellMar>
    </w:tblPr>
  </w:style>
  <w:style w:type="character" w:customStyle="1" w:styleId="227">
    <w:name w:val="font21"/>
    <w:basedOn w:val="3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900</Words>
  <Characters>957</Characters>
  <TotalTime>130</TotalTime>
  <ScaleCrop>false</ScaleCrop>
  <LinksUpToDate>false</LinksUpToDate>
  <CharactersWithSpaces>1014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2024-04-02T11:38:00Z</dcterms:created>
  <dc:creator>Administrator</dc:creator>
  <cp:lastModifiedBy>能源院综合经营部</cp:lastModifiedBy>
  <dcterms:modified xsi:type="dcterms:W3CDTF">2025-08-14T10:03:12Z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A778528F5A604BE5B0C13B74FD1FB2FA_13</vt:lpwstr>
  </property>
  <property fmtid="{D5CDD505-2E9C-101B-9397-08002B2CF9AE}" pid="4" name="KSOTemplateDocerSaveRecord">
    <vt:lpwstr>eyJoZGlkIjoiZDM2ZDVhNTUyM2VjNTE3MmNjYjUwOTIwZGVlOTIzMjMiLCJ1c2VySWQiOiIxMzE5MjgwMDg5In0=</vt:lpwstr>
  </property>
</Properties>
</file>