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bidi w:val="0"/>
        <w:jc w:val="center"/>
        <w:outlineLvl w:val="0"/>
        <w:rPr>
          <w:rFonts w:hint="eastAsia" w:ascii="宋体" w:hAnsi="宋体" w:eastAsia="宋体" w:cs="宋体"/>
          <w:sz w:val="44"/>
          <w:szCs w:val="44"/>
          <w:u w:val="none"/>
          <w:lang w:val="en-US" w:eastAsia="zh-CN"/>
        </w:rPr>
      </w:pPr>
      <w:bookmarkStart w:id="28" w:name="_GoBack"/>
      <w:bookmarkStart w:id="0" w:name="_Toc22043"/>
      <w:bookmarkStart w:id="1" w:name="_Toc18720"/>
      <w:bookmarkStart w:id="2" w:name="_Toc26887"/>
      <w:bookmarkStart w:id="3" w:name="_Toc3628"/>
      <w:r>
        <w:rPr>
          <w:rFonts w:hint="eastAsia" w:ascii="宋体" w:hAnsi="宋体" w:eastAsia="宋体" w:cs="宋体"/>
          <w:sz w:val="52"/>
          <w:szCs w:val="52"/>
          <w:u w:val="none"/>
          <w:lang w:val="en-US" w:eastAsia="zh-CN"/>
        </w:rPr>
        <w:t>湖南美宜佳实业有限公司屋顶分布式光伏发电项目</w:t>
      </w:r>
      <w:bookmarkEnd w:id="0"/>
      <w:bookmarkEnd w:id="1"/>
      <w:bookmarkEnd w:id="2"/>
    </w:p>
    <w:bookmarkEnd w:id="28"/>
    <w:p>
      <w:pPr>
        <w:pStyle w:val="7"/>
        <w:bidi w:val="0"/>
        <w:jc w:val="center"/>
        <w:outlineLvl w:val="9"/>
        <w:rPr>
          <w:rFonts w:hint="eastAsia" w:ascii="宋体" w:hAnsi="宋体" w:eastAsia="宋体" w:cs="宋体"/>
          <w:sz w:val="36"/>
          <w:szCs w:val="36"/>
          <w:u w:val="none"/>
          <w:lang w:val="en-US" w:eastAsia="zh-CN"/>
        </w:rPr>
      </w:pPr>
    </w:p>
    <w:p>
      <w:pPr>
        <w:pStyle w:val="7"/>
        <w:bidi w:val="0"/>
        <w:spacing w:line="600" w:lineRule="auto"/>
        <w:jc w:val="center"/>
        <w:outlineLvl w:val="0"/>
        <w:rPr>
          <w:rFonts w:hint="default" w:ascii="宋体" w:hAnsi="宋体" w:eastAsia="宋体" w:cs="宋体"/>
          <w:sz w:val="48"/>
          <w:szCs w:val="48"/>
          <w:u w:val="none"/>
          <w:lang w:val="en-US" w:eastAsia="zh-CN"/>
        </w:rPr>
      </w:pPr>
      <w:bookmarkStart w:id="4" w:name="_Toc7303"/>
      <w:r>
        <w:rPr>
          <w:rFonts w:hint="eastAsia" w:ascii="宋体" w:hAnsi="宋体" w:eastAsia="宋体" w:cs="宋体"/>
          <w:sz w:val="48"/>
          <w:szCs w:val="48"/>
          <w:u w:val="none"/>
          <w:lang w:val="en-US" w:eastAsia="zh-CN"/>
        </w:rPr>
        <w:t>环</w:t>
      </w:r>
    </w:p>
    <w:p>
      <w:pPr>
        <w:pStyle w:val="7"/>
        <w:bidi w:val="0"/>
        <w:spacing w:line="600" w:lineRule="auto"/>
        <w:jc w:val="center"/>
        <w:outlineLvl w:val="0"/>
        <w:rPr>
          <w:rFonts w:hint="default" w:ascii="宋体" w:hAnsi="宋体" w:eastAsia="宋体" w:cs="宋体"/>
          <w:sz w:val="48"/>
          <w:szCs w:val="48"/>
          <w:u w:val="none"/>
          <w:lang w:val="en-US" w:eastAsia="zh-CN"/>
        </w:rPr>
      </w:pPr>
      <w:r>
        <w:rPr>
          <w:rFonts w:hint="eastAsia" w:ascii="宋体" w:hAnsi="宋体" w:eastAsia="宋体" w:cs="宋体"/>
          <w:sz w:val="48"/>
          <w:szCs w:val="48"/>
          <w:u w:val="none"/>
          <w:lang w:val="en-US" w:eastAsia="zh-CN"/>
        </w:rPr>
        <w:t>境</w:t>
      </w:r>
    </w:p>
    <w:p>
      <w:pPr>
        <w:pStyle w:val="7"/>
        <w:bidi w:val="0"/>
        <w:spacing w:line="600" w:lineRule="auto"/>
        <w:jc w:val="center"/>
        <w:outlineLvl w:val="0"/>
        <w:rPr>
          <w:rFonts w:hint="default" w:ascii="宋体" w:hAnsi="宋体" w:eastAsia="宋体" w:cs="宋体"/>
          <w:sz w:val="48"/>
          <w:szCs w:val="48"/>
          <w:u w:val="none"/>
          <w:lang w:val="en-US" w:eastAsia="zh-CN"/>
        </w:rPr>
      </w:pPr>
      <w:r>
        <w:rPr>
          <w:rFonts w:hint="eastAsia" w:ascii="宋体" w:hAnsi="宋体" w:eastAsia="宋体" w:cs="宋体"/>
          <w:sz w:val="48"/>
          <w:szCs w:val="48"/>
          <w:u w:val="none"/>
          <w:lang w:val="en-US" w:eastAsia="zh-CN"/>
        </w:rPr>
        <w:t>检</w:t>
      </w:r>
    </w:p>
    <w:p>
      <w:pPr>
        <w:pStyle w:val="7"/>
        <w:bidi w:val="0"/>
        <w:spacing w:line="600" w:lineRule="auto"/>
        <w:jc w:val="center"/>
        <w:outlineLvl w:val="0"/>
        <w:rPr>
          <w:rFonts w:hint="default" w:ascii="宋体" w:hAnsi="宋体" w:eastAsia="宋体" w:cs="宋体"/>
          <w:sz w:val="48"/>
          <w:szCs w:val="48"/>
          <w:u w:val="none"/>
          <w:lang w:val="en-US" w:eastAsia="zh-CN"/>
        </w:rPr>
      </w:pPr>
      <w:r>
        <w:rPr>
          <w:rFonts w:hint="eastAsia" w:ascii="宋体" w:hAnsi="宋体" w:eastAsia="宋体" w:cs="宋体"/>
          <w:sz w:val="48"/>
          <w:szCs w:val="48"/>
          <w:u w:val="none"/>
          <w:lang w:val="en-US" w:eastAsia="zh-CN"/>
        </w:rPr>
        <w:t>测</w:t>
      </w:r>
    </w:p>
    <w:p>
      <w:pPr>
        <w:pStyle w:val="7"/>
        <w:bidi w:val="0"/>
        <w:spacing w:line="600" w:lineRule="auto"/>
        <w:jc w:val="center"/>
        <w:outlineLvl w:val="0"/>
        <w:rPr>
          <w:rFonts w:hint="eastAsia" w:ascii="宋体" w:hAnsi="宋体" w:eastAsia="宋体" w:cs="宋体"/>
          <w:sz w:val="48"/>
          <w:szCs w:val="48"/>
          <w:u w:val="none"/>
          <w:lang w:val="en-US" w:eastAsia="zh-CN"/>
        </w:rPr>
      </w:pPr>
      <w:r>
        <w:rPr>
          <w:rFonts w:hint="eastAsia" w:ascii="宋体" w:hAnsi="宋体" w:eastAsia="宋体" w:cs="宋体"/>
          <w:sz w:val="48"/>
          <w:szCs w:val="48"/>
          <w:u w:val="none"/>
          <w:lang w:val="en-US" w:eastAsia="zh-CN"/>
        </w:rPr>
        <w:t>安</w:t>
      </w:r>
    </w:p>
    <w:p>
      <w:pPr>
        <w:pStyle w:val="7"/>
        <w:bidi w:val="0"/>
        <w:spacing w:line="600" w:lineRule="auto"/>
        <w:jc w:val="center"/>
        <w:outlineLvl w:val="0"/>
        <w:rPr>
          <w:rFonts w:hint="default" w:ascii="宋体" w:hAnsi="宋体" w:eastAsia="宋体" w:cs="宋体"/>
          <w:sz w:val="48"/>
          <w:szCs w:val="48"/>
          <w:u w:val="none"/>
          <w:lang w:val="en-US" w:eastAsia="zh-CN"/>
        </w:rPr>
      </w:pPr>
      <w:r>
        <w:rPr>
          <w:rFonts w:hint="eastAsia" w:ascii="宋体" w:hAnsi="宋体" w:eastAsia="宋体" w:cs="宋体"/>
          <w:sz w:val="48"/>
          <w:szCs w:val="48"/>
          <w:u w:val="none"/>
          <w:lang w:val="en-US" w:eastAsia="zh-CN"/>
        </w:rPr>
        <w:t>装</w:t>
      </w:r>
    </w:p>
    <w:p>
      <w:pPr>
        <w:pStyle w:val="7"/>
        <w:bidi w:val="0"/>
        <w:spacing w:line="600" w:lineRule="auto"/>
        <w:jc w:val="center"/>
        <w:outlineLvl w:val="0"/>
        <w:rPr>
          <w:rFonts w:hint="default" w:ascii="宋体" w:hAnsi="宋体" w:eastAsia="宋体" w:cs="宋体"/>
          <w:sz w:val="48"/>
          <w:szCs w:val="48"/>
          <w:u w:val="none"/>
          <w:lang w:val="en-US" w:eastAsia="zh-CN"/>
        </w:rPr>
      </w:pPr>
      <w:bookmarkStart w:id="5" w:name="_Toc23160"/>
      <w:bookmarkStart w:id="6" w:name="_Toc4214"/>
      <w:r>
        <w:rPr>
          <w:rFonts w:hint="eastAsia" w:ascii="宋体" w:hAnsi="宋体" w:eastAsia="宋体" w:cs="宋体"/>
          <w:sz w:val="48"/>
          <w:szCs w:val="48"/>
          <w:u w:val="none"/>
          <w:lang w:val="en-US" w:eastAsia="zh-CN"/>
        </w:rPr>
        <w:t>协</w:t>
      </w:r>
      <w:bookmarkEnd w:id="5"/>
      <w:bookmarkEnd w:id="6"/>
    </w:p>
    <w:bookmarkEnd w:id="3"/>
    <w:bookmarkEnd w:id="4"/>
    <w:p>
      <w:pPr>
        <w:pStyle w:val="7"/>
        <w:bidi w:val="0"/>
        <w:spacing w:line="600" w:lineRule="auto"/>
        <w:jc w:val="center"/>
        <w:outlineLvl w:val="0"/>
        <w:rPr>
          <w:rFonts w:hint="default" w:ascii="宋体" w:hAnsi="宋体" w:eastAsia="宋体" w:cs="宋体"/>
          <w:sz w:val="48"/>
          <w:szCs w:val="48"/>
          <w:u w:val="none"/>
          <w:lang w:val="en-US" w:eastAsia="zh-CN"/>
        </w:rPr>
      </w:pPr>
      <w:bookmarkStart w:id="7" w:name="_Toc3044"/>
      <w:bookmarkStart w:id="8" w:name="_Toc6139"/>
      <w:r>
        <w:rPr>
          <w:rFonts w:hint="eastAsia" w:ascii="宋体" w:hAnsi="宋体" w:eastAsia="宋体" w:cs="宋体"/>
          <w:sz w:val="48"/>
          <w:szCs w:val="48"/>
          <w:u w:val="none"/>
          <w:lang w:val="en-US" w:eastAsia="zh-CN"/>
        </w:rPr>
        <w:t>议</w:t>
      </w:r>
      <w:bookmarkEnd w:id="7"/>
      <w:bookmarkEnd w:id="8"/>
    </w:p>
    <w:p>
      <w:pPr>
        <w:jc w:val="center"/>
        <w:rPr>
          <w:rFonts w:hint="eastAsia" w:ascii="宋体" w:hAnsi="宋体" w:cs="宋体"/>
          <w:b/>
          <w:bCs/>
          <w:sz w:val="24"/>
          <w:szCs w:val="24"/>
          <w:u w:val="none"/>
          <w:lang w:val="en-US" w:eastAsia="zh-CN"/>
        </w:rPr>
      </w:pPr>
    </w:p>
    <w:p>
      <w:pPr>
        <w:spacing w:before="0" w:beforeLines="0" w:after="0" w:afterLines="0" w:line="240" w:lineRule="auto"/>
        <w:ind w:right="0" w:rightChars="0" w:firstLine="1960" w:firstLineChars="700"/>
        <w:jc w:val="both"/>
        <w:rPr>
          <w:rFonts w:hint="default" w:ascii="宋体" w:hAnsi="宋体" w:cs="Times New Roman"/>
          <w:kern w:val="2"/>
          <w:sz w:val="28"/>
          <w:szCs w:val="28"/>
          <w:lang w:val="en-US" w:eastAsia="zh-CN" w:bidi="ar-SA"/>
        </w:rPr>
      </w:pPr>
      <w:r>
        <w:rPr>
          <w:rFonts w:hint="eastAsia" w:ascii="宋体" w:hAnsi="宋体" w:cs="Times New Roman"/>
          <w:kern w:val="2"/>
          <w:sz w:val="28"/>
          <w:szCs w:val="28"/>
          <w:lang w:val="en-US" w:eastAsia="zh-CN" w:bidi="ar-SA"/>
        </w:rPr>
        <w:t>甲方：中机国际工程设计研究院有限责任公司</w:t>
      </w:r>
    </w:p>
    <w:p>
      <w:pPr>
        <w:pStyle w:val="2"/>
        <w:rPr>
          <w:rFonts w:hint="default"/>
          <w:sz w:val="28"/>
          <w:szCs w:val="28"/>
          <w:lang w:val="en-US" w:eastAsia="zh-CN"/>
        </w:rPr>
      </w:pPr>
      <w:r>
        <w:rPr>
          <w:rFonts w:hint="eastAsia" w:cs="Times New Roman"/>
          <w:kern w:val="2"/>
          <w:sz w:val="28"/>
          <w:szCs w:val="28"/>
          <w:lang w:val="en-US" w:eastAsia="zh-CN" w:bidi="ar-SA"/>
        </w:rPr>
        <w:t xml:space="preserve">           乙方：</w:t>
      </w:r>
    </w:p>
    <w:p>
      <w:pPr>
        <w:pStyle w:val="5"/>
        <w:bidi w:val="0"/>
      </w:pPr>
      <w:bookmarkStart w:id="9" w:name="_Toc458028518"/>
      <w:bookmarkStart w:id="10" w:name="_Toc27676"/>
      <w:r>
        <w:rPr>
          <w:rFonts w:hint="eastAsia"/>
          <w:sz w:val="32"/>
          <w:szCs w:val="32"/>
          <w:lang w:val="en-US" w:eastAsia="zh-CN"/>
        </w:rPr>
        <w:t>一、</w:t>
      </w:r>
      <w:r>
        <w:rPr>
          <w:rFonts w:hint="eastAsia"/>
          <w:sz w:val="32"/>
          <w:szCs w:val="32"/>
        </w:rPr>
        <w:t>本协议编制的主要原则和适用范围</w:t>
      </w:r>
      <w:bookmarkEnd w:id="9"/>
      <w:bookmarkEnd w:id="10"/>
    </w:p>
    <w:p>
      <w:pPr>
        <w:pStyle w:val="12"/>
        <w:pageBreakBefore w:val="0"/>
        <w:kinsoku/>
        <w:wordWrap/>
        <w:overflowPunct/>
        <w:topLinePunct w:val="0"/>
        <w:bidi w:val="0"/>
        <w:spacing w:beforeAutospacing="0" w:line="360" w:lineRule="auto"/>
        <w:ind w:left="0" w:leftChars="0" w:right="0" w:firstLine="56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bookmarkStart w:id="11" w:name="_Toc455748824"/>
      <w:bookmarkEnd w:id="11"/>
      <w:bookmarkStart w:id="12" w:name="_Toc455748822"/>
      <w:bookmarkEnd w:id="12"/>
      <w:bookmarkStart w:id="13" w:name="_Toc455748826"/>
      <w:bookmarkEnd w:id="13"/>
      <w:bookmarkStart w:id="14" w:name="_Toc455748823"/>
      <w:bookmarkEnd w:id="14"/>
      <w:bookmarkStart w:id="15" w:name="_Toc455748825"/>
      <w:bookmarkEnd w:id="15"/>
      <w:r>
        <w:rPr>
          <w:rFonts w:hint="eastAsia" w:asciiTheme="minorEastAsia" w:hAnsiTheme="minorEastAsia" w:eastAsiaTheme="minorEastAsia" w:cstheme="minorEastAsia"/>
          <w:b w:val="0"/>
          <w:bCs w:val="0"/>
          <w:color w:val="auto"/>
          <w:kern w:val="2"/>
          <w:sz w:val="28"/>
          <w:szCs w:val="28"/>
          <w:highlight w:val="none"/>
          <w:lang w:val="en-US" w:eastAsia="zh-CN" w:bidi="ar-SA"/>
        </w:rPr>
        <w:t>1.1本设备技术协议仅适用湖南美宜佳实业有限公司屋顶分布式光伏发电项目环境检测仪安装和试验等方面的技术要求。</w:t>
      </w:r>
    </w:p>
    <w:p>
      <w:pPr>
        <w:pStyle w:val="12"/>
        <w:pageBreakBefore w:val="0"/>
        <w:kinsoku/>
        <w:wordWrap/>
        <w:overflowPunct/>
        <w:topLinePunct w:val="0"/>
        <w:bidi w:val="0"/>
        <w:spacing w:beforeAutospacing="0" w:line="360" w:lineRule="auto"/>
        <w:ind w:left="0" w:leftChars="0" w:right="0" w:firstLine="56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1.2本设备技术协议提出的是最低限度的技术要求，并未对一切技术细节作出规定，也未充分引述有关标准和规范的条文，我方提供符合甲方标准的优质产品。</w:t>
      </w:r>
    </w:p>
    <w:p>
      <w:pPr>
        <w:pStyle w:val="12"/>
        <w:pageBreakBefore w:val="0"/>
        <w:kinsoku/>
        <w:wordWrap/>
        <w:overflowPunct/>
        <w:topLinePunct w:val="0"/>
        <w:bidi w:val="0"/>
        <w:spacing w:beforeAutospacing="0" w:line="360" w:lineRule="auto"/>
        <w:ind w:left="0" w:leftChars="0" w:right="0" w:firstLine="56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1.3如果甲方没有以书面形式对本协议的条文提出异议，则意味着乙方提供的设备完全符合本协议的要求。</w:t>
      </w:r>
    </w:p>
    <w:p>
      <w:pPr>
        <w:pStyle w:val="5"/>
        <w:numPr>
          <w:ilvl w:val="0"/>
          <w:numId w:val="1"/>
        </w:numPr>
        <w:bidi w:val="0"/>
        <w:spacing w:after="0" w:afterLines="0"/>
        <w:rPr>
          <w:rFonts w:hint="eastAsia"/>
          <w:sz w:val="32"/>
          <w:szCs w:val="32"/>
          <w:lang w:val="en-US" w:eastAsia="zh-CN"/>
        </w:rPr>
      </w:pPr>
      <w:bookmarkStart w:id="16" w:name="_Toc6558"/>
      <w:r>
        <w:rPr>
          <w:rFonts w:hint="eastAsia"/>
          <w:sz w:val="32"/>
          <w:szCs w:val="32"/>
          <w:lang w:val="en-US" w:eastAsia="zh-CN"/>
        </w:rPr>
        <w:t>项目概况</w:t>
      </w:r>
      <w:bookmarkEnd w:id="16"/>
    </w:p>
    <w:p>
      <w:pPr>
        <w:pStyle w:val="12"/>
        <w:pageBreakBefore w:val="0"/>
        <w:kinsoku/>
        <w:wordWrap/>
        <w:overflowPunct/>
        <w:topLinePunct w:val="0"/>
        <w:bidi w:val="0"/>
        <w:spacing w:beforeAutospacing="0" w:line="360" w:lineRule="auto"/>
        <w:ind w:left="0" w:leftChars="0" w:right="0" w:firstLine="56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本项目利用湖南美宜佳实业有限公司园区1#仓库、2#仓库、3#仓库三个厂房屋面建设分布式光伏电站，项目设计在屋面铺设光伏支架并安装太阳能光伏组件，光伏组件采取平铺方式。其中1#仓库安装1410块660Wp单晶硅组件，总装机容量为0.9306MWp，2#仓库安装2610块660Wp单晶硅组件，总装机容量为1.7226MWp，3#仓库安装2850块660Wp单晶硅组件，总装机容量为1.881MWp，采用10kV并网，接至新建10kV开关站，10kV开关站出线接至原配电房新增的1面10kV并网柜，接入园区10kV主供电源母线实现并网发电，并网模式为“自发自用，余电上网”（具体以电网公司接入意见为准）。</w:t>
      </w:r>
    </w:p>
    <w:p>
      <w:pPr>
        <w:pStyle w:val="12"/>
        <w:pageBreakBefore w:val="0"/>
        <w:kinsoku/>
        <w:wordWrap/>
        <w:overflowPunct/>
        <w:topLinePunct w:val="0"/>
        <w:bidi w:val="0"/>
        <w:spacing w:beforeAutospacing="0" w:line="360" w:lineRule="auto"/>
        <w:ind w:left="0" w:leftChars="0" w:right="0" w:firstLine="560" w:firstLineChars="200"/>
        <w:jc w:val="left"/>
        <w:textAlignment w:val="auto"/>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olor w:val="auto"/>
          <w:kern w:val="2"/>
          <w:sz w:val="28"/>
          <w:szCs w:val="28"/>
          <w:highlight w:val="none"/>
          <w:lang w:val="en-US" w:eastAsia="zh-CN" w:bidi="ar-SA"/>
        </w:rPr>
        <w:t>本项目的建设将取得良好的经济、环境和社会效益。</w:t>
      </w:r>
    </w:p>
    <w:p>
      <w:pPr>
        <w:numPr>
          <w:ilvl w:val="0"/>
          <w:numId w:val="0"/>
        </w:numPr>
        <w:rPr>
          <w:rFonts w:hint="eastAsia"/>
          <w:lang w:val="en-US" w:eastAsia="zh-CN"/>
        </w:rPr>
      </w:pPr>
    </w:p>
    <w:p>
      <w:pPr>
        <w:pStyle w:val="5"/>
        <w:bidi w:val="0"/>
        <w:rPr>
          <w:rFonts w:hint="eastAsia"/>
          <w:sz w:val="32"/>
          <w:szCs w:val="32"/>
          <w:lang w:val="en-US" w:eastAsia="zh-CN"/>
        </w:rPr>
      </w:pPr>
      <w:r>
        <w:rPr>
          <w:rFonts w:hint="eastAsia"/>
          <w:sz w:val="32"/>
          <w:szCs w:val="32"/>
          <w:lang w:val="en-US" w:eastAsia="zh-CN"/>
        </w:rPr>
        <w:t>三、环境检测仪的要求</w:t>
      </w: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default" w:ascii="Wingdings" w:hAnsi="Wingdings"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sz w:val="28"/>
          <w:szCs w:val="28"/>
          <w:highlight w:val="none"/>
        </w:rPr>
        <w:t>连续无日照正常工作时间≥15天；</w:t>
      </w: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default" w:ascii="Wingdings" w:hAnsi="Wingdings"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sz w:val="28"/>
          <w:szCs w:val="28"/>
          <w:highlight w:val="none"/>
        </w:rPr>
        <w:t>数据畅通率≥95%；</w:t>
      </w: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default" w:ascii="Wingdings" w:hAnsi="Wingdings"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sz w:val="28"/>
          <w:szCs w:val="28"/>
          <w:highlight w:val="none"/>
        </w:rPr>
        <w:t>数据刷新周期≤3秒；</w:t>
      </w: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default" w:ascii="Wingdings" w:hAnsi="Wingdings"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sz w:val="28"/>
          <w:szCs w:val="28"/>
          <w:highlight w:val="none"/>
        </w:rPr>
        <w:t>安装环境监测仪设备时，应按照规范做好防雷措施；</w:t>
      </w: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default" w:ascii="Wingdings" w:hAnsi="Wingdings"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sz w:val="28"/>
          <w:szCs w:val="28"/>
          <w:highlight w:val="none"/>
        </w:rPr>
        <w:t>环境监测仪需具备对时功能，能接受自动化系统或卫星时钟同步系统的ModbusRTU对时、SNTP网络对时等对时报文；</w:t>
      </w: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default" w:ascii="Wingdings" w:hAnsi="Wingdings"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sz w:val="28"/>
          <w:szCs w:val="28"/>
          <w:highlight w:val="none"/>
        </w:rPr>
        <w:t>整套环境监测仪全套质保时间：验收及培训之日起，日历年3年软硬件免费保修维护。</w:t>
      </w: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default" w:ascii="Wingdings" w:hAnsi="Wingdings"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sz w:val="28"/>
          <w:szCs w:val="28"/>
          <w:highlight w:val="none"/>
        </w:rPr>
        <w:t>环境监测仪必须至少由如下几部分组成：高精度数据采集器（及其机箱）、水平辐射表、斜面辐射表（角度可调）、电池板背板温度传感器（PT1000）、空气温度及湿度一体化传感器、太阳能充电控制器、太阳能电池及蓄电池、通信模块、数据采集器配套设置调试及维护软件等；</w:t>
      </w: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default" w:ascii="Wingdings" w:hAnsi="Wingdings"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sz w:val="28"/>
          <w:szCs w:val="28"/>
          <w:highlight w:val="none"/>
        </w:rPr>
        <w:t>环境监测仪一定要可用性强、精确度高，集成仪表数据必须至少提供的通信点表参数有：数据采集器本体时间点表（年、月、日、时、分、秒）、水平瞬时辐照强度（瞬时值、1天平均值、1天最大值、1天最小值、1天标准差）、斜面瞬时辐照强度（瞬时值、1天平均值、1天最大值、1天最小值、1天标准差）、水平辐射日累计值、斜面辐射日累计值、组件背板温度（瞬时值、1天平均值、1天最大值、1天最小值、1天标准差）、空气温度（瞬时值、1天平均值、1天最大值、1天最小值、1天标准差）、空气湿度（瞬时值、1天平均值、1天最大值、1天最小值、1天标准差）、风速（瞬时值、1天平均值、1天最大值、1天最小值、1天标准差）、风向（瞬时值、矢量平均值、矢量平均标准差）等。</w:t>
      </w: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Wingdings" w:hAnsi="Wingdings" w:eastAsiaTheme="minorEastAsia" w:cstheme="minorEastAsia"/>
          <w:color w:val="auto"/>
          <w:kern w:val="2"/>
          <w:sz w:val="28"/>
          <w:szCs w:val="28"/>
          <w:lang w:val="en-US" w:eastAsia="zh-CN" w:bidi="ar-SA"/>
        </w:rPr>
      </w:pPr>
      <w:r>
        <w:rPr>
          <w:rFonts w:hint="default" w:ascii="Wingdings" w:hAnsi="Wingdings" w:eastAsiaTheme="minorEastAsia" w:cstheme="minorEastAsia"/>
          <w:color w:val="auto"/>
          <w:kern w:val="2"/>
          <w:sz w:val="28"/>
          <w:szCs w:val="28"/>
          <w:lang w:val="en-US" w:eastAsia="zh-CN" w:bidi="ar-SA"/>
        </w:rPr>
        <w:t></w:t>
      </w:r>
      <w:r>
        <w:rPr>
          <w:rFonts w:hint="eastAsia" w:asciiTheme="minorEastAsia" w:hAnsiTheme="minorEastAsia" w:eastAsiaTheme="minorEastAsia" w:cstheme="minorEastAsia"/>
          <w:color w:val="auto"/>
          <w:sz w:val="28"/>
          <w:szCs w:val="28"/>
          <w:highlight w:val="none"/>
          <w:lang w:val="en-US" w:eastAsia="zh-CN"/>
        </w:rPr>
        <w:t>卖方负环境检测仪及其附属设备的安装及调试</w:t>
      </w:r>
      <w:r>
        <w:rPr>
          <w:rFonts w:hint="eastAsia" w:ascii="Wingdings" w:hAnsi="Wingdings" w:eastAsiaTheme="minorEastAsia" w:cstheme="minorEastAsia"/>
          <w:color w:val="auto"/>
          <w:kern w:val="2"/>
          <w:sz w:val="28"/>
          <w:szCs w:val="28"/>
          <w:lang w:val="en-US" w:eastAsia="zh-CN" w:bidi="ar-SA"/>
        </w:rPr>
        <w:t>。</w:t>
      </w: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Wingdings" w:hAnsi="Wingdings" w:eastAsiaTheme="minorEastAsia" w:cstheme="minorEastAsia"/>
          <w:color w:val="auto"/>
          <w:kern w:val="2"/>
          <w:sz w:val="28"/>
          <w:szCs w:val="28"/>
          <w:lang w:val="en-US" w:eastAsia="zh-CN" w:bidi="ar-SA"/>
        </w:rPr>
        <w:sectPr>
          <w:pgSz w:w="11906" w:h="16838"/>
          <w:pgMar w:top="1440" w:right="1800" w:bottom="1440" w:left="1800" w:header="851" w:footer="992" w:gutter="0"/>
          <w:cols w:space="425" w:num="1"/>
          <w:docGrid w:type="lines" w:linePitch="312" w:charSpace="0"/>
        </w:sectPr>
      </w:pPr>
    </w:p>
    <w:p>
      <w:pPr>
        <w:pStyle w:val="2"/>
        <w:rPr>
          <w:rFonts w:hint="eastAsia"/>
        </w:rPr>
      </w:pPr>
    </w:p>
    <w:p>
      <w:pPr>
        <w:pageBreakBefore w:val="0"/>
        <w:numPr>
          <w:ilvl w:val="0"/>
          <w:numId w:val="0"/>
        </w:numPr>
        <w:kinsoku/>
        <w:wordWrap/>
        <w:overflowPunct/>
        <w:topLinePunct w:val="0"/>
        <w:bidi w:val="0"/>
        <w:spacing w:beforeAutospacing="0" w:line="360" w:lineRule="auto"/>
        <w:ind w:left="0" w:leftChars="0" w:right="0" w:rightChars="0" w:firstLine="560" w:firstLineChars="200"/>
        <w:textAlignment w:val="auto"/>
        <w:rPr>
          <w:rFonts w:hint="eastAsia" w:ascii="Wingdings" w:hAnsi="Wingdings" w:eastAsiaTheme="minorEastAsia" w:cstheme="minorEastAsia"/>
          <w:color w:val="auto"/>
          <w:kern w:val="2"/>
          <w:sz w:val="28"/>
          <w:szCs w:val="28"/>
          <w:lang w:val="en-US" w:eastAsia="zh-CN" w:bidi="ar-SA"/>
        </w:rPr>
      </w:pPr>
      <w:r>
        <w:rPr>
          <w:rFonts w:hint="default" w:ascii="Wingdings" w:hAnsi="Wingdings" w:eastAsiaTheme="minorEastAsia" w:cstheme="minorEastAsia"/>
          <w:color w:val="auto"/>
          <w:kern w:val="2"/>
          <w:sz w:val="28"/>
          <w:szCs w:val="28"/>
          <w:lang w:val="en-US" w:eastAsia="zh-CN" w:bidi="ar-SA"/>
        </w:rPr>
        <w:t></w:t>
      </w:r>
      <w:r>
        <w:rPr>
          <w:rFonts w:hint="eastAsia" w:ascii="Wingdings" w:hAnsi="Wingdings" w:eastAsiaTheme="minorEastAsia" w:cstheme="minorEastAsia"/>
          <w:color w:val="auto"/>
          <w:kern w:val="2"/>
          <w:sz w:val="28"/>
          <w:szCs w:val="28"/>
          <w:lang w:val="en-US" w:eastAsia="zh-CN" w:bidi="ar-SA"/>
        </w:rPr>
        <w:t>环境监测仪传感器及采集器技术参数必须满足下表的要求：</w:t>
      </w:r>
    </w:p>
    <w:tbl>
      <w:tblPr>
        <w:tblStyle w:val="10"/>
        <w:tblpPr w:leftFromText="180" w:rightFromText="180" w:vertAnchor="text" w:horzAnchor="page" w:tblpX="822" w:tblpY="38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1"/>
        <w:gridCol w:w="1169"/>
        <w:gridCol w:w="644"/>
        <w:gridCol w:w="764"/>
        <w:gridCol w:w="1287"/>
        <w:gridCol w:w="1320"/>
        <w:gridCol w:w="1364"/>
        <w:gridCol w:w="30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381"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序号</w:t>
            </w:r>
          </w:p>
        </w:tc>
        <w:tc>
          <w:tcPr>
            <w:tcW w:w="1169"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传感器名称</w:t>
            </w:r>
          </w:p>
        </w:tc>
        <w:tc>
          <w:tcPr>
            <w:tcW w:w="64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单位</w:t>
            </w:r>
          </w:p>
        </w:tc>
        <w:tc>
          <w:tcPr>
            <w:tcW w:w="7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数量</w:t>
            </w:r>
          </w:p>
        </w:tc>
        <w:tc>
          <w:tcPr>
            <w:tcW w:w="1287"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测量范围</w:t>
            </w:r>
          </w:p>
        </w:tc>
        <w:tc>
          <w:tcPr>
            <w:tcW w:w="1320"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精度要求</w:t>
            </w:r>
          </w:p>
        </w:tc>
        <w:tc>
          <w:tcPr>
            <w:tcW w:w="13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敏感度</w:t>
            </w:r>
          </w:p>
        </w:tc>
        <w:tc>
          <w:tcPr>
            <w:tcW w:w="3033"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b/>
                <w:color w:val="auto"/>
                <w:sz w:val="22"/>
                <w:szCs w:val="22"/>
                <w:highlight w:val="none"/>
              </w:rPr>
            </w:pPr>
            <w:r>
              <w:rPr>
                <w:rFonts w:hint="eastAsia" w:ascii="宋体" w:hAnsi="宋体" w:eastAsia="宋体" w:cs="宋体"/>
                <w:b/>
                <w:color w:val="auto"/>
                <w:sz w:val="22"/>
                <w:szCs w:val="22"/>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8" w:hRule="atLeast"/>
        </w:trPr>
        <w:tc>
          <w:tcPr>
            <w:tcW w:w="381"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169"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水平太阳能辐照度传感器</w:t>
            </w:r>
          </w:p>
        </w:tc>
        <w:tc>
          <w:tcPr>
            <w:tcW w:w="64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台</w:t>
            </w:r>
          </w:p>
        </w:tc>
        <w:tc>
          <w:tcPr>
            <w:tcW w:w="7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287"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输出范围：0～2000W/㎡光谱范围：</w:t>
            </w:r>
          </w:p>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300～2800nm</w:t>
            </w:r>
          </w:p>
        </w:tc>
        <w:tc>
          <w:tcPr>
            <w:tcW w:w="1320"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ISO9060:1990SecondaryStandard（次基准级）年稳定性：±2%</w:t>
            </w:r>
          </w:p>
        </w:tc>
        <w:tc>
          <w:tcPr>
            <w:tcW w:w="13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vertAlign w:val="superscript"/>
              </w:rPr>
            </w:pPr>
            <w:r>
              <w:rPr>
                <w:rFonts w:hint="eastAsia" w:ascii="宋体" w:hAnsi="宋体" w:eastAsia="宋体" w:cs="宋体"/>
                <w:color w:val="auto"/>
                <w:sz w:val="22"/>
                <w:szCs w:val="22"/>
                <w:highlight w:val="none"/>
              </w:rPr>
              <w:t>灵敏度：7~14µV/Wm</w:t>
            </w:r>
            <w:r>
              <w:rPr>
                <w:rFonts w:hint="eastAsia" w:ascii="宋体" w:hAnsi="宋体" w:eastAsia="宋体" w:cs="宋体"/>
                <w:color w:val="auto"/>
                <w:sz w:val="22"/>
                <w:szCs w:val="22"/>
                <w:highlight w:val="none"/>
                <w:vertAlign w:val="superscript"/>
              </w:rPr>
              <w:t>-2</w:t>
            </w:r>
          </w:p>
          <w:p>
            <w:pPr>
              <w:pageBreakBefore w:val="0"/>
              <w:kinsoku/>
              <w:wordWrap/>
              <w:overflowPunct/>
              <w:topLinePunct w:val="0"/>
              <w:bidi w:val="0"/>
              <w:spacing w:beforeAutospacing="0" w:line="360" w:lineRule="auto"/>
              <w:ind w:left="0" w:leftChars="0" w:right="0" w:firstLine="440" w:firstLineChars="20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（模拟信号输出范围：0-20mv）</w:t>
            </w:r>
          </w:p>
          <w:p>
            <w:pPr>
              <w:pageBreakBefore w:val="0"/>
              <w:kinsoku/>
              <w:wordWrap/>
              <w:overflowPunct/>
              <w:topLinePunct w:val="0"/>
              <w:bidi w:val="0"/>
              <w:spacing w:beforeAutospacing="0" w:line="360" w:lineRule="auto"/>
              <w:ind w:left="0" w:leftChars="0" w:right="0" w:firstLine="440" w:firstLineChars="200"/>
              <w:jc w:val="center"/>
              <w:textAlignment w:val="auto"/>
              <w:rPr>
                <w:rFonts w:hint="eastAsia" w:ascii="宋体" w:hAnsi="宋体" w:eastAsia="宋体" w:cs="宋体"/>
                <w:color w:val="auto"/>
                <w:sz w:val="22"/>
                <w:szCs w:val="22"/>
                <w:highlight w:val="none"/>
              </w:rPr>
            </w:pPr>
          </w:p>
        </w:tc>
        <w:tc>
          <w:tcPr>
            <w:tcW w:w="3033"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1、热电堆式、进口；2、具备对时功能；3、响应时间：&lt;2s；4、防护等级IP67；5、备选品牌（含仪表及数据采集器）：Kipp&amp;zonen+Campbell</w:t>
            </w:r>
          </w:p>
          <w:p>
            <w:pPr>
              <w:pageBreakBefore w:val="0"/>
              <w:kinsoku/>
              <w:wordWrap/>
              <w:overflowPunct/>
              <w:topLinePunct w:val="0"/>
              <w:bidi w:val="0"/>
              <w:spacing w:beforeAutospacing="0" w:line="360" w:lineRule="auto"/>
              <w:ind w:left="0" w:leftChars="0" w:right="0" w:firstLine="440" w:firstLineChars="200"/>
              <w:jc w:val="center"/>
              <w:textAlignment w:val="auto"/>
              <w:rPr>
                <w:rFonts w:hint="eastAsia" w:ascii="宋体" w:hAnsi="宋体" w:eastAsia="宋体" w:cs="宋体"/>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1"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1169"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斜面太阳能辐照度传感器</w:t>
            </w:r>
          </w:p>
        </w:tc>
        <w:tc>
          <w:tcPr>
            <w:tcW w:w="64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台</w:t>
            </w:r>
          </w:p>
        </w:tc>
        <w:tc>
          <w:tcPr>
            <w:tcW w:w="7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287"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输出范围：0～2000W/㎡</w:t>
            </w:r>
          </w:p>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光谱范围：300～2800nm</w:t>
            </w:r>
          </w:p>
        </w:tc>
        <w:tc>
          <w:tcPr>
            <w:tcW w:w="1320"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ISO9060:1990SecondaryStandard</w:t>
            </w:r>
          </w:p>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年稳定性：±2%</w:t>
            </w:r>
          </w:p>
        </w:tc>
        <w:tc>
          <w:tcPr>
            <w:tcW w:w="13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vertAlign w:val="superscript"/>
              </w:rPr>
            </w:pPr>
            <w:r>
              <w:rPr>
                <w:rFonts w:hint="eastAsia" w:ascii="宋体" w:hAnsi="宋体" w:eastAsia="宋体" w:cs="宋体"/>
                <w:color w:val="auto"/>
                <w:sz w:val="22"/>
                <w:szCs w:val="22"/>
                <w:highlight w:val="none"/>
              </w:rPr>
              <w:t>灵敏度：7~14µV/Wm</w:t>
            </w:r>
            <w:r>
              <w:rPr>
                <w:rFonts w:hint="eastAsia" w:ascii="宋体" w:hAnsi="宋体" w:eastAsia="宋体" w:cs="宋体"/>
                <w:color w:val="auto"/>
                <w:sz w:val="22"/>
                <w:szCs w:val="22"/>
                <w:highlight w:val="none"/>
                <w:vertAlign w:val="superscript"/>
              </w:rPr>
              <w:t>-2</w:t>
            </w:r>
          </w:p>
          <w:p>
            <w:pPr>
              <w:pageBreakBefore w:val="0"/>
              <w:kinsoku/>
              <w:wordWrap/>
              <w:overflowPunct/>
              <w:topLinePunct w:val="0"/>
              <w:bidi w:val="0"/>
              <w:spacing w:beforeAutospacing="0" w:line="360" w:lineRule="auto"/>
              <w:ind w:left="0" w:leftChars="0" w:right="0" w:firstLine="440" w:firstLineChars="20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（信号范围：0-20mv）</w:t>
            </w:r>
          </w:p>
          <w:p>
            <w:pPr>
              <w:pageBreakBefore w:val="0"/>
              <w:kinsoku/>
              <w:wordWrap/>
              <w:overflowPunct/>
              <w:topLinePunct w:val="0"/>
              <w:bidi w:val="0"/>
              <w:spacing w:beforeAutospacing="0" w:line="360" w:lineRule="auto"/>
              <w:ind w:left="0" w:leftChars="0" w:right="0" w:firstLine="440" w:firstLineChars="200"/>
              <w:jc w:val="center"/>
              <w:textAlignment w:val="auto"/>
              <w:rPr>
                <w:rFonts w:hint="eastAsia" w:ascii="宋体" w:hAnsi="宋体" w:eastAsia="宋体" w:cs="宋体"/>
                <w:color w:val="auto"/>
                <w:sz w:val="22"/>
                <w:szCs w:val="22"/>
                <w:highlight w:val="none"/>
              </w:rPr>
            </w:pPr>
          </w:p>
        </w:tc>
        <w:tc>
          <w:tcPr>
            <w:tcW w:w="3033"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1、热电堆式、进口；2、具备对时功能；3、响应时间：&lt;2s；</w:t>
            </w:r>
          </w:p>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4、防护等级IP67；</w:t>
            </w:r>
          </w:p>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5、备选品牌（含仪表及数据采集器）：Kipp&amp;zonen+CampbellDaystar+CampbellEKO+Campbell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0" w:hRule="atLeast"/>
        </w:trPr>
        <w:tc>
          <w:tcPr>
            <w:tcW w:w="381"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1169"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风速传感器</w:t>
            </w:r>
          </w:p>
        </w:tc>
        <w:tc>
          <w:tcPr>
            <w:tcW w:w="64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台</w:t>
            </w:r>
          </w:p>
        </w:tc>
        <w:tc>
          <w:tcPr>
            <w:tcW w:w="7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287"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0～75m/s</w:t>
            </w:r>
          </w:p>
        </w:tc>
        <w:tc>
          <w:tcPr>
            <w:tcW w:w="1320"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0.1m/s（每5m/s）</w:t>
            </w:r>
          </w:p>
        </w:tc>
        <w:tc>
          <w:tcPr>
            <w:tcW w:w="13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分辨率0.7998m/s启动风速：0.4m/s</w:t>
            </w:r>
          </w:p>
        </w:tc>
        <w:tc>
          <w:tcPr>
            <w:tcW w:w="3033"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国际或国产一线品牌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4" w:hRule="atLeast"/>
        </w:trPr>
        <w:tc>
          <w:tcPr>
            <w:tcW w:w="381"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1169"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风向传感器</w:t>
            </w:r>
          </w:p>
        </w:tc>
        <w:tc>
          <w:tcPr>
            <w:tcW w:w="64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台</w:t>
            </w:r>
          </w:p>
        </w:tc>
        <w:tc>
          <w:tcPr>
            <w:tcW w:w="7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287"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1～360°</w:t>
            </w:r>
          </w:p>
        </w:tc>
        <w:tc>
          <w:tcPr>
            <w:tcW w:w="1320"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13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分辨率：0.5°</w:t>
            </w:r>
          </w:p>
        </w:tc>
        <w:tc>
          <w:tcPr>
            <w:tcW w:w="3033"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国际或国产一线品牌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 w:hRule="atLeast"/>
        </w:trPr>
        <w:tc>
          <w:tcPr>
            <w:tcW w:w="381"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1169"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室外温湿度传感器</w:t>
            </w:r>
          </w:p>
        </w:tc>
        <w:tc>
          <w:tcPr>
            <w:tcW w:w="64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台</w:t>
            </w:r>
          </w:p>
        </w:tc>
        <w:tc>
          <w:tcPr>
            <w:tcW w:w="7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287"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-55～125℃</w:t>
            </w:r>
          </w:p>
        </w:tc>
        <w:tc>
          <w:tcPr>
            <w:tcW w:w="1320"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±0.1℃</w:t>
            </w:r>
          </w:p>
        </w:tc>
        <w:tc>
          <w:tcPr>
            <w:tcW w:w="1364" w:type="dxa"/>
            <w:vAlign w:val="center"/>
          </w:tcPr>
          <w:p>
            <w:pPr>
              <w:pageBreakBefore w:val="0"/>
              <w:kinsoku/>
              <w:wordWrap/>
              <w:overflowPunct/>
              <w:topLinePunct w:val="0"/>
              <w:bidi w:val="0"/>
              <w:spacing w:beforeAutospacing="0" w:line="360" w:lineRule="auto"/>
              <w:ind w:left="0" w:leftChars="0" w:right="0" w:firstLine="440" w:firstLineChars="200"/>
              <w:jc w:val="center"/>
              <w:textAlignment w:val="auto"/>
              <w:rPr>
                <w:rFonts w:hint="eastAsia" w:ascii="宋体" w:hAnsi="宋体" w:eastAsia="宋体" w:cs="宋体"/>
                <w:color w:val="auto"/>
                <w:sz w:val="22"/>
                <w:szCs w:val="22"/>
                <w:highlight w:val="none"/>
              </w:rPr>
            </w:pPr>
          </w:p>
        </w:tc>
        <w:tc>
          <w:tcPr>
            <w:tcW w:w="3033"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温湿度一体，国际或国产一线品牌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81"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1169"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组件背板温度传感器</w:t>
            </w:r>
          </w:p>
        </w:tc>
        <w:tc>
          <w:tcPr>
            <w:tcW w:w="64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台</w:t>
            </w:r>
          </w:p>
        </w:tc>
        <w:tc>
          <w:tcPr>
            <w:tcW w:w="764"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1287"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-55～125℃</w:t>
            </w:r>
          </w:p>
        </w:tc>
        <w:tc>
          <w:tcPr>
            <w:tcW w:w="1320" w:type="dxa"/>
            <w:vAlign w:val="center"/>
          </w:tcPr>
          <w:p>
            <w:pPr>
              <w:pageBreakBefore w:val="0"/>
              <w:kinsoku/>
              <w:wordWrap/>
              <w:overflowPunct/>
              <w:topLinePunct w:val="0"/>
              <w:bidi w:val="0"/>
              <w:spacing w:beforeAutospacing="0" w:line="360" w:lineRule="auto"/>
              <w:ind w:left="0" w:leftChars="0" w:right="0" w:firstLine="440" w:firstLineChars="20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±0.1℃</w:t>
            </w:r>
          </w:p>
        </w:tc>
        <w:tc>
          <w:tcPr>
            <w:tcW w:w="1364" w:type="dxa"/>
            <w:vAlign w:val="center"/>
          </w:tcPr>
          <w:p>
            <w:pPr>
              <w:pageBreakBefore w:val="0"/>
              <w:kinsoku/>
              <w:wordWrap/>
              <w:overflowPunct/>
              <w:topLinePunct w:val="0"/>
              <w:bidi w:val="0"/>
              <w:spacing w:beforeAutospacing="0" w:line="360" w:lineRule="auto"/>
              <w:ind w:left="0" w:leftChars="0" w:right="0" w:firstLine="440" w:firstLineChars="200"/>
              <w:jc w:val="center"/>
              <w:textAlignment w:val="auto"/>
              <w:rPr>
                <w:rFonts w:hint="eastAsia" w:ascii="宋体" w:hAnsi="宋体" w:eastAsia="宋体" w:cs="宋体"/>
                <w:color w:val="auto"/>
                <w:sz w:val="22"/>
                <w:szCs w:val="22"/>
                <w:highlight w:val="none"/>
              </w:rPr>
            </w:pPr>
          </w:p>
        </w:tc>
        <w:tc>
          <w:tcPr>
            <w:tcW w:w="3033" w:type="dxa"/>
            <w:vAlign w:val="center"/>
          </w:tcPr>
          <w:p>
            <w:pPr>
              <w:pageBreakBefore w:val="0"/>
              <w:kinsoku/>
              <w:wordWrap/>
              <w:overflowPunct/>
              <w:topLinePunct w:val="0"/>
              <w:bidi w:val="0"/>
              <w:spacing w:beforeAutospacing="0" w:line="360" w:lineRule="auto"/>
              <w:ind w:right="0"/>
              <w:jc w:val="center"/>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campbell</w:t>
            </w:r>
          </w:p>
        </w:tc>
      </w:tr>
    </w:tbl>
    <w:p>
      <w:pPr>
        <w:pageBreakBefore w:val="0"/>
        <w:tabs>
          <w:tab w:val="left" w:pos="420"/>
        </w:tabs>
        <w:kinsoku/>
        <w:wordWrap/>
        <w:overflowPunct/>
        <w:topLinePunct w:val="0"/>
        <w:bidi w:val="0"/>
        <w:spacing w:beforeAutospacing="0" w:line="360" w:lineRule="auto"/>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sectPr>
          <w:pgSz w:w="11906" w:h="16838"/>
          <w:pgMar w:top="1440" w:right="1800" w:bottom="1440" w:left="1800" w:header="851" w:footer="992" w:gutter="0"/>
          <w:cols w:space="425" w:num="1"/>
          <w:docGrid w:type="lines" w:linePitch="312" w:charSpace="0"/>
        </w:sectPr>
      </w:pPr>
    </w:p>
    <w:p>
      <w:pPr>
        <w:rPr>
          <w:rFonts w:hint="eastAsia"/>
          <w:sz w:val="28"/>
          <w:szCs w:val="28"/>
          <w:lang w:val="en-US" w:eastAsia="zh-CN"/>
        </w:rPr>
      </w:pPr>
      <w:bookmarkStart w:id="17" w:name="_Toc381169779"/>
      <w:bookmarkStart w:id="18" w:name="_Toc384731743"/>
      <w:bookmarkStart w:id="19" w:name="_Toc352252749"/>
      <w:bookmarkStart w:id="20" w:name="_Toc384732151"/>
      <w:bookmarkStart w:id="21" w:name="_Toc10776"/>
      <w:bookmarkStart w:id="22" w:name="_Toc384732089"/>
      <w:bookmarkStart w:id="23" w:name="_Toc353295798"/>
      <w:bookmarkStart w:id="24" w:name="_Toc384731782"/>
      <w:bookmarkStart w:id="25" w:name="_Toc352253968"/>
      <w:bookmarkStart w:id="26" w:name="_Toc352435989"/>
      <w:bookmarkStart w:id="27" w:name="_Toc352258391"/>
      <w:r>
        <w:rPr>
          <w:rFonts w:hint="eastAsia"/>
          <w:sz w:val="28"/>
          <w:szCs w:val="28"/>
          <w:lang w:val="en-US" w:eastAsia="zh-CN"/>
        </w:rPr>
        <w:t>签字页及联系方式</w:t>
      </w:r>
      <w:bookmarkEnd w:id="17"/>
      <w:bookmarkEnd w:id="18"/>
      <w:bookmarkEnd w:id="19"/>
      <w:bookmarkEnd w:id="20"/>
      <w:bookmarkEnd w:id="21"/>
      <w:bookmarkEnd w:id="22"/>
      <w:bookmarkEnd w:id="23"/>
      <w:bookmarkEnd w:id="24"/>
      <w:bookmarkEnd w:id="25"/>
      <w:bookmarkEnd w:id="26"/>
      <w:bookmarkEnd w:id="27"/>
    </w:p>
    <w:p>
      <w:pPr>
        <w:rPr>
          <w:rFonts w:hint="eastAsia"/>
          <w:sz w:val="28"/>
          <w:szCs w:val="28"/>
          <w:lang w:val="en-US" w:eastAsia="zh-CN"/>
        </w:rPr>
      </w:pPr>
      <w:r>
        <w:rPr>
          <w:rFonts w:hint="eastAsia"/>
          <w:sz w:val="28"/>
          <w:szCs w:val="28"/>
          <w:lang w:val="en-US" w:eastAsia="zh-CN"/>
        </w:rPr>
        <w:t>甲    方：中机国际工程设计研究院有限责任公司</w:t>
      </w:r>
    </w:p>
    <w:p>
      <w:pPr>
        <w:pStyle w:val="2"/>
        <w:spacing w:before="0"/>
        <w:ind w:left="0" w:leftChars="0" w:firstLine="0" w:firstLineChars="0"/>
        <w:rPr>
          <w:rFonts w:hint="eastAsia"/>
          <w:sz w:val="28"/>
          <w:szCs w:val="28"/>
          <w:lang w:val="en-US" w:eastAsia="zh-CN"/>
        </w:rPr>
      </w:pPr>
      <w:r>
        <w:rPr>
          <w:rFonts w:hint="eastAsia"/>
          <w:sz w:val="28"/>
          <w:szCs w:val="28"/>
          <w:lang w:val="en-US" w:eastAsia="zh-CN"/>
        </w:rPr>
        <w:t>授权代表：</w:t>
      </w:r>
    </w:p>
    <w:p>
      <w:pPr>
        <w:rPr>
          <w:rFonts w:hint="default"/>
          <w:sz w:val="28"/>
          <w:szCs w:val="28"/>
          <w:lang w:val="en-US" w:eastAsia="zh-CN"/>
        </w:rPr>
      </w:pPr>
      <w:r>
        <w:rPr>
          <w:rFonts w:hint="eastAsia"/>
          <w:sz w:val="28"/>
          <w:szCs w:val="28"/>
          <w:lang w:val="en-US" w:eastAsia="zh-CN"/>
        </w:rPr>
        <w:t>日    期：</w:t>
      </w:r>
    </w:p>
    <w:p>
      <w:pPr>
        <w:rPr>
          <w:rFonts w:hint="eastAsia"/>
          <w:sz w:val="28"/>
          <w:szCs w:val="28"/>
          <w:lang w:val="en-US" w:eastAsia="zh-CN"/>
        </w:rPr>
      </w:pPr>
    </w:p>
    <w:p>
      <w:pPr>
        <w:rPr>
          <w:rFonts w:hint="eastAsia"/>
          <w:sz w:val="28"/>
          <w:szCs w:val="28"/>
          <w:lang w:val="en-US" w:eastAsia="zh-CN"/>
        </w:rPr>
      </w:pPr>
    </w:p>
    <w:p>
      <w:pPr>
        <w:rPr>
          <w:rFonts w:hint="default"/>
          <w:sz w:val="28"/>
          <w:szCs w:val="28"/>
          <w:lang w:val="en-US" w:eastAsia="zh-CN"/>
        </w:rPr>
      </w:pPr>
      <w:r>
        <w:rPr>
          <w:rFonts w:hint="eastAsia"/>
          <w:sz w:val="28"/>
          <w:szCs w:val="28"/>
          <w:lang w:val="en-US" w:eastAsia="zh-CN"/>
        </w:rPr>
        <w:t>乙    方：</w:t>
      </w:r>
    </w:p>
    <w:p>
      <w:pPr>
        <w:rPr>
          <w:rFonts w:hint="eastAsia"/>
          <w:sz w:val="28"/>
          <w:szCs w:val="28"/>
          <w:lang w:val="en-US" w:eastAsia="zh-CN"/>
        </w:rPr>
      </w:pPr>
      <w:r>
        <w:rPr>
          <w:rFonts w:hint="eastAsia"/>
          <w:sz w:val="28"/>
          <w:szCs w:val="28"/>
          <w:lang w:val="en-US" w:eastAsia="zh-CN"/>
        </w:rPr>
        <w:t>授权代表：</w:t>
      </w:r>
    </w:p>
    <w:p>
      <w:pPr>
        <w:rPr>
          <w:rFonts w:hint="default"/>
          <w:sz w:val="28"/>
          <w:szCs w:val="28"/>
          <w:lang w:val="en-US" w:eastAsia="zh-CN"/>
        </w:rPr>
      </w:pPr>
      <w:r>
        <w:rPr>
          <w:rFonts w:hint="eastAsia"/>
          <w:sz w:val="28"/>
          <w:szCs w:val="28"/>
          <w:lang w:val="en-US" w:eastAsia="zh-CN"/>
        </w:rPr>
        <w:t>日    期：</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98725F"/>
    <w:multiLevelType w:val="singleLevel"/>
    <w:tmpl w:val="3D98725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MjgzZGE3ZmZiY2FhMjViMzU3M2ZlMDkzNTlmMGEifQ=="/>
  </w:docVars>
  <w:rsids>
    <w:rsidRoot w:val="00000000"/>
    <w:rsid w:val="03664A23"/>
    <w:rsid w:val="091E45E3"/>
    <w:rsid w:val="1F0C5673"/>
    <w:rsid w:val="443F42D2"/>
    <w:rsid w:val="5CA34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5">
    <w:name w:val="heading 1"/>
    <w:basedOn w:val="1"/>
    <w:next w:val="1"/>
    <w:autoRedefine/>
    <w:qFormat/>
    <w:uiPriority w:val="0"/>
    <w:pPr>
      <w:keepNext/>
      <w:keepLines/>
      <w:spacing w:after="100" w:afterLines="100" w:line="240" w:lineRule="auto"/>
      <w:ind w:firstLine="0" w:firstLineChars="0"/>
      <w:jc w:val="left"/>
      <w:outlineLvl w:val="0"/>
    </w:pPr>
    <w:rPr>
      <w:b/>
      <w:bCs/>
      <w:kern w:val="44"/>
      <w:sz w:val="30"/>
      <w:szCs w:val="44"/>
    </w:rPr>
  </w:style>
  <w:style w:type="paragraph" w:styleId="6">
    <w:name w:val="heading 3"/>
    <w:basedOn w:val="1"/>
    <w:next w:val="1"/>
    <w:autoRedefine/>
    <w:qFormat/>
    <w:uiPriority w:val="0"/>
    <w:pPr>
      <w:keepNext/>
      <w:tabs>
        <w:tab w:val="left" w:pos="525"/>
        <w:tab w:val="left" w:pos="1155"/>
      </w:tabs>
      <w:spacing w:afterLines="50" w:line="360" w:lineRule="auto"/>
      <w:outlineLvl w:val="2"/>
    </w:pPr>
    <w:rPr>
      <w:rFonts w:ascii="Times New Roman" w:hAnsi="Times New Roman"/>
      <w:b/>
    </w:rPr>
  </w:style>
  <w:style w:type="paragraph" w:styleId="7">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autoRedefine/>
    <w:semiHidden/>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w:basedOn w:val="3"/>
    <w:next w:val="1"/>
    <w:autoRedefine/>
    <w:qFormat/>
    <w:uiPriority w:val="0"/>
    <w:pPr>
      <w:ind w:firstLine="420" w:firstLineChars="100"/>
    </w:pPr>
  </w:style>
  <w:style w:type="paragraph" w:styleId="3">
    <w:name w:val="Body Text"/>
    <w:basedOn w:val="1"/>
    <w:next w:val="4"/>
    <w:autoRedefine/>
    <w:unhideWhenUsed/>
    <w:qFormat/>
    <w:uiPriority w:val="99"/>
    <w:pPr>
      <w:spacing w:before="167"/>
      <w:ind w:left="115" w:firstLine="360"/>
    </w:pPr>
    <w:rPr>
      <w:rFonts w:ascii="宋体" w:hAnsi="宋体"/>
      <w:szCs w:val="24"/>
      <w:lang w:eastAsia="en-US" w:bidi="en-US"/>
    </w:rPr>
  </w:style>
  <w:style w:type="paragraph" w:styleId="4">
    <w:name w:val="toc 2"/>
    <w:basedOn w:val="1"/>
    <w:next w:val="1"/>
    <w:autoRedefine/>
    <w:qFormat/>
    <w:uiPriority w:val="39"/>
    <w:pPr>
      <w:ind w:left="420" w:leftChars="200"/>
    </w:pPr>
  </w:style>
  <w:style w:type="paragraph" w:styleId="8">
    <w:name w:val="Normal Indent"/>
    <w:basedOn w:val="1"/>
    <w:next w:val="1"/>
    <w:autoRedefine/>
    <w:qFormat/>
    <w:uiPriority w:val="0"/>
    <w:pPr>
      <w:ind w:firstLine="420" w:firstLineChars="200"/>
    </w:pPr>
  </w:style>
  <w:style w:type="paragraph" w:styleId="9">
    <w:name w:val="footer"/>
    <w:basedOn w:val="1"/>
    <w:autoRedefine/>
    <w:qFormat/>
    <w:uiPriority w:val="0"/>
    <w:pPr>
      <w:tabs>
        <w:tab w:val="center" w:pos="4153"/>
        <w:tab w:val="right" w:pos="8306"/>
      </w:tabs>
      <w:snapToGrid w:val="0"/>
      <w:jc w:val="left"/>
    </w:pPr>
    <w:rPr>
      <w:sz w:val="18"/>
    </w:rPr>
  </w:style>
  <w:style w:type="paragraph" w:customStyle="1" w:styleId="12">
    <w:name w:val="合正文-小四"/>
    <w:basedOn w:val="1"/>
    <w:autoRedefine/>
    <w:qFormat/>
    <w:uiPriority w:val="0"/>
    <w:pPr>
      <w:spacing w:line="360" w:lineRule="auto"/>
      <w:ind w:firstLine="200" w:firstLineChars="200"/>
    </w:pPr>
    <w:rPr>
      <w:rFonts w:ascii="宋体" w:hAnsi="宋体"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1634</Words>
  <Characters>1954</Characters>
  <Lines>0</Lines>
  <Paragraphs>0</Paragraphs>
  <TotalTime>2</TotalTime>
  <ScaleCrop>false</ScaleCrop>
  <LinksUpToDate>false</LinksUpToDate>
  <CharactersWithSpaces>1981</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2023-07-15T03:19:00Z</dcterms:created>
  <dc:creator>13716</dc:creator>
  <cp:lastModifiedBy>WEN</cp:lastModifiedBy>
  <dcterms:modified xsi:type="dcterms:W3CDTF">2024-03-23T02:38:48Z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AE1D3012D7D34D6BB3D7F3EE4BFDC20A_13</vt:lpwstr>
  </property>
</Properties>
</file>