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outlineLvl w:val="0"/>
        <w:rPr>
          <w:rFonts w:hint="eastAsia" w:ascii="宋体" w:hAnsi="宋体" w:eastAsia="宋体" w:cs="宋体"/>
          <w:sz w:val="44"/>
          <w:szCs w:val="44"/>
          <w:u w:val="none"/>
          <w:lang w:val="en-US" w:eastAsia="zh-CN"/>
        </w:rPr>
      </w:pPr>
      <w:bookmarkStart w:id="28" w:name="_GoBack"/>
      <w:bookmarkStart w:id="0" w:name="_Toc22043"/>
      <w:bookmarkStart w:id="1" w:name="_Toc18720"/>
      <w:bookmarkStart w:id="2" w:name="_Toc26887"/>
      <w:bookmarkStart w:id="3" w:name="_Toc3628"/>
      <w:r>
        <w:rPr>
          <w:rFonts w:hint="eastAsia" w:ascii="宋体" w:hAnsi="宋体" w:eastAsia="宋体" w:cs="宋体"/>
          <w:sz w:val="52"/>
          <w:szCs w:val="52"/>
          <w:u w:val="none"/>
          <w:lang w:val="en-US" w:eastAsia="zh-CN"/>
        </w:rPr>
        <w:t>湖南美宜佳实业有限公司屋顶分布式光伏发电项目</w:t>
      </w:r>
      <w:bookmarkEnd w:id="0"/>
      <w:bookmarkEnd w:id="1"/>
      <w:bookmarkEnd w:id="2"/>
    </w:p>
    <w:bookmarkEnd w:id="28"/>
    <w:p>
      <w:pPr>
        <w:pStyle w:val="7"/>
        <w:bidi w:val="0"/>
        <w:jc w:val="center"/>
        <w:outlineLvl w:val="9"/>
        <w:rPr>
          <w:rFonts w:hint="eastAsia" w:ascii="宋体" w:hAnsi="宋体" w:eastAsia="宋体" w:cs="宋体"/>
          <w:sz w:val="36"/>
          <w:szCs w:val="36"/>
          <w:u w:val="none"/>
          <w:lang w:val="en-US" w:eastAsia="zh-CN"/>
        </w:rPr>
      </w:pPr>
    </w:p>
    <w:p>
      <w:pPr>
        <w:pStyle w:val="7"/>
        <w:bidi w:val="0"/>
        <w:spacing w:line="600" w:lineRule="auto"/>
        <w:jc w:val="center"/>
        <w:outlineLvl w:val="0"/>
        <w:rPr>
          <w:rFonts w:hint="default" w:ascii="宋体" w:hAnsi="宋体" w:eastAsia="宋体" w:cs="宋体"/>
          <w:sz w:val="48"/>
          <w:szCs w:val="48"/>
          <w:u w:val="none"/>
          <w:lang w:val="en-US" w:eastAsia="zh-CN"/>
        </w:rPr>
      </w:pPr>
      <w:bookmarkStart w:id="4" w:name="_Toc7303"/>
      <w:r>
        <w:rPr>
          <w:rFonts w:hint="eastAsia" w:ascii="宋体" w:hAnsi="宋体" w:eastAsia="宋体" w:cs="宋体"/>
          <w:sz w:val="48"/>
          <w:szCs w:val="48"/>
          <w:u w:val="none"/>
          <w:lang w:val="en-US" w:eastAsia="zh-CN"/>
        </w:rPr>
        <w:t>环</w:t>
      </w:r>
    </w:p>
    <w:p>
      <w:pPr>
        <w:pStyle w:val="7"/>
        <w:bidi w:val="0"/>
        <w:spacing w:line="600" w:lineRule="auto"/>
        <w:jc w:val="center"/>
        <w:outlineLvl w:val="0"/>
        <w:rPr>
          <w:rFonts w:hint="default" w:ascii="宋体" w:hAnsi="宋体" w:eastAsia="宋体" w:cs="宋体"/>
          <w:sz w:val="48"/>
          <w:szCs w:val="48"/>
          <w:u w:val="none"/>
          <w:lang w:val="en-US" w:eastAsia="zh-CN"/>
        </w:rPr>
      </w:pPr>
      <w:r>
        <w:rPr>
          <w:rFonts w:hint="eastAsia" w:ascii="宋体" w:hAnsi="宋体" w:eastAsia="宋体" w:cs="宋体"/>
          <w:sz w:val="48"/>
          <w:szCs w:val="48"/>
          <w:u w:val="none"/>
          <w:lang w:val="en-US" w:eastAsia="zh-CN"/>
        </w:rPr>
        <w:t>境</w:t>
      </w:r>
    </w:p>
    <w:p>
      <w:pPr>
        <w:pStyle w:val="7"/>
        <w:bidi w:val="0"/>
        <w:spacing w:line="600" w:lineRule="auto"/>
        <w:jc w:val="center"/>
        <w:outlineLvl w:val="0"/>
        <w:rPr>
          <w:rFonts w:hint="default" w:ascii="宋体" w:hAnsi="宋体" w:eastAsia="宋体" w:cs="宋体"/>
          <w:sz w:val="48"/>
          <w:szCs w:val="48"/>
          <w:u w:val="none"/>
          <w:lang w:val="en-US" w:eastAsia="zh-CN"/>
        </w:rPr>
      </w:pPr>
      <w:r>
        <w:rPr>
          <w:rFonts w:hint="eastAsia" w:ascii="宋体" w:hAnsi="宋体" w:eastAsia="宋体" w:cs="宋体"/>
          <w:sz w:val="48"/>
          <w:szCs w:val="48"/>
          <w:u w:val="none"/>
          <w:lang w:val="en-US" w:eastAsia="zh-CN"/>
        </w:rPr>
        <w:t>检</w:t>
      </w:r>
    </w:p>
    <w:p>
      <w:pPr>
        <w:pStyle w:val="7"/>
        <w:bidi w:val="0"/>
        <w:spacing w:line="600" w:lineRule="auto"/>
        <w:jc w:val="center"/>
        <w:outlineLvl w:val="0"/>
        <w:rPr>
          <w:rFonts w:hint="default" w:ascii="宋体" w:hAnsi="宋体" w:eastAsia="宋体" w:cs="宋体"/>
          <w:sz w:val="48"/>
          <w:szCs w:val="48"/>
          <w:u w:val="none"/>
          <w:lang w:val="en-US" w:eastAsia="zh-CN"/>
        </w:rPr>
      </w:pPr>
      <w:r>
        <w:rPr>
          <w:rFonts w:hint="eastAsia" w:ascii="宋体" w:hAnsi="宋体" w:eastAsia="宋体" w:cs="宋体"/>
          <w:sz w:val="48"/>
          <w:szCs w:val="48"/>
          <w:u w:val="none"/>
          <w:lang w:val="en-US" w:eastAsia="zh-CN"/>
        </w:rPr>
        <w:t>测</w:t>
      </w:r>
    </w:p>
    <w:p>
      <w:pPr>
        <w:pStyle w:val="7"/>
        <w:bidi w:val="0"/>
        <w:spacing w:line="600" w:lineRule="auto"/>
        <w:jc w:val="center"/>
        <w:outlineLvl w:val="0"/>
        <w:rPr>
          <w:rFonts w:hint="eastAsia" w:ascii="宋体" w:hAnsi="宋体" w:eastAsia="宋体" w:cs="宋体"/>
          <w:sz w:val="48"/>
          <w:szCs w:val="48"/>
          <w:u w:val="none"/>
          <w:lang w:val="en-US" w:eastAsia="zh-CN"/>
        </w:rPr>
      </w:pPr>
      <w:r>
        <w:rPr>
          <w:rFonts w:hint="eastAsia" w:ascii="宋体" w:hAnsi="宋体" w:eastAsia="宋体" w:cs="宋体"/>
          <w:sz w:val="48"/>
          <w:szCs w:val="48"/>
          <w:u w:val="none"/>
          <w:lang w:val="en-US" w:eastAsia="zh-CN"/>
        </w:rPr>
        <w:t>安</w:t>
      </w:r>
    </w:p>
    <w:p>
      <w:pPr>
        <w:pStyle w:val="7"/>
        <w:bidi w:val="0"/>
        <w:spacing w:line="600" w:lineRule="auto"/>
        <w:jc w:val="center"/>
        <w:outlineLvl w:val="0"/>
        <w:rPr>
          <w:rFonts w:hint="default" w:ascii="宋体" w:hAnsi="宋体" w:eastAsia="宋体" w:cs="宋体"/>
          <w:sz w:val="48"/>
          <w:szCs w:val="48"/>
          <w:u w:val="none"/>
          <w:lang w:val="en-US" w:eastAsia="zh-CN"/>
        </w:rPr>
      </w:pPr>
      <w:r>
        <w:rPr>
          <w:rFonts w:hint="eastAsia" w:ascii="宋体" w:hAnsi="宋体" w:eastAsia="宋体" w:cs="宋体"/>
          <w:sz w:val="48"/>
          <w:szCs w:val="48"/>
          <w:u w:val="none"/>
          <w:lang w:val="en-US" w:eastAsia="zh-CN"/>
        </w:rPr>
        <w:t>装</w:t>
      </w:r>
    </w:p>
    <w:p>
      <w:pPr>
        <w:pStyle w:val="7"/>
        <w:bidi w:val="0"/>
        <w:spacing w:line="600" w:lineRule="auto"/>
        <w:jc w:val="center"/>
        <w:outlineLvl w:val="0"/>
        <w:rPr>
          <w:rFonts w:hint="default" w:ascii="宋体" w:hAnsi="宋体" w:eastAsia="宋体" w:cs="宋体"/>
          <w:sz w:val="48"/>
          <w:szCs w:val="48"/>
          <w:u w:val="none"/>
          <w:lang w:val="en-US" w:eastAsia="zh-CN"/>
        </w:rPr>
      </w:pPr>
      <w:bookmarkStart w:id="5" w:name="_Toc23160"/>
      <w:bookmarkStart w:id="6" w:name="_Toc4214"/>
      <w:r>
        <w:rPr>
          <w:rFonts w:hint="eastAsia" w:ascii="宋体" w:hAnsi="宋体" w:eastAsia="宋体" w:cs="宋体"/>
          <w:sz w:val="48"/>
          <w:szCs w:val="48"/>
          <w:u w:val="none"/>
          <w:lang w:val="en-US" w:eastAsia="zh-CN"/>
        </w:rPr>
        <w:t>协</w:t>
      </w:r>
      <w:bookmarkEnd w:id="5"/>
      <w:bookmarkEnd w:id="6"/>
    </w:p>
    <w:bookmarkEnd w:id="3"/>
    <w:bookmarkEnd w:id="4"/>
    <w:p>
      <w:pPr>
        <w:pStyle w:val="7"/>
        <w:bidi w:val="0"/>
        <w:spacing w:line="600" w:lineRule="auto"/>
        <w:jc w:val="center"/>
        <w:outlineLvl w:val="0"/>
        <w:rPr>
          <w:rFonts w:hint="default" w:ascii="宋体" w:hAnsi="宋体" w:eastAsia="宋体" w:cs="宋体"/>
          <w:sz w:val="48"/>
          <w:szCs w:val="48"/>
          <w:u w:val="none"/>
          <w:lang w:val="en-US" w:eastAsia="zh-CN"/>
        </w:rPr>
      </w:pPr>
      <w:bookmarkStart w:id="7" w:name="_Toc3044"/>
      <w:bookmarkStart w:id="8" w:name="_Toc6139"/>
      <w:r>
        <w:rPr>
          <w:rFonts w:hint="eastAsia" w:ascii="宋体" w:hAnsi="宋体" w:eastAsia="宋体" w:cs="宋体"/>
          <w:sz w:val="48"/>
          <w:szCs w:val="48"/>
          <w:u w:val="none"/>
          <w:lang w:val="en-US" w:eastAsia="zh-CN"/>
        </w:rPr>
        <w:t>议</w:t>
      </w:r>
      <w:bookmarkEnd w:id="7"/>
      <w:bookmarkEnd w:id="8"/>
    </w:p>
    <w:p>
      <w:pPr>
        <w:jc w:val="center"/>
        <w:rPr>
          <w:rFonts w:hint="eastAsia" w:ascii="宋体" w:hAnsi="宋体" w:cs="宋体"/>
          <w:b/>
          <w:bCs/>
          <w:sz w:val="24"/>
          <w:szCs w:val="24"/>
          <w:u w:val="none"/>
          <w:lang w:val="en-US" w:eastAsia="zh-CN"/>
        </w:rPr>
      </w:pPr>
    </w:p>
    <w:p>
      <w:pPr>
        <w:spacing w:before="0" w:beforeLines="0" w:after="0" w:afterLines="0" w:line="240" w:lineRule="auto"/>
        <w:ind w:right="0" w:rightChars="0" w:firstLine="1960" w:firstLineChars="700"/>
        <w:jc w:val="both"/>
        <w:rPr>
          <w:rFonts w:hint="default"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甲方：中机国际工程设计研究院有限责任公司</w:t>
      </w:r>
    </w:p>
    <w:p>
      <w:pPr>
        <w:pStyle w:val="2"/>
        <w:rPr>
          <w:rFonts w:hint="default"/>
          <w:sz w:val="28"/>
          <w:szCs w:val="28"/>
          <w:lang w:val="en-US" w:eastAsia="zh-CN"/>
        </w:rPr>
      </w:pPr>
      <w:r>
        <w:rPr>
          <w:rFonts w:hint="eastAsia" w:cs="Times New Roman"/>
          <w:kern w:val="2"/>
          <w:sz w:val="28"/>
          <w:szCs w:val="28"/>
          <w:lang w:val="en-US" w:eastAsia="zh-CN" w:bidi="ar-SA"/>
        </w:rPr>
        <w:t xml:space="preserve">           乙方：</w:t>
      </w:r>
    </w:p>
    <w:p>
      <w:pPr>
        <w:pStyle w:val="5"/>
        <w:bidi w:val="0"/>
      </w:pPr>
      <w:bookmarkStart w:id="9" w:name="_Toc458028518"/>
      <w:bookmarkStart w:id="10" w:name="_Toc27676"/>
      <w:r>
        <w:rPr>
          <w:rFonts w:hint="eastAsia"/>
          <w:sz w:val="32"/>
          <w:szCs w:val="32"/>
          <w:lang w:val="en-US" w:eastAsia="zh-CN"/>
        </w:rPr>
        <w:t>一、</w:t>
      </w:r>
      <w:r>
        <w:rPr>
          <w:rFonts w:hint="eastAsia"/>
          <w:sz w:val="32"/>
          <w:szCs w:val="32"/>
        </w:rPr>
        <w:t>本协议编制的主要原则和适用范围</w:t>
      </w:r>
      <w:bookmarkEnd w:id="9"/>
      <w:bookmarkEnd w:id="10"/>
    </w:p>
    <w:p>
      <w:pPr>
        <w:pStyle w:val="12"/>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bookmarkStart w:id="11" w:name="_Toc455748824"/>
      <w:bookmarkEnd w:id="11"/>
      <w:bookmarkStart w:id="12" w:name="_Toc455748822"/>
      <w:bookmarkEnd w:id="12"/>
      <w:bookmarkStart w:id="13" w:name="_Toc455748826"/>
      <w:bookmarkEnd w:id="13"/>
      <w:bookmarkStart w:id="14" w:name="_Toc455748823"/>
      <w:bookmarkEnd w:id="14"/>
      <w:bookmarkStart w:id="15" w:name="_Toc455748825"/>
      <w:bookmarkEnd w:id="15"/>
      <w:r>
        <w:rPr>
          <w:rFonts w:hint="eastAsia" w:asciiTheme="minorEastAsia" w:hAnsiTheme="minorEastAsia" w:eastAsiaTheme="minorEastAsia" w:cstheme="minorEastAsia"/>
          <w:b w:val="0"/>
          <w:bCs w:val="0"/>
          <w:color w:val="auto"/>
          <w:kern w:val="2"/>
          <w:sz w:val="28"/>
          <w:szCs w:val="28"/>
          <w:highlight w:val="none"/>
          <w:lang w:val="en-US" w:eastAsia="zh-CN" w:bidi="ar-SA"/>
        </w:rPr>
        <w:t>1.1本设备技术协议仅适用湖南美宜佳实业有限公司屋顶分布式光伏发电项目环境检测仪安装和试验等方面的技术要求。</w:t>
      </w:r>
    </w:p>
    <w:p>
      <w:pPr>
        <w:pStyle w:val="12"/>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1.2本设备技术协议提出的是最低限度的技术要求，并未对一切技术细节作出规定，也未充分引述有关标准和规范的条文，我方提供符合甲方标准的优质产品。</w:t>
      </w:r>
    </w:p>
    <w:p>
      <w:pPr>
        <w:pStyle w:val="12"/>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1.3如果甲方没有以书面形式对本协议的条文提出异议，则意味着乙方提供的设备完全符合本协议的要求。</w:t>
      </w:r>
    </w:p>
    <w:p>
      <w:pPr>
        <w:pStyle w:val="5"/>
        <w:numPr>
          <w:ilvl w:val="0"/>
          <w:numId w:val="1"/>
        </w:numPr>
        <w:bidi w:val="0"/>
        <w:spacing w:after="0" w:afterLines="0"/>
        <w:rPr>
          <w:rFonts w:hint="eastAsia"/>
          <w:sz w:val="32"/>
          <w:szCs w:val="32"/>
          <w:lang w:val="en-US" w:eastAsia="zh-CN"/>
        </w:rPr>
      </w:pPr>
      <w:bookmarkStart w:id="16" w:name="_Toc6558"/>
      <w:r>
        <w:rPr>
          <w:rFonts w:hint="eastAsia"/>
          <w:sz w:val="32"/>
          <w:szCs w:val="32"/>
          <w:lang w:val="en-US" w:eastAsia="zh-CN"/>
        </w:rPr>
        <w:t>项目概况</w:t>
      </w:r>
      <w:bookmarkEnd w:id="16"/>
    </w:p>
    <w:p>
      <w:pPr>
        <w:pStyle w:val="12"/>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本项目利用湖南美宜佳实业有限公司园区1#仓库、2#仓库、3#仓库三个厂房屋面建设分布式光伏电站，项目设计在屋面铺设光伏支架并安装太阳能光伏组件，光伏组件采取平铺方式。其中1#仓库安装1410块660Wp单晶硅组件，总装机容量为0.9306MWp，2#仓库安装2610块660Wp单晶硅组件，总装机容量为1.7226MWp，3#仓库安装2850块660Wp单晶硅组件，总装机容量为1.881MWp，采用10kV并网，接至新建10kV开关站，10kV开关站出线接至原配电房新增的1面10kV并网柜，接入园区10kV主供电源母线实现并网发电，并网模式为“自发自用，余电上网”（具体以电网公司接入意见为准）。</w:t>
      </w:r>
    </w:p>
    <w:p>
      <w:pPr>
        <w:pStyle w:val="12"/>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本项目的建设将取得良好的经济、环境和社会效益。</w:t>
      </w:r>
    </w:p>
    <w:p>
      <w:pPr>
        <w:numPr>
          <w:ilvl w:val="0"/>
          <w:numId w:val="0"/>
        </w:numPr>
        <w:rPr>
          <w:rFonts w:hint="eastAsia"/>
          <w:lang w:val="en-US" w:eastAsia="zh-CN"/>
        </w:rPr>
      </w:pPr>
    </w:p>
    <w:p>
      <w:pPr>
        <w:pStyle w:val="5"/>
        <w:bidi w:val="0"/>
        <w:rPr>
          <w:rFonts w:hint="eastAsia"/>
          <w:sz w:val="32"/>
          <w:szCs w:val="32"/>
          <w:lang w:val="en-US" w:eastAsia="zh-CN"/>
        </w:rPr>
      </w:pPr>
      <w:r>
        <w:rPr>
          <w:rFonts w:hint="eastAsia"/>
          <w:sz w:val="32"/>
          <w:szCs w:val="32"/>
          <w:lang w:val="en-US" w:eastAsia="zh-CN"/>
        </w:rPr>
        <w:t>三、环境检测仪的要求</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连续无日照正常工作时间≥15天；</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数据畅通率≥95%；</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数据刷新周期≤3秒；</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安装环境监测仪设备时，应按照规范做好防雷措施；</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环境监测仪需具备对时功能，能接受自动化系统或卫星时钟同步系统的ModbusRTU对时、SNTP网络对时等对时报文；</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整套环境监测仪全套质保时间：验收及培训之日起，日历年3年软硬件免费保修维护。</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环境监测仪必须至少由如下几部分组成：高精度数据采集器（及其机箱）、水平辐射表、斜面辐射表（角度可调）、电池板背板温度传感器（PT1000）、空气温度及湿度一体化传感器、太阳能充电控制器、太阳能电池及蓄电池、通信模块、数据采集器配套设置调试及维护软件等；</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Theme="minorEastAsia" w:hAnsiTheme="minorEastAsia" w:eastAsiaTheme="minorEastAsia" w:cstheme="minorEastAsia"/>
          <w:color w:val="auto"/>
          <w:sz w:val="28"/>
          <w:szCs w:val="28"/>
          <w:highlight w:val="none"/>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rPr>
        <w:t>环境监测仪一定要可用性强、精确度高，集成仪表数据必须至少提供的通信点表参数有：数据采集器本体时间点表（年、月、日、时、分、秒）、水平瞬时辐照强度（瞬时值、1天平均值、1天最大值、1天最小值、1天标准差）、斜面瞬时辐照强度（瞬时值、1天平均值、1天最大值、1天最小值、1天标准差）、水平辐射日累计值、斜面辐射日累计值、组件背板温度（瞬时值、1天平均值、1天最大值、1天最小值、1天标准差）、空气温度（瞬时值、1天平均值、1天最大值、1天最小值、1天标准差）、空气湿度（瞬时值、1天平均值、1天最大值、1天最小值、1天标准差）、风速（瞬时值、1天平均值、1天最大值、1天最小值、1天标准差）、风向（瞬时值、矢量平均值、矢量平均标准差）等。</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Wingdings" w:hAnsi="Wingdings" w:eastAsiaTheme="minorEastAsia" w:cstheme="minorEastAsia"/>
          <w:color w:val="auto"/>
          <w:kern w:val="2"/>
          <w:sz w:val="28"/>
          <w:szCs w:val="28"/>
          <w:lang w:val="en-US" w:eastAsia="zh-CN" w:bidi="ar-SA"/>
        </w:rPr>
      </w:pPr>
      <w:r>
        <w:rPr>
          <w:rFonts w:hint="default" w:ascii="Wingdings" w:hAnsi="Wingdings"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lang w:val="en-US" w:eastAsia="zh-CN"/>
        </w:rPr>
        <w:t>卖方负环境检测仪及其附属设备的安装及调试</w:t>
      </w:r>
      <w:r>
        <w:rPr>
          <w:rFonts w:hint="eastAsia" w:ascii="Wingdings" w:hAnsi="Wingdings" w:eastAsiaTheme="minorEastAsia" w:cstheme="minorEastAsia"/>
          <w:color w:val="auto"/>
          <w:kern w:val="2"/>
          <w:sz w:val="28"/>
          <w:szCs w:val="28"/>
          <w:lang w:val="en-US" w:eastAsia="zh-CN" w:bidi="ar-SA"/>
        </w:rPr>
        <w:t>。</w:t>
      </w: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Wingdings" w:hAnsi="Wingdings" w:eastAsiaTheme="minorEastAsia" w:cstheme="minorEastAsia"/>
          <w:color w:val="auto"/>
          <w:kern w:val="2"/>
          <w:sz w:val="28"/>
          <w:szCs w:val="28"/>
          <w:lang w:val="en-US" w:eastAsia="zh-CN" w:bidi="ar-SA"/>
        </w:rPr>
        <w:sectPr>
          <w:pgSz w:w="11906" w:h="16838"/>
          <w:pgMar w:top="1440" w:right="1800" w:bottom="1440" w:left="1800" w:header="851" w:footer="992" w:gutter="0"/>
          <w:cols w:space="425" w:num="1"/>
          <w:docGrid w:type="lines" w:linePitch="312" w:charSpace="0"/>
        </w:sectPr>
      </w:pPr>
    </w:p>
    <w:p>
      <w:pPr>
        <w:pStyle w:val="2"/>
        <w:rPr>
          <w:rFonts w:hint="eastAsia"/>
        </w:rPr>
      </w:pPr>
    </w:p>
    <w:p>
      <w:pPr>
        <w:pageBreakBefore w:val="0"/>
        <w:numPr>
          <w:ilvl w:val="0"/>
          <w:numId w:val="0"/>
        </w:numPr>
        <w:kinsoku/>
        <w:wordWrap/>
        <w:overflowPunct/>
        <w:topLinePunct w:val="0"/>
        <w:bidi w:val="0"/>
        <w:spacing w:beforeAutospacing="0" w:line="360" w:lineRule="auto"/>
        <w:ind w:left="0" w:leftChars="0" w:right="0" w:rightChars="0" w:firstLine="560" w:firstLineChars="200"/>
        <w:textAlignment w:val="auto"/>
        <w:rPr>
          <w:rFonts w:hint="eastAsia" w:ascii="Wingdings" w:hAnsi="Wingdings" w:eastAsiaTheme="minorEastAsia" w:cstheme="minorEastAsia"/>
          <w:color w:val="auto"/>
          <w:kern w:val="2"/>
          <w:sz w:val="28"/>
          <w:szCs w:val="28"/>
          <w:lang w:val="en-US" w:eastAsia="zh-CN" w:bidi="ar-SA"/>
        </w:rPr>
      </w:pPr>
      <w:r>
        <w:rPr>
          <w:rFonts w:hint="default" w:ascii="Wingdings" w:hAnsi="Wingdings" w:eastAsiaTheme="minorEastAsia" w:cstheme="minorEastAsia"/>
          <w:color w:val="auto"/>
          <w:kern w:val="2"/>
          <w:sz w:val="28"/>
          <w:szCs w:val="28"/>
          <w:lang w:val="en-US" w:eastAsia="zh-CN" w:bidi="ar-SA"/>
        </w:rPr>
        <w:t></w:t>
      </w:r>
      <w:r>
        <w:rPr>
          <w:rFonts w:hint="eastAsia" w:ascii="Wingdings" w:hAnsi="Wingdings" w:eastAsiaTheme="minorEastAsia" w:cstheme="minorEastAsia"/>
          <w:color w:val="auto"/>
          <w:kern w:val="2"/>
          <w:sz w:val="28"/>
          <w:szCs w:val="28"/>
          <w:lang w:val="en-US" w:eastAsia="zh-CN" w:bidi="ar-SA"/>
        </w:rPr>
        <w:t>环境监测仪传感器及采集器技术参数必须满足下表的要求：</w:t>
      </w:r>
    </w:p>
    <w:tbl>
      <w:tblPr>
        <w:tblStyle w:val="10"/>
        <w:tblpPr w:leftFromText="180" w:rightFromText="180" w:vertAnchor="text" w:horzAnchor="page" w:tblpX="822" w:tblpY="38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1"/>
        <w:gridCol w:w="1169"/>
        <w:gridCol w:w="644"/>
        <w:gridCol w:w="764"/>
        <w:gridCol w:w="1287"/>
        <w:gridCol w:w="1320"/>
        <w:gridCol w:w="1364"/>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传感器名称</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测量范围</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精度要求</w:t>
            </w:r>
          </w:p>
        </w:tc>
        <w:tc>
          <w:tcPr>
            <w:tcW w:w="13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敏感度</w:t>
            </w: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8" w:hRule="atLeast"/>
        </w:trPr>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水平太阳能辐照度传感器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输出范围：0～2000W/㎡光谱范围：</w:t>
            </w:r>
          </w:p>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300～2800nm</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ISO9060:1990SecondaryStandard（次基准级）年稳定性：±2%</w:t>
            </w:r>
          </w:p>
        </w:tc>
        <w:tc>
          <w:tcPr>
            <w:tcW w:w="13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vertAlign w:val="superscript"/>
              </w:rPr>
            </w:pPr>
            <w:r>
              <w:rPr>
                <w:rFonts w:hint="eastAsia" w:ascii="宋体" w:hAnsi="宋体" w:eastAsia="宋体" w:cs="宋体"/>
                <w:color w:val="auto"/>
                <w:sz w:val="22"/>
                <w:szCs w:val="22"/>
                <w:highlight w:val="none"/>
              </w:rPr>
              <w:t>灵敏度：7~14µV/Wm</w:t>
            </w:r>
            <w:r>
              <w:rPr>
                <w:rFonts w:hint="eastAsia" w:ascii="宋体" w:hAnsi="宋体" w:eastAsia="宋体" w:cs="宋体"/>
                <w:color w:val="auto"/>
                <w:sz w:val="22"/>
                <w:szCs w:val="22"/>
                <w:highlight w:val="none"/>
                <w:vertAlign w:val="superscript"/>
              </w:rPr>
              <w:t>-2</w:t>
            </w:r>
          </w:p>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（模拟信号输出范围：0-20mv）</w:t>
            </w:r>
          </w:p>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1、热电堆式、进口；2、具备对时功能；3、响应时间：&lt;2s；4、防护等级IP67；5、备选品牌（含仪表及数据采集器）：Kipp&amp;zonen+Campbell</w:t>
            </w:r>
          </w:p>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斜面太阳能辐照度传感器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输出范围：0～2000W/㎡</w:t>
            </w:r>
          </w:p>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光谱范围：300～2800nm</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ISO9060:1990SecondaryStandard</w:t>
            </w:r>
          </w:p>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年稳定性：±2%</w:t>
            </w:r>
          </w:p>
        </w:tc>
        <w:tc>
          <w:tcPr>
            <w:tcW w:w="13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vertAlign w:val="superscript"/>
              </w:rPr>
            </w:pPr>
            <w:r>
              <w:rPr>
                <w:rFonts w:hint="eastAsia" w:ascii="宋体" w:hAnsi="宋体" w:eastAsia="宋体" w:cs="宋体"/>
                <w:color w:val="auto"/>
                <w:sz w:val="22"/>
                <w:szCs w:val="22"/>
                <w:highlight w:val="none"/>
              </w:rPr>
              <w:t>灵敏度：7~14µV/Wm</w:t>
            </w:r>
            <w:r>
              <w:rPr>
                <w:rFonts w:hint="eastAsia" w:ascii="宋体" w:hAnsi="宋体" w:eastAsia="宋体" w:cs="宋体"/>
                <w:color w:val="auto"/>
                <w:sz w:val="22"/>
                <w:szCs w:val="22"/>
                <w:highlight w:val="none"/>
                <w:vertAlign w:val="superscript"/>
              </w:rPr>
              <w:t>-2</w:t>
            </w:r>
          </w:p>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（信号范围：0-20mv）</w:t>
            </w:r>
          </w:p>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1、热电堆式、进口；2、具备对时功能；3、响应时间：&lt;2s；</w:t>
            </w:r>
          </w:p>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4、防护等级IP67；</w:t>
            </w:r>
          </w:p>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5、备选品牌（含仪表及数据采集器）：Kipp&amp;zonen+CampbellDaystar+CampbellEKO+Campbell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trPr>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风速传感器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0～75m/s</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0.1m/s（每5m/s）</w:t>
            </w:r>
          </w:p>
        </w:tc>
        <w:tc>
          <w:tcPr>
            <w:tcW w:w="13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分辨率0.7998m/s启动风速：0.4m/s</w:t>
            </w: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风向传感器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1～360°</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分辨率：0.5°</w:t>
            </w: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室外温湿度传感器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-55～125℃</w:t>
            </w:r>
          </w:p>
        </w:tc>
        <w:tc>
          <w:tcPr>
            <w:tcW w:w="1320"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1364" w:type="dxa"/>
            <w:vAlign w:val="center"/>
          </w:tcPr>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温湿度一体，国际或国产一线品牌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1"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169"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组件背板温度传感器</w:t>
            </w:r>
          </w:p>
        </w:tc>
        <w:tc>
          <w:tcPr>
            <w:tcW w:w="64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w:t>
            </w:r>
          </w:p>
        </w:tc>
        <w:tc>
          <w:tcPr>
            <w:tcW w:w="764"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87"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-55～125℃</w:t>
            </w:r>
          </w:p>
        </w:tc>
        <w:tc>
          <w:tcPr>
            <w:tcW w:w="1320" w:type="dxa"/>
            <w:vAlign w:val="center"/>
          </w:tcPr>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1364" w:type="dxa"/>
            <w:vAlign w:val="center"/>
          </w:tcPr>
          <w:p>
            <w:pPr>
              <w:pageBreakBefore w:val="0"/>
              <w:kinsoku/>
              <w:wordWrap/>
              <w:overflowPunct/>
              <w:topLinePunct w:val="0"/>
              <w:bidi w:val="0"/>
              <w:spacing w:beforeAutospacing="0" w:line="360" w:lineRule="auto"/>
              <w:ind w:left="0" w:leftChars="0" w:right="0" w:firstLine="440" w:firstLineChars="200"/>
              <w:jc w:val="center"/>
              <w:textAlignment w:val="auto"/>
              <w:rPr>
                <w:rFonts w:hint="eastAsia" w:ascii="宋体" w:hAnsi="宋体" w:eastAsia="宋体" w:cs="宋体"/>
                <w:color w:val="auto"/>
                <w:sz w:val="22"/>
                <w:szCs w:val="22"/>
                <w:highlight w:val="none"/>
              </w:rPr>
            </w:pPr>
          </w:p>
        </w:tc>
        <w:tc>
          <w:tcPr>
            <w:tcW w:w="3033" w:type="dxa"/>
            <w:vAlign w:val="center"/>
          </w:tcPr>
          <w:p>
            <w:pPr>
              <w:pageBreakBefore w:val="0"/>
              <w:kinsoku/>
              <w:wordWrap/>
              <w:overflowPunct/>
              <w:topLinePunct w:val="0"/>
              <w:bidi w:val="0"/>
              <w:spacing w:beforeAutospacing="0" w:line="360" w:lineRule="auto"/>
              <w:ind w:righ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campbell</w:t>
            </w:r>
          </w:p>
        </w:tc>
      </w:tr>
    </w:tbl>
    <w:p>
      <w:pPr>
        <w:pageBreakBefore w:val="0"/>
        <w:tabs>
          <w:tab w:val="left" w:pos="420"/>
        </w:tabs>
        <w:kinsoku/>
        <w:wordWrap/>
        <w:overflowPunct/>
        <w:topLinePunct w:val="0"/>
        <w:bidi w:val="0"/>
        <w:spacing w:beforeAutospacing="0"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sectPr>
          <w:pgSz w:w="11906" w:h="16838"/>
          <w:pgMar w:top="1440" w:right="1800" w:bottom="1440" w:left="1800" w:header="851" w:footer="992" w:gutter="0"/>
          <w:cols w:space="425" w:num="1"/>
          <w:docGrid w:type="lines" w:linePitch="312" w:charSpace="0"/>
        </w:sectPr>
      </w:pPr>
    </w:p>
    <w:p>
      <w:pPr>
        <w:rPr>
          <w:rFonts w:hint="eastAsia"/>
          <w:sz w:val="28"/>
          <w:szCs w:val="28"/>
          <w:lang w:val="en-US" w:eastAsia="zh-CN"/>
        </w:rPr>
      </w:pPr>
      <w:bookmarkStart w:id="17" w:name="_Toc381169779"/>
      <w:bookmarkStart w:id="18" w:name="_Toc384731743"/>
      <w:bookmarkStart w:id="19" w:name="_Toc352252749"/>
      <w:bookmarkStart w:id="20" w:name="_Toc384732151"/>
      <w:bookmarkStart w:id="21" w:name="_Toc10776"/>
      <w:bookmarkStart w:id="22" w:name="_Toc384732089"/>
      <w:bookmarkStart w:id="23" w:name="_Toc353295798"/>
      <w:bookmarkStart w:id="24" w:name="_Toc384731782"/>
      <w:bookmarkStart w:id="25" w:name="_Toc352253968"/>
      <w:bookmarkStart w:id="26" w:name="_Toc352435989"/>
      <w:bookmarkStart w:id="27" w:name="_Toc352258391"/>
      <w:r>
        <w:rPr>
          <w:rFonts w:hint="eastAsia"/>
          <w:sz w:val="28"/>
          <w:szCs w:val="28"/>
          <w:lang w:val="en-US" w:eastAsia="zh-CN"/>
        </w:rPr>
        <w:t>签字页及联系方式</w:t>
      </w:r>
      <w:bookmarkEnd w:id="17"/>
      <w:bookmarkEnd w:id="18"/>
      <w:bookmarkEnd w:id="19"/>
      <w:bookmarkEnd w:id="20"/>
      <w:bookmarkEnd w:id="21"/>
      <w:bookmarkEnd w:id="22"/>
      <w:bookmarkEnd w:id="23"/>
      <w:bookmarkEnd w:id="24"/>
      <w:bookmarkEnd w:id="25"/>
      <w:bookmarkEnd w:id="26"/>
      <w:bookmarkEnd w:id="27"/>
    </w:p>
    <w:p>
      <w:pPr>
        <w:rPr>
          <w:rFonts w:hint="eastAsia"/>
          <w:sz w:val="28"/>
          <w:szCs w:val="28"/>
          <w:lang w:val="en-US" w:eastAsia="zh-CN"/>
        </w:rPr>
      </w:pPr>
      <w:r>
        <w:rPr>
          <w:rFonts w:hint="eastAsia"/>
          <w:sz w:val="28"/>
          <w:szCs w:val="28"/>
          <w:lang w:val="en-US" w:eastAsia="zh-CN"/>
        </w:rPr>
        <w:t>甲    方：中机国际工程设计研究院有限责任公司</w:t>
      </w:r>
    </w:p>
    <w:p>
      <w:pPr>
        <w:pStyle w:val="2"/>
        <w:spacing w:before="0"/>
        <w:ind w:left="0" w:leftChars="0" w:firstLine="0" w:firstLineChars="0"/>
        <w:rPr>
          <w:rFonts w:hint="eastAsia"/>
          <w:sz w:val="28"/>
          <w:szCs w:val="28"/>
          <w:lang w:val="en-US" w:eastAsia="zh-CN"/>
        </w:rPr>
      </w:pPr>
      <w:r>
        <w:rPr>
          <w:rFonts w:hint="eastAsia"/>
          <w:sz w:val="28"/>
          <w:szCs w:val="28"/>
          <w:lang w:val="en-US" w:eastAsia="zh-CN"/>
        </w:rPr>
        <w:t>授权代表：</w:t>
      </w:r>
    </w:p>
    <w:p>
      <w:pPr>
        <w:rPr>
          <w:rFonts w:hint="default"/>
          <w:sz w:val="28"/>
          <w:szCs w:val="28"/>
          <w:lang w:val="en-US" w:eastAsia="zh-CN"/>
        </w:rPr>
      </w:pPr>
      <w:r>
        <w:rPr>
          <w:rFonts w:hint="eastAsia"/>
          <w:sz w:val="28"/>
          <w:szCs w:val="28"/>
          <w:lang w:val="en-US" w:eastAsia="zh-CN"/>
        </w:rPr>
        <w:t>日    期：</w:t>
      </w:r>
    </w:p>
    <w:p>
      <w:pPr>
        <w:rPr>
          <w:rFonts w:hint="eastAsia"/>
          <w:sz w:val="28"/>
          <w:szCs w:val="28"/>
          <w:lang w:val="en-US" w:eastAsia="zh-CN"/>
        </w:rPr>
      </w:pP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乙    方：</w:t>
      </w:r>
    </w:p>
    <w:p>
      <w:pPr>
        <w:rPr>
          <w:rFonts w:hint="eastAsia"/>
          <w:sz w:val="28"/>
          <w:szCs w:val="28"/>
          <w:lang w:val="en-US" w:eastAsia="zh-CN"/>
        </w:rPr>
      </w:pPr>
      <w:r>
        <w:rPr>
          <w:rFonts w:hint="eastAsia"/>
          <w:sz w:val="28"/>
          <w:szCs w:val="28"/>
          <w:lang w:val="en-US" w:eastAsia="zh-CN"/>
        </w:rPr>
        <w:t>授权代表：</w:t>
      </w:r>
    </w:p>
    <w:p>
      <w:pPr>
        <w:rPr>
          <w:rFonts w:hint="default"/>
          <w:sz w:val="28"/>
          <w:szCs w:val="28"/>
          <w:lang w:val="en-US" w:eastAsia="zh-CN"/>
        </w:rPr>
      </w:pPr>
      <w:r>
        <w:rPr>
          <w:rFonts w:hint="eastAsia"/>
          <w:sz w:val="28"/>
          <w:szCs w:val="28"/>
          <w:lang w:val="en-US" w:eastAsia="zh-CN"/>
        </w:rPr>
        <w:t>日    期：</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8725F"/>
    <w:multiLevelType w:val="singleLevel"/>
    <w:tmpl w:val="3D9872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gzZGE3ZmZiY2FhMjViMzU3M2ZlMDkzNTlmMGEifQ=="/>
  </w:docVars>
  <w:rsids>
    <w:rsidRoot w:val="00000000"/>
    <w:rsid w:val="03664A23"/>
    <w:rsid w:val="091E45E3"/>
    <w:rsid w:val="1F0C5673"/>
    <w:rsid w:val="443F42D2"/>
    <w:rsid w:val="5CA3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keepNext/>
      <w:keepLines/>
      <w:spacing w:after="100" w:afterLines="100" w:line="240" w:lineRule="auto"/>
      <w:ind w:firstLine="0" w:firstLineChars="0"/>
      <w:jc w:val="left"/>
      <w:outlineLvl w:val="0"/>
    </w:pPr>
    <w:rPr>
      <w:b/>
      <w:bCs/>
      <w:kern w:val="44"/>
      <w:sz w:val="30"/>
      <w:szCs w:val="44"/>
    </w:rPr>
  </w:style>
  <w:style w:type="paragraph" w:styleId="6">
    <w:name w:val="heading 3"/>
    <w:basedOn w:val="1"/>
    <w:next w:val="1"/>
    <w:autoRedefine/>
    <w:qFormat/>
    <w:uiPriority w:val="0"/>
    <w:pPr>
      <w:keepNext/>
      <w:tabs>
        <w:tab w:val="left" w:pos="525"/>
        <w:tab w:val="left" w:pos="1155"/>
      </w:tabs>
      <w:spacing w:afterLines="50" w:line="360" w:lineRule="auto"/>
      <w:outlineLvl w:val="2"/>
    </w:pPr>
    <w:rPr>
      <w:rFonts w:ascii="Times New Roman" w:hAnsi="Times New Roman"/>
      <w:b/>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4"/>
    <w:autoRedefine/>
    <w:unhideWhenUsed/>
    <w:qFormat/>
    <w:uiPriority w:val="99"/>
    <w:pPr>
      <w:spacing w:before="167"/>
      <w:ind w:left="115" w:firstLine="360"/>
    </w:pPr>
    <w:rPr>
      <w:rFonts w:ascii="宋体" w:hAnsi="宋体"/>
      <w:szCs w:val="24"/>
      <w:lang w:eastAsia="en-US" w:bidi="en-US"/>
    </w:rPr>
  </w:style>
  <w:style w:type="paragraph" w:styleId="4">
    <w:name w:val="toc 2"/>
    <w:basedOn w:val="1"/>
    <w:next w:val="1"/>
    <w:autoRedefine/>
    <w:qFormat/>
    <w:uiPriority w:val="39"/>
    <w:pPr>
      <w:ind w:left="420" w:leftChars="200"/>
    </w:pPr>
  </w:style>
  <w:style w:type="paragraph" w:styleId="8">
    <w:name w:val="Normal Indent"/>
    <w:basedOn w:val="1"/>
    <w:next w:val="1"/>
    <w:autoRedefine/>
    <w:qFormat/>
    <w:uiPriority w:val="0"/>
    <w:pPr>
      <w:ind w:firstLine="420" w:firstLineChars="200"/>
    </w:pPr>
  </w:style>
  <w:style w:type="paragraph" w:styleId="9">
    <w:name w:val="footer"/>
    <w:basedOn w:val="1"/>
    <w:autoRedefine/>
    <w:qFormat/>
    <w:uiPriority w:val="0"/>
    <w:pPr>
      <w:tabs>
        <w:tab w:val="center" w:pos="4153"/>
        <w:tab w:val="right" w:pos="8306"/>
      </w:tabs>
      <w:snapToGrid w:val="0"/>
      <w:jc w:val="left"/>
    </w:pPr>
    <w:rPr>
      <w:sz w:val="18"/>
    </w:rPr>
  </w:style>
  <w:style w:type="paragraph" w:customStyle="1" w:styleId="12">
    <w:name w:val="合正文-小四"/>
    <w:basedOn w:val="1"/>
    <w:autoRedefine/>
    <w:qFormat/>
    <w:uiPriority w:val="0"/>
    <w:pPr>
      <w:spacing w:line="360" w:lineRule="auto"/>
      <w:ind w:firstLine="200" w:firstLineChars="200"/>
    </w:pPr>
    <w:rPr>
      <w:rFonts w:ascii="宋体" w:hAnsi="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1634</Words>
  <Characters>1954</Characters>
  <Lines>0</Lines>
  <Paragraphs>0</Paragraphs>
  <TotalTime>2</TotalTime>
  <ScaleCrop>false</ScaleCrop>
  <LinksUpToDate>false</LinksUpToDate>
  <CharactersWithSpaces>1981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2023-07-15T03:19:00Z</dcterms:created>
  <dc:creator>13716</dc:creator>
  <cp:lastModifiedBy>WEN</cp:lastModifiedBy>
  <dcterms:modified xsi:type="dcterms:W3CDTF">2024-03-23T02:38:48Z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AE1D3012D7D34D6BB3D7F3EE4BFDC20A_13</vt:lpwstr>
  </property>
</Properties>
</file>