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6"/>
        <w:tblpPr w:leftFromText="180" w:rightFromText="180" w:vertAnchor="text" w:horzAnchor="margin" w:tblpXSpec="right" w:tblpY="455"/>
        <w:tblW w:w="5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167" w:type="dxa"/>
            <w:noWrap/>
          </w:tcPr>
          <w:p>
            <w:pPr>
              <w:spacing w:line="360" w:lineRule="auto"/>
              <w:jc w:val="left"/>
              <w:rPr>
                <w:rFonts w:hint="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rPr>
              <w:t>甲方</w:t>
            </w:r>
            <w:r>
              <w:rPr>
                <w:rFonts w:asciiTheme="minorEastAsia" w:hAnsiTheme="minorEastAsia" w:eastAsiaTheme="minorEastAsia"/>
                <w:color w:val="auto"/>
                <w:sz w:val="24"/>
                <w:szCs w:val="24"/>
                <w:highlight w:val="none"/>
              </w:rPr>
              <w:t>合同编号</w:t>
            </w:r>
            <w:r>
              <w:rPr>
                <w:rFonts w:eastAsia="仿宋_GB2312"/>
                <w:color w:val="auto"/>
                <w:sz w:val="24"/>
                <w:szCs w:val="24"/>
                <w:highlight w:val="none"/>
              </w:rPr>
              <w:t>：</w:t>
            </w:r>
            <w:r>
              <w:rPr>
                <w:rFonts w:asciiTheme="minorEastAsia" w:hAnsiTheme="minorEastAsia" w:eastAsiaTheme="minorEastAsia"/>
                <w:color w:val="auto"/>
                <w:sz w:val="24"/>
                <w:szCs w:val="24"/>
                <w:highlight w:val="none"/>
              </w:rPr>
              <w:t>CMIE</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DP202</w:t>
            </w:r>
            <w:r>
              <w:rPr>
                <w:rFonts w:hint="eastAsia" w:asciiTheme="minorEastAsia" w:hAnsiTheme="minorEastAsia" w:eastAsiaTheme="minorEastAsia"/>
                <w:color w:val="auto"/>
                <w:sz w:val="24"/>
                <w:szCs w:val="24"/>
                <w:highlight w:val="none"/>
                <w:lang w:val="en-US" w:eastAsia="zh-CN"/>
              </w:rPr>
              <w:t>2</w:t>
            </w:r>
            <w:r>
              <w:rPr>
                <w:rFonts w:asciiTheme="minorEastAsia" w:hAnsiTheme="minorEastAsia" w:eastAsiaTheme="minorEastAsia"/>
                <w:color w:val="auto"/>
                <w:sz w:val="24"/>
                <w:szCs w:val="24"/>
                <w:highlight w:val="none"/>
              </w:rPr>
              <w:t>G0</w:t>
            </w:r>
            <w:r>
              <w:rPr>
                <w:rFonts w:hint="eastAsia" w:asciiTheme="minorEastAsia" w:hAnsiTheme="minorEastAsia" w:eastAsiaTheme="minorEastAsia"/>
                <w:color w:val="auto"/>
                <w:sz w:val="24"/>
                <w:szCs w:val="24"/>
                <w:highlight w:val="none"/>
                <w:lang w:val="en-US" w:eastAsia="zh-CN"/>
              </w:rPr>
              <w:t>11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Sub</w:t>
            </w:r>
            <w:r>
              <w:rPr>
                <w:rFonts w:hint="eastAsia" w:asciiTheme="minorEastAsia" w:hAnsiTheme="minorEastAsia" w:eastAsiaTheme="minorEastAsia"/>
                <w:color w:val="auto"/>
                <w:sz w:val="24"/>
                <w:szCs w:val="24"/>
                <w:highlight w:val="none"/>
                <w:lang w:val="en-US" w:eastAsia="zh-CN"/>
              </w:rPr>
              <w:t xml:space="preserve">   </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202</w:t>
            </w:r>
            <w:r>
              <w:rPr>
                <w:rFonts w:hint="eastAsia" w:asciiTheme="minorEastAsia" w:hAnsiTheme="minorEastAsia" w:eastAsiaTheme="minorEastAsia"/>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167" w:type="dxa"/>
            <w:noWrap/>
          </w:tcPr>
          <w:p>
            <w:pPr>
              <w:spacing w:line="360" w:lineRule="auto"/>
              <w:jc w:val="left"/>
              <w:rPr>
                <w:rFonts w:eastAsia="仿宋_GB2312"/>
                <w:color w:val="auto"/>
                <w:sz w:val="24"/>
                <w:szCs w:val="24"/>
                <w:highlight w:val="none"/>
              </w:rPr>
            </w:pPr>
            <w:r>
              <w:rPr>
                <w:rFonts w:hint="eastAsia" w:asciiTheme="minorEastAsia" w:hAnsiTheme="minorEastAsia" w:eastAsiaTheme="minorEastAsia"/>
                <w:color w:val="auto"/>
                <w:sz w:val="24"/>
                <w:szCs w:val="24"/>
                <w:highlight w:val="none"/>
              </w:rPr>
              <w:t>乙方</w:t>
            </w:r>
            <w:r>
              <w:rPr>
                <w:rFonts w:asciiTheme="minorEastAsia" w:hAnsiTheme="minorEastAsia" w:eastAsiaTheme="minorEastAsia"/>
                <w:color w:val="auto"/>
                <w:sz w:val="24"/>
                <w:szCs w:val="24"/>
                <w:highlight w:val="none"/>
              </w:rPr>
              <w:t>合同编号</w:t>
            </w:r>
            <w:r>
              <w:rPr>
                <w:rFonts w:eastAsia="仿宋_GB2312"/>
                <w:color w:val="auto"/>
                <w:sz w:val="24"/>
                <w:szCs w:val="24"/>
                <w:highlight w:val="none"/>
              </w:rPr>
              <w:t>：</w:t>
            </w:r>
          </w:p>
        </w:tc>
      </w:tr>
    </w:tbl>
    <w:p>
      <w:pPr>
        <w:spacing w:line="360" w:lineRule="auto"/>
        <w:jc w:val="center"/>
        <w:rPr>
          <w:rFonts w:eastAsia="黑体"/>
          <w:b/>
          <w:bCs/>
          <w:color w:val="auto"/>
          <w:sz w:val="44"/>
          <w:szCs w:val="44"/>
          <w:highlight w:val="none"/>
        </w:rPr>
      </w:pPr>
    </w:p>
    <w:p>
      <w:pPr>
        <w:spacing w:line="360" w:lineRule="auto"/>
        <w:jc w:val="center"/>
        <w:rPr>
          <w:rFonts w:eastAsia="黑体"/>
          <w:b/>
          <w:bCs/>
          <w:color w:val="auto"/>
          <w:sz w:val="44"/>
          <w:szCs w:val="44"/>
          <w:highlight w:val="none"/>
        </w:rPr>
      </w:pPr>
    </w:p>
    <w:p>
      <w:pPr>
        <w:spacing w:line="360" w:lineRule="auto"/>
        <w:jc w:val="center"/>
        <w:rPr>
          <w:rFonts w:eastAsia="黑体"/>
          <w:b/>
          <w:bCs/>
          <w:color w:val="auto"/>
          <w:sz w:val="44"/>
          <w:szCs w:val="44"/>
          <w:highlight w:val="none"/>
        </w:rPr>
      </w:pPr>
    </w:p>
    <w:p>
      <w:pPr>
        <w:spacing w:line="360" w:lineRule="auto"/>
        <w:jc w:val="center"/>
        <w:rPr>
          <w:rFonts w:eastAsia="黑体"/>
          <w:b/>
          <w:bCs/>
          <w:color w:val="auto"/>
          <w:sz w:val="44"/>
          <w:szCs w:val="44"/>
          <w:highlight w:val="none"/>
        </w:rPr>
      </w:pPr>
    </w:p>
    <w:p>
      <w:pPr>
        <w:spacing w:line="360" w:lineRule="auto"/>
        <w:rPr>
          <w:rFonts w:eastAsia="黑体"/>
          <w:b/>
          <w:color w:val="auto"/>
          <w:sz w:val="48"/>
          <w:szCs w:val="48"/>
          <w:highlight w:val="none"/>
        </w:rPr>
      </w:pPr>
    </w:p>
    <w:p>
      <w:pPr>
        <w:spacing w:line="360" w:lineRule="auto"/>
        <w:jc w:val="center"/>
        <w:rPr>
          <w:rFonts w:eastAsia="黑体"/>
          <w:b/>
          <w:color w:val="auto"/>
          <w:sz w:val="48"/>
          <w:szCs w:val="48"/>
          <w:highlight w:val="none"/>
        </w:rPr>
      </w:pPr>
    </w:p>
    <w:p>
      <w:pPr>
        <w:spacing w:line="360" w:lineRule="auto"/>
        <w:jc w:val="center"/>
        <w:rPr>
          <w:rFonts w:hint="eastAsia" w:ascii="黑体" w:hAnsi="黑体" w:eastAsia="黑体"/>
          <w:b/>
          <w:color w:val="auto"/>
          <w:sz w:val="40"/>
          <w:szCs w:val="40"/>
          <w:highlight w:val="none"/>
        </w:rPr>
      </w:pPr>
      <w:r>
        <w:rPr>
          <w:rFonts w:hint="eastAsia" w:ascii="黑体" w:hAnsi="黑体" w:eastAsia="黑体"/>
          <w:b/>
          <w:color w:val="auto"/>
          <w:sz w:val="40"/>
          <w:szCs w:val="40"/>
          <w:highlight w:val="none"/>
        </w:rPr>
        <w:t>国电电力湖南省武冈市</w:t>
      </w:r>
    </w:p>
    <w:p>
      <w:pPr>
        <w:pStyle w:val="15"/>
        <w:rPr>
          <w:rFonts w:hint="eastAsia"/>
        </w:rPr>
      </w:pPr>
    </w:p>
    <w:p>
      <w:pPr>
        <w:spacing w:line="360" w:lineRule="auto"/>
        <w:jc w:val="center"/>
        <w:rPr>
          <w:rFonts w:hint="eastAsia" w:ascii="黑体" w:hAnsi="黑体" w:eastAsia="黑体"/>
          <w:b/>
          <w:color w:val="auto"/>
          <w:sz w:val="40"/>
          <w:szCs w:val="40"/>
          <w:highlight w:val="none"/>
          <w:lang w:eastAsia="zh-CN"/>
        </w:rPr>
      </w:pPr>
      <w:r>
        <w:rPr>
          <w:rFonts w:hint="eastAsia" w:ascii="黑体" w:hAnsi="黑体" w:eastAsia="黑体"/>
          <w:b/>
          <w:color w:val="auto"/>
          <w:sz w:val="40"/>
          <w:szCs w:val="40"/>
          <w:highlight w:val="none"/>
        </w:rPr>
        <w:t>203.89MW屋顶分布式光伏发电项目</w:t>
      </w:r>
      <w:r>
        <w:rPr>
          <w:rFonts w:hint="eastAsia" w:ascii="黑体" w:hAnsi="黑体" w:eastAsia="黑体"/>
          <w:b/>
          <w:color w:val="auto"/>
          <w:sz w:val="40"/>
          <w:szCs w:val="40"/>
          <w:highlight w:val="none"/>
          <w:lang w:eastAsia="zh-CN"/>
        </w:rPr>
        <w:t>第二批次</w:t>
      </w:r>
    </w:p>
    <w:p>
      <w:pPr>
        <w:spacing w:line="360" w:lineRule="auto"/>
        <w:jc w:val="center"/>
        <w:rPr>
          <w:rFonts w:hint="eastAsia" w:ascii="黑体" w:hAnsi="黑体" w:eastAsia="黑体"/>
          <w:b/>
          <w:color w:val="auto"/>
          <w:sz w:val="40"/>
          <w:szCs w:val="40"/>
          <w:highlight w:val="none"/>
          <w:lang w:eastAsia="zh-CN"/>
        </w:rPr>
      </w:pPr>
    </w:p>
    <w:p>
      <w:pPr>
        <w:spacing w:line="360" w:lineRule="auto"/>
        <w:jc w:val="center"/>
        <w:rPr>
          <w:rFonts w:hint="eastAsia" w:ascii="黑体" w:hAnsi="黑体" w:eastAsia="黑体"/>
          <w:b/>
          <w:color w:val="auto"/>
          <w:sz w:val="40"/>
          <w:szCs w:val="40"/>
          <w:highlight w:val="none"/>
          <w:lang w:eastAsia="zh-CN"/>
        </w:rPr>
      </w:pPr>
      <w:r>
        <w:rPr>
          <w:rFonts w:hint="eastAsia" w:ascii="黑体" w:hAnsi="黑体" w:eastAsia="黑体"/>
          <w:b/>
          <w:color w:val="auto"/>
          <w:sz w:val="40"/>
          <w:szCs w:val="40"/>
          <w:highlight w:val="none"/>
          <w:lang w:eastAsia="zh-CN"/>
        </w:rPr>
        <w:t>（</w:t>
      </w:r>
      <w:r>
        <w:rPr>
          <w:rFonts w:hint="eastAsia" w:ascii="黑体" w:hAnsi="黑体" w:eastAsia="黑体"/>
          <w:b/>
          <w:color w:val="auto"/>
          <w:sz w:val="40"/>
          <w:szCs w:val="40"/>
          <w:highlight w:val="none"/>
          <w:lang w:val="en-US" w:eastAsia="zh-CN"/>
        </w:rPr>
        <w:t>59.69MW</w:t>
      </w:r>
      <w:r>
        <w:rPr>
          <w:rFonts w:hint="eastAsia" w:ascii="黑体" w:hAnsi="黑体" w:eastAsia="黑体"/>
          <w:b/>
          <w:color w:val="auto"/>
          <w:sz w:val="40"/>
          <w:szCs w:val="40"/>
          <w:highlight w:val="none"/>
          <w:lang w:eastAsia="zh-CN"/>
        </w:rPr>
        <w:t>）</w:t>
      </w:r>
    </w:p>
    <w:p>
      <w:pPr>
        <w:pStyle w:val="15"/>
      </w:pPr>
    </w:p>
    <w:p>
      <w:pPr>
        <w:spacing w:line="360" w:lineRule="auto"/>
        <w:jc w:val="center"/>
        <w:rPr>
          <w:rFonts w:hint="eastAsia" w:ascii="黑体" w:hAnsi="黑体" w:eastAsia="黑体"/>
          <w:b/>
          <w:color w:val="auto"/>
          <w:sz w:val="40"/>
          <w:szCs w:val="40"/>
          <w:highlight w:val="none"/>
          <w:lang w:eastAsia="zh-CN"/>
        </w:rPr>
      </w:pPr>
      <w:r>
        <w:rPr>
          <w:rFonts w:hint="eastAsia" w:ascii="黑体" w:hAnsi="黑体" w:eastAsia="黑体"/>
          <w:b/>
          <w:color w:val="auto"/>
          <w:sz w:val="40"/>
          <w:szCs w:val="40"/>
          <w:highlight w:val="none"/>
          <w:lang w:eastAsia="zh-CN"/>
        </w:rPr>
        <w:t>组串式并网逆变器供货</w:t>
      </w:r>
    </w:p>
    <w:p>
      <w:pPr>
        <w:pStyle w:val="14"/>
        <w:ind w:firstLine="240"/>
        <w:rPr>
          <w:color w:val="auto"/>
          <w:highlight w:val="none"/>
        </w:rPr>
      </w:pPr>
    </w:p>
    <w:p>
      <w:pPr>
        <w:spacing w:line="360" w:lineRule="auto"/>
        <w:jc w:val="center"/>
        <w:rPr>
          <w:rFonts w:ascii="黑体" w:hAnsi="黑体" w:eastAsia="黑体"/>
          <w:b/>
          <w:color w:val="auto"/>
          <w:sz w:val="40"/>
          <w:szCs w:val="40"/>
          <w:highlight w:val="none"/>
        </w:rPr>
      </w:pPr>
      <w:r>
        <w:rPr>
          <w:rFonts w:hint="eastAsia" w:ascii="黑体" w:hAnsi="黑体" w:eastAsia="黑体"/>
          <w:b/>
          <w:bCs/>
          <w:color w:val="auto"/>
          <w:sz w:val="40"/>
          <w:szCs w:val="40"/>
          <w:highlight w:val="none"/>
        </w:rPr>
        <w:t>采购合同</w:t>
      </w:r>
    </w:p>
    <w:p>
      <w:pPr>
        <w:spacing w:line="360" w:lineRule="auto"/>
        <w:jc w:val="center"/>
        <w:rPr>
          <w:rFonts w:ascii="黑体" w:hAnsi="黑体" w:eastAsia="黑体"/>
          <w:b/>
          <w:color w:val="auto"/>
          <w:sz w:val="40"/>
          <w:szCs w:val="40"/>
          <w:highlight w:val="none"/>
        </w:rPr>
      </w:pPr>
    </w:p>
    <w:p>
      <w:pPr>
        <w:spacing w:line="360" w:lineRule="auto"/>
        <w:jc w:val="center"/>
        <w:rPr>
          <w:b/>
          <w:color w:val="auto"/>
          <w:kern w:val="0"/>
          <w:sz w:val="28"/>
          <w:szCs w:val="20"/>
          <w:highlight w:val="none"/>
        </w:rPr>
      </w:pPr>
    </w:p>
    <w:p>
      <w:pPr>
        <w:widowControl/>
        <w:autoSpaceDE w:val="0"/>
        <w:autoSpaceDN w:val="0"/>
        <w:spacing w:line="500" w:lineRule="exact"/>
        <w:ind w:firstLine="1820" w:firstLineChars="650"/>
        <w:textAlignment w:val="bottom"/>
        <w:rPr>
          <w:color w:val="auto"/>
          <w:kern w:val="0"/>
          <w:sz w:val="28"/>
          <w:szCs w:val="20"/>
          <w:highlight w:val="none"/>
        </w:rPr>
      </w:pPr>
      <w:r>
        <w:rPr>
          <w:color w:val="auto"/>
          <w:kern w:val="0"/>
          <w:sz w:val="28"/>
          <w:szCs w:val="20"/>
          <w:highlight w:val="none"/>
        </w:rPr>
        <w:t>甲方：中机国际工程设计研究院有限责任公司</w:t>
      </w:r>
    </w:p>
    <w:p>
      <w:pPr>
        <w:spacing w:line="360" w:lineRule="auto"/>
        <w:ind w:firstLine="2340" w:firstLineChars="650"/>
        <w:rPr>
          <w:color w:val="auto"/>
          <w:sz w:val="36"/>
          <w:highlight w:val="none"/>
        </w:rPr>
      </w:pPr>
    </w:p>
    <w:p>
      <w:pPr>
        <w:widowControl/>
        <w:autoSpaceDE w:val="0"/>
        <w:autoSpaceDN w:val="0"/>
        <w:spacing w:line="500" w:lineRule="exact"/>
        <w:ind w:firstLine="1820" w:firstLineChars="650"/>
        <w:textAlignment w:val="bottom"/>
        <w:rPr>
          <w:rFonts w:hint="eastAsia" w:asciiTheme="minorEastAsia" w:hAnsiTheme="minorEastAsia" w:eastAsiaTheme="minorEastAsia"/>
          <w:color w:val="auto"/>
          <w:kern w:val="0"/>
          <w:sz w:val="28"/>
          <w:szCs w:val="20"/>
          <w:highlight w:val="none"/>
          <w:lang w:eastAsia="zh-CN"/>
        </w:rPr>
      </w:pPr>
      <w:r>
        <w:rPr>
          <w:rFonts w:asciiTheme="minorEastAsia" w:hAnsiTheme="minorEastAsia" w:eastAsiaTheme="minorEastAsia"/>
          <w:color w:val="auto"/>
          <w:kern w:val="0"/>
          <w:sz w:val="28"/>
          <w:szCs w:val="20"/>
          <w:highlight w:val="none"/>
        </w:rPr>
        <w:t>乙方：</w:t>
      </w:r>
      <w:r>
        <w:rPr>
          <w:rFonts w:hint="eastAsia" w:asciiTheme="minorEastAsia" w:hAnsiTheme="minorEastAsia" w:eastAsiaTheme="minorEastAsia"/>
          <w:color w:val="auto"/>
          <w:kern w:val="0"/>
          <w:sz w:val="28"/>
          <w:szCs w:val="20"/>
          <w:highlight w:val="none"/>
          <w:lang w:eastAsia="zh-CN"/>
        </w:rPr>
        <w:t>XXXX</w:t>
      </w:r>
    </w:p>
    <w:p>
      <w:pPr>
        <w:widowControl/>
        <w:autoSpaceDE w:val="0"/>
        <w:autoSpaceDN w:val="0"/>
        <w:spacing w:line="500" w:lineRule="exact"/>
        <w:ind w:firstLine="1820" w:firstLineChars="650"/>
        <w:textAlignment w:val="bottom"/>
        <w:rPr>
          <w:rFonts w:asciiTheme="minorEastAsia" w:hAnsiTheme="minorEastAsia" w:eastAsiaTheme="minorEastAsia"/>
          <w:color w:val="auto"/>
          <w:sz w:val="28"/>
          <w:highlight w:val="none"/>
        </w:rPr>
      </w:pPr>
    </w:p>
    <w:p>
      <w:pPr>
        <w:adjustRightInd w:val="0"/>
        <w:snapToGrid w:val="0"/>
        <w:spacing w:line="360" w:lineRule="auto"/>
        <w:ind w:firstLine="1820" w:firstLineChars="650"/>
        <w:rPr>
          <w:rFonts w:asciiTheme="minorEastAsia" w:hAnsiTheme="minorEastAsia" w:eastAsiaTheme="minorEastAsia"/>
          <w:color w:val="auto"/>
          <w:sz w:val="28"/>
          <w:highlight w:val="none"/>
        </w:rPr>
      </w:pPr>
      <w:r>
        <w:rPr>
          <w:rFonts w:asciiTheme="minorEastAsia" w:hAnsiTheme="minorEastAsia" w:eastAsiaTheme="minorEastAsia"/>
          <w:color w:val="auto"/>
          <w:sz w:val="28"/>
          <w:highlight w:val="none"/>
        </w:rPr>
        <w:t>签订地点：中国•长沙•雨花区</w:t>
      </w:r>
    </w:p>
    <w:p>
      <w:pPr>
        <w:adjustRightInd w:val="0"/>
        <w:snapToGrid w:val="0"/>
        <w:spacing w:line="360" w:lineRule="auto"/>
        <w:jc w:val="center"/>
        <w:rPr>
          <w:rFonts w:asciiTheme="minorEastAsia" w:hAnsiTheme="minorEastAsia" w:eastAsiaTheme="minorEastAsia"/>
          <w:color w:val="auto"/>
          <w:highlight w:val="none"/>
        </w:rPr>
      </w:pPr>
    </w:p>
    <w:p>
      <w:pPr>
        <w:adjustRightInd w:val="0"/>
        <w:snapToGrid w:val="0"/>
        <w:spacing w:line="360" w:lineRule="auto"/>
        <w:jc w:val="center"/>
        <w:rPr>
          <w:rFonts w:asciiTheme="minorEastAsia" w:hAnsiTheme="minorEastAsia" w:eastAsiaTheme="minorEastAsia"/>
          <w:color w:val="auto"/>
          <w:sz w:val="28"/>
          <w:highlight w:val="none"/>
        </w:rPr>
        <w:sectPr>
          <w:headerReference r:id="rId4" w:type="first"/>
          <w:headerReference r:id="rId3" w:type="default"/>
          <w:footerReference r:id="rId5" w:type="default"/>
          <w:pgSz w:w="11906" w:h="16838"/>
          <w:pgMar w:top="1452" w:right="1106" w:bottom="1452" w:left="1622" w:header="851" w:footer="992" w:gutter="0"/>
          <w:cols w:space="720" w:num="1"/>
          <w:docGrid w:type="lines" w:linePitch="312" w:charSpace="0"/>
        </w:sectPr>
      </w:pPr>
      <w:r>
        <w:rPr>
          <w:rFonts w:hint="eastAsia" w:asciiTheme="minorEastAsia" w:hAnsiTheme="minorEastAsia" w:eastAsiaTheme="minorEastAsia"/>
          <w:color w:val="auto"/>
          <w:sz w:val="28"/>
          <w:highlight w:val="none"/>
        </w:rPr>
        <w:t>202</w:t>
      </w:r>
      <w:r>
        <w:rPr>
          <w:rFonts w:hint="eastAsia" w:asciiTheme="minorEastAsia" w:hAnsiTheme="minorEastAsia" w:eastAsiaTheme="minorEastAsia"/>
          <w:color w:val="auto"/>
          <w:sz w:val="28"/>
          <w:highlight w:val="none"/>
          <w:lang w:val="en-US" w:eastAsia="zh-CN"/>
        </w:rPr>
        <w:t>2</w:t>
      </w:r>
      <w:r>
        <w:rPr>
          <w:rFonts w:hint="eastAsia" w:asciiTheme="minorEastAsia" w:hAnsiTheme="minorEastAsia" w:eastAsiaTheme="minorEastAsia"/>
          <w:color w:val="auto"/>
          <w:sz w:val="28"/>
          <w:highlight w:val="none"/>
        </w:rPr>
        <w:t>年</w:t>
      </w:r>
      <w:r>
        <w:rPr>
          <w:rFonts w:hint="eastAsia" w:asciiTheme="minorEastAsia" w:hAnsiTheme="minorEastAsia" w:eastAsiaTheme="minorEastAsia"/>
          <w:color w:val="auto"/>
          <w:sz w:val="28"/>
          <w:highlight w:val="none"/>
          <w:lang w:val="en-US" w:eastAsia="zh-CN"/>
        </w:rPr>
        <w:t>12月</w:t>
      </w:r>
    </w:p>
    <w:p>
      <w:pPr>
        <w:rPr>
          <w:b/>
          <w:bCs/>
          <w:color w:val="auto"/>
          <w:sz w:val="32"/>
          <w:highlight w:val="none"/>
        </w:rPr>
      </w:pPr>
      <w:r>
        <w:rPr>
          <w:b/>
          <w:bCs/>
          <w:color w:val="auto"/>
          <w:sz w:val="32"/>
          <w:highlight w:val="none"/>
        </w:rPr>
        <w:br w:type="page"/>
      </w:r>
    </w:p>
    <w:p>
      <w:pPr>
        <w:ind w:firstLine="358"/>
        <w:jc w:val="center"/>
        <w:rPr>
          <w:b/>
          <w:bCs/>
          <w:color w:val="auto"/>
          <w:sz w:val="32"/>
          <w:highlight w:val="none"/>
        </w:rPr>
      </w:pPr>
      <w:r>
        <w:rPr>
          <w:b/>
          <w:bCs/>
          <w:color w:val="auto"/>
          <w:sz w:val="32"/>
          <w:highlight w:val="none"/>
        </w:rPr>
        <w:t>目　　录</w:t>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bCs w:val="0"/>
          <w:caps w:val="0"/>
          <w:color w:val="auto"/>
          <w:sz w:val="36"/>
          <w:highlight w:val="none"/>
        </w:rPr>
        <w:fldChar w:fldCharType="begin"/>
      </w:r>
      <w:r>
        <w:rPr>
          <w:bCs w:val="0"/>
          <w:caps w:val="0"/>
          <w:color w:val="auto"/>
          <w:sz w:val="36"/>
          <w:highlight w:val="none"/>
        </w:rPr>
        <w:instrText xml:space="preserve"> TOC \o "1-3" \h \z </w:instrText>
      </w:r>
      <w:r>
        <w:rPr>
          <w:bCs w:val="0"/>
          <w:caps w:val="0"/>
          <w:color w:val="auto"/>
          <w:sz w:val="36"/>
          <w:highlight w:val="none"/>
        </w:rPr>
        <w:fldChar w:fldCharType="separate"/>
      </w:r>
      <w:r>
        <w:rPr>
          <w:color w:val="auto"/>
          <w:highlight w:val="none"/>
        </w:rPr>
        <w:fldChar w:fldCharType="begin"/>
      </w:r>
      <w:r>
        <w:rPr>
          <w:color w:val="auto"/>
          <w:highlight w:val="none"/>
        </w:rPr>
        <w:instrText xml:space="preserve"> HYPERLINK \l "_Toc86399291" </w:instrText>
      </w:r>
      <w:r>
        <w:rPr>
          <w:color w:val="auto"/>
          <w:highlight w:val="none"/>
        </w:rPr>
        <w:fldChar w:fldCharType="separate"/>
      </w:r>
      <w:r>
        <w:rPr>
          <w:rStyle w:val="19"/>
          <w:rFonts w:hint="eastAsia"/>
          <w:color w:val="auto"/>
          <w:highlight w:val="none"/>
        </w:rPr>
        <w:t>第一条　合同当事人</w:t>
      </w:r>
      <w:r>
        <w:rPr>
          <w:color w:val="auto"/>
          <w:highlight w:val="none"/>
        </w:rPr>
        <w:tab/>
      </w:r>
      <w:r>
        <w:rPr>
          <w:color w:val="auto"/>
          <w:highlight w:val="none"/>
        </w:rPr>
        <w:fldChar w:fldCharType="begin"/>
      </w:r>
      <w:r>
        <w:rPr>
          <w:color w:val="auto"/>
          <w:highlight w:val="none"/>
        </w:rPr>
        <w:instrText xml:space="preserve"> PAGEREF _Toc86399291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"_Toc86399292" </w:instrText>
      </w:r>
      <w:r>
        <w:rPr>
          <w:color w:val="auto"/>
          <w:highlight w:val="none"/>
        </w:rPr>
        <w:fldChar w:fldCharType="separate"/>
      </w:r>
      <w:r>
        <w:rPr>
          <w:rStyle w:val="19"/>
          <w:rFonts w:hint="eastAsia"/>
          <w:color w:val="auto"/>
          <w:highlight w:val="none"/>
        </w:rPr>
        <w:t>第二条　合同标的及价格</w:t>
      </w:r>
      <w:r>
        <w:rPr>
          <w:color w:val="auto"/>
          <w:highlight w:val="none"/>
        </w:rPr>
        <w:tab/>
      </w:r>
      <w:r>
        <w:rPr>
          <w:color w:val="auto"/>
          <w:highlight w:val="none"/>
        </w:rPr>
        <w:fldChar w:fldCharType="begin"/>
      </w:r>
      <w:r>
        <w:rPr>
          <w:color w:val="auto"/>
          <w:highlight w:val="none"/>
        </w:rPr>
        <w:instrText xml:space="preserve"> PAGEREF _Toc86399292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"_Toc86399293" </w:instrText>
      </w:r>
      <w:r>
        <w:rPr>
          <w:color w:val="auto"/>
          <w:highlight w:val="none"/>
        </w:rPr>
        <w:fldChar w:fldCharType="separate"/>
      </w:r>
      <w:r>
        <w:rPr>
          <w:rStyle w:val="19"/>
          <w:rFonts w:hint="eastAsia"/>
          <w:color w:val="auto"/>
          <w:highlight w:val="none"/>
        </w:rPr>
        <w:t>第三条　付款方式</w:t>
      </w:r>
      <w:r>
        <w:rPr>
          <w:color w:val="auto"/>
          <w:highlight w:val="none"/>
        </w:rPr>
        <w:tab/>
      </w:r>
      <w:r>
        <w:rPr>
          <w:color w:val="auto"/>
          <w:highlight w:val="none"/>
        </w:rPr>
        <w:fldChar w:fldCharType="begin"/>
      </w:r>
      <w:r>
        <w:rPr>
          <w:color w:val="auto"/>
          <w:highlight w:val="none"/>
        </w:rPr>
        <w:instrText xml:space="preserve"> PAGEREF _Toc86399293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"_Toc86399294" </w:instrText>
      </w:r>
      <w:r>
        <w:rPr>
          <w:color w:val="auto"/>
          <w:highlight w:val="none"/>
        </w:rPr>
        <w:fldChar w:fldCharType="separate"/>
      </w:r>
      <w:r>
        <w:rPr>
          <w:rStyle w:val="19"/>
          <w:rFonts w:hint="eastAsia"/>
          <w:color w:val="auto"/>
          <w:highlight w:val="none"/>
        </w:rPr>
        <w:t>第四条　交货期限要求、地点及方式</w:t>
      </w:r>
      <w:r>
        <w:rPr>
          <w:color w:val="auto"/>
          <w:highlight w:val="none"/>
        </w:rPr>
        <w:tab/>
      </w:r>
      <w:r>
        <w:rPr>
          <w:color w:val="auto"/>
          <w:highlight w:val="none"/>
        </w:rPr>
        <w:fldChar w:fldCharType="begin"/>
      </w:r>
      <w:r>
        <w:rPr>
          <w:color w:val="auto"/>
          <w:highlight w:val="none"/>
        </w:rPr>
        <w:instrText xml:space="preserve"> PAGEREF _Toc86399294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"_Toc86399295" </w:instrText>
      </w:r>
      <w:r>
        <w:rPr>
          <w:color w:val="auto"/>
          <w:highlight w:val="none"/>
        </w:rPr>
        <w:fldChar w:fldCharType="separate"/>
      </w:r>
      <w:r>
        <w:rPr>
          <w:rStyle w:val="19"/>
          <w:rFonts w:hint="eastAsia"/>
          <w:color w:val="auto"/>
          <w:highlight w:val="none"/>
        </w:rPr>
        <w:t>第五条　包装及运输</w:t>
      </w:r>
      <w:r>
        <w:rPr>
          <w:color w:val="auto"/>
          <w:highlight w:val="none"/>
        </w:rPr>
        <w:tab/>
      </w:r>
      <w:r>
        <w:rPr>
          <w:color w:val="auto"/>
          <w:highlight w:val="none"/>
        </w:rPr>
        <w:fldChar w:fldCharType="begin"/>
      </w:r>
      <w:r>
        <w:rPr>
          <w:color w:val="auto"/>
          <w:highlight w:val="none"/>
        </w:rPr>
        <w:instrText xml:space="preserve"> PAGEREF _Toc86399295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"_Toc86399296" </w:instrText>
      </w:r>
      <w:r>
        <w:rPr>
          <w:color w:val="auto"/>
          <w:highlight w:val="none"/>
        </w:rPr>
        <w:fldChar w:fldCharType="separate"/>
      </w:r>
      <w:r>
        <w:rPr>
          <w:rStyle w:val="19"/>
          <w:rFonts w:hint="eastAsia"/>
          <w:color w:val="auto"/>
          <w:highlight w:val="none"/>
        </w:rPr>
        <w:t>第六条　产品标准</w:t>
      </w:r>
      <w:r>
        <w:rPr>
          <w:color w:val="auto"/>
          <w:highlight w:val="none"/>
        </w:rPr>
        <w:tab/>
      </w:r>
      <w:r>
        <w:rPr>
          <w:color w:val="auto"/>
          <w:highlight w:val="none"/>
        </w:rPr>
        <w:fldChar w:fldCharType="begin"/>
      </w:r>
      <w:r>
        <w:rPr>
          <w:color w:val="auto"/>
          <w:highlight w:val="none"/>
        </w:rPr>
        <w:instrText xml:space="preserve"> PAGEREF _Toc86399296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"_Toc86399297" </w:instrText>
      </w:r>
      <w:r>
        <w:rPr>
          <w:color w:val="auto"/>
          <w:highlight w:val="none"/>
        </w:rPr>
        <w:fldChar w:fldCharType="separate"/>
      </w:r>
      <w:r>
        <w:rPr>
          <w:rStyle w:val="19"/>
          <w:rFonts w:hint="eastAsia"/>
          <w:color w:val="auto"/>
          <w:highlight w:val="none"/>
        </w:rPr>
        <w:t>第七条　交货及初步检验</w:t>
      </w:r>
      <w:r>
        <w:rPr>
          <w:color w:val="auto"/>
          <w:highlight w:val="none"/>
        </w:rPr>
        <w:tab/>
      </w:r>
      <w:r>
        <w:rPr>
          <w:color w:val="auto"/>
          <w:highlight w:val="none"/>
        </w:rPr>
        <w:fldChar w:fldCharType="begin"/>
      </w:r>
      <w:r>
        <w:rPr>
          <w:color w:val="auto"/>
          <w:highlight w:val="none"/>
        </w:rPr>
        <w:instrText xml:space="preserve"> PAGEREF _Toc86399297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"_Toc86399298" </w:instrText>
      </w:r>
      <w:r>
        <w:rPr>
          <w:color w:val="auto"/>
          <w:highlight w:val="none"/>
        </w:rPr>
        <w:fldChar w:fldCharType="separate"/>
      </w:r>
      <w:r>
        <w:rPr>
          <w:rStyle w:val="19"/>
          <w:rFonts w:hint="eastAsia"/>
          <w:color w:val="auto"/>
          <w:highlight w:val="none"/>
        </w:rPr>
        <w:t>第八条　产品检验</w:t>
      </w:r>
      <w:r>
        <w:rPr>
          <w:color w:val="auto"/>
          <w:highlight w:val="none"/>
        </w:rPr>
        <w:tab/>
      </w:r>
      <w:r>
        <w:rPr>
          <w:color w:val="auto"/>
          <w:highlight w:val="none"/>
        </w:rPr>
        <w:fldChar w:fldCharType="begin"/>
      </w:r>
      <w:r>
        <w:rPr>
          <w:color w:val="auto"/>
          <w:highlight w:val="none"/>
        </w:rPr>
        <w:instrText xml:space="preserve"> PAGEREF _Toc86399298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"_Toc86399299" </w:instrText>
      </w:r>
      <w:r>
        <w:rPr>
          <w:color w:val="auto"/>
          <w:highlight w:val="none"/>
        </w:rPr>
        <w:fldChar w:fldCharType="separate"/>
      </w:r>
      <w:r>
        <w:rPr>
          <w:rStyle w:val="19"/>
          <w:rFonts w:hint="eastAsia"/>
          <w:color w:val="auto"/>
          <w:highlight w:val="none"/>
        </w:rPr>
        <w:t>第九条　乙方对产品的保证</w:t>
      </w:r>
      <w:r>
        <w:rPr>
          <w:color w:val="auto"/>
          <w:highlight w:val="none"/>
        </w:rPr>
        <w:tab/>
      </w:r>
      <w:r>
        <w:rPr>
          <w:color w:val="auto"/>
          <w:highlight w:val="none"/>
        </w:rPr>
        <w:fldChar w:fldCharType="begin"/>
      </w:r>
      <w:r>
        <w:rPr>
          <w:color w:val="auto"/>
          <w:highlight w:val="none"/>
        </w:rPr>
        <w:instrText xml:space="preserve"> PAGEREF _Toc86399299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"_Toc86399300" </w:instrText>
      </w:r>
      <w:r>
        <w:rPr>
          <w:color w:val="auto"/>
          <w:highlight w:val="none"/>
        </w:rPr>
        <w:fldChar w:fldCharType="separate"/>
      </w:r>
      <w:r>
        <w:rPr>
          <w:rStyle w:val="19"/>
          <w:rFonts w:hint="eastAsia"/>
          <w:color w:val="auto"/>
          <w:highlight w:val="none"/>
        </w:rPr>
        <w:t>第十条　产品质保期</w:t>
      </w:r>
      <w:r>
        <w:rPr>
          <w:color w:val="auto"/>
          <w:highlight w:val="none"/>
        </w:rPr>
        <w:tab/>
      </w:r>
      <w:r>
        <w:rPr>
          <w:color w:val="auto"/>
          <w:highlight w:val="none"/>
        </w:rPr>
        <w:fldChar w:fldCharType="begin"/>
      </w:r>
      <w:r>
        <w:rPr>
          <w:color w:val="auto"/>
          <w:highlight w:val="none"/>
        </w:rPr>
        <w:instrText xml:space="preserve"> PAGEREF _Toc86399300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"_Toc86399301" </w:instrText>
      </w:r>
      <w:r>
        <w:rPr>
          <w:color w:val="auto"/>
          <w:highlight w:val="none"/>
        </w:rPr>
        <w:fldChar w:fldCharType="separate"/>
      </w:r>
      <w:r>
        <w:rPr>
          <w:rStyle w:val="19"/>
          <w:rFonts w:hint="eastAsia"/>
          <w:color w:val="auto"/>
          <w:highlight w:val="none"/>
        </w:rPr>
        <w:t>第十一条　违约责任</w:t>
      </w:r>
      <w:r>
        <w:rPr>
          <w:color w:val="auto"/>
          <w:highlight w:val="none"/>
        </w:rPr>
        <w:tab/>
      </w:r>
      <w:r>
        <w:rPr>
          <w:color w:val="auto"/>
          <w:highlight w:val="none"/>
        </w:rPr>
        <w:fldChar w:fldCharType="begin"/>
      </w:r>
      <w:r>
        <w:rPr>
          <w:color w:val="auto"/>
          <w:highlight w:val="none"/>
        </w:rPr>
        <w:instrText xml:space="preserve"> PAGEREF _Toc86399301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"_Toc86399302" </w:instrText>
      </w:r>
      <w:r>
        <w:rPr>
          <w:color w:val="auto"/>
          <w:highlight w:val="none"/>
        </w:rPr>
        <w:fldChar w:fldCharType="separate"/>
      </w:r>
      <w:r>
        <w:rPr>
          <w:rStyle w:val="19"/>
          <w:rFonts w:hint="eastAsia"/>
          <w:color w:val="auto"/>
          <w:highlight w:val="none"/>
        </w:rPr>
        <w:t>第十二条　廉洁条款</w:t>
      </w:r>
      <w:r>
        <w:rPr>
          <w:color w:val="auto"/>
          <w:highlight w:val="none"/>
        </w:rPr>
        <w:tab/>
      </w:r>
      <w:r>
        <w:rPr>
          <w:color w:val="auto"/>
          <w:highlight w:val="none"/>
        </w:rPr>
        <w:fldChar w:fldCharType="begin"/>
      </w:r>
      <w:r>
        <w:rPr>
          <w:color w:val="auto"/>
          <w:highlight w:val="none"/>
        </w:rPr>
        <w:instrText xml:space="preserve"> PAGEREF _Toc86399302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"_Toc86399303" </w:instrText>
      </w:r>
      <w:r>
        <w:rPr>
          <w:color w:val="auto"/>
          <w:highlight w:val="none"/>
        </w:rPr>
        <w:fldChar w:fldCharType="separate"/>
      </w:r>
      <w:r>
        <w:rPr>
          <w:rStyle w:val="19"/>
          <w:rFonts w:hint="eastAsia"/>
          <w:color w:val="auto"/>
          <w:highlight w:val="none"/>
        </w:rPr>
        <w:t>第十三条　保密约定</w:t>
      </w:r>
      <w:r>
        <w:rPr>
          <w:color w:val="auto"/>
          <w:highlight w:val="none"/>
        </w:rPr>
        <w:tab/>
      </w:r>
      <w:r>
        <w:rPr>
          <w:color w:val="auto"/>
          <w:highlight w:val="none"/>
        </w:rPr>
        <w:fldChar w:fldCharType="begin"/>
      </w:r>
      <w:r>
        <w:rPr>
          <w:color w:val="auto"/>
          <w:highlight w:val="none"/>
        </w:rPr>
        <w:instrText xml:space="preserve"> PAGEREF _Toc86399303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"_Toc86399304" </w:instrText>
      </w:r>
      <w:r>
        <w:rPr>
          <w:color w:val="auto"/>
          <w:highlight w:val="none"/>
        </w:rPr>
        <w:fldChar w:fldCharType="separate"/>
      </w:r>
      <w:r>
        <w:rPr>
          <w:rStyle w:val="19"/>
          <w:rFonts w:hint="eastAsia"/>
          <w:color w:val="auto"/>
          <w:highlight w:val="none"/>
        </w:rPr>
        <w:t>第十四条　知识产权及其它合法权益</w:t>
      </w:r>
      <w:r>
        <w:rPr>
          <w:color w:val="auto"/>
          <w:highlight w:val="none"/>
        </w:rPr>
        <w:tab/>
      </w:r>
      <w:r>
        <w:rPr>
          <w:color w:val="auto"/>
          <w:highlight w:val="none"/>
        </w:rPr>
        <w:fldChar w:fldCharType="begin"/>
      </w:r>
      <w:r>
        <w:rPr>
          <w:color w:val="auto"/>
          <w:highlight w:val="none"/>
        </w:rPr>
        <w:instrText xml:space="preserve"> PAGEREF _Toc86399304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"_Toc86399305" </w:instrText>
      </w:r>
      <w:r>
        <w:rPr>
          <w:color w:val="auto"/>
          <w:highlight w:val="none"/>
        </w:rPr>
        <w:fldChar w:fldCharType="separate"/>
      </w:r>
      <w:r>
        <w:rPr>
          <w:rStyle w:val="19"/>
          <w:rFonts w:hint="eastAsia"/>
          <w:color w:val="auto"/>
          <w:highlight w:val="none"/>
        </w:rPr>
        <w:t>第十五条　权利保留</w:t>
      </w:r>
      <w:r>
        <w:rPr>
          <w:color w:val="auto"/>
          <w:highlight w:val="none"/>
        </w:rPr>
        <w:tab/>
      </w:r>
      <w:r>
        <w:rPr>
          <w:color w:val="auto"/>
          <w:highlight w:val="none"/>
        </w:rPr>
        <w:fldChar w:fldCharType="begin"/>
      </w:r>
      <w:r>
        <w:rPr>
          <w:color w:val="auto"/>
          <w:highlight w:val="none"/>
        </w:rPr>
        <w:instrText xml:space="preserve"> PAGEREF _Toc86399305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"_Toc86399306" </w:instrText>
      </w:r>
      <w:r>
        <w:rPr>
          <w:color w:val="auto"/>
          <w:highlight w:val="none"/>
        </w:rPr>
        <w:fldChar w:fldCharType="separate"/>
      </w:r>
      <w:r>
        <w:rPr>
          <w:rStyle w:val="19"/>
          <w:rFonts w:hint="eastAsia"/>
          <w:color w:val="auto"/>
          <w:highlight w:val="none"/>
        </w:rPr>
        <w:t>第十六条　不可抗力</w:t>
      </w:r>
      <w:r>
        <w:rPr>
          <w:color w:val="auto"/>
          <w:highlight w:val="none"/>
        </w:rPr>
        <w:tab/>
      </w:r>
      <w:r>
        <w:rPr>
          <w:color w:val="auto"/>
          <w:highlight w:val="none"/>
        </w:rPr>
        <w:fldChar w:fldCharType="begin"/>
      </w:r>
      <w:r>
        <w:rPr>
          <w:color w:val="auto"/>
          <w:highlight w:val="none"/>
        </w:rPr>
        <w:instrText xml:space="preserve"> PAGEREF _Toc86399306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"_Toc86399307" </w:instrText>
      </w:r>
      <w:r>
        <w:rPr>
          <w:color w:val="auto"/>
          <w:highlight w:val="none"/>
        </w:rPr>
        <w:fldChar w:fldCharType="separate"/>
      </w:r>
      <w:r>
        <w:rPr>
          <w:rStyle w:val="19"/>
          <w:rFonts w:hint="eastAsia"/>
          <w:color w:val="auto"/>
          <w:highlight w:val="none"/>
        </w:rPr>
        <w:t>第十七条　法律适用及争议解决</w:t>
      </w:r>
      <w:r>
        <w:rPr>
          <w:color w:val="auto"/>
          <w:highlight w:val="none"/>
        </w:rPr>
        <w:tab/>
      </w:r>
      <w:r>
        <w:rPr>
          <w:color w:val="auto"/>
          <w:highlight w:val="none"/>
        </w:rPr>
        <w:fldChar w:fldCharType="begin"/>
      </w:r>
      <w:r>
        <w:rPr>
          <w:color w:val="auto"/>
          <w:highlight w:val="none"/>
        </w:rPr>
        <w:instrText xml:space="preserve"> PAGEREF _Toc86399307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"_Toc86399308" </w:instrText>
      </w:r>
      <w:r>
        <w:rPr>
          <w:color w:val="auto"/>
          <w:highlight w:val="none"/>
        </w:rPr>
        <w:fldChar w:fldCharType="separate"/>
      </w:r>
      <w:r>
        <w:rPr>
          <w:rStyle w:val="19"/>
          <w:rFonts w:hint="eastAsia"/>
          <w:color w:val="auto"/>
          <w:highlight w:val="none"/>
        </w:rPr>
        <w:t>第十八条</w:t>
      </w:r>
      <w:r>
        <w:rPr>
          <w:rStyle w:val="19"/>
          <w:color w:val="auto"/>
          <w:highlight w:val="none"/>
        </w:rPr>
        <w:t xml:space="preserve">  </w:t>
      </w:r>
      <w:r>
        <w:rPr>
          <w:rStyle w:val="19"/>
          <w:rFonts w:hint="eastAsia"/>
          <w:color w:val="auto"/>
          <w:highlight w:val="none"/>
        </w:rPr>
        <w:t>通知与送达</w:t>
      </w:r>
      <w:r>
        <w:rPr>
          <w:color w:val="auto"/>
          <w:highlight w:val="none"/>
        </w:rPr>
        <w:tab/>
      </w:r>
      <w:r>
        <w:rPr>
          <w:color w:val="auto"/>
          <w:highlight w:val="none"/>
        </w:rPr>
        <w:fldChar w:fldCharType="begin"/>
      </w:r>
      <w:r>
        <w:rPr>
          <w:color w:val="auto"/>
          <w:highlight w:val="none"/>
        </w:rPr>
        <w:instrText xml:space="preserve"> PAGEREF _Toc86399308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"_Toc86399309" </w:instrText>
      </w:r>
      <w:r>
        <w:rPr>
          <w:color w:val="auto"/>
          <w:highlight w:val="none"/>
        </w:rPr>
        <w:fldChar w:fldCharType="separate"/>
      </w:r>
      <w:r>
        <w:rPr>
          <w:rStyle w:val="19"/>
          <w:rFonts w:hint="eastAsia"/>
          <w:color w:val="auto"/>
          <w:highlight w:val="none"/>
        </w:rPr>
        <w:t>第十九条　合同生效及其他</w:t>
      </w:r>
      <w:r>
        <w:rPr>
          <w:color w:val="auto"/>
          <w:highlight w:val="none"/>
        </w:rPr>
        <w:tab/>
      </w:r>
      <w:r>
        <w:rPr>
          <w:color w:val="auto"/>
          <w:highlight w:val="none"/>
        </w:rPr>
        <w:fldChar w:fldCharType="begin"/>
      </w:r>
      <w:r>
        <w:rPr>
          <w:color w:val="auto"/>
          <w:highlight w:val="none"/>
        </w:rPr>
        <w:instrText xml:space="preserve"> PAGEREF _Toc86399309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"_Toc86399310" </w:instrText>
      </w:r>
      <w:r>
        <w:rPr>
          <w:color w:val="auto"/>
          <w:highlight w:val="none"/>
        </w:rPr>
        <w:fldChar w:fldCharType="separate"/>
      </w:r>
      <w:r>
        <w:rPr>
          <w:rStyle w:val="19"/>
          <w:rFonts w:hint="eastAsia" w:asciiTheme="minorEastAsia" w:hAnsiTheme="minorEastAsia"/>
          <w:color w:val="auto"/>
          <w:highlight w:val="none"/>
        </w:rPr>
        <w:t>附件一：</w:t>
      </w:r>
      <w:r>
        <w:rPr>
          <w:color w:val="auto"/>
          <w:highlight w:val="none"/>
        </w:rPr>
        <w:tab/>
      </w:r>
      <w:r>
        <w:rPr>
          <w:color w:val="auto"/>
          <w:highlight w:val="none"/>
        </w:rPr>
        <w:fldChar w:fldCharType="begin"/>
      </w:r>
      <w:r>
        <w:rPr>
          <w:color w:val="auto"/>
          <w:highlight w:val="none"/>
        </w:rPr>
        <w:instrText xml:space="preserve"> PAGEREF _Toc86399310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"_Toc86399311" </w:instrText>
      </w:r>
      <w:r>
        <w:rPr>
          <w:color w:val="auto"/>
          <w:highlight w:val="none"/>
        </w:rPr>
        <w:fldChar w:fldCharType="separate"/>
      </w:r>
      <w:r>
        <w:rPr>
          <w:rStyle w:val="19"/>
          <w:rFonts w:hint="eastAsia" w:asciiTheme="minorEastAsia" w:hAnsiTheme="minorEastAsia"/>
          <w:color w:val="auto"/>
          <w:highlight w:val="none"/>
        </w:rPr>
        <w:t>附件二：</w:t>
      </w:r>
      <w:r>
        <w:rPr>
          <w:color w:val="auto"/>
          <w:highlight w:val="none"/>
        </w:rPr>
        <w:tab/>
      </w:r>
      <w:r>
        <w:rPr>
          <w:color w:val="auto"/>
          <w:highlight w:val="none"/>
        </w:rPr>
        <w:fldChar w:fldCharType="begin"/>
      </w:r>
      <w:r>
        <w:rPr>
          <w:color w:val="auto"/>
          <w:highlight w:val="none"/>
        </w:rPr>
        <w:instrText xml:space="preserve"> PAGEREF _Toc86399311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1"/>
        <w:tabs>
          <w:tab w:val="right" w:leader="dot" w:pos="9168"/>
        </w:tabs>
        <w:spacing w:line="360" w:lineRule="auto"/>
        <w:rPr>
          <w:rFonts w:asciiTheme="minorHAnsi" w:hAnsiTheme="minorHAnsi" w:eastAsiaTheme="minorEastAsia" w:cstheme="minorBidi"/>
          <w:b w:val="0"/>
          <w:bCs w:val="0"/>
          <w:caps w:val="0"/>
          <w:color w:val="auto"/>
          <w:szCs w:val="22"/>
          <w:highlight w:val="none"/>
        </w:rPr>
      </w:pPr>
      <w:r>
        <w:rPr>
          <w:color w:val="auto"/>
          <w:highlight w:val="none"/>
        </w:rPr>
        <w:fldChar w:fldCharType="begin"/>
      </w:r>
      <w:r>
        <w:rPr>
          <w:color w:val="auto"/>
          <w:highlight w:val="none"/>
        </w:rPr>
        <w:instrText xml:space="preserve"> HYPERLINK \l "_Toc86399312" </w:instrText>
      </w:r>
      <w:r>
        <w:rPr>
          <w:color w:val="auto"/>
          <w:highlight w:val="none"/>
        </w:rPr>
        <w:fldChar w:fldCharType="separate"/>
      </w:r>
      <w:r>
        <w:rPr>
          <w:rStyle w:val="19"/>
          <w:rFonts w:hint="eastAsia" w:asciiTheme="minorEastAsia" w:hAnsiTheme="minorEastAsia"/>
          <w:color w:val="auto"/>
          <w:highlight w:val="none"/>
        </w:rPr>
        <w:t>附件三：</w:t>
      </w:r>
      <w:r>
        <w:rPr>
          <w:color w:val="auto"/>
          <w:highlight w:val="none"/>
        </w:rPr>
        <w:tab/>
      </w:r>
      <w:r>
        <w:rPr>
          <w:color w:val="auto"/>
          <w:highlight w:val="none"/>
        </w:rPr>
        <w:fldChar w:fldCharType="begin"/>
      </w:r>
      <w:r>
        <w:rPr>
          <w:color w:val="auto"/>
          <w:highlight w:val="none"/>
        </w:rPr>
        <w:instrText xml:space="preserve"> PAGEREF _Toc86399312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1"/>
        <w:tabs>
          <w:tab w:val="right" w:leader="dot" w:pos="9170"/>
        </w:tabs>
        <w:spacing w:line="360" w:lineRule="auto"/>
        <w:rPr>
          <w:bCs w:val="0"/>
          <w:caps w:val="0"/>
          <w:color w:val="auto"/>
          <w:sz w:val="36"/>
          <w:highlight w:val="none"/>
        </w:rPr>
        <w:sectPr>
          <w:footerReference r:id="rId6" w:type="default"/>
          <w:pgSz w:w="11906" w:h="16838"/>
          <w:pgMar w:top="1452" w:right="1106" w:bottom="1452" w:left="1622" w:header="851" w:footer="992" w:gutter="0"/>
          <w:pgNumType w:start="1"/>
          <w:cols w:space="720" w:num="1"/>
          <w:docGrid w:type="lines" w:linePitch="312" w:charSpace="0"/>
        </w:sectPr>
      </w:pPr>
      <w:r>
        <w:rPr>
          <w:bCs w:val="0"/>
          <w:caps w:val="0"/>
          <w:color w:val="auto"/>
          <w:highlight w:val="none"/>
        </w:rPr>
        <w:fldChar w:fldCharType="end"/>
      </w:r>
      <w:bookmarkStart w:id="0" w:name="_Toc398198953"/>
      <w:bookmarkStart w:id="1" w:name="_Toc68613768"/>
    </w:p>
    <w:p>
      <w:pPr>
        <w:pStyle w:val="3"/>
        <w:rPr>
          <w:rFonts w:asciiTheme="minorEastAsia" w:hAnsiTheme="minorEastAsia" w:eastAsiaTheme="minorEastAsia"/>
          <w:color w:val="auto"/>
          <w:highlight w:val="none"/>
        </w:rPr>
      </w:pPr>
      <w:bookmarkStart w:id="2" w:name="_Toc86399291"/>
      <w:r>
        <w:rPr>
          <w:rFonts w:asciiTheme="minorEastAsia" w:hAnsiTheme="minorEastAsia" w:eastAsiaTheme="minorEastAsia"/>
          <w:color w:val="auto"/>
          <w:highlight w:val="none"/>
        </w:rPr>
        <w:t>第一条　合同当事人</w:t>
      </w:r>
      <w:bookmarkEnd w:id="0"/>
      <w:bookmarkEnd w:id="1"/>
      <w:bookmarkEnd w:id="2"/>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本合同由下列当事人于</w:t>
      </w:r>
      <w:r>
        <w:rPr>
          <w:rFonts w:asciiTheme="minorEastAsia" w:hAnsiTheme="minorEastAsia" w:eastAsiaTheme="minorEastAsia"/>
          <w:bCs/>
          <w:color w:val="auto"/>
          <w:kern w:val="0"/>
          <w:sz w:val="24"/>
          <w:szCs w:val="24"/>
          <w:highlight w:val="none"/>
        </w:rPr>
        <w:t>20</w:t>
      </w:r>
      <w:r>
        <w:rPr>
          <w:rFonts w:hint="eastAsia" w:asciiTheme="minorEastAsia" w:hAnsiTheme="minorEastAsia" w:eastAsiaTheme="minorEastAsia"/>
          <w:bCs/>
          <w:color w:val="auto"/>
          <w:kern w:val="0"/>
          <w:sz w:val="24"/>
          <w:szCs w:val="24"/>
          <w:highlight w:val="none"/>
        </w:rPr>
        <w:t>2</w:t>
      </w:r>
      <w:r>
        <w:rPr>
          <w:rFonts w:hint="eastAsia" w:asciiTheme="minorEastAsia" w:hAnsiTheme="minorEastAsia" w:eastAsiaTheme="minorEastAsia"/>
          <w:bCs/>
          <w:color w:val="auto"/>
          <w:kern w:val="0"/>
          <w:sz w:val="24"/>
          <w:szCs w:val="24"/>
          <w:highlight w:val="none"/>
          <w:lang w:val="en-US" w:eastAsia="zh-CN"/>
        </w:rPr>
        <w:t>2</w:t>
      </w:r>
      <w:r>
        <w:rPr>
          <w:rFonts w:asciiTheme="minorEastAsia" w:hAnsiTheme="minorEastAsia" w:eastAsiaTheme="minorEastAsia"/>
          <w:bCs/>
          <w:color w:val="auto"/>
          <w:kern w:val="0"/>
          <w:sz w:val="24"/>
          <w:szCs w:val="24"/>
          <w:highlight w:val="none"/>
        </w:rPr>
        <w:t>年</w:t>
      </w:r>
      <w:r>
        <w:rPr>
          <w:rFonts w:hint="eastAsia" w:asciiTheme="minorEastAsia" w:hAnsiTheme="minorEastAsia" w:eastAsiaTheme="minorEastAsia"/>
          <w:bCs/>
          <w:color w:val="auto"/>
          <w:kern w:val="0"/>
          <w:sz w:val="24"/>
          <w:szCs w:val="24"/>
          <w:highlight w:val="none"/>
          <w:lang w:val="en-US" w:eastAsia="zh-CN"/>
        </w:rPr>
        <w:t>12月</w:t>
      </w:r>
      <w:r>
        <w:rPr>
          <w:rFonts w:asciiTheme="minorEastAsia" w:hAnsiTheme="minorEastAsia" w:eastAsiaTheme="minorEastAsia"/>
          <w:bCs/>
          <w:color w:val="auto"/>
          <w:kern w:val="0"/>
          <w:sz w:val="24"/>
          <w:szCs w:val="24"/>
          <w:highlight w:val="none"/>
        </w:rPr>
        <w:t>在</w:t>
      </w:r>
      <w:r>
        <w:rPr>
          <w:rFonts w:asciiTheme="minorEastAsia" w:hAnsiTheme="minorEastAsia" w:eastAsiaTheme="minorEastAsia"/>
          <w:color w:val="auto"/>
          <w:sz w:val="24"/>
          <w:highlight w:val="none"/>
        </w:rPr>
        <w:t>湖南省长沙市雨花区中机国际工程设计研究院有限责任公司签订。</w:t>
      </w:r>
    </w:p>
    <w:p>
      <w:pPr>
        <w:spacing w:line="360" w:lineRule="auto"/>
        <w:ind w:firstLine="420"/>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甲方</w:t>
      </w:r>
      <w:r>
        <w:rPr>
          <w:rFonts w:asciiTheme="minorEastAsia" w:hAnsiTheme="minorEastAsia" w:eastAsiaTheme="minorEastAsia"/>
          <w:color w:val="auto"/>
          <w:sz w:val="24"/>
          <w:highlight w:val="none"/>
        </w:rPr>
        <w:t>：中机国际工程设计研究院有限责任公司</w:t>
      </w:r>
      <w:r>
        <w:rPr>
          <w:rFonts w:asciiTheme="minorEastAsia" w:hAnsiTheme="minorEastAsia" w:eastAsiaTheme="minorEastAsia"/>
          <w:b/>
          <w:color w:val="auto"/>
          <w:sz w:val="24"/>
          <w:highlight w:val="none"/>
        </w:rPr>
        <w:t>（以下简称“甲方”）</w:t>
      </w: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地址：</w:t>
      </w:r>
      <w:r>
        <w:rPr>
          <w:rFonts w:asciiTheme="minorEastAsia" w:hAnsiTheme="minorEastAsia" w:eastAsiaTheme="minorEastAsia"/>
          <w:bCs/>
          <w:color w:val="auto"/>
          <w:kern w:val="0"/>
          <w:sz w:val="24"/>
          <w:szCs w:val="24"/>
          <w:highlight w:val="none"/>
        </w:rPr>
        <w:t>湖南长沙市韶山中路18号</w:t>
      </w:r>
    </w:p>
    <w:p>
      <w:pPr>
        <w:widowControl/>
        <w:autoSpaceDE w:val="0"/>
        <w:autoSpaceDN w:val="0"/>
        <w:spacing w:line="360" w:lineRule="auto"/>
        <w:textAlignment w:val="bottom"/>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rPr>
        <w:t>易凡</w:t>
      </w:r>
    </w:p>
    <w:p>
      <w:pPr>
        <w:spacing w:line="360" w:lineRule="auto"/>
        <w:ind w:firstLine="422"/>
        <w:rPr>
          <w:rFonts w:asciiTheme="minorEastAsia" w:hAnsiTheme="minorEastAsia" w:eastAsiaTheme="minorEastAsia"/>
          <w:b/>
          <w:color w:val="auto"/>
          <w:sz w:val="24"/>
          <w:highlight w:val="none"/>
        </w:rPr>
      </w:pPr>
    </w:p>
    <w:p>
      <w:pPr>
        <w:spacing w:line="360" w:lineRule="auto"/>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乙方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szCs w:val="24"/>
          <w:highlight w:val="none"/>
          <w:lang w:eastAsia="zh-CN"/>
        </w:rPr>
        <w:t>XXXX</w:t>
      </w:r>
      <w:r>
        <w:rPr>
          <w:rFonts w:asciiTheme="minorEastAsia" w:hAnsiTheme="minorEastAsia" w:eastAsiaTheme="minorEastAsia"/>
          <w:b/>
          <w:color w:val="auto"/>
          <w:sz w:val="24"/>
          <w:highlight w:val="none"/>
        </w:rPr>
        <w:t>（以下简称“乙方”）</w:t>
      </w:r>
    </w:p>
    <w:p>
      <w:pPr>
        <w:spacing w:line="360" w:lineRule="auto"/>
        <w:rPr>
          <w:rFonts w:hint="eastAsia" w:asciiTheme="minorEastAsia" w:hAnsiTheme="minorEastAsia" w:eastAsiaTheme="minorEastAsia"/>
          <w:color w:val="auto"/>
          <w:sz w:val="24"/>
          <w:highlight w:val="none"/>
          <w:lang w:eastAsia="zh-CN"/>
        </w:rPr>
      </w:pPr>
      <w:r>
        <w:rPr>
          <w:rFonts w:asciiTheme="minorEastAsia" w:hAnsiTheme="minorEastAsia" w:eastAsiaTheme="minorEastAsia"/>
          <w:color w:val="auto"/>
          <w:sz w:val="24"/>
          <w:highlight w:val="none"/>
        </w:rPr>
        <w:t>地址：</w:t>
      </w:r>
      <w:r>
        <w:rPr>
          <w:rFonts w:hint="eastAsia" w:cs="Times New Roman" w:eastAsiaTheme="minorEastAsia"/>
          <w:bCs/>
          <w:sz w:val="24"/>
          <w:highlight w:val="none"/>
          <w:lang w:eastAsia="zh-CN"/>
        </w:rPr>
        <w:t xml:space="preserve"> </w:t>
      </w:r>
    </w:p>
    <w:p>
      <w:pPr>
        <w:spacing w:line="360" w:lineRule="auto"/>
        <w:rPr>
          <w:rFonts w:hint="eastAsia" w:asciiTheme="minorEastAsia" w:hAnsiTheme="minorEastAsia" w:eastAsiaTheme="minorEastAsia"/>
          <w:color w:val="auto"/>
          <w:sz w:val="24"/>
          <w:szCs w:val="24"/>
          <w:highlight w:val="none"/>
          <w:lang w:eastAsia="zh-CN"/>
        </w:rPr>
      </w:pPr>
      <w:r>
        <w:rPr>
          <w:rFonts w:asciiTheme="minorEastAsia" w:hAnsiTheme="minorEastAsia" w:eastAsiaTheme="minorEastAsia"/>
          <w:color w:val="auto"/>
          <w:sz w:val="24"/>
          <w:highlight w:val="none"/>
        </w:rPr>
        <w:t>法定代表人：</w:t>
      </w:r>
      <w:r>
        <w:rPr>
          <w:rFonts w:hint="eastAsia" w:cs="Times New Roman" w:eastAsiaTheme="minorEastAsia"/>
          <w:bCs/>
          <w:sz w:val="24"/>
          <w:highlight w:val="none"/>
          <w:lang w:eastAsia="zh-CN"/>
        </w:rPr>
        <w:t xml:space="preserve"> </w:t>
      </w:r>
    </w:p>
    <w:p>
      <w:pPr>
        <w:spacing w:line="360" w:lineRule="auto"/>
        <w:rPr>
          <w:rFonts w:asciiTheme="minorEastAsia" w:hAnsiTheme="minorEastAsia" w:eastAsiaTheme="minorEastAsia"/>
          <w:color w:val="auto"/>
          <w:sz w:val="24"/>
          <w:szCs w:val="24"/>
          <w:highlight w:val="none"/>
        </w:rPr>
      </w:pPr>
    </w:p>
    <w:p>
      <w:pPr>
        <w:pStyle w:val="23"/>
        <w:spacing w:line="360" w:lineRule="auto"/>
        <w:rPr>
          <w:rFonts w:asciiTheme="minorEastAsia" w:hAnsiTheme="minorEastAsia" w:eastAsiaTheme="minorEastAsia"/>
          <w:b/>
          <w:color w:val="auto"/>
          <w:kern w:val="2"/>
          <w:sz w:val="24"/>
          <w:szCs w:val="21"/>
          <w:highlight w:val="none"/>
        </w:rPr>
      </w:pPr>
      <w:r>
        <w:rPr>
          <w:rFonts w:asciiTheme="minorEastAsia" w:hAnsiTheme="minorEastAsia" w:eastAsiaTheme="minorEastAsia"/>
          <w:b/>
          <w:color w:val="auto"/>
          <w:kern w:val="2"/>
          <w:sz w:val="24"/>
          <w:szCs w:val="21"/>
          <w:highlight w:val="none"/>
        </w:rPr>
        <w:t>鉴于：</w:t>
      </w:r>
    </w:p>
    <w:p>
      <w:pPr>
        <w:pStyle w:val="23"/>
        <w:spacing w:line="360" w:lineRule="auto"/>
        <w:ind w:left="360" w:hanging="360" w:hangingChars="150"/>
        <w:rPr>
          <w:rFonts w:asciiTheme="minorEastAsia" w:hAnsiTheme="minorEastAsia" w:eastAsiaTheme="minorEastAsia"/>
          <w:color w:val="auto"/>
          <w:kern w:val="2"/>
          <w:sz w:val="24"/>
          <w:szCs w:val="21"/>
          <w:highlight w:val="none"/>
        </w:rPr>
      </w:pPr>
      <w:r>
        <w:rPr>
          <w:rFonts w:hint="eastAsia" w:asciiTheme="minorEastAsia" w:hAnsiTheme="minorEastAsia" w:eastAsiaTheme="minorEastAsia"/>
          <w:color w:val="auto"/>
          <w:kern w:val="2"/>
          <w:sz w:val="24"/>
          <w:szCs w:val="21"/>
          <w:highlight w:val="none"/>
        </w:rPr>
        <w:t>1  甲方：中机国际工程设计研究院有限责任公司，一家依据中华人民共和国（“中国”）法律成立并有效存续的公司，具有签署本合同的合法主体资格，且在签署本合同时无任何法律障碍和重大事件影响甲方继续正常存续和履行本合同的能力；</w:t>
      </w:r>
    </w:p>
    <w:p>
      <w:pPr>
        <w:pStyle w:val="23"/>
        <w:spacing w:line="360" w:lineRule="auto"/>
        <w:ind w:left="360" w:hanging="360" w:hangingChars="150"/>
        <w:rPr>
          <w:rFonts w:asciiTheme="minorEastAsia" w:hAnsiTheme="minorEastAsia" w:eastAsiaTheme="minorEastAsia"/>
          <w:color w:val="auto"/>
          <w:kern w:val="2"/>
          <w:sz w:val="24"/>
          <w:szCs w:val="21"/>
          <w:highlight w:val="none"/>
        </w:rPr>
      </w:pPr>
      <w:r>
        <w:rPr>
          <w:rFonts w:hint="eastAsia" w:asciiTheme="minorEastAsia" w:hAnsiTheme="minorEastAsia" w:eastAsiaTheme="minorEastAsia"/>
          <w:color w:val="auto"/>
          <w:kern w:val="2"/>
          <w:sz w:val="24"/>
          <w:szCs w:val="21"/>
          <w:highlight w:val="none"/>
        </w:rPr>
        <w:t>2  乙方：</w:t>
      </w:r>
      <w:r>
        <w:rPr>
          <w:rFonts w:hint="eastAsia" w:asciiTheme="minorEastAsia" w:hAnsiTheme="minorEastAsia" w:eastAsiaTheme="minorEastAsia"/>
          <w:color w:val="auto"/>
          <w:sz w:val="24"/>
          <w:szCs w:val="24"/>
          <w:highlight w:val="none"/>
          <w:lang w:eastAsia="zh-CN"/>
        </w:rPr>
        <w:t>XXXX</w:t>
      </w:r>
      <w:r>
        <w:rPr>
          <w:rFonts w:hint="eastAsia" w:asciiTheme="minorEastAsia" w:hAnsiTheme="minorEastAsia" w:eastAsiaTheme="minorEastAsia"/>
          <w:color w:val="auto"/>
          <w:kern w:val="2"/>
          <w:sz w:val="24"/>
          <w:szCs w:val="21"/>
          <w:highlight w:val="none"/>
        </w:rPr>
        <w:t>，一家依据中国法律成立并在中国合法注册、经营及有效存续的公司，具有签署本合同的合法主体资格，且在签署本合同时无任何法律障碍和重大事件影响乙方继续正常存续和履行本合同的能力；</w:t>
      </w:r>
    </w:p>
    <w:p>
      <w:pPr>
        <w:pStyle w:val="23"/>
        <w:spacing w:line="360" w:lineRule="auto"/>
        <w:ind w:left="360" w:hanging="360" w:hangingChars="150"/>
        <w:rPr>
          <w:rFonts w:asciiTheme="minorEastAsia" w:hAnsiTheme="minorEastAsia" w:eastAsiaTheme="minorEastAsia"/>
          <w:color w:val="auto"/>
          <w:kern w:val="2"/>
          <w:sz w:val="24"/>
          <w:szCs w:val="21"/>
          <w:highlight w:val="none"/>
        </w:rPr>
      </w:pPr>
      <w:r>
        <w:rPr>
          <w:rFonts w:hint="eastAsia" w:asciiTheme="minorEastAsia" w:hAnsiTheme="minorEastAsia" w:eastAsiaTheme="minorEastAsia"/>
          <w:color w:val="auto"/>
          <w:kern w:val="2"/>
          <w:sz w:val="24"/>
          <w:szCs w:val="21"/>
          <w:highlight w:val="none"/>
        </w:rPr>
        <w:t>3  乙方拥有合法销售本合同标的物的全部政府许可、生产和/或使用许可和/或授权，对其</w:t>
      </w:r>
      <w:r>
        <w:rPr>
          <w:rFonts w:asciiTheme="minorEastAsia" w:hAnsiTheme="minorEastAsia" w:eastAsiaTheme="minorEastAsia"/>
          <w:color w:val="auto"/>
          <w:kern w:val="2"/>
          <w:sz w:val="24"/>
          <w:szCs w:val="21"/>
          <w:highlight w:val="none"/>
        </w:rPr>
        <w:t>所销售的标的物拥有完全的排他的所有权和</w:t>
      </w:r>
      <w:r>
        <w:rPr>
          <w:rFonts w:hint="eastAsia" w:asciiTheme="minorEastAsia" w:hAnsiTheme="minorEastAsia" w:eastAsiaTheme="minorEastAsia"/>
          <w:color w:val="auto"/>
          <w:kern w:val="2"/>
          <w:sz w:val="24"/>
          <w:szCs w:val="21"/>
          <w:highlight w:val="none"/>
        </w:rPr>
        <w:t>/或</w:t>
      </w:r>
      <w:r>
        <w:rPr>
          <w:rFonts w:asciiTheme="minorEastAsia" w:hAnsiTheme="minorEastAsia" w:eastAsiaTheme="minorEastAsia"/>
          <w:color w:val="auto"/>
          <w:kern w:val="2"/>
          <w:sz w:val="24"/>
          <w:szCs w:val="21"/>
          <w:highlight w:val="none"/>
        </w:rPr>
        <w:t>知识产权</w:t>
      </w:r>
      <w:r>
        <w:rPr>
          <w:rFonts w:hint="eastAsia" w:asciiTheme="minorEastAsia" w:hAnsiTheme="minorEastAsia" w:eastAsiaTheme="minorEastAsia"/>
          <w:color w:val="auto"/>
          <w:kern w:val="2"/>
          <w:sz w:val="24"/>
          <w:szCs w:val="21"/>
          <w:highlight w:val="none"/>
        </w:rPr>
        <w:t>。乙方对本合同标的物的销售不会损害任何第三方的合法权益和社会公共利益。</w:t>
      </w:r>
    </w:p>
    <w:p>
      <w:pPr>
        <w:pStyle w:val="23"/>
        <w:spacing w:line="360" w:lineRule="auto"/>
        <w:ind w:left="958" w:hanging="957" w:hangingChars="399"/>
        <w:rPr>
          <w:rFonts w:asciiTheme="minorEastAsia" w:hAnsiTheme="minorEastAsia" w:eastAsiaTheme="minorEastAsia"/>
          <w:color w:val="auto"/>
          <w:kern w:val="2"/>
          <w:sz w:val="24"/>
          <w:szCs w:val="21"/>
          <w:highlight w:val="none"/>
        </w:rPr>
      </w:pPr>
      <w:r>
        <w:rPr>
          <w:rFonts w:hint="eastAsia" w:asciiTheme="minorEastAsia" w:hAnsiTheme="minorEastAsia" w:eastAsiaTheme="minorEastAsia"/>
          <w:color w:val="auto"/>
          <w:kern w:val="2"/>
          <w:sz w:val="24"/>
          <w:szCs w:val="21"/>
          <w:highlight w:val="none"/>
        </w:rPr>
        <w:t>4  甲方拟购买乙方供应的本合同标的物，乙方予以同意。</w:t>
      </w:r>
    </w:p>
    <w:p>
      <w:pPr>
        <w:pStyle w:val="23"/>
        <w:spacing w:line="360" w:lineRule="auto"/>
        <w:ind w:firstLine="480"/>
        <w:rPr>
          <w:rFonts w:asciiTheme="minorEastAsia" w:hAnsiTheme="minorEastAsia" w:eastAsiaTheme="minorEastAsia"/>
          <w:color w:val="auto"/>
          <w:kern w:val="2"/>
          <w:sz w:val="24"/>
          <w:szCs w:val="21"/>
          <w:highlight w:val="none"/>
        </w:rPr>
      </w:pPr>
    </w:p>
    <w:p>
      <w:pPr>
        <w:adjustRightInd w:val="0"/>
        <w:spacing w:line="360" w:lineRule="auto"/>
        <w:ind w:firstLine="480" w:firstLineChars="200"/>
        <w:jc w:val="left"/>
        <w:textAlignment w:val="baseline"/>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依照《中华人民共和国民法典》及其他有关法律、行政法规，遵循平等、自愿、公平和诚实守信的原则，经甲、乙双方充分协商，就以下条款和条件达成协议，签署本购销合同，以便共同遵守。</w:t>
      </w:r>
    </w:p>
    <w:p>
      <w:pPr>
        <w:rPr>
          <w:rFonts w:asciiTheme="minorEastAsia" w:hAnsiTheme="minorEastAsia" w:eastAsiaTheme="minorEastAsia"/>
          <w:color w:val="auto"/>
          <w:highlight w:val="none"/>
        </w:rPr>
        <w:sectPr>
          <w:footerReference r:id="rId7" w:type="default"/>
          <w:pgSz w:w="11906" w:h="16838"/>
          <w:pgMar w:top="1452" w:right="1106" w:bottom="1452" w:left="1622" w:header="851" w:footer="992" w:gutter="0"/>
          <w:pgNumType w:start="1"/>
          <w:cols w:space="720" w:num="1"/>
          <w:docGrid w:type="lines" w:linePitch="312" w:charSpace="0"/>
        </w:sectPr>
      </w:pPr>
    </w:p>
    <w:p>
      <w:pPr>
        <w:pStyle w:val="3"/>
        <w:rPr>
          <w:rFonts w:asciiTheme="minorEastAsia" w:hAnsiTheme="minorEastAsia" w:eastAsiaTheme="minorEastAsia"/>
          <w:color w:val="auto"/>
          <w:highlight w:val="none"/>
        </w:rPr>
      </w:pPr>
      <w:bookmarkStart w:id="3" w:name="_Toc86399292"/>
      <w:r>
        <w:rPr>
          <w:rFonts w:asciiTheme="minorEastAsia" w:hAnsiTheme="minorEastAsia" w:eastAsiaTheme="minorEastAsia"/>
          <w:color w:val="auto"/>
          <w:highlight w:val="none"/>
        </w:rPr>
        <w:t>第二条　合同标的及价格</w:t>
      </w:r>
      <w:bookmarkEnd w:id="3"/>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 合同标的及价格</w:t>
      </w:r>
    </w:p>
    <w:p>
      <w:pPr>
        <w:pStyle w:val="14"/>
        <w:ind w:firstLine="240"/>
        <w:rPr>
          <w:rFonts w:asciiTheme="minorEastAsia" w:hAnsiTheme="minorEastAsia" w:eastAsiaTheme="minorEastAsia"/>
          <w:color w:val="auto"/>
          <w:szCs w:val="24"/>
          <w:highlight w:val="none"/>
        </w:rPr>
      </w:pPr>
      <w:r>
        <w:rPr>
          <w:rFonts w:hint="eastAsia" w:asciiTheme="minorEastAsia" w:hAnsiTheme="minorEastAsia" w:eastAsiaTheme="minorEastAsia"/>
          <w:color w:val="auto"/>
          <w:highlight w:val="none"/>
        </w:rPr>
        <w:t xml:space="preserve">  </w:t>
      </w:r>
      <w:r>
        <w:rPr>
          <w:rFonts w:hint="eastAsia" w:asciiTheme="minorEastAsia" w:hAnsiTheme="minorEastAsia" w:eastAsiaTheme="minorEastAsia"/>
          <w:color w:val="auto"/>
          <w:szCs w:val="24"/>
          <w:highlight w:val="none"/>
        </w:rPr>
        <w:t>本合同标的及价格详见表1</w:t>
      </w:r>
    </w:p>
    <w:p>
      <w:pPr>
        <w:pStyle w:val="14"/>
        <w:ind w:firstLine="240"/>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表1      标的及价格详见表</w:t>
      </w:r>
    </w:p>
    <w:tbl>
      <w:tblPr>
        <w:tblStyle w:val="16"/>
        <w:tblW w:w="92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8"/>
        <w:gridCol w:w="944"/>
        <w:gridCol w:w="1976"/>
        <w:gridCol w:w="530"/>
        <w:gridCol w:w="952"/>
        <w:gridCol w:w="855"/>
        <w:gridCol w:w="697"/>
        <w:gridCol w:w="1159"/>
        <w:gridCol w:w="928"/>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6" w:hRule="atLeast"/>
        </w:trPr>
        <w:tc>
          <w:tcPr>
            <w:tcW w:w="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产品名称</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规格型号</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数量</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不含税单价（元）</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含税单价（元）</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税率</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不含税总价（元）</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含税总价（元）</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微软雅黑"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6" w:hRule="atLeast"/>
        </w:trPr>
        <w:tc>
          <w:tcPr>
            <w:tcW w:w="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6" w:hRule="atLeast"/>
        </w:trPr>
        <w:tc>
          <w:tcPr>
            <w:tcW w:w="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6" w:hRule="atLeast"/>
        </w:trPr>
        <w:tc>
          <w:tcPr>
            <w:tcW w:w="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1"/>
                <w:szCs w:val="21"/>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微软雅黑" w:cs="Times New Roman"/>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宋体" w:cs="Times New Roman"/>
                <w:i w:val="0"/>
                <w:color w:val="000000"/>
                <w:sz w:val="24"/>
                <w:szCs w:val="24"/>
                <w:u w:val="none"/>
              </w:rPr>
            </w:pPr>
          </w:p>
        </w:tc>
      </w:tr>
    </w:tbl>
    <w:p>
      <w:pPr>
        <w:spacing w:line="360" w:lineRule="auto"/>
        <w:rPr>
          <w:rFonts w:cs="宋体"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注：具体数量及型号以本项目项目部所发排产通知单为准，乙方收到书面排产通知单时进行排产生产。</w:t>
      </w:r>
    </w:p>
    <w:p>
      <w:pPr>
        <w:spacing w:line="360" w:lineRule="auto"/>
        <w:ind w:left="360" w:hanging="360" w:hangingChars="1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 所有提供的货物必须由</w:t>
      </w:r>
      <w:r>
        <w:rPr>
          <w:rFonts w:hint="eastAsia" w:asciiTheme="minorEastAsia" w:hAnsiTheme="minorEastAsia" w:eastAsiaTheme="minorEastAsia"/>
          <w:color w:val="auto"/>
          <w:sz w:val="24"/>
          <w:highlight w:val="none"/>
          <w:lang w:eastAsia="zh-CN"/>
        </w:rPr>
        <w:t xml:space="preserve"> XXXX</w:t>
      </w:r>
      <w:r>
        <w:rPr>
          <w:rFonts w:asciiTheme="minorEastAsia" w:hAnsiTheme="minorEastAsia" w:eastAsiaTheme="minorEastAsia"/>
          <w:color w:val="auto"/>
          <w:sz w:val="24"/>
          <w:highlight w:val="none"/>
        </w:rPr>
        <w:t>生产。</w:t>
      </w:r>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2.3 本合同采用固定</w:t>
      </w:r>
      <w:r>
        <w:rPr>
          <w:rFonts w:hint="eastAsia" w:asciiTheme="minorEastAsia" w:hAnsiTheme="minorEastAsia" w:eastAsiaTheme="minorEastAsia"/>
          <w:color w:val="auto"/>
          <w:sz w:val="24"/>
          <w:highlight w:val="none"/>
          <w:lang w:eastAsia="zh-CN"/>
        </w:rPr>
        <w:t>不含税</w:t>
      </w:r>
      <w:r>
        <w:rPr>
          <w:rFonts w:asciiTheme="minorEastAsia" w:hAnsiTheme="minorEastAsia" w:eastAsiaTheme="minorEastAsia"/>
          <w:color w:val="auto"/>
          <w:sz w:val="24"/>
          <w:highlight w:val="none"/>
        </w:rPr>
        <w:t>单价形式，不受任何调价因素的影响，在整个合同履行期间有效。</w:t>
      </w:r>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2.4 合同总价包含乙方将货物运送至甲方指定交货地点并交付给甲方指定收货人之前的所有费用，包括但不限于成本及利润、税金、包装费、运输费、保险费、仓储费、损耗费、备品备件费及后续的开箱检验、调试、检验、产品培训、技术服务等伴随服务的费用。</w:t>
      </w:r>
    </w:p>
    <w:p>
      <w:pPr>
        <w:spacing w:line="360" w:lineRule="auto"/>
        <w:ind w:left="480" w:hanging="480" w:hangingChars="200"/>
        <w:rPr>
          <w:rFonts w:hint="eastAsia" w:asciiTheme="minorEastAsia" w:hAnsiTheme="minorEastAsia" w:eastAsiaTheme="minorEastAsia"/>
          <w:color w:val="auto"/>
          <w:sz w:val="24"/>
          <w:szCs w:val="24"/>
          <w:highlight w:val="none"/>
        </w:rPr>
      </w:pPr>
      <w:r>
        <w:rPr>
          <w:rFonts w:asciiTheme="minorEastAsia" w:hAnsiTheme="minorEastAsia" w:eastAsiaTheme="minorEastAsia"/>
          <w:color w:val="auto"/>
          <w:sz w:val="24"/>
          <w:highlight w:val="none"/>
        </w:rPr>
        <w:t>2.5 上述货物及相关配件、辅件、附件的技术和质量</w:t>
      </w:r>
      <w:r>
        <w:rPr>
          <w:rFonts w:hint="eastAsia" w:asciiTheme="minorEastAsia" w:hAnsiTheme="minorEastAsia" w:eastAsiaTheme="minorEastAsia"/>
          <w:color w:val="auto"/>
          <w:sz w:val="24"/>
          <w:szCs w:val="24"/>
          <w:highlight w:val="none"/>
        </w:rPr>
        <w:t>标准双方同意按附件《</w:t>
      </w:r>
      <w:r>
        <w:rPr>
          <w:rFonts w:hint="eastAsia" w:cs="宋体" w:asciiTheme="minorEastAsia" w:hAnsiTheme="minorEastAsia" w:eastAsiaTheme="minorEastAsia"/>
          <w:color w:val="auto"/>
          <w:sz w:val="24"/>
          <w:szCs w:val="24"/>
          <w:highlight w:val="none"/>
          <w:lang w:eastAsia="zh-CN"/>
        </w:rPr>
        <w:t>组串式并网逆变器技术协议</w:t>
      </w:r>
      <w:r>
        <w:rPr>
          <w:rFonts w:hint="eastAsia" w:asciiTheme="minorEastAsia" w:hAnsiTheme="minorEastAsia" w:eastAsiaTheme="minorEastAsia"/>
          <w:color w:val="auto"/>
          <w:sz w:val="24"/>
          <w:szCs w:val="24"/>
          <w:highlight w:val="none"/>
        </w:rPr>
        <w:t>》所约定标准执行。</w:t>
      </w:r>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2.6 乙方额外</w:t>
      </w:r>
      <w:r>
        <w:rPr>
          <w:rFonts w:hint="eastAsia" w:asciiTheme="minorEastAsia" w:hAnsiTheme="minorEastAsia" w:eastAsiaTheme="minorEastAsia"/>
          <w:color w:val="auto"/>
          <w:sz w:val="24"/>
          <w:highlight w:val="none"/>
        </w:rPr>
        <w:t>免费</w:t>
      </w:r>
      <w:r>
        <w:rPr>
          <w:rFonts w:asciiTheme="minorEastAsia" w:hAnsiTheme="minorEastAsia" w:eastAsiaTheme="minorEastAsia"/>
          <w:color w:val="auto"/>
          <w:sz w:val="24"/>
          <w:highlight w:val="none"/>
        </w:rPr>
        <w:t>提供</w:t>
      </w:r>
      <w:r>
        <w:rPr>
          <w:rFonts w:hint="eastAsia" w:asciiTheme="minorEastAsia" w:hAnsiTheme="minorEastAsia" w:eastAsiaTheme="minorEastAsia"/>
          <w:color w:val="auto"/>
          <w:sz w:val="24"/>
          <w:highlight w:val="none"/>
        </w:rPr>
        <w:t>备机及</w:t>
      </w:r>
      <w:r>
        <w:rPr>
          <w:rFonts w:asciiTheme="minorEastAsia" w:hAnsiTheme="minorEastAsia" w:eastAsiaTheme="minorEastAsia"/>
          <w:color w:val="auto"/>
          <w:sz w:val="24"/>
          <w:highlight w:val="none"/>
        </w:rPr>
        <w:t>随机备品备件（详</w:t>
      </w:r>
      <w:r>
        <w:rPr>
          <w:rFonts w:hint="eastAsia" w:asciiTheme="minorEastAsia" w:hAnsiTheme="minorEastAsia" w:eastAsiaTheme="minorEastAsia"/>
          <w:color w:val="auto"/>
          <w:sz w:val="24"/>
          <w:highlight w:val="none"/>
        </w:rPr>
        <w:t>见技术协议</w:t>
      </w:r>
      <w:r>
        <w:rPr>
          <w:rFonts w:asciiTheme="minorEastAsia" w:hAnsiTheme="minorEastAsia" w:eastAsiaTheme="minorEastAsia"/>
          <w:color w:val="auto"/>
          <w:sz w:val="24"/>
          <w:highlight w:val="none"/>
        </w:rPr>
        <w:t>），备品要求为本合同产品同批次同质量等级产品。</w:t>
      </w:r>
      <w:r>
        <w:rPr>
          <w:rFonts w:hint="eastAsia" w:asciiTheme="minorEastAsia" w:hAnsiTheme="minorEastAsia" w:eastAsiaTheme="minorEastAsia"/>
          <w:bCs/>
          <w:color w:val="auto"/>
          <w:sz w:val="24"/>
          <w:szCs w:val="24"/>
          <w:highlight w:val="none"/>
        </w:rPr>
        <w:t>如</w:t>
      </w:r>
      <w:r>
        <w:rPr>
          <w:rFonts w:asciiTheme="minorEastAsia" w:hAnsiTheme="minorEastAsia" w:eastAsiaTheme="minorEastAsia"/>
          <w:bCs/>
          <w:color w:val="auto"/>
          <w:sz w:val="24"/>
          <w:szCs w:val="24"/>
          <w:highlight w:val="none"/>
        </w:rPr>
        <w:t>附件技术协议中有</w:t>
      </w:r>
      <w:r>
        <w:rPr>
          <w:rFonts w:hint="eastAsia" w:asciiTheme="minorEastAsia" w:hAnsiTheme="minorEastAsia" w:eastAsiaTheme="minorEastAsia"/>
          <w:bCs/>
          <w:color w:val="auto"/>
          <w:sz w:val="24"/>
          <w:szCs w:val="24"/>
          <w:highlight w:val="none"/>
        </w:rPr>
        <w:t>备品备件</w:t>
      </w:r>
      <w:r>
        <w:rPr>
          <w:rFonts w:asciiTheme="minorEastAsia" w:hAnsiTheme="minorEastAsia" w:eastAsiaTheme="minorEastAsia"/>
          <w:bCs/>
          <w:color w:val="auto"/>
          <w:sz w:val="24"/>
          <w:szCs w:val="24"/>
          <w:highlight w:val="none"/>
        </w:rPr>
        <w:t>相关约定</w:t>
      </w:r>
      <w:r>
        <w:rPr>
          <w:rFonts w:hint="eastAsia" w:asciiTheme="minorEastAsia" w:hAnsiTheme="minorEastAsia" w:eastAsiaTheme="minorEastAsia"/>
          <w:bCs/>
          <w:color w:val="auto"/>
          <w:sz w:val="24"/>
          <w:szCs w:val="24"/>
          <w:highlight w:val="none"/>
        </w:rPr>
        <w:t>的</w:t>
      </w:r>
      <w:r>
        <w:rPr>
          <w:rFonts w:asciiTheme="minorEastAsia" w:hAnsiTheme="minorEastAsia" w:eastAsiaTheme="minorEastAsia"/>
          <w:bCs/>
          <w:color w:val="auto"/>
          <w:sz w:val="24"/>
          <w:szCs w:val="24"/>
          <w:highlight w:val="none"/>
        </w:rPr>
        <w:t>，以技术协议为准。</w:t>
      </w:r>
    </w:p>
    <w:p>
      <w:pPr>
        <w:spacing w:line="312" w:lineRule="auto"/>
        <w:ind w:firstLine="482"/>
        <w:rPr>
          <w:rFonts w:hint="eastAsia" w:asciiTheme="minorEastAsia" w:hAnsiTheme="minorEastAsia" w:eastAsiaTheme="minorEastAsia"/>
          <w:b/>
          <w:color w:val="auto"/>
          <w:sz w:val="24"/>
          <w:szCs w:val="24"/>
          <w:highlight w:val="none"/>
          <w:lang w:eastAsia="zh-CN"/>
        </w:rPr>
      </w:pPr>
      <w:r>
        <w:rPr>
          <w:rFonts w:hint="eastAsia" w:asciiTheme="minorEastAsia" w:hAnsiTheme="minorEastAsia" w:eastAsiaTheme="minorEastAsia"/>
          <w:b w:val="0"/>
          <w:bCs/>
          <w:color w:val="auto"/>
          <w:sz w:val="24"/>
          <w:szCs w:val="24"/>
          <w:highlight w:val="none"/>
        </w:rPr>
        <w:t>备品备件供货范围：</w:t>
      </w:r>
      <w:r>
        <w:rPr>
          <w:rFonts w:hint="eastAsia" w:asciiTheme="minorEastAsia" w:hAnsiTheme="minorEastAsia" w:eastAsiaTheme="minorEastAsia"/>
          <w:b w:val="0"/>
          <w:bCs/>
          <w:color w:val="auto"/>
          <w:sz w:val="24"/>
          <w:szCs w:val="24"/>
          <w:highlight w:val="none"/>
          <w:lang w:eastAsia="zh-CN"/>
        </w:rPr>
        <w:t>详见技术协议。</w:t>
      </w:r>
    </w:p>
    <w:p>
      <w:pPr>
        <w:spacing w:before="158" w:beforeLines="50" w:line="360" w:lineRule="auto"/>
        <w:ind w:left="482" w:hanging="482" w:hanging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2.7</w:t>
      </w:r>
      <w:r>
        <w:rPr>
          <w:rFonts w:asciiTheme="minorEastAsia" w:hAnsiTheme="minorEastAsia" w:eastAsiaTheme="minorEastAsia"/>
          <w:b/>
          <w:bCs/>
          <w:color w:val="auto"/>
          <w:sz w:val="24"/>
          <w:szCs w:val="24"/>
          <w:highlight w:val="none"/>
        </w:rPr>
        <w:t xml:space="preserve"> </w:t>
      </w:r>
      <w:r>
        <w:rPr>
          <w:rFonts w:hint="eastAsia" w:asciiTheme="minorEastAsia" w:hAnsiTheme="minorEastAsia" w:eastAsiaTheme="minorEastAsia"/>
          <w:b/>
          <w:bCs/>
          <w:color w:val="auto"/>
          <w:sz w:val="24"/>
          <w:szCs w:val="24"/>
          <w:highlight w:val="none"/>
        </w:rPr>
        <w:t>如遇国家政策调整，增值税税率发生变化，合同总额按照不含税</w:t>
      </w:r>
      <w:r>
        <w:rPr>
          <w:rFonts w:hint="eastAsia" w:asciiTheme="minorEastAsia" w:hAnsiTheme="minorEastAsia" w:eastAsiaTheme="minorEastAsia"/>
          <w:b/>
          <w:bCs/>
          <w:color w:val="auto"/>
          <w:sz w:val="24"/>
          <w:szCs w:val="24"/>
          <w:highlight w:val="none"/>
          <w:lang w:eastAsia="zh-CN"/>
        </w:rPr>
        <w:t>单</w:t>
      </w:r>
      <w:r>
        <w:rPr>
          <w:rFonts w:hint="eastAsia" w:asciiTheme="minorEastAsia" w:hAnsiTheme="minorEastAsia" w:eastAsiaTheme="minorEastAsia"/>
          <w:b/>
          <w:bCs/>
          <w:color w:val="auto"/>
          <w:sz w:val="24"/>
          <w:szCs w:val="24"/>
          <w:highlight w:val="none"/>
        </w:rPr>
        <w:t>价及最新增值税税率计算得出。</w:t>
      </w:r>
    </w:p>
    <w:p>
      <w:pPr>
        <w:spacing w:line="360" w:lineRule="auto"/>
        <w:ind w:left="480" w:hanging="480" w:hangingChars="200"/>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 xml:space="preserve"> 本合同总价为暂定价，具体金额以结算为准</w:t>
      </w:r>
      <w:r>
        <w:rPr>
          <w:rFonts w:hint="eastAsia" w:asciiTheme="minorEastAsia" w:hAnsiTheme="minorEastAsia" w:eastAsiaTheme="minorEastAsia"/>
          <w:color w:val="auto"/>
          <w:sz w:val="24"/>
          <w:highlight w:val="none"/>
        </w:rPr>
        <w:t>，结算金额为实际到货数量*结算单价</w:t>
      </w:r>
      <w:r>
        <w:rPr>
          <w:rFonts w:asciiTheme="minorEastAsia" w:hAnsiTheme="minorEastAsia" w:eastAsiaTheme="minorEastAsia"/>
          <w:color w:val="auto"/>
          <w:sz w:val="24"/>
          <w:highlight w:val="none"/>
        </w:rPr>
        <w:t>。</w:t>
      </w:r>
    </w:p>
    <w:p>
      <w:pPr>
        <w:pStyle w:val="3"/>
        <w:rPr>
          <w:rFonts w:asciiTheme="minorEastAsia" w:hAnsiTheme="minorEastAsia" w:eastAsiaTheme="minorEastAsia"/>
          <w:color w:val="auto"/>
          <w:highlight w:val="none"/>
        </w:rPr>
      </w:pPr>
      <w:bookmarkStart w:id="4" w:name="_Toc86399293"/>
      <w:bookmarkStart w:id="5" w:name="_Toc86392957"/>
      <w:r>
        <w:rPr>
          <w:rFonts w:asciiTheme="minorEastAsia" w:hAnsiTheme="minorEastAsia" w:eastAsiaTheme="minorEastAsia"/>
          <w:color w:val="auto"/>
          <w:highlight w:val="none"/>
        </w:rPr>
        <w:t>第三条　付款方式</w:t>
      </w:r>
      <w:bookmarkEnd w:id="4"/>
      <w:bookmarkEnd w:id="5"/>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3.1 </w:t>
      </w:r>
      <w:r>
        <w:rPr>
          <w:rFonts w:hint="eastAsia" w:asciiTheme="minorEastAsia" w:hAnsiTheme="minorEastAsia" w:eastAsiaTheme="minorEastAsia"/>
          <w:color w:val="auto"/>
          <w:sz w:val="24"/>
          <w:highlight w:val="none"/>
        </w:rPr>
        <w:t>甲乙双方采用人民币进行结算，甲方不提供现金，乙方须提供结算专用账户，甲方采用银行承兑（综合折算不超过</w:t>
      </w:r>
      <w:r>
        <w:rPr>
          <w:rFonts w:hint="eastAsia" w:asciiTheme="minorEastAsia" w:hAnsiTheme="minorEastAsia" w:eastAsiaTheme="minorEastAsia"/>
          <w:color w:val="auto"/>
          <w:highlight w:val="none"/>
          <w:lang w:val="en-US" w:eastAsia="zh-CN"/>
        </w:rPr>
        <w:t>6</w:t>
      </w:r>
      <w:r>
        <w:rPr>
          <w:rFonts w:hint="eastAsia" w:asciiTheme="minorEastAsia" w:hAnsiTheme="minorEastAsia" w:eastAsiaTheme="minorEastAsia"/>
          <w:color w:val="auto"/>
          <w:sz w:val="24"/>
          <w:highlight w:val="none"/>
        </w:rPr>
        <w:t>个月）或电汇方式进行付款，同时乙方提供增值税专用发票（含发票联和抵扣联），甲方需在乙方开具发票前出具详细的开票资料函。甲方每笔付款乙方必须出具附件二</w:t>
      </w:r>
      <w:r>
        <w:rPr>
          <w:rFonts w:hint="eastAsia" w:cs="宋体" w:asciiTheme="minorEastAsia" w:hAnsiTheme="minorEastAsia" w:eastAsiaTheme="minorEastAsia"/>
          <w:color w:val="auto"/>
          <w:sz w:val="24"/>
          <w:highlight w:val="none"/>
        </w:rPr>
        <w:t>《设备材料采购合同价款支付申请（核准）表》</w:t>
      </w:r>
      <w:r>
        <w:rPr>
          <w:rFonts w:hint="eastAsia" w:asciiTheme="minorEastAsia" w:hAnsiTheme="minorEastAsia" w:eastAsiaTheme="minorEastAsia"/>
          <w:color w:val="auto"/>
          <w:sz w:val="24"/>
          <w:highlight w:val="none"/>
        </w:rPr>
        <w:t>。</w:t>
      </w:r>
    </w:p>
    <w:p>
      <w:pPr>
        <w:spacing w:line="360" w:lineRule="auto"/>
        <w:rPr>
          <w:rFonts w:ascii="Times New Roman" w:hAnsi="Times New Roman" w:cs="Times New Roman" w:eastAsiaTheme="minorEastAsia"/>
          <w:sz w:val="24"/>
          <w:highlight w:val="none"/>
        </w:rPr>
      </w:pPr>
      <w:bookmarkStart w:id="6" w:name="_Toc86392958"/>
      <w:r>
        <w:rPr>
          <w:rFonts w:hint="default" w:ascii="Times New Roman" w:hAnsi="Times New Roman" w:cs="Times New Roman" w:eastAsiaTheme="minorEastAsia"/>
          <w:sz w:val="24"/>
          <w:highlight w:val="none"/>
        </w:rPr>
        <w:t>3.2 付款方式：</w:t>
      </w:r>
    </w:p>
    <w:tbl>
      <w:tblPr>
        <w:tblStyle w:val="16"/>
        <w:tblpPr w:leftFromText="180" w:rightFromText="180" w:vertAnchor="text" w:horzAnchor="page" w:tblpX="1438" w:tblpY="163"/>
        <w:tblOverlap w:val="never"/>
        <w:tblW w:w="934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3"/>
        <w:gridCol w:w="1620"/>
        <w:gridCol w:w="2111"/>
        <w:gridCol w:w="333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13"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序号</w:t>
            </w:r>
          </w:p>
        </w:tc>
        <w:tc>
          <w:tcPr>
            <w:tcW w:w="1620"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付款节点</w:t>
            </w:r>
          </w:p>
        </w:tc>
        <w:tc>
          <w:tcPr>
            <w:tcW w:w="2111"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付款比例</w:t>
            </w:r>
          </w:p>
        </w:tc>
        <w:tc>
          <w:tcPr>
            <w:tcW w:w="3337"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凭证及资料</w:t>
            </w:r>
          </w:p>
        </w:tc>
        <w:tc>
          <w:tcPr>
            <w:tcW w:w="1467"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813"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1620"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预付款</w:t>
            </w:r>
          </w:p>
        </w:tc>
        <w:tc>
          <w:tcPr>
            <w:tcW w:w="2111"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合同</w:t>
            </w:r>
            <w:r>
              <w:rPr>
                <w:rFonts w:hint="default" w:ascii="Times New Roman" w:hAnsi="Times New Roman" w:eastAsia="宋体" w:cs="Times New Roman"/>
                <w:sz w:val="21"/>
                <w:szCs w:val="21"/>
                <w:highlight w:val="none"/>
                <w:lang w:eastAsia="zh-CN"/>
              </w:rPr>
              <w:t>价</w:t>
            </w:r>
            <w:r>
              <w:rPr>
                <w:rFonts w:hint="default" w:ascii="Times New Roman" w:hAnsi="Times New Roman" w:eastAsia="宋体" w:cs="Times New Roman"/>
                <w:sz w:val="21"/>
                <w:szCs w:val="21"/>
                <w:highlight w:val="none"/>
                <w:lang w:val="en-US" w:eastAsia="zh-CN"/>
              </w:rPr>
              <w:t>款</w:t>
            </w:r>
            <w:r>
              <w:rPr>
                <w:rFonts w:hint="default" w:ascii="Times New Roman" w:hAnsi="Times New Roman" w:cs="Times New Roman"/>
                <w:sz w:val="21"/>
                <w:szCs w:val="21"/>
                <w:highlight w:val="none"/>
                <w:lang w:val="en-US" w:eastAsia="zh-CN"/>
              </w:rPr>
              <w:t>的</w:t>
            </w:r>
            <w:r>
              <w:rPr>
                <w:rFonts w:hint="default" w:ascii="Times New Roman" w:hAnsi="Times New Roman" w:eastAsia="宋体" w:cs="Times New Roman"/>
                <w:sz w:val="21"/>
                <w:szCs w:val="21"/>
                <w:highlight w:val="none"/>
              </w:rPr>
              <w:t>10%</w:t>
            </w:r>
          </w:p>
        </w:tc>
        <w:tc>
          <w:tcPr>
            <w:tcW w:w="3337"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rPr>
              <w:t>提供</w:t>
            </w:r>
            <w:r>
              <w:rPr>
                <w:rFonts w:hint="default" w:ascii="Times New Roman" w:hAnsi="Times New Roman" w:eastAsia="宋体" w:cs="Times New Roman"/>
                <w:sz w:val="21"/>
                <w:szCs w:val="21"/>
                <w:highlight w:val="none"/>
                <w:lang w:eastAsia="zh-CN"/>
              </w:rPr>
              <w:t>合同总价</w:t>
            </w:r>
            <w:r>
              <w:rPr>
                <w:rFonts w:hint="default" w:ascii="Times New Roman" w:hAnsi="Times New Roman" w:eastAsia="宋体" w:cs="Times New Roman"/>
                <w:sz w:val="21"/>
                <w:szCs w:val="21"/>
                <w:highlight w:val="none"/>
              </w:rPr>
              <w:t>10%</w:t>
            </w:r>
            <w:r>
              <w:rPr>
                <w:rFonts w:hint="default" w:ascii="Times New Roman" w:hAnsi="Times New Roman" w:eastAsia="宋体" w:cs="Times New Roman"/>
                <w:sz w:val="21"/>
                <w:szCs w:val="21"/>
                <w:highlight w:val="none"/>
                <w:lang w:eastAsia="zh-CN"/>
              </w:rPr>
              <w:t>的</w:t>
            </w:r>
            <w:r>
              <w:rPr>
                <w:rFonts w:hint="default" w:ascii="Times New Roman" w:hAnsi="Times New Roman" w:eastAsia="宋体" w:cs="Times New Roman"/>
                <w:sz w:val="21"/>
                <w:szCs w:val="21"/>
                <w:highlight w:val="none"/>
              </w:rPr>
              <w:t>履约保函</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提供10%财务收据</w:t>
            </w:r>
            <w:r>
              <w:rPr>
                <w:rFonts w:hint="default" w:ascii="Times New Roman" w:hAnsi="Times New Roman" w:eastAsia="宋体" w:cs="Times New Roman"/>
                <w:sz w:val="21"/>
                <w:szCs w:val="21"/>
                <w:highlight w:val="none"/>
                <w:lang w:val="en-US" w:eastAsia="zh-CN"/>
              </w:rPr>
              <w:t>。</w:t>
            </w:r>
          </w:p>
        </w:tc>
        <w:tc>
          <w:tcPr>
            <w:tcW w:w="1467" w:type="dxa"/>
            <w:vAlign w:val="center"/>
          </w:tcPr>
          <w:p>
            <w:pPr>
              <w:pStyle w:val="27"/>
              <w:spacing w:before="81"/>
              <w:ind w:right="100"/>
              <w:jc w:val="both"/>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813"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p>
        </w:tc>
        <w:tc>
          <w:tcPr>
            <w:tcW w:w="1620" w:type="dxa"/>
            <w:vAlign w:val="center"/>
          </w:tcPr>
          <w:p>
            <w:pPr>
              <w:pStyle w:val="27"/>
              <w:spacing w:before="81"/>
              <w:ind w:left="110" w:right="100"/>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val="en-US" w:eastAsia="zh-CN"/>
              </w:rPr>
              <w:t>批次</w:t>
            </w:r>
            <w:r>
              <w:rPr>
                <w:rFonts w:hint="default" w:ascii="Times New Roman" w:hAnsi="Times New Roman" w:eastAsia="宋体" w:cs="Times New Roman"/>
                <w:sz w:val="21"/>
                <w:szCs w:val="21"/>
                <w:highlight w:val="none"/>
                <w:lang w:eastAsia="zh-CN"/>
              </w:rPr>
              <w:t>投料款</w:t>
            </w:r>
          </w:p>
        </w:tc>
        <w:tc>
          <w:tcPr>
            <w:tcW w:w="2111"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批次货物对应</w:t>
            </w:r>
            <w:r>
              <w:rPr>
                <w:rFonts w:hint="default" w:ascii="Times New Roman" w:hAnsi="Times New Roman" w:eastAsia="宋体" w:cs="Times New Roman"/>
                <w:sz w:val="21"/>
                <w:szCs w:val="21"/>
                <w:highlight w:val="none"/>
                <w:lang w:val="en-US" w:eastAsia="zh-CN"/>
              </w:rPr>
              <w:t>合同</w:t>
            </w:r>
            <w:r>
              <w:rPr>
                <w:rFonts w:hint="default" w:ascii="Times New Roman" w:hAnsi="Times New Roman" w:eastAsia="宋体" w:cs="Times New Roman"/>
                <w:sz w:val="21"/>
                <w:szCs w:val="21"/>
                <w:highlight w:val="none"/>
                <w:lang w:eastAsia="zh-CN"/>
              </w:rPr>
              <w:t>价</w:t>
            </w:r>
            <w:r>
              <w:rPr>
                <w:rFonts w:hint="default" w:ascii="Times New Roman" w:hAnsi="Times New Roman" w:eastAsia="宋体" w:cs="Times New Roman"/>
                <w:sz w:val="21"/>
                <w:szCs w:val="21"/>
                <w:highlight w:val="none"/>
                <w:lang w:val="en-US" w:eastAsia="zh-CN"/>
              </w:rPr>
              <w:t>款</w:t>
            </w:r>
            <w:r>
              <w:rPr>
                <w:rFonts w:hint="default" w:ascii="Times New Roman" w:hAnsi="Times New Roman" w:cs="Times New Roman"/>
                <w:sz w:val="21"/>
                <w:szCs w:val="21"/>
                <w:highlight w:val="none"/>
                <w:lang w:val="en-US" w:eastAsia="zh-CN"/>
              </w:rPr>
              <w:t>的</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0%</w:t>
            </w:r>
          </w:p>
        </w:tc>
        <w:tc>
          <w:tcPr>
            <w:tcW w:w="3337"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rPr>
              <w:t>提供设备、材料等有关支撑性资料（合同、订货单等）</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提供</w:t>
            </w:r>
            <w:r>
              <w:rPr>
                <w:rFonts w:hint="default" w:ascii="Times New Roman" w:hAnsi="Times New Roman" w:cs="Times New Roman"/>
                <w:sz w:val="21"/>
                <w:szCs w:val="21"/>
                <w:highlight w:val="none"/>
                <w:lang w:val="en-US" w:eastAsia="zh-CN"/>
              </w:rPr>
              <w:t>3</w:t>
            </w:r>
            <w:r>
              <w:rPr>
                <w:rFonts w:hint="default" w:ascii="Times New Roman" w:hAnsi="Times New Roman" w:eastAsia="宋体" w:cs="Times New Roman"/>
                <w:sz w:val="21"/>
                <w:szCs w:val="21"/>
                <w:highlight w:val="none"/>
              </w:rPr>
              <w:t>0%</w:t>
            </w:r>
            <w:r>
              <w:rPr>
                <w:rFonts w:hint="default" w:ascii="Times New Roman" w:hAnsi="Times New Roman" w:eastAsia="宋体" w:cs="Times New Roman"/>
                <w:sz w:val="21"/>
                <w:szCs w:val="21"/>
                <w:highlight w:val="none"/>
                <w:lang w:val="en-US" w:eastAsia="zh-CN"/>
              </w:rPr>
              <w:t>正规的增值税专用发票。</w:t>
            </w:r>
          </w:p>
        </w:tc>
        <w:tc>
          <w:tcPr>
            <w:tcW w:w="1467" w:type="dxa"/>
            <w:vAlign w:val="center"/>
          </w:tcPr>
          <w:p>
            <w:pPr>
              <w:pStyle w:val="27"/>
              <w:spacing w:before="81"/>
              <w:ind w:left="110" w:right="100"/>
              <w:jc w:val="center"/>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4" w:hRule="atLeast"/>
        </w:trPr>
        <w:tc>
          <w:tcPr>
            <w:tcW w:w="813"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1620"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批次</w:t>
            </w:r>
            <w:r>
              <w:rPr>
                <w:rFonts w:hint="default" w:ascii="Times New Roman" w:hAnsi="Times New Roman" w:eastAsia="宋体" w:cs="Times New Roman"/>
                <w:sz w:val="21"/>
                <w:szCs w:val="21"/>
                <w:highlight w:val="none"/>
                <w:lang w:val="en-US" w:eastAsia="zh-CN"/>
              </w:rPr>
              <w:t>到货款</w:t>
            </w:r>
          </w:p>
        </w:tc>
        <w:tc>
          <w:tcPr>
            <w:tcW w:w="2111" w:type="dxa"/>
            <w:vAlign w:val="center"/>
          </w:tcPr>
          <w:p>
            <w:pPr>
              <w:pStyle w:val="27"/>
              <w:spacing w:before="81"/>
              <w:ind w:left="110" w:right="100"/>
              <w:jc w:val="center"/>
              <w:rPr>
                <w:rFonts w:hint="default" w:ascii="Times New Roman" w:hAnsi="Times New Roman" w:eastAsia="宋体" w:cs="Times New Roman"/>
                <w:sz w:val="21"/>
                <w:szCs w:val="21"/>
                <w:highlight w:val="none"/>
                <w:lang w:val="zh-CN" w:eastAsia="zh-CN"/>
              </w:rPr>
            </w:pPr>
            <w:r>
              <w:rPr>
                <w:rFonts w:hint="default" w:ascii="Times New Roman" w:hAnsi="Times New Roman" w:cs="Times New Roman"/>
                <w:sz w:val="21"/>
                <w:szCs w:val="21"/>
                <w:highlight w:val="none"/>
                <w:lang w:val="en-US" w:eastAsia="zh-CN"/>
              </w:rPr>
              <w:t>批次货物对应</w:t>
            </w:r>
            <w:r>
              <w:rPr>
                <w:rFonts w:hint="default" w:ascii="Times New Roman" w:hAnsi="Times New Roman" w:eastAsia="宋体" w:cs="Times New Roman"/>
                <w:sz w:val="21"/>
                <w:szCs w:val="21"/>
                <w:highlight w:val="none"/>
                <w:lang w:val="en-US" w:eastAsia="zh-CN"/>
              </w:rPr>
              <w:t>合同</w:t>
            </w:r>
            <w:r>
              <w:rPr>
                <w:rFonts w:hint="default" w:ascii="Times New Roman" w:hAnsi="Times New Roman" w:eastAsia="宋体" w:cs="Times New Roman"/>
                <w:sz w:val="21"/>
                <w:szCs w:val="21"/>
                <w:highlight w:val="none"/>
                <w:lang w:eastAsia="zh-CN"/>
              </w:rPr>
              <w:t>价</w:t>
            </w:r>
            <w:r>
              <w:rPr>
                <w:rFonts w:hint="default" w:ascii="Times New Roman" w:hAnsi="Times New Roman" w:eastAsia="宋体" w:cs="Times New Roman"/>
                <w:sz w:val="21"/>
                <w:szCs w:val="21"/>
                <w:highlight w:val="none"/>
                <w:lang w:val="en-US" w:eastAsia="zh-CN"/>
              </w:rPr>
              <w:t>款</w:t>
            </w:r>
            <w:r>
              <w:rPr>
                <w:rFonts w:hint="default" w:ascii="Times New Roman" w:hAnsi="Times New Roman" w:cs="Times New Roman"/>
                <w:sz w:val="21"/>
                <w:szCs w:val="21"/>
                <w:highlight w:val="none"/>
                <w:lang w:val="en-US" w:eastAsia="zh-CN"/>
              </w:rPr>
              <w:t>的</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0%</w:t>
            </w:r>
          </w:p>
        </w:tc>
        <w:tc>
          <w:tcPr>
            <w:tcW w:w="3337" w:type="dxa"/>
            <w:vAlign w:val="center"/>
          </w:tcPr>
          <w:p>
            <w:pPr>
              <w:pStyle w:val="27"/>
              <w:spacing w:before="81"/>
              <w:ind w:left="110" w:right="10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提供设备、材料</w:t>
            </w:r>
            <w:r>
              <w:rPr>
                <w:rFonts w:hint="default" w:ascii="Times New Roman" w:hAnsi="Times New Roman" w:eastAsia="宋体" w:cs="Times New Roman"/>
                <w:sz w:val="21"/>
                <w:szCs w:val="21"/>
                <w:highlight w:val="none"/>
                <w:lang w:val="en-US" w:eastAsia="zh-CN"/>
              </w:rPr>
              <w:t>到货验收</w:t>
            </w:r>
            <w:r>
              <w:rPr>
                <w:rFonts w:hint="default" w:ascii="Times New Roman" w:hAnsi="Times New Roman" w:eastAsia="宋体" w:cs="Times New Roman"/>
                <w:sz w:val="21"/>
                <w:szCs w:val="21"/>
                <w:highlight w:val="none"/>
              </w:rPr>
              <w:t>等有关支撑性资料</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提供</w:t>
            </w:r>
            <w:r>
              <w:rPr>
                <w:rFonts w:hint="default" w:ascii="Times New Roman" w:hAnsi="Times New Roman" w:eastAsia="宋体" w:cs="Times New Roman"/>
                <w:sz w:val="21"/>
                <w:szCs w:val="21"/>
                <w:highlight w:val="none"/>
                <w:lang w:val="en-US" w:eastAsia="zh-CN"/>
              </w:rPr>
              <w:t>30</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正规的增值税专用发票。</w:t>
            </w:r>
          </w:p>
        </w:tc>
        <w:tc>
          <w:tcPr>
            <w:tcW w:w="1467" w:type="dxa"/>
            <w:vAlign w:val="center"/>
          </w:tcPr>
          <w:p>
            <w:pPr>
              <w:pStyle w:val="27"/>
              <w:spacing w:before="81"/>
              <w:ind w:left="110" w:right="100"/>
              <w:jc w:val="center"/>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813"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4</w:t>
            </w:r>
          </w:p>
        </w:tc>
        <w:tc>
          <w:tcPr>
            <w:tcW w:w="1620"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投运进度款</w:t>
            </w:r>
          </w:p>
        </w:tc>
        <w:tc>
          <w:tcPr>
            <w:tcW w:w="2111"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累计支</w:t>
            </w:r>
            <w:r>
              <w:rPr>
                <w:rFonts w:hint="default" w:ascii="Times New Roman" w:hAnsi="Times New Roman" w:eastAsia="宋体" w:cs="Times New Roman"/>
                <w:sz w:val="21"/>
                <w:szCs w:val="21"/>
                <w:highlight w:val="none"/>
              </w:rPr>
              <w:t>付至</w:t>
            </w:r>
            <w:r>
              <w:rPr>
                <w:rFonts w:hint="default" w:ascii="Times New Roman" w:hAnsi="Times New Roman" w:eastAsia="宋体" w:cs="Times New Roman"/>
                <w:sz w:val="21"/>
                <w:szCs w:val="21"/>
                <w:highlight w:val="none"/>
                <w:lang w:eastAsia="zh-CN"/>
              </w:rPr>
              <w:t>供货</w:t>
            </w:r>
            <w:r>
              <w:rPr>
                <w:rFonts w:hint="default" w:ascii="Times New Roman" w:hAnsi="Times New Roman" w:cs="Times New Roman"/>
                <w:sz w:val="21"/>
                <w:szCs w:val="21"/>
                <w:highlight w:val="none"/>
                <w:lang w:eastAsia="zh-CN"/>
              </w:rPr>
              <w:t>数量</w:t>
            </w:r>
            <w:r>
              <w:rPr>
                <w:rFonts w:hint="default" w:ascii="Times New Roman" w:hAnsi="Times New Roman" w:eastAsia="宋体" w:cs="Times New Roman"/>
                <w:sz w:val="21"/>
                <w:szCs w:val="21"/>
                <w:highlight w:val="none"/>
                <w:lang w:eastAsia="zh-CN"/>
              </w:rPr>
              <w:t>对应</w:t>
            </w:r>
            <w:r>
              <w:rPr>
                <w:rFonts w:hint="default" w:ascii="Times New Roman" w:hAnsi="Times New Roman" w:eastAsia="宋体" w:cs="Times New Roman"/>
                <w:sz w:val="21"/>
                <w:szCs w:val="21"/>
                <w:highlight w:val="none"/>
                <w:lang w:val="en-US" w:eastAsia="zh-CN"/>
              </w:rPr>
              <w:t>合同</w:t>
            </w:r>
            <w:r>
              <w:rPr>
                <w:rFonts w:hint="default" w:ascii="Times New Roman" w:hAnsi="Times New Roman" w:eastAsia="宋体" w:cs="Times New Roman"/>
                <w:sz w:val="21"/>
                <w:szCs w:val="21"/>
                <w:highlight w:val="none"/>
                <w:lang w:eastAsia="zh-CN"/>
              </w:rPr>
              <w:t>价</w:t>
            </w:r>
            <w:r>
              <w:rPr>
                <w:rFonts w:hint="default" w:ascii="Times New Roman" w:hAnsi="Times New Roman" w:eastAsia="宋体" w:cs="Times New Roman"/>
                <w:sz w:val="21"/>
                <w:szCs w:val="21"/>
                <w:highlight w:val="none"/>
                <w:lang w:val="en-US" w:eastAsia="zh-CN"/>
              </w:rPr>
              <w:t>款</w:t>
            </w:r>
            <w:r>
              <w:rPr>
                <w:rFonts w:hint="default" w:ascii="Times New Roman" w:hAnsi="Times New Roman" w:cs="Times New Roman"/>
                <w:sz w:val="21"/>
                <w:szCs w:val="21"/>
                <w:highlight w:val="none"/>
                <w:lang w:val="en-US" w:eastAsia="zh-CN"/>
              </w:rPr>
              <w:t>的</w:t>
            </w:r>
            <w:r>
              <w:rPr>
                <w:rFonts w:hint="default" w:ascii="Times New Roman" w:hAnsi="Times New Roman" w:eastAsia="宋体" w:cs="Times New Roman"/>
                <w:sz w:val="21"/>
                <w:szCs w:val="21"/>
                <w:highlight w:val="none"/>
                <w:lang w:val="en-US" w:eastAsia="zh-CN"/>
              </w:rPr>
              <w:t>9</w:t>
            </w:r>
            <w:r>
              <w:rPr>
                <w:rFonts w:hint="default" w:ascii="Times New Roman" w:hAnsi="Times New Roman" w:eastAsia="宋体" w:cs="Times New Roman"/>
                <w:sz w:val="21"/>
                <w:szCs w:val="21"/>
                <w:highlight w:val="none"/>
              </w:rPr>
              <w:t>0%</w:t>
            </w:r>
          </w:p>
        </w:tc>
        <w:tc>
          <w:tcPr>
            <w:tcW w:w="3337"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rPr>
              <w:t>提供</w:t>
            </w:r>
            <w:r>
              <w:rPr>
                <w:rFonts w:hint="default" w:ascii="Times New Roman" w:hAnsi="Times New Roman" w:eastAsia="宋体" w:cs="Times New Roman"/>
                <w:sz w:val="21"/>
                <w:szCs w:val="21"/>
                <w:highlight w:val="none"/>
                <w:lang w:eastAsia="zh-CN"/>
              </w:rPr>
              <w:t>供货</w:t>
            </w:r>
            <w:r>
              <w:rPr>
                <w:rFonts w:hint="default" w:ascii="Times New Roman" w:hAnsi="Times New Roman" w:cs="Times New Roman"/>
                <w:sz w:val="21"/>
                <w:szCs w:val="21"/>
                <w:highlight w:val="none"/>
                <w:lang w:eastAsia="zh-CN"/>
              </w:rPr>
              <w:t>数量</w:t>
            </w:r>
            <w:r>
              <w:rPr>
                <w:rFonts w:hint="default" w:ascii="Times New Roman" w:hAnsi="Times New Roman" w:eastAsia="宋体" w:cs="Times New Roman"/>
                <w:sz w:val="21"/>
                <w:szCs w:val="21"/>
                <w:highlight w:val="none"/>
                <w:lang w:eastAsia="zh-CN"/>
              </w:rPr>
              <w:t>对应</w:t>
            </w:r>
            <w:r>
              <w:rPr>
                <w:rFonts w:hint="default" w:ascii="Times New Roman" w:hAnsi="Times New Roman" w:eastAsia="宋体" w:cs="Times New Roman"/>
                <w:sz w:val="21"/>
                <w:szCs w:val="21"/>
                <w:highlight w:val="none"/>
                <w:lang w:val="en-US" w:eastAsia="zh-CN"/>
              </w:rPr>
              <w:t>合同</w:t>
            </w:r>
            <w:r>
              <w:rPr>
                <w:rFonts w:hint="default" w:ascii="Times New Roman" w:hAnsi="Times New Roman" w:eastAsia="宋体" w:cs="Times New Roman"/>
                <w:sz w:val="21"/>
                <w:szCs w:val="21"/>
                <w:highlight w:val="none"/>
                <w:lang w:eastAsia="zh-CN"/>
              </w:rPr>
              <w:t>价</w:t>
            </w:r>
            <w:r>
              <w:rPr>
                <w:rFonts w:hint="default" w:ascii="Times New Roman" w:hAnsi="Times New Roman" w:eastAsia="宋体" w:cs="Times New Roman"/>
                <w:sz w:val="21"/>
                <w:szCs w:val="21"/>
                <w:highlight w:val="none"/>
                <w:lang w:val="en-US" w:eastAsia="zh-CN"/>
              </w:rPr>
              <w:t>款</w:t>
            </w:r>
            <w:r>
              <w:rPr>
                <w:rFonts w:hint="eastAsia" w:ascii="Times New Roman" w:hAnsi="Times New Roman" w:cs="Times New Roman"/>
                <w:sz w:val="21"/>
                <w:szCs w:val="21"/>
                <w:highlight w:val="none"/>
                <w:lang w:val="en-US" w:eastAsia="zh-CN"/>
              </w:rPr>
              <w:t>剩余全部</w:t>
            </w:r>
            <w:r>
              <w:rPr>
                <w:rFonts w:hint="default" w:ascii="Times New Roman" w:hAnsi="Times New Roman" w:eastAsia="宋体" w:cs="Times New Roman"/>
                <w:sz w:val="21"/>
                <w:szCs w:val="21"/>
                <w:highlight w:val="none"/>
              </w:rPr>
              <w:t>增值税专用发票</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提供投运证明。</w:t>
            </w:r>
          </w:p>
        </w:tc>
        <w:tc>
          <w:tcPr>
            <w:tcW w:w="1467" w:type="dxa"/>
            <w:vAlign w:val="center"/>
          </w:tcPr>
          <w:p>
            <w:pPr>
              <w:pStyle w:val="27"/>
              <w:spacing w:before="81"/>
              <w:ind w:left="110" w:right="100"/>
              <w:jc w:val="center"/>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813"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1620"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竣工</w:t>
            </w:r>
            <w:r>
              <w:rPr>
                <w:rFonts w:hint="default" w:ascii="Times New Roman" w:hAnsi="Times New Roman" w:eastAsia="宋体" w:cs="Times New Roman"/>
                <w:sz w:val="21"/>
                <w:szCs w:val="21"/>
                <w:highlight w:val="none"/>
              </w:rPr>
              <w:t>结算款</w:t>
            </w:r>
          </w:p>
        </w:tc>
        <w:tc>
          <w:tcPr>
            <w:tcW w:w="2111"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累计支</w:t>
            </w:r>
            <w:r>
              <w:rPr>
                <w:rFonts w:hint="default" w:ascii="Times New Roman" w:hAnsi="Times New Roman" w:eastAsia="宋体" w:cs="Times New Roman"/>
                <w:sz w:val="21"/>
                <w:szCs w:val="21"/>
                <w:highlight w:val="none"/>
              </w:rPr>
              <w:t>付至</w:t>
            </w:r>
            <w:r>
              <w:rPr>
                <w:rFonts w:hint="default" w:ascii="Times New Roman" w:hAnsi="Times New Roman" w:eastAsia="宋体" w:cs="Times New Roman"/>
                <w:sz w:val="21"/>
                <w:szCs w:val="21"/>
                <w:highlight w:val="none"/>
                <w:lang w:eastAsia="zh-CN"/>
              </w:rPr>
              <w:t>供货</w:t>
            </w:r>
            <w:r>
              <w:rPr>
                <w:rFonts w:hint="default" w:ascii="Times New Roman" w:hAnsi="Times New Roman" w:cs="Times New Roman"/>
                <w:sz w:val="21"/>
                <w:szCs w:val="21"/>
                <w:highlight w:val="none"/>
                <w:lang w:eastAsia="zh-CN"/>
              </w:rPr>
              <w:t>数量</w:t>
            </w:r>
            <w:r>
              <w:rPr>
                <w:rFonts w:hint="default" w:ascii="Times New Roman" w:hAnsi="Times New Roman" w:eastAsia="宋体" w:cs="Times New Roman"/>
                <w:sz w:val="21"/>
                <w:szCs w:val="21"/>
                <w:highlight w:val="none"/>
                <w:lang w:eastAsia="zh-CN"/>
              </w:rPr>
              <w:t>对应</w:t>
            </w:r>
            <w:r>
              <w:rPr>
                <w:rFonts w:hint="default" w:ascii="Times New Roman" w:hAnsi="Times New Roman" w:eastAsia="宋体" w:cs="Times New Roman"/>
                <w:sz w:val="21"/>
                <w:szCs w:val="21"/>
                <w:highlight w:val="none"/>
                <w:lang w:val="en-US" w:eastAsia="zh-CN"/>
              </w:rPr>
              <w:t>合同</w:t>
            </w:r>
            <w:r>
              <w:rPr>
                <w:rFonts w:hint="default" w:ascii="Times New Roman" w:hAnsi="Times New Roman" w:eastAsia="宋体" w:cs="Times New Roman"/>
                <w:sz w:val="21"/>
                <w:szCs w:val="21"/>
                <w:highlight w:val="none"/>
                <w:lang w:eastAsia="zh-CN"/>
              </w:rPr>
              <w:t>价</w:t>
            </w:r>
            <w:r>
              <w:rPr>
                <w:rFonts w:hint="default" w:ascii="Times New Roman" w:hAnsi="Times New Roman" w:eastAsia="宋体" w:cs="Times New Roman"/>
                <w:sz w:val="21"/>
                <w:szCs w:val="21"/>
                <w:highlight w:val="none"/>
                <w:lang w:val="en-US" w:eastAsia="zh-CN"/>
              </w:rPr>
              <w:t>款</w:t>
            </w:r>
            <w:r>
              <w:rPr>
                <w:rFonts w:hint="default" w:ascii="Times New Roman" w:hAnsi="Times New Roman" w:cs="Times New Roman"/>
                <w:sz w:val="21"/>
                <w:szCs w:val="21"/>
                <w:highlight w:val="none"/>
                <w:lang w:eastAsia="zh-CN"/>
              </w:rPr>
              <w:t>的</w:t>
            </w:r>
            <w:r>
              <w:rPr>
                <w:rFonts w:hint="default" w:ascii="Times New Roman" w:hAnsi="Times New Roman" w:eastAsia="宋体" w:cs="Times New Roman"/>
                <w:sz w:val="21"/>
                <w:szCs w:val="21"/>
                <w:highlight w:val="none"/>
              </w:rPr>
              <w:t>9</w:t>
            </w:r>
            <w:r>
              <w:rPr>
                <w:rFonts w:hint="default" w:ascii="Times New Roman" w:hAnsi="Times New Roman" w:eastAsia="宋体" w:cs="Times New Roman"/>
                <w:sz w:val="21"/>
                <w:szCs w:val="21"/>
                <w:highlight w:val="none"/>
                <w:lang w:val="en-US" w:eastAsia="zh-CN"/>
              </w:rPr>
              <w:t>7</w:t>
            </w:r>
            <w:r>
              <w:rPr>
                <w:rFonts w:hint="default" w:ascii="Times New Roman" w:hAnsi="Times New Roman" w:eastAsia="宋体" w:cs="Times New Roman"/>
                <w:sz w:val="21"/>
                <w:szCs w:val="21"/>
                <w:highlight w:val="none"/>
              </w:rPr>
              <w:t>%</w:t>
            </w:r>
          </w:p>
        </w:tc>
        <w:tc>
          <w:tcPr>
            <w:tcW w:w="3337"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提供</w:t>
            </w:r>
            <w:r>
              <w:rPr>
                <w:rFonts w:hint="default" w:ascii="Times New Roman" w:hAnsi="Times New Roman" w:cs="Times New Roman"/>
                <w:sz w:val="21"/>
                <w:szCs w:val="21"/>
                <w:highlight w:val="none"/>
                <w:lang w:val="en-US" w:eastAsia="zh-CN"/>
              </w:rPr>
              <w:t>经双方确认的</w:t>
            </w:r>
            <w:r>
              <w:rPr>
                <w:rFonts w:hint="default" w:ascii="Times New Roman" w:hAnsi="Times New Roman" w:eastAsia="宋体" w:cs="Times New Roman"/>
                <w:sz w:val="21"/>
                <w:szCs w:val="21"/>
                <w:highlight w:val="none"/>
                <w:lang w:val="en-US" w:eastAsia="zh-CN"/>
              </w:rPr>
              <w:t>结算资料。</w:t>
            </w:r>
          </w:p>
        </w:tc>
        <w:tc>
          <w:tcPr>
            <w:tcW w:w="1467"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eastAsia" w:ascii="Times New Roman" w:hAnsi="Times New Roman" w:cs="Times New Roman"/>
                <w:color w:val="auto"/>
                <w:sz w:val="21"/>
                <w:szCs w:val="21"/>
                <w:highlight w:val="none"/>
                <w:lang w:val="en-US" w:eastAsia="zh-CN"/>
              </w:rPr>
              <w:t>需在项目竣工验收且甲方与建设方完成结算后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13"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6</w:t>
            </w:r>
          </w:p>
        </w:tc>
        <w:tc>
          <w:tcPr>
            <w:tcW w:w="1620"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eastAsia="zh-CN"/>
              </w:rPr>
              <w:t>质量</w:t>
            </w:r>
            <w:r>
              <w:rPr>
                <w:rFonts w:hint="default" w:ascii="Times New Roman" w:hAnsi="Times New Roman" w:eastAsia="宋体" w:cs="Times New Roman"/>
                <w:sz w:val="21"/>
                <w:szCs w:val="21"/>
                <w:highlight w:val="none"/>
              </w:rPr>
              <w:t>保证金</w:t>
            </w:r>
          </w:p>
        </w:tc>
        <w:tc>
          <w:tcPr>
            <w:tcW w:w="2111" w:type="dxa"/>
            <w:vAlign w:val="center"/>
          </w:tcPr>
          <w:p>
            <w:pPr>
              <w:pStyle w:val="27"/>
              <w:spacing w:before="81"/>
              <w:ind w:left="110" w:right="1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供货</w:t>
            </w:r>
            <w:r>
              <w:rPr>
                <w:rFonts w:hint="default" w:ascii="Times New Roman" w:hAnsi="Times New Roman" w:cs="Times New Roman"/>
                <w:sz w:val="21"/>
                <w:szCs w:val="21"/>
                <w:highlight w:val="none"/>
                <w:lang w:eastAsia="zh-CN"/>
              </w:rPr>
              <w:t>数量</w:t>
            </w:r>
            <w:r>
              <w:rPr>
                <w:rFonts w:hint="default" w:ascii="Times New Roman" w:hAnsi="Times New Roman" w:eastAsia="宋体" w:cs="Times New Roman"/>
                <w:sz w:val="21"/>
                <w:szCs w:val="21"/>
                <w:highlight w:val="none"/>
                <w:lang w:eastAsia="zh-CN"/>
              </w:rPr>
              <w:t>对应</w:t>
            </w:r>
            <w:r>
              <w:rPr>
                <w:rFonts w:hint="default" w:ascii="Times New Roman" w:hAnsi="Times New Roman" w:eastAsia="宋体" w:cs="Times New Roman"/>
                <w:sz w:val="21"/>
                <w:szCs w:val="21"/>
                <w:highlight w:val="none"/>
                <w:lang w:val="en-US" w:eastAsia="zh-CN"/>
              </w:rPr>
              <w:t>合同</w:t>
            </w:r>
            <w:r>
              <w:rPr>
                <w:rFonts w:hint="default" w:ascii="Times New Roman" w:hAnsi="Times New Roman" w:eastAsia="宋体" w:cs="Times New Roman"/>
                <w:sz w:val="21"/>
                <w:szCs w:val="21"/>
                <w:highlight w:val="none"/>
                <w:lang w:eastAsia="zh-CN"/>
              </w:rPr>
              <w:t>价</w:t>
            </w:r>
            <w:r>
              <w:rPr>
                <w:rFonts w:hint="default" w:ascii="Times New Roman" w:hAnsi="Times New Roman" w:eastAsia="宋体" w:cs="Times New Roman"/>
                <w:sz w:val="21"/>
                <w:szCs w:val="21"/>
                <w:highlight w:val="none"/>
                <w:lang w:val="en-US" w:eastAsia="zh-CN"/>
              </w:rPr>
              <w:t>款</w:t>
            </w:r>
            <w:r>
              <w:rPr>
                <w:rFonts w:hint="default" w:ascii="Times New Roman" w:hAnsi="Times New Roman" w:cs="Times New Roman"/>
                <w:sz w:val="21"/>
                <w:szCs w:val="21"/>
                <w:highlight w:val="none"/>
                <w:lang w:val="en-US" w:eastAsia="zh-CN"/>
              </w:rPr>
              <w:t>的</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w:t>
            </w:r>
          </w:p>
        </w:tc>
        <w:tc>
          <w:tcPr>
            <w:tcW w:w="3337"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rPr>
            </w:pPr>
            <w:r>
              <w:rPr>
                <w:rFonts w:hint="default" w:ascii="Times New Roman" w:hAnsi="Times New Roman" w:cs="Times New Roman"/>
                <w:sz w:val="21"/>
                <w:szCs w:val="21"/>
                <w:highlight w:val="none"/>
                <w:lang w:val="en-US" w:eastAsia="zh-CN"/>
              </w:rPr>
              <w:t>该批次项目整体竣工验收移交后2年</w:t>
            </w:r>
            <w:r>
              <w:rPr>
                <w:rFonts w:hint="eastAsia" w:ascii="Times New Roman" w:hAnsi="Times New Roman" w:cs="Times New Roman"/>
                <w:sz w:val="21"/>
                <w:szCs w:val="21"/>
                <w:highlight w:val="none"/>
                <w:lang w:val="en-US" w:eastAsia="zh-CN"/>
              </w:rPr>
              <w:t>无未解决质量问题</w:t>
            </w:r>
            <w:r>
              <w:rPr>
                <w:rFonts w:hint="default" w:ascii="Times New Roman" w:hAnsi="Times New Roman"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提供</w:t>
            </w:r>
            <w:r>
              <w:rPr>
                <w:rFonts w:hint="default" w:ascii="Times New Roman" w:hAnsi="Times New Roman" w:cs="Times New Roman"/>
                <w:sz w:val="21"/>
                <w:szCs w:val="21"/>
                <w:highlight w:val="none"/>
                <w:lang w:val="en-US" w:eastAsia="zh-CN"/>
              </w:rPr>
              <w:t>相关</w:t>
            </w:r>
            <w:r>
              <w:rPr>
                <w:rFonts w:hint="default" w:ascii="Times New Roman" w:hAnsi="Times New Roman" w:eastAsia="宋体" w:cs="Times New Roman"/>
                <w:sz w:val="21"/>
                <w:szCs w:val="21"/>
                <w:highlight w:val="none"/>
                <w:lang w:val="en-US" w:eastAsia="zh-CN"/>
              </w:rPr>
              <w:t>证明</w:t>
            </w:r>
            <w:r>
              <w:rPr>
                <w:rFonts w:hint="default" w:ascii="Times New Roman" w:hAnsi="Times New Roman" w:cs="Times New Roman"/>
                <w:sz w:val="21"/>
                <w:szCs w:val="21"/>
                <w:highlight w:val="none"/>
                <w:lang w:val="en-US" w:eastAsia="zh-CN"/>
              </w:rPr>
              <w:t>资料</w:t>
            </w:r>
            <w:r>
              <w:rPr>
                <w:rFonts w:hint="default" w:ascii="Times New Roman" w:hAnsi="Times New Roman" w:eastAsia="宋体" w:cs="Times New Roman"/>
                <w:sz w:val="21"/>
                <w:szCs w:val="21"/>
                <w:highlight w:val="none"/>
                <w:lang w:val="en-US" w:eastAsia="zh-CN"/>
              </w:rPr>
              <w:t>。</w:t>
            </w:r>
          </w:p>
        </w:tc>
        <w:tc>
          <w:tcPr>
            <w:tcW w:w="1467" w:type="dxa"/>
            <w:vAlign w:val="center"/>
          </w:tcPr>
          <w:p>
            <w:pPr>
              <w:pStyle w:val="27"/>
              <w:spacing w:before="81"/>
              <w:ind w:left="110" w:right="100"/>
              <w:jc w:val="center"/>
              <w:rPr>
                <w:rFonts w:hint="default" w:ascii="Times New Roman" w:hAnsi="Times New Roman" w:eastAsia="宋体" w:cs="Times New Roman"/>
                <w:sz w:val="21"/>
                <w:szCs w:val="21"/>
                <w:highlight w:val="none"/>
                <w:lang w:val="en-US" w:eastAsia="zh-CN"/>
              </w:rPr>
            </w:pPr>
          </w:p>
        </w:tc>
      </w:tr>
    </w:tbl>
    <w:p>
      <w:pPr>
        <w:pStyle w:val="15"/>
        <w:ind w:left="0" w:leftChars="0" w:firstLine="482" w:firstLineChars="200"/>
        <w:rPr>
          <w:rFonts w:hint="default" w:eastAsia="宋体"/>
          <w:b/>
          <w:bCs w:val="0"/>
          <w:lang w:eastAsia="zh-CN"/>
        </w:rPr>
      </w:pPr>
      <w:r>
        <w:rPr>
          <w:rFonts w:hint="default" w:ascii="Times New Roman" w:hAnsi="Times New Roman" w:cs="Times New Roman"/>
          <w:b/>
          <w:bCs w:val="0"/>
          <w:sz w:val="24"/>
          <w:szCs w:val="22"/>
          <w:highlight w:val="none"/>
          <w:lang w:eastAsia="zh-CN"/>
        </w:rPr>
        <w:t>注：本项目累计付款比例不超过业主方支付给甲方的付款比例。</w:t>
      </w:r>
    </w:p>
    <w:p>
      <w:pPr>
        <w:spacing w:line="360" w:lineRule="auto"/>
        <w:ind w:left="600" w:hanging="600" w:hanging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 xml:space="preserve"> 甲方不得将本合同货款汇入乙方工作人员的私人（个人）账户。甲方应将本合同货款付至如下乙方指定</w:t>
      </w:r>
      <w:r>
        <w:rPr>
          <w:rFonts w:hint="eastAsia" w:asciiTheme="minorEastAsia" w:hAnsiTheme="minorEastAsia" w:eastAsiaTheme="minorEastAsia"/>
          <w:color w:val="auto"/>
          <w:sz w:val="24"/>
          <w:highlight w:val="none"/>
        </w:rPr>
        <w:t>对公</w:t>
      </w:r>
      <w:r>
        <w:rPr>
          <w:rFonts w:asciiTheme="minorEastAsia" w:hAnsiTheme="minorEastAsia" w:eastAsiaTheme="minorEastAsia"/>
          <w:color w:val="auto"/>
          <w:sz w:val="24"/>
          <w:highlight w:val="none"/>
        </w:rPr>
        <w:t>银行账户：</w:t>
      </w:r>
    </w:p>
    <w:p>
      <w:pPr>
        <w:spacing w:line="360" w:lineRule="auto"/>
        <w:ind w:left="479" w:leftChars="228" w:firstLine="120" w:firstLineChars="5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户  名：</w:t>
      </w:r>
      <w:r>
        <w:rPr>
          <w:rFonts w:hint="eastAsia" w:asciiTheme="minorEastAsia" w:hAnsiTheme="minorEastAsia" w:eastAsiaTheme="minorEastAsia"/>
          <w:color w:val="auto"/>
          <w:sz w:val="24"/>
          <w:highlight w:val="none"/>
          <w:lang w:eastAsia="zh-CN"/>
        </w:rPr>
        <w:t>XXXX</w:t>
      </w:r>
    </w:p>
    <w:p>
      <w:pPr>
        <w:spacing w:line="360" w:lineRule="auto"/>
        <w:ind w:left="479" w:leftChars="228" w:firstLine="120" w:firstLineChars="5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开户行：</w:t>
      </w:r>
    </w:p>
    <w:p>
      <w:pPr>
        <w:spacing w:line="360" w:lineRule="auto"/>
        <w:ind w:left="479" w:leftChars="228" w:firstLine="120" w:firstLineChars="5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帐  号：</w:t>
      </w:r>
    </w:p>
    <w:p>
      <w:pPr>
        <w:spacing w:line="360" w:lineRule="auto"/>
        <w:ind w:left="479" w:leftChars="228" w:firstLine="120" w:firstLineChars="5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税  号：</w:t>
      </w:r>
    </w:p>
    <w:p>
      <w:pPr>
        <w:spacing w:line="360" w:lineRule="auto"/>
        <w:ind w:left="480" w:hanging="480" w:hanging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xml:space="preserve">4 </w:t>
      </w:r>
      <w:r>
        <w:rPr>
          <w:rFonts w:asciiTheme="minorEastAsia" w:hAnsiTheme="minorEastAsia" w:eastAsiaTheme="minorEastAsia"/>
          <w:color w:val="auto"/>
          <w:sz w:val="24"/>
          <w:highlight w:val="none"/>
        </w:rPr>
        <w:t>乙方必须提供增值税专用发票，标明甲方名称（以合同具体名称为准），且在备注中注明合同编号</w:t>
      </w:r>
      <w:r>
        <w:rPr>
          <w:rFonts w:asciiTheme="minorEastAsia" w:hAnsiTheme="minorEastAsia" w:eastAsiaTheme="minorEastAsia"/>
          <w:color w:val="auto"/>
          <w:sz w:val="24"/>
          <w:szCs w:val="24"/>
          <w:highlight w:val="none"/>
        </w:rPr>
        <w:t>按下列要求以邮寄快递方式送达：</w:t>
      </w:r>
    </w:p>
    <w:p>
      <w:pPr>
        <w:spacing w:line="360" w:lineRule="auto"/>
        <w:ind w:firstLine="480" w:firstLineChars="200"/>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szCs w:val="24"/>
          <w:highlight w:val="none"/>
        </w:rPr>
        <w:t>邮寄地址：</w:t>
      </w:r>
      <w:r>
        <w:rPr>
          <w:rFonts w:asciiTheme="minorEastAsia" w:hAnsiTheme="minorEastAsia" w:eastAsiaTheme="minorEastAsia"/>
          <w:color w:val="auto"/>
          <w:kern w:val="0"/>
          <w:sz w:val="24"/>
          <w:highlight w:val="none"/>
        </w:rPr>
        <w:t>长沙市雨花区韶山</w:t>
      </w:r>
      <w:r>
        <w:rPr>
          <w:rFonts w:hint="eastAsia" w:asciiTheme="minorEastAsia" w:hAnsiTheme="minorEastAsia" w:eastAsiaTheme="minorEastAsia"/>
          <w:color w:val="auto"/>
          <w:kern w:val="0"/>
          <w:sz w:val="24"/>
          <w:highlight w:val="none"/>
        </w:rPr>
        <w:t>中</w:t>
      </w:r>
      <w:r>
        <w:rPr>
          <w:rFonts w:asciiTheme="minorEastAsia" w:hAnsiTheme="minorEastAsia" w:eastAsiaTheme="minorEastAsia"/>
          <w:color w:val="auto"/>
          <w:kern w:val="0"/>
          <w:sz w:val="24"/>
          <w:highlight w:val="none"/>
        </w:rPr>
        <w:t>路18号</w:t>
      </w:r>
    </w:p>
    <w:p>
      <w:pPr>
        <w:spacing w:line="360" w:lineRule="auto"/>
        <w:ind w:firstLine="480" w:firstLineChars="200"/>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单位名称：中机</w:t>
      </w:r>
      <w:r>
        <w:rPr>
          <w:rFonts w:asciiTheme="minorEastAsia" w:hAnsiTheme="minorEastAsia" w:eastAsiaTheme="minorEastAsia"/>
          <w:color w:val="auto"/>
          <w:sz w:val="24"/>
          <w:szCs w:val="24"/>
          <w:highlight w:val="none"/>
        </w:rPr>
        <w:t>国际</w:t>
      </w:r>
      <w:r>
        <w:rPr>
          <w:rFonts w:asciiTheme="minorEastAsia" w:hAnsiTheme="minorEastAsia" w:eastAsiaTheme="minorEastAsia"/>
          <w:color w:val="auto"/>
          <w:kern w:val="0"/>
          <w:sz w:val="24"/>
          <w:highlight w:val="none"/>
        </w:rPr>
        <w:t>工程设计研究院有限责任公司</w:t>
      </w:r>
    </w:p>
    <w:p>
      <w:pPr>
        <w:spacing w:line="360" w:lineRule="auto"/>
        <w:ind w:firstLine="480" w:firstLineChars="200"/>
        <w:rPr>
          <w:rFonts w:hint="eastAsia" w:asciiTheme="minorEastAsia" w:hAnsiTheme="minorEastAsia" w:eastAsiaTheme="minorEastAsia"/>
          <w:color w:val="auto"/>
          <w:kern w:val="0"/>
          <w:sz w:val="24"/>
          <w:highlight w:val="none"/>
          <w:lang w:eastAsia="zh-CN"/>
        </w:rPr>
      </w:pPr>
      <w:r>
        <w:rPr>
          <w:rFonts w:asciiTheme="minorEastAsia" w:hAnsiTheme="minorEastAsia" w:eastAsiaTheme="minorEastAsia"/>
          <w:color w:val="auto"/>
          <w:kern w:val="0"/>
          <w:sz w:val="24"/>
          <w:highlight w:val="none"/>
        </w:rPr>
        <w:t>收 件 人：</w:t>
      </w:r>
      <w:r>
        <w:rPr>
          <w:rFonts w:hint="eastAsia" w:asciiTheme="minorEastAsia" w:hAnsiTheme="minorEastAsia" w:eastAsiaTheme="minorEastAsia"/>
          <w:color w:val="auto"/>
          <w:kern w:val="0"/>
          <w:sz w:val="24"/>
          <w:highlight w:val="none"/>
          <w:lang w:eastAsia="zh-CN"/>
        </w:rPr>
        <w:t>熊琳娜</w:t>
      </w:r>
    </w:p>
    <w:p>
      <w:pPr>
        <w:spacing w:line="360" w:lineRule="auto"/>
        <w:ind w:firstLine="480" w:firstLineChars="200"/>
        <w:rPr>
          <w:rFonts w:hint="default" w:cs="宋体" w:asciiTheme="minorEastAsia" w:hAnsiTheme="minorEastAsia" w:eastAsiaTheme="minorEastAsia"/>
          <w:color w:val="auto"/>
          <w:sz w:val="24"/>
          <w:szCs w:val="24"/>
          <w:highlight w:val="none"/>
          <w:lang w:val="en-US" w:eastAsia="zh-CN"/>
        </w:rPr>
      </w:pPr>
      <w:r>
        <w:rPr>
          <w:rFonts w:asciiTheme="minorEastAsia" w:hAnsiTheme="minorEastAsia" w:eastAsiaTheme="minorEastAsia"/>
          <w:color w:val="auto"/>
          <w:kern w:val="0"/>
          <w:sz w:val="24"/>
          <w:highlight w:val="none"/>
        </w:rPr>
        <w:t>联系电话：</w:t>
      </w:r>
      <w:r>
        <w:rPr>
          <w:rFonts w:ascii="宋体" w:hAnsi="宋体" w:eastAsia="宋体" w:cs="宋体"/>
          <w:sz w:val="24"/>
          <w:szCs w:val="24"/>
        </w:rPr>
        <w:t>13755186100</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邮    编：</w:t>
      </w:r>
      <w:r>
        <w:rPr>
          <w:rFonts w:hint="eastAsia" w:cs="宋体" w:asciiTheme="minorEastAsia" w:hAnsiTheme="minorEastAsia" w:eastAsiaTheme="minorEastAsia"/>
          <w:color w:val="auto"/>
          <w:sz w:val="24"/>
          <w:szCs w:val="24"/>
          <w:highlight w:val="none"/>
        </w:rPr>
        <w:t>410007</w:t>
      </w:r>
    </w:p>
    <w:p>
      <w:pPr>
        <w:pStyle w:val="3"/>
        <w:rPr>
          <w:rFonts w:asciiTheme="minorEastAsia" w:hAnsiTheme="minorEastAsia" w:eastAsiaTheme="minorEastAsia"/>
          <w:color w:val="auto"/>
          <w:highlight w:val="none"/>
        </w:rPr>
      </w:pPr>
      <w:bookmarkStart w:id="7" w:name="_Toc86399294"/>
      <w:r>
        <w:rPr>
          <w:rFonts w:asciiTheme="minorEastAsia" w:hAnsiTheme="minorEastAsia" w:eastAsiaTheme="minorEastAsia"/>
          <w:color w:val="auto"/>
          <w:highlight w:val="none"/>
        </w:rPr>
        <w:t>第四条　交货期限要求、地点及方式</w:t>
      </w:r>
      <w:bookmarkEnd w:id="6"/>
      <w:bookmarkEnd w:id="7"/>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4.1 乙方每批产品在交付前须将出厂检验报告发送</w:t>
      </w:r>
      <w:r>
        <w:rPr>
          <w:rFonts w:hint="eastAsia" w:asciiTheme="minorEastAsia" w:hAnsiTheme="minorEastAsia" w:eastAsiaTheme="minorEastAsia"/>
          <w:color w:val="auto"/>
          <w:sz w:val="24"/>
          <w:highlight w:val="none"/>
        </w:rPr>
        <w:t>至</w:t>
      </w:r>
      <w:r>
        <w:rPr>
          <w:rFonts w:asciiTheme="minorEastAsia" w:hAnsiTheme="minorEastAsia" w:eastAsiaTheme="minorEastAsia"/>
          <w:color w:val="auto"/>
          <w:sz w:val="24"/>
          <w:highlight w:val="none"/>
        </w:rPr>
        <w:t>甲方邮箱【</w:t>
      </w:r>
      <w:r>
        <w:rPr>
          <w:rFonts w:ascii="宋体" w:hAnsi="宋体" w:eastAsia="宋体" w:cs="宋体"/>
          <w:sz w:val="24"/>
          <w:szCs w:val="24"/>
        </w:rPr>
        <w:t>924228873@qq.com</w:t>
      </w:r>
      <w:r>
        <w:rPr>
          <w:rFonts w:asciiTheme="minorEastAsia" w:hAnsiTheme="minorEastAsia" w:eastAsiaTheme="minorEastAsia"/>
          <w:color w:val="auto"/>
          <w:sz w:val="24"/>
          <w:highlight w:val="none"/>
        </w:rPr>
        <w:t>】，获得甲方邮件回复同意后方可供货，甲方在发货前7日内以电子邮件形式通知乙方到货时间，乙方接</w:t>
      </w:r>
      <w:r>
        <w:rPr>
          <w:rFonts w:hint="eastAsia" w:asciiTheme="minorEastAsia" w:hAnsiTheme="minorEastAsia" w:eastAsiaTheme="minorEastAsia"/>
          <w:color w:val="auto"/>
          <w:sz w:val="24"/>
          <w:highlight w:val="none"/>
        </w:rPr>
        <w:t>收</w:t>
      </w:r>
      <w:r>
        <w:rPr>
          <w:rFonts w:asciiTheme="minorEastAsia" w:hAnsiTheme="minorEastAsia" w:eastAsiaTheme="minorEastAsia"/>
          <w:color w:val="auto"/>
          <w:sz w:val="24"/>
          <w:highlight w:val="none"/>
        </w:rPr>
        <w:t>邮箱为【】。</w:t>
      </w:r>
    </w:p>
    <w:p>
      <w:pPr>
        <w:spacing w:line="360" w:lineRule="auto"/>
        <w:rPr>
          <w:rFonts w:hint="eastAsia" w:cs="宋体"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4.2 </w:t>
      </w:r>
      <w:r>
        <w:rPr>
          <w:rFonts w:hint="eastAsia" w:cs="宋体" w:asciiTheme="minorEastAsia" w:hAnsiTheme="minorEastAsia" w:eastAsiaTheme="minorEastAsia"/>
          <w:color w:val="auto"/>
          <w:sz w:val="24"/>
          <w:highlight w:val="none"/>
        </w:rPr>
        <w:t>具体安排如下：</w:t>
      </w:r>
    </w:p>
    <w:tbl>
      <w:tblPr>
        <w:tblStyle w:val="16"/>
        <w:tblpPr w:leftFromText="180" w:rightFromText="180" w:vertAnchor="text" w:horzAnchor="page" w:tblpX="1283" w:tblpY="417"/>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98"/>
        <w:gridCol w:w="1320"/>
        <w:gridCol w:w="2442"/>
        <w:gridCol w:w="1459"/>
        <w:gridCol w:w="812"/>
        <w:gridCol w:w="94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tblHeader/>
        </w:trPr>
        <w:tc>
          <w:tcPr>
            <w:tcW w:w="162"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序号</w:t>
            </w:r>
          </w:p>
        </w:tc>
        <w:tc>
          <w:tcPr>
            <w:tcW w:w="717"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设备名称</w:t>
            </w:r>
          </w:p>
        </w:tc>
        <w:tc>
          <w:tcPr>
            <w:tcW w:w="1326"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基本型式</w:t>
            </w:r>
          </w:p>
        </w:tc>
        <w:tc>
          <w:tcPr>
            <w:tcW w:w="792"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主要指标</w:t>
            </w:r>
          </w:p>
        </w:tc>
        <w:tc>
          <w:tcPr>
            <w:tcW w:w="441"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b w:val="0"/>
                <w:bCs w:val="0"/>
                <w:highlight w:val="none"/>
              </w:rPr>
            </w:pPr>
            <w:r>
              <w:rPr>
                <w:rFonts w:hint="eastAsia" w:ascii="宋体" w:hAnsi="宋体" w:eastAsia="宋体" w:cs="宋体"/>
                <w:b w:val="0"/>
                <w:bCs w:val="0"/>
                <w:i w:val="0"/>
                <w:color w:val="auto"/>
                <w:kern w:val="0"/>
                <w:sz w:val="21"/>
                <w:szCs w:val="21"/>
                <w:highlight w:val="none"/>
                <w:u w:val="none"/>
                <w:lang w:val="en-US" w:eastAsia="zh-CN" w:bidi="ar"/>
              </w:rPr>
              <w:t>单位</w:t>
            </w:r>
          </w:p>
        </w:tc>
        <w:tc>
          <w:tcPr>
            <w:tcW w:w="513"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数量</w:t>
            </w:r>
          </w:p>
        </w:tc>
        <w:tc>
          <w:tcPr>
            <w:tcW w:w="1046"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交货进度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6" w:hRule="atLeast"/>
        </w:trPr>
        <w:tc>
          <w:tcPr>
            <w:tcW w:w="162"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1</w:t>
            </w:r>
          </w:p>
        </w:tc>
        <w:tc>
          <w:tcPr>
            <w:tcW w:w="717"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Ansi="宋体"/>
                <w:color w:val="0C0C0C"/>
                <w:kern w:val="0"/>
                <w:sz w:val="21"/>
                <w:highlight w:val="none"/>
              </w:rPr>
            </w:pPr>
            <w:r>
              <w:rPr>
                <w:rFonts w:hAnsi="宋体"/>
                <w:color w:val="0C0C0C"/>
                <w:kern w:val="0"/>
                <w:sz w:val="21"/>
                <w:highlight w:val="none"/>
              </w:rPr>
              <w:t>组串</w:t>
            </w:r>
            <w:r>
              <w:rPr>
                <w:rFonts w:hint="eastAsia" w:hAnsi="宋体"/>
                <w:color w:val="0C0C0C"/>
                <w:kern w:val="0"/>
                <w:sz w:val="21"/>
                <w:highlight w:val="none"/>
              </w:rPr>
              <w:t>式</w:t>
            </w:r>
            <w:r>
              <w:rPr>
                <w:rFonts w:hAnsi="宋体"/>
                <w:color w:val="0C0C0C"/>
                <w:kern w:val="0"/>
                <w:sz w:val="21"/>
                <w:highlight w:val="none"/>
              </w:rPr>
              <w:t>并网逆变器</w:t>
            </w:r>
          </w:p>
        </w:tc>
        <w:tc>
          <w:tcPr>
            <w:tcW w:w="1326" w:type="pct"/>
            <w:shd w:val="clear" w:color="auto" w:fill="auto"/>
            <w:tcMar>
              <w:top w:w="15" w:type="dxa"/>
              <w:left w:w="15" w:type="dxa"/>
              <w:right w:w="15" w:type="dxa"/>
            </w:tcMar>
            <w:vAlign w:val="center"/>
          </w:tcPr>
          <w:p>
            <w:pPr>
              <w:tabs>
                <w:tab w:val="left" w:pos="0"/>
                <w:tab w:val="left" w:pos="1134"/>
              </w:tabs>
              <w:spacing w:line="240" w:lineRule="auto"/>
              <w:textAlignment w:val="baseline"/>
              <w:rPr>
                <w:color w:val="0C0C0C"/>
                <w:kern w:val="0"/>
                <w:sz w:val="21"/>
                <w:highlight w:val="none"/>
              </w:rPr>
            </w:pPr>
            <w:r>
              <w:rPr>
                <w:rFonts w:hint="eastAsia" w:hAnsi="宋体"/>
                <w:color w:val="0C0C0C"/>
                <w:kern w:val="0"/>
                <w:sz w:val="21"/>
                <w:highlight w:val="none"/>
                <w:lang w:eastAsia="zh-CN"/>
              </w:rPr>
              <w:t>最大</w:t>
            </w:r>
            <w:r>
              <w:rPr>
                <w:rFonts w:hAnsi="宋体"/>
                <w:color w:val="0C0C0C"/>
                <w:kern w:val="0"/>
                <w:sz w:val="21"/>
                <w:highlight w:val="none"/>
              </w:rPr>
              <w:t>输入电压：</w:t>
            </w:r>
            <w:r>
              <w:rPr>
                <w:rFonts w:hint="eastAsia" w:hAnsi="宋体"/>
                <w:color w:val="0C0C0C"/>
                <w:kern w:val="0"/>
                <w:sz w:val="21"/>
                <w:highlight w:val="none"/>
              </w:rPr>
              <w:t>不低于</w:t>
            </w:r>
            <w:r>
              <w:rPr>
                <w:rFonts w:hint="eastAsia"/>
                <w:color w:val="0C0C0C"/>
                <w:kern w:val="0"/>
                <w:sz w:val="21"/>
                <w:highlight w:val="none"/>
                <w:lang w:val="en-US" w:eastAsia="zh-CN"/>
              </w:rPr>
              <w:t>1500</w:t>
            </w:r>
            <w:r>
              <w:rPr>
                <w:color w:val="0C0C0C"/>
                <w:kern w:val="0"/>
                <w:sz w:val="21"/>
                <w:highlight w:val="none"/>
              </w:rPr>
              <w:t>V</w:t>
            </w:r>
          </w:p>
          <w:p>
            <w:pPr>
              <w:tabs>
                <w:tab w:val="left" w:pos="0"/>
                <w:tab w:val="left" w:pos="1134"/>
              </w:tabs>
              <w:spacing w:line="240" w:lineRule="auto"/>
              <w:textAlignment w:val="baseline"/>
              <w:rPr>
                <w:color w:val="0C0C0C"/>
                <w:kern w:val="0"/>
                <w:sz w:val="21"/>
                <w:highlight w:val="none"/>
              </w:rPr>
            </w:pPr>
            <w:r>
              <w:rPr>
                <w:rFonts w:hint="eastAsia" w:hAnsi="宋体"/>
                <w:color w:val="0C0C0C"/>
                <w:kern w:val="0"/>
                <w:sz w:val="21"/>
                <w:highlight w:val="none"/>
              </w:rPr>
              <w:t>输出</w:t>
            </w:r>
            <w:r>
              <w:rPr>
                <w:rFonts w:hAnsi="宋体"/>
                <w:color w:val="0C0C0C"/>
                <w:kern w:val="0"/>
                <w:sz w:val="21"/>
                <w:highlight w:val="none"/>
              </w:rPr>
              <w:t>电压：</w:t>
            </w:r>
            <w:r>
              <w:rPr>
                <w:rFonts w:hint="eastAsia" w:hAnsi="宋体"/>
                <w:color w:val="0C0C0C"/>
                <w:kern w:val="0"/>
                <w:sz w:val="21"/>
                <w:highlight w:val="none"/>
              </w:rPr>
              <w:t>不低于</w:t>
            </w:r>
            <w:r>
              <w:rPr>
                <w:rFonts w:hint="eastAsia" w:hAnsi="宋体"/>
                <w:color w:val="0C0C0C"/>
                <w:kern w:val="0"/>
                <w:sz w:val="21"/>
                <w:highlight w:val="none"/>
                <w:lang w:val="en-US" w:eastAsia="zh-CN"/>
              </w:rPr>
              <w:t>80</w:t>
            </w:r>
            <w:r>
              <w:rPr>
                <w:rFonts w:hint="eastAsia" w:hAnsi="宋体"/>
                <w:color w:val="0C0C0C"/>
                <w:kern w:val="0"/>
                <w:sz w:val="21"/>
                <w:highlight w:val="none"/>
              </w:rPr>
              <w:t>0</w:t>
            </w:r>
            <w:r>
              <w:rPr>
                <w:color w:val="0C0C0C"/>
                <w:kern w:val="0"/>
                <w:sz w:val="21"/>
                <w:highlight w:val="none"/>
              </w:rPr>
              <w:t>V</w:t>
            </w:r>
          </w:p>
          <w:p>
            <w:pPr>
              <w:keepNext w:val="0"/>
              <w:keepLines w:val="0"/>
              <w:widowControl/>
              <w:suppressLineNumbers w:val="0"/>
              <w:spacing w:line="240" w:lineRule="auto"/>
              <w:jc w:val="center"/>
              <w:textAlignment w:val="center"/>
              <w:rPr>
                <w:rFonts w:hint="eastAsia" w:hAnsi="宋体" w:cs="宋体"/>
                <w:b w:val="0"/>
                <w:bCs w:val="0"/>
                <w:sz w:val="21"/>
                <w:szCs w:val="21"/>
                <w:highlight w:val="none"/>
                <w:lang w:val="en-US" w:eastAsia="zh-CN"/>
              </w:rPr>
            </w:pPr>
            <w:r>
              <w:rPr>
                <w:rFonts w:hAnsi="宋体"/>
                <w:color w:val="0C0C0C"/>
                <w:kern w:val="0"/>
                <w:sz w:val="21"/>
                <w:highlight w:val="none"/>
              </w:rPr>
              <w:t>规格型号：</w:t>
            </w:r>
            <w:r>
              <w:rPr>
                <w:rFonts w:hint="eastAsia" w:hAnsi="宋体"/>
                <w:color w:val="0C0C0C"/>
                <w:kern w:val="0"/>
                <w:sz w:val="21"/>
                <w:highlight w:val="none"/>
                <w:lang w:eastAsia="zh-CN"/>
              </w:rPr>
              <w:t>单台容量</w:t>
            </w:r>
            <w:r>
              <w:rPr>
                <w:rFonts w:hint="eastAsia"/>
                <w:color w:val="0C0C0C"/>
                <w:kern w:val="0"/>
                <w:sz w:val="21"/>
                <w:highlight w:val="none"/>
                <w:lang w:eastAsia="zh-CN"/>
              </w:rPr>
              <w:t>不低于</w:t>
            </w:r>
            <w:r>
              <w:rPr>
                <w:rFonts w:hint="eastAsia"/>
                <w:color w:val="0C0C0C"/>
                <w:kern w:val="0"/>
                <w:sz w:val="21"/>
                <w:highlight w:val="none"/>
                <w:lang w:val="en-US" w:eastAsia="zh-CN"/>
              </w:rPr>
              <w:t>225</w:t>
            </w:r>
            <w:r>
              <w:rPr>
                <w:rFonts w:hint="eastAsia"/>
                <w:color w:val="0C0C0C"/>
                <w:kern w:val="0"/>
                <w:sz w:val="21"/>
                <w:highlight w:val="none"/>
              </w:rPr>
              <w:t>kW</w:t>
            </w:r>
          </w:p>
        </w:tc>
        <w:tc>
          <w:tcPr>
            <w:tcW w:w="792"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满足技术规范书要求</w:t>
            </w:r>
          </w:p>
        </w:tc>
        <w:tc>
          <w:tcPr>
            <w:tcW w:w="441"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b w:val="0"/>
                <w:bCs w:val="0"/>
                <w:highlight w:val="none"/>
                <w:lang w:val="en-US"/>
              </w:rPr>
            </w:pPr>
            <w:r>
              <w:rPr>
                <w:rFonts w:hint="eastAsia" w:ascii="宋体" w:hAnsi="宋体" w:cs="宋体"/>
                <w:b w:val="0"/>
                <w:bCs w:val="0"/>
                <w:i w:val="0"/>
                <w:color w:val="auto"/>
                <w:kern w:val="0"/>
                <w:sz w:val="21"/>
                <w:szCs w:val="21"/>
                <w:highlight w:val="none"/>
                <w:u w:val="none"/>
                <w:lang w:val="en-US" w:eastAsia="zh-CN" w:bidi="ar"/>
              </w:rPr>
              <w:t>台</w:t>
            </w:r>
          </w:p>
        </w:tc>
        <w:tc>
          <w:tcPr>
            <w:tcW w:w="513" w:type="pct"/>
            <w:shd w:val="clear" w:color="auto" w:fill="auto"/>
            <w:tcMar>
              <w:top w:w="15" w:type="dxa"/>
              <w:left w:w="15" w:type="dxa"/>
              <w:right w:w="15" w:type="dxa"/>
            </w:tcMar>
            <w:vAlign w:val="center"/>
          </w:tcPr>
          <w:p>
            <w:pPr>
              <w:rPr>
                <w:highlight w:val="none"/>
              </w:rPr>
            </w:pPr>
          </w:p>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170</w:t>
            </w:r>
          </w:p>
        </w:tc>
        <w:tc>
          <w:tcPr>
            <w:tcW w:w="1046" w:type="pct"/>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snapToGrid/>
              <w:spacing w:before="0" w:after="0" w:line="240" w:lineRule="auto"/>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2022</w:t>
            </w:r>
            <w:r>
              <w:rPr>
                <w:rFonts w:hint="eastAsia" w:ascii="宋体" w:hAnsi="宋体" w:eastAsia="宋体" w:cs="宋体"/>
                <w:b w:val="0"/>
                <w:bCs w:val="0"/>
                <w:sz w:val="21"/>
                <w:szCs w:val="21"/>
                <w:highlight w:val="none"/>
                <w:lang w:eastAsia="zh-CN"/>
              </w:rPr>
              <w:t>年</w:t>
            </w:r>
            <w:r>
              <w:rPr>
                <w:rFonts w:hint="eastAsia" w:ascii="宋体" w:hAnsi="宋体" w:eastAsia="宋体" w:cs="宋体"/>
                <w:b w:val="0"/>
                <w:bCs w:val="0"/>
                <w:sz w:val="21"/>
                <w:szCs w:val="21"/>
                <w:highlight w:val="none"/>
                <w:lang w:val="en-US" w:eastAsia="zh-CN"/>
              </w:rPr>
              <w:t>12</w:t>
            </w:r>
            <w:r>
              <w:rPr>
                <w:rFonts w:hint="eastAsia" w:ascii="宋体" w:hAnsi="宋体" w:eastAsia="宋体" w:cs="宋体"/>
                <w:b w:val="0"/>
                <w:bCs w:val="0"/>
                <w:sz w:val="21"/>
                <w:szCs w:val="21"/>
                <w:highlight w:val="none"/>
                <w:lang w:eastAsia="zh-CN"/>
              </w:rPr>
              <w:t>月</w:t>
            </w:r>
            <w:r>
              <w:rPr>
                <w:rFonts w:hint="eastAsia" w:ascii="宋体" w:hAnsi="宋体" w:eastAsia="宋体" w:cs="宋体"/>
                <w:b w:val="0"/>
                <w:bCs w:val="0"/>
                <w:sz w:val="21"/>
                <w:szCs w:val="21"/>
                <w:highlight w:val="none"/>
                <w:lang w:val="en-US" w:eastAsia="zh-CN"/>
              </w:rPr>
              <w:t>30</w:t>
            </w:r>
            <w:r>
              <w:rPr>
                <w:rFonts w:hint="eastAsia" w:ascii="宋体" w:hAnsi="宋体" w:eastAsia="宋体" w:cs="宋体"/>
                <w:b w:val="0"/>
                <w:bCs w:val="0"/>
                <w:sz w:val="21"/>
                <w:szCs w:val="21"/>
                <w:highlight w:val="none"/>
                <w:lang w:eastAsia="zh-CN"/>
              </w:rPr>
              <w:t>日前货到现场</w:t>
            </w:r>
            <w:r>
              <w:rPr>
                <w:rFonts w:hint="eastAsia" w:ascii="宋体" w:hAnsi="宋体" w:cs="宋体"/>
                <w:b w:val="0"/>
                <w:bCs w:val="0"/>
                <w:sz w:val="21"/>
                <w:szCs w:val="21"/>
                <w:highlight w:val="none"/>
                <w:lang w:eastAsia="zh-CN"/>
              </w:rPr>
              <w:t>（含备品备件、专用工具等）</w:t>
            </w:r>
          </w:p>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bookmarkStart w:id="47" w:name="_GoBack"/>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trPr>
        <w:tc>
          <w:tcPr>
            <w:tcW w:w="162"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highlight w:val="none"/>
                <w:lang w:val="en-US" w:eastAsia="zh-CN"/>
              </w:rPr>
            </w:pPr>
            <w:r>
              <w:rPr>
                <w:rFonts w:hint="eastAsia"/>
                <w:highlight w:val="none"/>
                <w:lang w:val="en-US" w:eastAsia="zh-CN"/>
              </w:rPr>
              <w:t>2</w:t>
            </w:r>
          </w:p>
        </w:tc>
        <w:tc>
          <w:tcPr>
            <w:tcW w:w="717"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highlight w:val="none"/>
                <w:lang w:eastAsia="zh-CN"/>
              </w:rPr>
            </w:pPr>
            <w:r>
              <w:rPr>
                <w:rFonts w:hint="eastAsia" w:hAnsi="宋体" w:eastAsia="宋体"/>
                <w:color w:val="0C0C0C"/>
                <w:kern w:val="0"/>
                <w:sz w:val="21"/>
                <w:highlight w:val="none"/>
              </w:rPr>
              <w:t>智能数据采集系统</w:t>
            </w:r>
          </w:p>
        </w:tc>
        <w:tc>
          <w:tcPr>
            <w:tcW w:w="1326"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highlight w:val="none"/>
                <w:lang w:eastAsia="zh-CN"/>
              </w:rPr>
            </w:pPr>
            <w:r>
              <w:rPr>
                <w:rFonts w:hint="eastAsia" w:hAnsi="宋体"/>
                <w:color w:val="0C0C0C"/>
                <w:kern w:val="0"/>
                <w:sz w:val="21"/>
                <w:highlight w:val="none"/>
              </w:rPr>
              <w:t>含数据采集器、PLC和PID</w:t>
            </w:r>
            <w:r>
              <w:rPr>
                <w:rFonts w:hint="eastAsia" w:hAnsi="宋体"/>
                <w:color w:val="0C0C0C"/>
                <w:kern w:val="0"/>
                <w:sz w:val="21"/>
                <w:highlight w:val="none"/>
                <w:lang w:eastAsia="zh-CN"/>
              </w:rPr>
              <w:t>；环网型</w:t>
            </w:r>
          </w:p>
        </w:tc>
        <w:tc>
          <w:tcPr>
            <w:tcW w:w="792"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highlight w:val="none"/>
                <w:lang w:eastAsia="zh-CN"/>
              </w:rPr>
            </w:pPr>
            <w:r>
              <w:rPr>
                <w:rFonts w:hint="eastAsia"/>
                <w:highlight w:val="none"/>
                <w:lang w:eastAsia="zh-CN"/>
              </w:rPr>
              <w:t>满足技术规范书要求</w:t>
            </w:r>
          </w:p>
        </w:tc>
        <w:tc>
          <w:tcPr>
            <w:tcW w:w="441"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highlight w:val="none"/>
                <w:lang w:eastAsia="zh-CN"/>
              </w:rPr>
            </w:pPr>
            <w:r>
              <w:rPr>
                <w:rFonts w:hint="eastAsia"/>
                <w:highlight w:val="none"/>
                <w:lang w:eastAsia="zh-CN"/>
              </w:rPr>
              <w:t>台</w:t>
            </w:r>
          </w:p>
        </w:tc>
        <w:tc>
          <w:tcPr>
            <w:tcW w:w="513" w:type="pc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18</w:t>
            </w:r>
          </w:p>
        </w:tc>
        <w:tc>
          <w:tcPr>
            <w:tcW w:w="1046" w:type="pct"/>
            <w:vMerge w:val="continue"/>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1"/>
                <w:szCs w:val="21"/>
                <w:highlight w:val="none"/>
                <w:u w:val="none"/>
                <w:lang w:val="en-US" w:eastAsia="zh-CN" w:bidi="ar"/>
              </w:rPr>
            </w:pPr>
          </w:p>
        </w:tc>
      </w:tr>
    </w:tbl>
    <w:p>
      <w:pPr>
        <w:pStyle w:val="15"/>
      </w:pPr>
    </w:p>
    <w:p>
      <w:pPr>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highlight w:val="none"/>
        </w:rPr>
        <w:t>1）排产及到货时间：</w:t>
      </w:r>
      <w:r>
        <w:rPr>
          <w:rFonts w:hint="eastAsia" w:cs="宋体" w:asciiTheme="minorEastAsia" w:hAnsiTheme="minorEastAsia" w:eastAsiaTheme="minorEastAsia"/>
          <w:color w:val="auto"/>
          <w:sz w:val="24"/>
          <w:szCs w:val="24"/>
          <w:highlight w:val="none"/>
        </w:rPr>
        <w:t>具体数量、时间</w:t>
      </w:r>
      <w:r>
        <w:rPr>
          <w:rFonts w:asciiTheme="minorEastAsia" w:hAnsiTheme="minorEastAsia" w:eastAsiaTheme="minorEastAsia"/>
          <w:color w:val="auto"/>
          <w:sz w:val="24"/>
          <w:szCs w:val="24"/>
          <w:highlight w:val="none"/>
        </w:rPr>
        <w:t>以甲方通知为准</w:t>
      </w:r>
      <w:r>
        <w:rPr>
          <w:rFonts w:hint="eastAsia" w:asciiTheme="minorEastAsia" w:hAnsiTheme="minorEastAsia" w:eastAsiaTheme="minorEastAsia"/>
          <w:color w:val="auto"/>
          <w:sz w:val="24"/>
          <w:szCs w:val="24"/>
          <w:highlight w:val="none"/>
        </w:rPr>
        <w:t>, 甲方的书面通知可以以电子邮箱【</w:t>
      </w:r>
      <w:r>
        <w:rPr>
          <w:rFonts w:ascii="宋体" w:hAnsi="宋体" w:eastAsia="宋体" w:cs="宋体"/>
          <w:sz w:val="24"/>
          <w:szCs w:val="24"/>
        </w:rPr>
        <w:t>924228873@qq.com</w:t>
      </w:r>
      <w:r>
        <w:rPr>
          <w:rFonts w:hint="eastAsia" w:asciiTheme="minorEastAsia" w:hAnsiTheme="minorEastAsia" w:eastAsiaTheme="minorEastAsia"/>
          <w:color w:val="auto"/>
          <w:sz w:val="24"/>
          <w:szCs w:val="24"/>
          <w:highlight w:val="none"/>
        </w:rPr>
        <w:t>】向乙方发送，</w:t>
      </w:r>
      <w:r>
        <w:rPr>
          <w:rFonts w:hint="eastAsia" w:asciiTheme="minorEastAsia" w:hAnsiTheme="minorEastAsia" w:eastAsiaTheme="minorEastAsia"/>
          <w:bCs/>
          <w:color w:val="auto"/>
          <w:sz w:val="24"/>
          <w:szCs w:val="24"/>
          <w:highlight w:val="none"/>
        </w:rPr>
        <w:t>乙方收到书面排产通知单时进行排产生产</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2）交货地点及收货联系人</w:t>
      </w:r>
    </w:p>
    <w:p>
      <w:pPr>
        <w:spacing w:line="360" w:lineRule="auto"/>
        <w:ind w:firstLine="840" w:firstLineChars="350"/>
        <w:rPr>
          <w:rFonts w:hint="eastAsia" w:cs="宋体" w:asciiTheme="minorEastAsia" w:hAnsiTheme="minorEastAsia" w:eastAsiaTheme="minorEastAsia"/>
          <w:color w:val="auto"/>
          <w:sz w:val="24"/>
          <w:szCs w:val="24"/>
          <w:highlight w:val="none"/>
          <w:lang w:eastAsia="zh-CN"/>
        </w:rPr>
      </w:pPr>
      <w:r>
        <w:rPr>
          <w:rFonts w:hint="eastAsia" w:cs="宋体" w:asciiTheme="minorEastAsia" w:hAnsiTheme="minorEastAsia" w:eastAsiaTheme="minorEastAsia"/>
          <w:color w:val="auto"/>
          <w:sz w:val="24"/>
          <w:szCs w:val="24"/>
          <w:highlight w:val="none"/>
        </w:rPr>
        <w:t>收货地址：</w:t>
      </w:r>
      <w:r>
        <w:rPr>
          <w:rFonts w:hint="eastAsia" w:asciiTheme="minorEastAsia" w:hAnsiTheme="minorEastAsia" w:eastAsiaTheme="minorEastAsia"/>
          <w:color w:val="auto"/>
          <w:sz w:val="24"/>
          <w:szCs w:val="24"/>
          <w:highlight w:val="none"/>
          <w:lang w:eastAsia="zh-CN"/>
        </w:rPr>
        <w:t>湖南省武冈市</w:t>
      </w:r>
    </w:p>
    <w:p>
      <w:pPr>
        <w:spacing w:line="360" w:lineRule="auto"/>
        <w:ind w:firstLine="840" w:firstLineChars="350"/>
        <w:rPr>
          <w:rFonts w:hint="default" w:cs="宋体" w:asciiTheme="minorEastAsia" w:hAnsiTheme="minorEastAsia" w:eastAsiaTheme="minorEastAsia"/>
          <w:color w:val="auto"/>
          <w:sz w:val="24"/>
          <w:szCs w:val="24"/>
          <w:highlight w:val="none"/>
          <w:lang w:val="en-US" w:eastAsia="zh-CN"/>
        </w:rPr>
      </w:pPr>
      <w:r>
        <w:rPr>
          <w:rFonts w:hint="eastAsia" w:cs="宋体" w:asciiTheme="minorEastAsia" w:hAnsiTheme="minorEastAsia" w:eastAsiaTheme="minorEastAsia"/>
          <w:color w:val="auto"/>
          <w:sz w:val="24"/>
          <w:szCs w:val="24"/>
          <w:highlight w:val="none"/>
        </w:rPr>
        <w:t>收货联系人：</w:t>
      </w:r>
      <w:r>
        <w:rPr>
          <w:rFonts w:hint="eastAsia" w:cs="宋体" w:asciiTheme="minorEastAsia" w:hAnsiTheme="minorEastAsia" w:eastAsiaTheme="minorEastAsia"/>
          <w:color w:val="auto"/>
          <w:sz w:val="24"/>
          <w:szCs w:val="24"/>
          <w:highlight w:val="none"/>
          <w:lang w:eastAsia="zh-CN"/>
        </w:rPr>
        <w:t>张衡求</w:t>
      </w:r>
      <w:r>
        <w:rPr>
          <w:rFonts w:hint="eastAsia" w:cs="宋体" w:asciiTheme="minorEastAsia" w:hAnsiTheme="minorEastAsia" w:eastAsiaTheme="minorEastAsia"/>
          <w:color w:val="auto"/>
          <w:sz w:val="24"/>
          <w:szCs w:val="24"/>
          <w:highlight w:val="none"/>
          <w:lang w:val="en-US" w:eastAsia="zh-CN"/>
        </w:rPr>
        <w:t xml:space="preserve"> </w:t>
      </w:r>
      <w:r>
        <w:rPr>
          <w:rFonts w:ascii="宋体" w:hAnsi="宋体" w:eastAsia="宋体" w:cs="宋体"/>
          <w:sz w:val="24"/>
          <w:szCs w:val="24"/>
        </w:rPr>
        <w:t>13319692621</w:t>
      </w:r>
    </w:p>
    <w:p>
      <w:pPr>
        <w:spacing w:line="360" w:lineRule="auto"/>
        <w:ind w:left="480" w:hanging="480" w:hanging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szCs w:val="24"/>
          <w:highlight w:val="none"/>
        </w:rPr>
        <w:t>4.3</w:t>
      </w:r>
      <w:r>
        <w:rPr>
          <w:rFonts w:cs="宋体" w:asciiTheme="minorEastAsia" w:hAnsiTheme="minorEastAsia" w:eastAsiaTheme="minorEastAsia"/>
          <w:color w:val="auto"/>
          <w:sz w:val="24"/>
          <w:szCs w:val="24"/>
          <w:highlight w:val="none"/>
        </w:rPr>
        <w:t xml:space="preserve"> </w:t>
      </w:r>
      <w:r>
        <w:rPr>
          <w:rFonts w:hint="eastAsia" w:cs="宋体" w:asciiTheme="minorEastAsia" w:hAnsiTheme="minorEastAsia" w:eastAsiaTheme="minorEastAsia"/>
          <w:color w:val="auto"/>
          <w:sz w:val="24"/>
          <w:highlight w:val="none"/>
        </w:rPr>
        <w:t>交货变更：如需变更收货地址、收货人等信息，甲方可以以电子邮箱【</w:t>
      </w:r>
      <w:r>
        <w:rPr>
          <w:rFonts w:ascii="宋体" w:hAnsi="宋体" w:eastAsia="宋体" w:cs="宋体"/>
          <w:sz w:val="24"/>
          <w:szCs w:val="24"/>
        </w:rPr>
        <w:t>924228873@qq.com</w:t>
      </w:r>
      <w:r>
        <w:rPr>
          <w:rFonts w:hint="eastAsia" w:cs="宋体" w:asciiTheme="minorEastAsia" w:hAnsiTheme="minorEastAsia" w:eastAsiaTheme="minorEastAsia"/>
          <w:color w:val="auto"/>
          <w:sz w:val="24"/>
          <w:highlight w:val="none"/>
        </w:rPr>
        <w:t>】向乙方发送通知或出具加盖中机国际工程设计研究院有限责任公司公章、合同章或本项目章的送货委托书面通知。</w:t>
      </w:r>
    </w:p>
    <w:p>
      <w:pPr>
        <w:pStyle w:val="3"/>
        <w:rPr>
          <w:rFonts w:asciiTheme="minorEastAsia" w:hAnsiTheme="minorEastAsia" w:eastAsiaTheme="minorEastAsia"/>
          <w:color w:val="auto"/>
          <w:highlight w:val="none"/>
        </w:rPr>
      </w:pPr>
      <w:bookmarkStart w:id="8" w:name="_Toc86392959"/>
      <w:bookmarkStart w:id="9" w:name="_Toc86399295"/>
      <w:r>
        <w:rPr>
          <w:rFonts w:asciiTheme="minorEastAsia" w:hAnsiTheme="minorEastAsia" w:eastAsiaTheme="minorEastAsia"/>
          <w:color w:val="auto"/>
          <w:highlight w:val="none"/>
        </w:rPr>
        <w:t>第五条　包装及运输</w:t>
      </w:r>
      <w:bookmarkEnd w:id="8"/>
      <w:bookmarkEnd w:id="9"/>
    </w:p>
    <w:p>
      <w:pPr>
        <w:spacing w:line="360" w:lineRule="auto"/>
        <w:ind w:left="480" w:hanging="480" w:hangingChars="200"/>
        <w:rPr>
          <w:rFonts w:asciiTheme="minorEastAsia" w:hAnsiTheme="minorEastAsia" w:eastAsiaTheme="minorEastAsia"/>
          <w:color w:val="auto"/>
          <w:sz w:val="24"/>
          <w:highlight w:val="none"/>
        </w:rPr>
      </w:pPr>
      <w:bookmarkStart w:id="10" w:name="_Toc86392960"/>
      <w:r>
        <w:rPr>
          <w:rFonts w:asciiTheme="minorEastAsia" w:hAnsiTheme="minorEastAsia" w:eastAsiaTheme="minorEastAsia"/>
          <w:color w:val="auto"/>
          <w:sz w:val="24"/>
          <w:highlight w:val="none"/>
        </w:rPr>
        <w:t>5.1 将货物运送至甲方指定交货地点并交付给甲方指定收货人之前的货物运输由乙方负责，相关的运输费用、保险、保管、货物灭失及毁损的风险亦由乙方承担。</w:t>
      </w:r>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5.2 乙方应提供货物运至合同规定的最终目的地所需要的包装，以防止货物在转运中损坏或变质。乙方应根据货物特点进行坚固包装使其防水、防潮、防腐、防锈、防震及防止其他损坏的必要保护措施，并在正常情况下适于水运、空运和长途内陆运输及反复装卸和搬运的要求。产品包装必须符合国家或专业标准。乙方需在每一包装箱/物表面显著位置以显著方式标明合同号、箱号、收货人、目的地、内件品名、尺寸规格、数量、重量等内容，并对每一包装箱内货物附以标签。另外乙方应根据货物的特点及其对装卸操作的要求在包装箱显著位置以英文或中文标明“保持干燥”，“小心轻放”，“此面向上”等国际惯用图示。包装箱内应附产品合格证、成品出厂检验报告、说明书、操作及维护手册和保修卡等。</w:t>
      </w:r>
    </w:p>
    <w:p>
      <w:pPr>
        <w:pStyle w:val="3"/>
        <w:rPr>
          <w:rFonts w:asciiTheme="minorEastAsia" w:hAnsiTheme="minorEastAsia" w:eastAsiaTheme="minorEastAsia"/>
          <w:color w:val="auto"/>
          <w:highlight w:val="none"/>
        </w:rPr>
      </w:pPr>
      <w:bookmarkStart w:id="11" w:name="_Toc86399296"/>
      <w:r>
        <w:rPr>
          <w:rFonts w:asciiTheme="minorEastAsia" w:hAnsiTheme="minorEastAsia" w:eastAsiaTheme="minorEastAsia"/>
          <w:color w:val="auto"/>
          <w:highlight w:val="none"/>
        </w:rPr>
        <w:t>第六条　产品标准</w:t>
      </w:r>
      <w:bookmarkEnd w:id="10"/>
      <w:bookmarkEnd w:id="11"/>
    </w:p>
    <w:p>
      <w:pPr>
        <w:spacing w:line="360" w:lineRule="auto"/>
        <w:ind w:left="600" w:hanging="600" w:hangingChars="250"/>
        <w:rPr>
          <w:rFonts w:cs="宋体" w:asciiTheme="minorEastAsia" w:hAnsiTheme="minorEastAsia" w:eastAsiaTheme="minorEastAsia"/>
          <w:color w:val="auto"/>
          <w:sz w:val="24"/>
          <w:highlight w:val="none"/>
        </w:rPr>
      </w:pPr>
      <w:bookmarkStart w:id="12" w:name="_Toc86392961"/>
      <w:r>
        <w:rPr>
          <w:rFonts w:hint="eastAsia" w:cs="宋体" w:asciiTheme="minorEastAsia" w:hAnsiTheme="minorEastAsia" w:eastAsiaTheme="minorEastAsia"/>
          <w:color w:val="auto"/>
          <w:sz w:val="24"/>
          <w:highlight w:val="none"/>
        </w:rPr>
        <w:t>6.1</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产品的规格与型号符合双方确认的图纸要求、设计要求及技术协议要求（具体详见附件一）。</w:t>
      </w:r>
    </w:p>
    <w:p>
      <w:pPr>
        <w:spacing w:line="360" w:lineRule="auto"/>
        <w:ind w:left="552" w:hanging="552" w:hangingChars="23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6.2 提交货物的技术规格与技术文件及</w:t>
      </w:r>
      <w:r>
        <w:rPr>
          <w:rFonts w:cs="宋体" w:asciiTheme="minorEastAsia" w:hAnsiTheme="minorEastAsia" w:eastAsiaTheme="minorEastAsia"/>
          <w:color w:val="auto"/>
          <w:sz w:val="24"/>
          <w:highlight w:val="none"/>
        </w:rPr>
        <w:t>图纸</w:t>
      </w:r>
      <w:r>
        <w:rPr>
          <w:rFonts w:hint="eastAsia" w:cs="宋体" w:asciiTheme="minorEastAsia" w:hAnsiTheme="minorEastAsia" w:eastAsiaTheme="minorEastAsia"/>
          <w:color w:val="auto"/>
          <w:sz w:val="24"/>
          <w:highlight w:val="none"/>
        </w:rPr>
        <w:t>要求标准相符，若技术规格中无相应说明，则以最新颁布的相应国家标准及规范为准，无国家标准的，按行业标准执行，无国家和行业标准的，按企业标准执行。如存在不符的情况，乙方需承担由此给甲方造成的全部损失。</w:t>
      </w:r>
    </w:p>
    <w:p>
      <w:pPr>
        <w:spacing w:line="360" w:lineRule="auto"/>
        <w:ind w:left="552" w:hanging="552" w:hangingChars="23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6.3 每批货到现场，乙方必须提供该批产品出厂合格证、型式试验报告、出厂</w:t>
      </w:r>
      <w:r>
        <w:rPr>
          <w:rFonts w:cs="宋体" w:asciiTheme="minorEastAsia" w:hAnsiTheme="minorEastAsia" w:eastAsiaTheme="minorEastAsia"/>
          <w:color w:val="auto"/>
          <w:sz w:val="24"/>
          <w:highlight w:val="none"/>
        </w:rPr>
        <w:t>检验报告</w:t>
      </w:r>
      <w:r>
        <w:rPr>
          <w:rFonts w:hint="eastAsia" w:cs="宋体" w:asciiTheme="minorEastAsia" w:hAnsiTheme="minorEastAsia" w:eastAsiaTheme="minorEastAsia"/>
          <w:color w:val="auto"/>
          <w:sz w:val="24"/>
          <w:highlight w:val="none"/>
        </w:rPr>
        <w:t>、产品质量保证书等产品材质证明资料。</w:t>
      </w:r>
    </w:p>
    <w:p>
      <w:pPr>
        <w:spacing w:line="360" w:lineRule="auto"/>
        <w:ind w:left="360" w:hanging="360" w:hanging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6.4 乙方所供产品必须满足当地环境要求，使用寿命达到</w:t>
      </w:r>
      <w:r>
        <w:rPr>
          <w:rFonts w:cs="宋体" w:asciiTheme="minorEastAsia" w:hAnsiTheme="minorEastAsia" w:eastAsiaTheme="minorEastAsia"/>
          <w:color w:val="auto"/>
          <w:sz w:val="24"/>
          <w:highlight w:val="none"/>
        </w:rPr>
        <w:t>30</w:t>
      </w:r>
      <w:r>
        <w:rPr>
          <w:rFonts w:hint="eastAsia" w:cs="宋体" w:asciiTheme="minorEastAsia" w:hAnsiTheme="minorEastAsia" w:eastAsiaTheme="minorEastAsia"/>
          <w:color w:val="auto"/>
          <w:sz w:val="24"/>
          <w:highlight w:val="none"/>
        </w:rPr>
        <w:t>年。</w:t>
      </w:r>
    </w:p>
    <w:p>
      <w:pPr>
        <w:pStyle w:val="3"/>
        <w:rPr>
          <w:rFonts w:asciiTheme="minorEastAsia" w:hAnsiTheme="minorEastAsia" w:eastAsiaTheme="minorEastAsia"/>
          <w:color w:val="auto"/>
          <w:highlight w:val="none"/>
        </w:rPr>
      </w:pPr>
      <w:bookmarkStart w:id="13" w:name="_Toc86399297"/>
      <w:r>
        <w:rPr>
          <w:rFonts w:asciiTheme="minorEastAsia" w:hAnsiTheme="minorEastAsia" w:eastAsiaTheme="minorEastAsia"/>
          <w:color w:val="auto"/>
          <w:highlight w:val="none"/>
        </w:rPr>
        <w:t>第七条　交货及初步检验</w:t>
      </w:r>
      <w:bookmarkEnd w:id="12"/>
      <w:bookmarkEnd w:id="13"/>
    </w:p>
    <w:p>
      <w:pPr>
        <w:spacing w:line="360" w:lineRule="auto"/>
        <w:ind w:left="480" w:hanging="480" w:hangingChars="200"/>
        <w:rPr>
          <w:rFonts w:asciiTheme="minorEastAsia" w:hAnsiTheme="minorEastAsia" w:eastAsiaTheme="minorEastAsia"/>
          <w:color w:val="auto"/>
          <w:sz w:val="24"/>
          <w:highlight w:val="none"/>
        </w:rPr>
      </w:pPr>
      <w:bookmarkStart w:id="14" w:name="_Toc86392962"/>
      <w:r>
        <w:rPr>
          <w:rFonts w:asciiTheme="minorEastAsia" w:hAnsiTheme="minorEastAsia" w:eastAsiaTheme="minorEastAsia"/>
          <w:color w:val="auto"/>
          <w:sz w:val="24"/>
          <w:highlight w:val="none"/>
        </w:rPr>
        <w:t>7.1 本条所述的初步检验系指在不采用任何仪器检验的情况下以目测的方式对货物进检验，仅包括对产品包装、外观、型号、数量、完整、无损、清洁度的检验。</w:t>
      </w:r>
    </w:p>
    <w:p>
      <w:pPr>
        <w:spacing w:line="360" w:lineRule="auto"/>
        <w:ind w:left="360" w:hanging="360" w:hangingChars="1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7.2 交货前，乙方应对货物的质量、规格、性能、数量和重量等进行详细而全面的检验，但不能作为有关质量、规格、性能或数量的最终检验。交货时须向甲方提交产品出厂检验合格证、交货检验记录、《产品合格证明》、《质量检验报告》、《产品质量保证书》和其他相关检验证书等。</w:t>
      </w:r>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7.3 每批次货物到达甲方指定现场后</w:t>
      </w:r>
      <w:r>
        <w:rPr>
          <w:rFonts w:hint="eastAsia" w:asciiTheme="minorEastAsia" w:hAnsiTheme="minorEastAsia" w:eastAsiaTheme="minorEastAsia"/>
          <w:color w:val="auto"/>
          <w:sz w:val="24"/>
          <w:highlight w:val="none"/>
        </w:rPr>
        <w:t>20</w:t>
      </w:r>
      <w:r>
        <w:rPr>
          <w:rFonts w:asciiTheme="minorEastAsia" w:hAnsiTheme="minorEastAsia" w:eastAsiaTheme="minorEastAsia"/>
          <w:color w:val="auto"/>
          <w:sz w:val="24"/>
          <w:highlight w:val="none"/>
        </w:rPr>
        <w:t>日内为初步检验期，由甲方代表对产品进行初步检验。如存在数量不足、短缺、毁损等问题，乙方应根据甲方要求采取补足、折价、更换或退货等处理措施，乙方应在交货同时向甲方书面告知货物仓储和再次物流的注意事项。如甲方对初步验收无异议应在送货单回</w:t>
      </w:r>
      <w:r>
        <w:rPr>
          <w:rFonts w:hint="eastAsia" w:asciiTheme="minorEastAsia" w:hAnsiTheme="minorEastAsia" w:eastAsiaTheme="minorEastAsia"/>
          <w:color w:val="auto"/>
          <w:sz w:val="24"/>
          <w:highlight w:val="none"/>
        </w:rPr>
        <w:t>执</w:t>
      </w:r>
      <w:r>
        <w:rPr>
          <w:rFonts w:asciiTheme="minorEastAsia" w:hAnsiTheme="minorEastAsia" w:eastAsiaTheme="minorEastAsia"/>
          <w:color w:val="auto"/>
          <w:sz w:val="24"/>
          <w:highlight w:val="none"/>
        </w:rPr>
        <w:t>单上签收。</w:t>
      </w:r>
    </w:p>
    <w:p>
      <w:pPr>
        <w:spacing w:line="360" w:lineRule="auto"/>
        <w:ind w:left="480" w:hanging="480" w:hanging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highlight w:val="none"/>
        </w:rPr>
        <w:t>7.4 甲方在初步检验期限届满后10日内未对初步检验提出书面异议，视为已交付的产品</w:t>
      </w:r>
      <w:r>
        <w:rPr>
          <w:rFonts w:asciiTheme="minorEastAsia" w:hAnsiTheme="minorEastAsia" w:eastAsiaTheme="minorEastAsia"/>
          <w:color w:val="auto"/>
          <w:sz w:val="24"/>
          <w:szCs w:val="24"/>
          <w:highlight w:val="none"/>
        </w:rPr>
        <w:t>在包装、外观、型号、数量、完整、无损、清洁度符合合同约定。乙方在接到甲方的书面通知之日起10日内未作答复，视为乙方已接受或认可。</w:t>
      </w:r>
    </w:p>
    <w:p>
      <w:pPr>
        <w:spacing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7.5 本合同第</w:t>
      </w:r>
      <w:r>
        <w:rPr>
          <w:rFonts w:hint="eastAsia" w:asciiTheme="minorEastAsia" w:hAnsiTheme="minorEastAsia" w:eastAsiaTheme="minorEastAsia"/>
          <w:color w:val="auto"/>
          <w:sz w:val="24"/>
          <w:highlight w:val="none"/>
        </w:rPr>
        <w:t>七</w:t>
      </w:r>
      <w:r>
        <w:rPr>
          <w:rFonts w:asciiTheme="minorEastAsia" w:hAnsiTheme="minorEastAsia" w:eastAsiaTheme="minorEastAsia"/>
          <w:color w:val="auto"/>
          <w:sz w:val="24"/>
          <w:highlight w:val="none"/>
        </w:rPr>
        <w:t>条所述的合格、视为合格及送货单回</w:t>
      </w:r>
      <w:r>
        <w:rPr>
          <w:rFonts w:hint="eastAsia" w:asciiTheme="minorEastAsia" w:hAnsiTheme="minorEastAsia" w:eastAsiaTheme="minorEastAsia"/>
          <w:color w:val="auto"/>
          <w:sz w:val="24"/>
          <w:highlight w:val="none"/>
        </w:rPr>
        <w:t>执</w:t>
      </w:r>
      <w:r>
        <w:rPr>
          <w:rFonts w:asciiTheme="minorEastAsia" w:hAnsiTheme="minorEastAsia" w:eastAsiaTheme="minorEastAsia"/>
          <w:color w:val="auto"/>
          <w:sz w:val="24"/>
          <w:highlight w:val="none"/>
        </w:rPr>
        <w:t>单上的签收，仅证明包装、外观、型号、数量、完整、无损、清洁度等目测指标符合合同约定，不免除乙方的产品质量责任及在质保期内的保修责任。</w:t>
      </w:r>
    </w:p>
    <w:p>
      <w:pPr>
        <w:spacing w:line="360" w:lineRule="auto"/>
        <w:ind w:left="600" w:hanging="600" w:hangingChars="25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7.6 全部货到现场且初步检验合格后，甲方发现乙方提供的产品不符合附件一《</w:t>
      </w:r>
      <w:r>
        <w:rPr>
          <w:rFonts w:hint="eastAsia" w:cs="宋体" w:asciiTheme="minorEastAsia" w:hAnsiTheme="minorEastAsia" w:eastAsiaTheme="minorEastAsia"/>
          <w:color w:val="auto"/>
          <w:sz w:val="24"/>
          <w:szCs w:val="24"/>
          <w:highlight w:val="none"/>
          <w:lang w:eastAsia="zh-CN"/>
        </w:rPr>
        <w:t>组串式并网逆变器技术协议</w:t>
      </w:r>
      <w:r>
        <w:rPr>
          <w:rFonts w:hint="eastAsia" w:cs="宋体" w:asciiTheme="minorEastAsia" w:hAnsiTheme="minorEastAsia" w:eastAsiaTheme="minorEastAsia"/>
          <w:color w:val="auto"/>
          <w:sz w:val="24"/>
          <w:szCs w:val="24"/>
          <w:highlight w:val="none"/>
        </w:rPr>
        <w:t>》标准的，视为乙方提供的货物不合格。</w:t>
      </w:r>
    </w:p>
    <w:p>
      <w:pPr>
        <w:pStyle w:val="3"/>
        <w:rPr>
          <w:rFonts w:asciiTheme="minorEastAsia" w:hAnsiTheme="minorEastAsia" w:eastAsiaTheme="minorEastAsia"/>
          <w:color w:val="auto"/>
          <w:highlight w:val="none"/>
        </w:rPr>
      </w:pPr>
      <w:bookmarkStart w:id="15" w:name="_Toc86399298"/>
      <w:r>
        <w:rPr>
          <w:rFonts w:asciiTheme="minorEastAsia" w:hAnsiTheme="minorEastAsia" w:eastAsiaTheme="minorEastAsia"/>
          <w:color w:val="auto"/>
          <w:highlight w:val="none"/>
        </w:rPr>
        <w:t>第八条　产品检验</w:t>
      </w:r>
      <w:bookmarkEnd w:id="14"/>
      <w:bookmarkEnd w:id="15"/>
    </w:p>
    <w:p>
      <w:pPr>
        <w:spacing w:line="360" w:lineRule="auto"/>
        <w:ind w:left="552" w:hanging="552" w:hangingChars="23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8.1</w:t>
      </w:r>
      <w:r>
        <w:rPr>
          <w:rFonts w:cs="宋体" w:asciiTheme="minorEastAsia" w:hAnsiTheme="minorEastAsia" w:eastAsiaTheme="minorEastAsia"/>
          <w:color w:val="auto"/>
          <w:sz w:val="24"/>
          <w:highlight w:val="none"/>
        </w:rPr>
        <w:t xml:space="preserve"> </w:t>
      </w:r>
      <w:r>
        <w:rPr>
          <w:rFonts w:asciiTheme="minorEastAsia" w:hAnsiTheme="minorEastAsia" w:eastAsiaTheme="minorEastAsia"/>
          <w:color w:val="auto"/>
          <w:sz w:val="24"/>
          <w:szCs w:val="24"/>
          <w:highlight w:val="none"/>
        </w:rPr>
        <w:t>产品出厂前，甲方可以在产品交付前进行驻厂检验，乙方提供场所、仪器设备供甲方驻厂检验时使用。甲方负责对产品进行抽检，发现产品有不符合本合同第六条的约定时，甲方可以通知乙方重新</w:t>
      </w:r>
      <w:r>
        <w:rPr>
          <w:rFonts w:hint="eastAsia" w:asciiTheme="minorEastAsia" w:hAnsiTheme="minorEastAsia" w:eastAsiaTheme="minorEastAsia"/>
          <w:color w:val="auto"/>
          <w:sz w:val="24"/>
          <w:szCs w:val="24"/>
          <w:highlight w:val="none"/>
        </w:rPr>
        <w:t>生产</w:t>
      </w:r>
      <w:r>
        <w:rPr>
          <w:rFonts w:asciiTheme="minorEastAsia" w:hAnsiTheme="minorEastAsia" w:eastAsiaTheme="minorEastAsia"/>
          <w:color w:val="auto"/>
          <w:sz w:val="24"/>
          <w:szCs w:val="24"/>
          <w:highlight w:val="none"/>
        </w:rPr>
        <w:t>，交货时间不顺延。</w:t>
      </w:r>
    </w:p>
    <w:p>
      <w:pPr>
        <w:spacing w:line="360" w:lineRule="auto"/>
        <w:ind w:left="552" w:hanging="552" w:hangingChars="23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8.2 产品交付过程中，甲方可以在产品交付时按本合同第七条的约定对产品进行初步检验。</w:t>
      </w:r>
    </w:p>
    <w:p>
      <w:pPr>
        <w:spacing w:line="360" w:lineRule="auto"/>
        <w:ind w:left="552" w:hanging="552" w:hangingChars="23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8.3 产品安装调试过程中及质保期内，甲方可以对产品进行质量检验（包括系统兼容性问题）。</w:t>
      </w:r>
    </w:p>
    <w:p>
      <w:pPr>
        <w:spacing w:line="360" w:lineRule="auto"/>
        <w:ind w:left="600" w:hanging="600" w:hangingChars="25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 xml:space="preserve">8.4 </w:t>
      </w:r>
      <w:r>
        <w:rPr>
          <w:rFonts w:asciiTheme="minorEastAsia" w:hAnsiTheme="minorEastAsia" w:eastAsiaTheme="minorEastAsia"/>
          <w:color w:val="auto"/>
          <w:sz w:val="24"/>
          <w:szCs w:val="24"/>
          <w:highlight w:val="none"/>
        </w:rPr>
        <w:t>甲</w:t>
      </w:r>
      <w:r>
        <w:rPr>
          <w:rFonts w:hint="eastAsia" w:asciiTheme="minorEastAsia" w:hAnsiTheme="minorEastAsia" w:eastAsiaTheme="minorEastAsia"/>
          <w:color w:val="auto"/>
          <w:sz w:val="24"/>
          <w:szCs w:val="24"/>
          <w:highlight w:val="none"/>
        </w:rPr>
        <w:t>方可以委托有资质的第三方厂家对组件进行全过程监造、检测，</w:t>
      </w:r>
      <w:r>
        <w:rPr>
          <w:rFonts w:asciiTheme="minorEastAsia" w:hAnsiTheme="minorEastAsia" w:eastAsiaTheme="minorEastAsia"/>
          <w:color w:val="auto"/>
          <w:sz w:val="24"/>
          <w:szCs w:val="24"/>
          <w:highlight w:val="none"/>
        </w:rPr>
        <w:t>乙方</w:t>
      </w:r>
      <w:r>
        <w:rPr>
          <w:rFonts w:hint="eastAsia" w:asciiTheme="minorEastAsia" w:hAnsiTheme="minorEastAsia" w:eastAsiaTheme="minorEastAsia"/>
          <w:color w:val="auto"/>
          <w:sz w:val="24"/>
          <w:szCs w:val="24"/>
          <w:highlight w:val="none"/>
        </w:rPr>
        <w:t>需配合</w:t>
      </w:r>
      <w:r>
        <w:rPr>
          <w:rFonts w:asciiTheme="minorEastAsia" w:hAnsiTheme="minorEastAsia" w:eastAsiaTheme="minorEastAsia"/>
          <w:color w:val="auto"/>
          <w:sz w:val="24"/>
          <w:szCs w:val="24"/>
          <w:highlight w:val="none"/>
        </w:rPr>
        <w:t>。</w:t>
      </w:r>
    </w:p>
    <w:p>
      <w:pPr>
        <w:spacing w:line="360" w:lineRule="auto"/>
        <w:ind w:left="360" w:hanging="360" w:hangingChars="1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highlight w:val="none"/>
        </w:rPr>
        <w:t>8.5 产品的检测不受质保期的约束且上述检验并不代替或解除乙方对产品质量的责任。</w:t>
      </w:r>
    </w:p>
    <w:p>
      <w:pPr>
        <w:pStyle w:val="3"/>
        <w:rPr>
          <w:rFonts w:asciiTheme="minorEastAsia" w:hAnsiTheme="minorEastAsia" w:eastAsiaTheme="minorEastAsia"/>
          <w:color w:val="auto"/>
          <w:highlight w:val="none"/>
        </w:rPr>
      </w:pPr>
      <w:bookmarkStart w:id="16" w:name="_Toc86399299"/>
      <w:bookmarkStart w:id="17" w:name="_Toc86392963"/>
      <w:r>
        <w:rPr>
          <w:rFonts w:asciiTheme="minorEastAsia" w:hAnsiTheme="minorEastAsia" w:eastAsiaTheme="minorEastAsia"/>
          <w:color w:val="auto"/>
          <w:highlight w:val="none"/>
        </w:rPr>
        <w:t>第九条　乙方对产品的保证</w:t>
      </w:r>
      <w:bookmarkEnd w:id="16"/>
      <w:bookmarkEnd w:id="17"/>
    </w:p>
    <w:p>
      <w:pPr>
        <w:spacing w:line="360" w:lineRule="auto"/>
        <w:ind w:left="480" w:hanging="480" w:hanging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9.1</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乙方保证所供货物是全新的、未使用过的，并完全符合质量标准规定的质量、工艺、规格和技术性能，满足本合同第六条的约定。乙方承诺提供的全部货物不存在设计、材料或工艺上的缺陷。货物在其正确安装及正常使用条件下，在其使用寿命期内应具有满意的性能。</w:t>
      </w:r>
    </w:p>
    <w:p>
      <w:pPr>
        <w:spacing w:line="360" w:lineRule="auto"/>
        <w:ind w:left="480" w:hanging="480" w:hanging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9.2</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如交付的产品不符合本合同或</w:t>
      </w:r>
      <w:r>
        <w:rPr>
          <w:rFonts w:cs="宋体" w:asciiTheme="minorEastAsia" w:hAnsiTheme="minorEastAsia" w:eastAsiaTheme="minorEastAsia"/>
          <w:color w:val="auto"/>
          <w:sz w:val="24"/>
          <w:highlight w:val="none"/>
        </w:rPr>
        <w:t>附件一</w:t>
      </w:r>
      <w:r>
        <w:rPr>
          <w:rFonts w:hint="eastAsia" w:cs="宋体" w:asciiTheme="minorEastAsia" w:hAnsiTheme="minorEastAsia" w:eastAsiaTheme="minorEastAsia"/>
          <w:color w:val="auto"/>
          <w:sz w:val="24"/>
          <w:highlight w:val="none"/>
        </w:rPr>
        <w:t>的约定，乙方保证按合同的约定采取补救措施；如乙方不采取、不按甲方要求采取上述措施，或采取上述补救措施后产品仍然不符合合同约定，按11.2条款的相应约定承担违约责任。</w:t>
      </w:r>
    </w:p>
    <w:p>
      <w:pPr>
        <w:spacing w:line="360" w:lineRule="auto"/>
        <w:ind w:left="360" w:hanging="360" w:hanging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9.3 质保期内乙方将按本合同第十条的约定履行质保义务。</w:t>
      </w:r>
    </w:p>
    <w:p>
      <w:pPr>
        <w:spacing w:line="360" w:lineRule="auto"/>
        <w:ind w:left="480" w:hanging="480" w:hanging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9.4</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未经甲方书面同意，乙方不得将本合同产品的生产或制造转交（委托）OEM商或第三方生产制造。</w:t>
      </w:r>
    </w:p>
    <w:p>
      <w:pPr>
        <w:pStyle w:val="14"/>
        <w:ind w:firstLine="0" w:firstLineChars="0"/>
        <w:rPr>
          <w:rFonts w:asciiTheme="minorEastAsia" w:hAnsiTheme="minorEastAsia" w:eastAsiaTheme="minorEastAsia"/>
          <w:bCs/>
          <w:color w:val="auto"/>
          <w:szCs w:val="24"/>
          <w:highlight w:val="none"/>
        </w:rPr>
      </w:pPr>
      <w:r>
        <w:rPr>
          <w:rFonts w:asciiTheme="minorEastAsia" w:hAnsiTheme="minorEastAsia" w:eastAsiaTheme="minorEastAsia"/>
          <w:bCs/>
          <w:color w:val="auto"/>
          <w:szCs w:val="24"/>
          <w:highlight w:val="none"/>
        </w:rPr>
        <w:t>9.5 乙方产品需满足项目所在地的环境要求，满足项目使用寿命要求</w:t>
      </w:r>
      <w:r>
        <w:rPr>
          <w:rFonts w:hint="eastAsia" w:asciiTheme="minorEastAsia" w:hAnsiTheme="minorEastAsia" w:eastAsiaTheme="minorEastAsia"/>
          <w:bCs/>
          <w:color w:val="auto"/>
          <w:szCs w:val="24"/>
          <w:highlight w:val="none"/>
        </w:rPr>
        <w:t>。</w:t>
      </w:r>
    </w:p>
    <w:p>
      <w:pPr>
        <w:pStyle w:val="14"/>
        <w:ind w:left="480" w:hanging="480" w:hangingChars="200"/>
        <w:rPr>
          <w:rFonts w:asciiTheme="minorEastAsia" w:hAnsiTheme="minorEastAsia" w:eastAsiaTheme="minorEastAsia"/>
          <w:color w:val="auto"/>
          <w:highlight w:val="none"/>
        </w:rPr>
      </w:pPr>
      <w:r>
        <w:rPr>
          <w:rFonts w:hint="eastAsia" w:asciiTheme="minorEastAsia" w:hAnsiTheme="minorEastAsia" w:eastAsiaTheme="minorEastAsia"/>
          <w:bCs/>
          <w:color w:val="auto"/>
          <w:szCs w:val="24"/>
          <w:highlight w:val="none"/>
        </w:rPr>
        <w:t>9.6</w:t>
      </w:r>
      <w:r>
        <w:rPr>
          <w:rFonts w:asciiTheme="minorEastAsia" w:hAnsiTheme="minorEastAsia" w:eastAsiaTheme="minorEastAsia"/>
          <w:bCs/>
          <w:color w:val="auto"/>
          <w:szCs w:val="24"/>
          <w:highlight w:val="none"/>
        </w:rPr>
        <w:t xml:space="preserve"> </w:t>
      </w:r>
      <w:r>
        <w:rPr>
          <w:rFonts w:hint="eastAsia" w:asciiTheme="minorEastAsia" w:hAnsiTheme="minorEastAsia" w:eastAsiaTheme="minorEastAsia"/>
          <w:bCs/>
          <w:color w:val="auto"/>
          <w:szCs w:val="24"/>
          <w:highlight w:val="none"/>
        </w:rPr>
        <w:t>乙方承诺因乙方原因与其他第三方产生知识专利产权纠纷，该纠纷不会影响本项目的正常供货，</w:t>
      </w:r>
      <w:r>
        <w:rPr>
          <w:rFonts w:asciiTheme="minorEastAsia" w:hAnsiTheme="minorEastAsia" w:eastAsiaTheme="minorEastAsia"/>
          <w:bCs/>
          <w:color w:val="auto"/>
          <w:szCs w:val="24"/>
          <w:highlight w:val="none"/>
        </w:rPr>
        <w:t>如造成影响，则按合同第十一条违约责任执行</w:t>
      </w:r>
      <w:r>
        <w:rPr>
          <w:rFonts w:hint="eastAsia" w:asciiTheme="minorEastAsia" w:hAnsiTheme="minorEastAsia" w:eastAsiaTheme="minorEastAsia"/>
          <w:bCs/>
          <w:color w:val="auto"/>
          <w:szCs w:val="24"/>
          <w:highlight w:val="none"/>
        </w:rPr>
        <w:t>。</w:t>
      </w:r>
    </w:p>
    <w:p>
      <w:pPr>
        <w:pStyle w:val="3"/>
        <w:rPr>
          <w:rFonts w:asciiTheme="minorEastAsia" w:hAnsiTheme="minorEastAsia" w:eastAsiaTheme="minorEastAsia"/>
          <w:color w:val="auto"/>
          <w:highlight w:val="none"/>
        </w:rPr>
      </w:pPr>
      <w:bookmarkStart w:id="18" w:name="_Toc86399300"/>
      <w:bookmarkStart w:id="19" w:name="_Toc86392964"/>
      <w:r>
        <w:rPr>
          <w:rFonts w:asciiTheme="minorEastAsia" w:hAnsiTheme="minorEastAsia" w:eastAsiaTheme="minorEastAsia"/>
          <w:color w:val="auto"/>
          <w:highlight w:val="none"/>
        </w:rPr>
        <w:t>第十条　产品质保期</w:t>
      </w:r>
      <w:bookmarkEnd w:id="18"/>
      <w:bookmarkEnd w:id="19"/>
    </w:p>
    <w:p>
      <w:pPr>
        <w:spacing w:line="360" w:lineRule="auto"/>
        <w:ind w:left="600" w:hanging="600" w:hanging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10.1 </w:t>
      </w:r>
      <w:r>
        <w:rPr>
          <w:rFonts w:hint="eastAsia" w:asciiTheme="minorEastAsia" w:hAnsiTheme="minorEastAsia" w:eastAsiaTheme="minorEastAsia"/>
          <w:color w:val="auto"/>
          <w:sz w:val="24"/>
          <w:highlight w:val="none"/>
        </w:rPr>
        <w:t>全部</w:t>
      </w:r>
      <w:r>
        <w:rPr>
          <w:rFonts w:asciiTheme="minorEastAsia" w:hAnsiTheme="minorEastAsia" w:eastAsiaTheme="minorEastAsia"/>
          <w:color w:val="auto"/>
          <w:sz w:val="24"/>
          <w:highlight w:val="none"/>
        </w:rPr>
        <w:t>货到现场且</w:t>
      </w:r>
      <w:r>
        <w:rPr>
          <w:rFonts w:hint="eastAsia" w:asciiTheme="minorEastAsia" w:hAnsiTheme="minorEastAsia" w:eastAsiaTheme="minorEastAsia"/>
          <w:color w:val="auto"/>
          <w:sz w:val="24"/>
          <w:highlight w:val="none"/>
        </w:rPr>
        <w:t>项目竣工</w:t>
      </w:r>
      <w:r>
        <w:rPr>
          <w:rFonts w:asciiTheme="minorEastAsia" w:hAnsiTheme="minorEastAsia" w:eastAsiaTheme="minorEastAsia"/>
          <w:color w:val="auto"/>
          <w:sz w:val="24"/>
          <w:highlight w:val="none"/>
        </w:rPr>
        <w:t>验收合格第二日起货物进入质保期，</w:t>
      </w:r>
      <w:r>
        <w:rPr>
          <w:rFonts w:hint="eastAsia" w:asciiTheme="minorEastAsia" w:hAnsiTheme="minorEastAsia" w:eastAsiaTheme="minorEastAsia"/>
          <w:color w:val="auto"/>
          <w:sz w:val="24"/>
          <w:highlight w:val="none"/>
        </w:rPr>
        <w:t>逆变器</w:t>
      </w:r>
      <w:r>
        <w:rPr>
          <w:rFonts w:asciiTheme="minorEastAsia" w:hAnsiTheme="minorEastAsia" w:eastAsiaTheme="minorEastAsia"/>
          <w:color w:val="auto"/>
          <w:sz w:val="24"/>
          <w:highlight w:val="none"/>
        </w:rPr>
        <w:t>质保期为</w:t>
      </w:r>
      <w:r>
        <w:rPr>
          <w:rFonts w:hint="eastAsia" w:asciiTheme="minorEastAsia" w:hAnsiTheme="minorEastAsia" w:eastAsiaTheme="minorEastAsia"/>
          <w:color w:val="auto"/>
          <w:sz w:val="24"/>
          <w:highlight w:val="none"/>
          <w:lang w:val="en-US" w:eastAsia="zh-CN"/>
        </w:rPr>
        <w:t>5年</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其余产品</w:t>
      </w:r>
      <w:r>
        <w:rPr>
          <w:rFonts w:asciiTheme="minorEastAsia" w:hAnsiTheme="minorEastAsia" w:eastAsiaTheme="minorEastAsia"/>
          <w:color w:val="auto"/>
          <w:sz w:val="24"/>
          <w:highlight w:val="none"/>
        </w:rPr>
        <w:t>为</w:t>
      </w:r>
      <w:r>
        <w:rPr>
          <w:rFonts w:hint="eastAsia" w:asciiTheme="minorEastAsia" w:hAnsiTheme="minorEastAsia" w:eastAsiaTheme="minorEastAsia"/>
          <w:color w:val="auto"/>
          <w:sz w:val="24"/>
          <w:highlight w:val="none"/>
          <w:lang w:val="en-US" w:eastAsia="zh-CN"/>
        </w:rPr>
        <w:t>24</w:t>
      </w:r>
      <w:r>
        <w:rPr>
          <w:rFonts w:asciiTheme="minorEastAsia" w:hAnsiTheme="minorEastAsia" w:eastAsiaTheme="minorEastAsia"/>
          <w:color w:val="auto"/>
          <w:sz w:val="24"/>
          <w:highlight w:val="none"/>
        </w:rPr>
        <w:t>个月</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若货物在</w:t>
      </w:r>
      <w:r>
        <w:rPr>
          <w:rFonts w:hint="eastAsia" w:asciiTheme="minorEastAsia" w:hAnsiTheme="minorEastAsia" w:eastAsiaTheme="minorEastAsia"/>
          <w:color w:val="auto"/>
          <w:sz w:val="24"/>
          <w:highlight w:val="none"/>
          <w:lang w:eastAsia="zh-CN"/>
        </w:rPr>
        <w:t>进入</w:t>
      </w:r>
      <w:r>
        <w:rPr>
          <w:rFonts w:asciiTheme="minorEastAsia" w:hAnsiTheme="minorEastAsia" w:eastAsiaTheme="minorEastAsia"/>
          <w:color w:val="auto"/>
          <w:sz w:val="24"/>
          <w:highlight w:val="none"/>
        </w:rPr>
        <w:t>质保期</w:t>
      </w:r>
      <w:r>
        <w:rPr>
          <w:rFonts w:hint="eastAsia" w:asciiTheme="minorEastAsia" w:hAnsiTheme="minorEastAsia" w:eastAsiaTheme="minorEastAsia"/>
          <w:color w:val="auto"/>
          <w:sz w:val="24"/>
          <w:highlight w:val="none"/>
          <w:lang w:eastAsia="zh-CN"/>
        </w:rPr>
        <w:t>后</w:t>
      </w:r>
      <w:r>
        <w:rPr>
          <w:rFonts w:hint="eastAsia" w:asciiTheme="minorEastAsia" w:hAnsiTheme="minorEastAsia" w:eastAsiaTheme="minorEastAsia"/>
          <w:color w:val="auto"/>
          <w:sz w:val="24"/>
          <w:highlight w:val="none"/>
          <w:lang w:val="en-US" w:eastAsia="zh-CN"/>
        </w:rPr>
        <w:t>2年内</w:t>
      </w:r>
      <w:r>
        <w:rPr>
          <w:rFonts w:asciiTheme="minorEastAsia" w:hAnsiTheme="minorEastAsia" w:eastAsiaTheme="minorEastAsia"/>
          <w:color w:val="auto"/>
          <w:sz w:val="24"/>
          <w:highlight w:val="none"/>
        </w:rPr>
        <w:t>的运行状况</w:t>
      </w:r>
      <w:r>
        <w:rPr>
          <w:rFonts w:hint="eastAsia" w:asciiTheme="minorEastAsia" w:hAnsiTheme="minorEastAsia" w:eastAsiaTheme="minorEastAsia"/>
          <w:color w:val="auto"/>
          <w:sz w:val="24"/>
          <w:highlight w:val="none"/>
        </w:rPr>
        <w:t>满足</w:t>
      </w:r>
      <w:r>
        <w:rPr>
          <w:rFonts w:asciiTheme="minorEastAsia" w:hAnsiTheme="minorEastAsia" w:eastAsiaTheme="minorEastAsia"/>
          <w:color w:val="auto"/>
          <w:sz w:val="24"/>
          <w:highlight w:val="none"/>
        </w:rPr>
        <w:t>本合同</w:t>
      </w:r>
      <w:r>
        <w:rPr>
          <w:rFonts w:hint="eastAsia" w:asciiTheme="minorEastAsia" w:hAnsiTheme="minorEastAsia" w:eastAsiaTheme="minorEastAsia"/>
          <w:color w:val="auto"/>
          <w:sz w:val="24"/>
          <w:highlight w:val="none"/>
        </w:rPr>
        <w:t>要求</w:t>
      </w:r>
      <w:r>
        <w:rPr>
          <w:rFonts w:asciiTheme="minorEastAsia" w:hAnsiTheme="minorEastAsia" w:eastAsiaTheme="minorEastAsia"/>
          <w:color w:val="auto"/>
          <w:sz w:val="24"/>
          <w:highlight w:val="none"/>
        </w:rPr>
        <w:t>，则甲方将按合同约定支付质保金，质保金的支付不免除乙方的产品质保责任，乙方在质保期内应履行免费质保的义务。若货物在质保期内的运行状况未能满足本合同要求，则乙方应及时按甲方要求采取调换、修理或其他补救措施以使货物满足要求。修理</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部分顺延质保期，更换的部分</w:t>
      </w:r>
      <w:r>
        <w:rPr>
          <w:rFonts w:hint="eastAsia" w:asciiTheme="minorEastAsia" w:hAnsiTheme="minorEastAsia" w:eastAsiaTheme="minorEastAsia"/>
          <w:color w:val="auto"/>
          <w:sz w:val="24"/>
          <w:highlight w:val="none"/>
        </w:rPr>
        <w:t>（不包含</w:t>
      </w:r>
      <w:r>
        <w:rPr>
          <w:rFonts w:asciiTheme="minorEastAsia" w:hAnsiTheme="minorEastAsia" w:eastAsiaTheme="minorEastAsia"/>
          <w:color w:val="auto"/>
          <w:sz w:val="24"/>
          <w:highlight w:val="none"/>
        </w:rPr>
        <w:t>易损件</w:t>
      </w:r>
      <w:r>
        <w:rPr>
          <w:rFonts w:hint="eastAsia" w:asciiTheme="minorEastAsia" w:hAnsiTheme="minorEastAsia" w:eastAsiaTheme="minorEastAsia"/>
          <w:color w:val="auto"/>
          <w:sz w:val="24"/>
          <w:highlight w:val="none"/>
        </w:rPr>
        <w:t>）重新</w:t>
      </w:r>
      <w:r>
        <w:rPr>
          <w:rFonts w:asciiTheme="minorEastAsia" w:hAnsiTheme="minorEastAsia" w:eastAsiaTheme="minorEastAsia"/>
          <w:color w:val="auto"/>
          <w:sz w:val="24"/>
          <w:highlight w:val="none"/>
        </w:rPr>
        <w:t>进入质保期。</w:t>
      </w:r>
    </w:p>
    <w:p>
      <w:pPr>
        <w:spacing w:line="360" w:lineRule="auto"/>
        <w:ind w:left="360" w:hanging="360" w:hangingChars="1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10.2 产品设计使用寿命【30】年。</w:t>
      </w:r>
    </w:p>
    <w:p>
      <w:pPr>
        <w:spacing w:line="360" w:lineRule="auto"/>
        <w:ind w:left="600" w:hanging="600" w:hanging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10.3 质保期内，乙方对产品运行过程中出现的故障指派专业技术人员进行排除，对出现故障的部件、元件或零件免费进行修理或更换。这些替换品不包括合同中规定的由乙方向甲方提供的备件。紧急情况下，为了使货物正常运行，经甲方同意，乙方可以使用甲方的备件。使用结束后，乙方应及时归还或配齐使用过的所有备件、元件。对需要现场维修的，乙方技术人员应在收到甲方故障通知后，在提供远程服务的同时48小时内赶到现场对货物进行维修。在质保期内经乙方修理或替换的部件、元件或零件（不包含易损件）的质保期顺延计算。</w:t>
      </w:r>
    </w:p>
    <w:p>
      <w:pPr>
        <w:spacing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10.4 乙方保证提供必要的伴随服务，服务费用已包括在合同价中：</w:t>
      </w:r>
    </w:p>
    <w:p>
      <w:pPr>
        <w:spacing w:line="360" w:lineRule="auto"/>
        <w:ind w:left="1005" w:leftChars="250" w:hanging="480" w:hanging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1）提供货物现场安装指导、调试指导和启动指导，直至货物运作正常；</w:t>
      </w:r>
    </w:p>
    <w:p>
      <w:pPr>
        <w:spacing w:line="360" w:lineRule="auto"/>
        <w:ind w:left="1005" w:leftChars="250" w:hanging="480" w:hanging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2）提供货物安装或维修所需的工具；</w:t>
      </w:r>
    </w:p>
    <w:p>
      <w:pPr>
        <w:spacing w:line="360" w:lineRule="auto"/>
        <w:ind w:left="1005" w:leftChars="250" w:hanging="480" w:hanging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3）提供货物详细的操作和维护手册；</w:t>
      </w:r>
    </w:p>
    <w:p>
      <w:pPr>
        <w:spacing w:line="360" w:lineRule="auto"/>
        <w:ind w:left="1005" w:leftChars="250" w:hanging="480" w:hanging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4）在项目现场就所供货物的安装、试运行、运行、维护或修理对甲方人员培训；</w:t>
      </w:r>
    </w:p>
    <w:p>
      <w:pPr>
        <w:spacing w:line="360" w:lineRule="auto"/>
        <w:ind w:left="885" w:leftChars="250" w:hanging="360" w:hangingChars="15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5）货物出现故障，接通知后72小时内解除故障，并低价（与市场价相比）提供终身维护服务所需的零部件。</w:t>
      </w:r>
    </w:p>
    <w:p>
      <w:pPr>
        <w:spacing w:line="360" w:lineRule="auto"/>
        <w:ind w:left="600" w:hanging="600" w:hangingChars="250"/>
        <w:rPr>
          <w:rFonts w:cs="宋体"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10.5 质保期内所发生的全部物质损耗和人员费用均由乙方予以承担。乙方未及时承担保修责任的，甲方有权采用其他渠道和方式对货物进行维修，由此产生的费用由乙方承担。对因货物在质保期间发生的质量缺陷造成的甲方和/或第三人财产和/或人身损失，乙方应予以赔偿。对本款中应由乙方承担的全部保修和/或赔偿费用，甲方有权在乙方的质量保证金</w:t>
      </w:r>
      <w:r>
        <w:rPr>
          <w:rFonts w:hint="eastAsia" w:asciiTheme="minorEastAsia" w:hAnsiTheme="minorEastAsia" w:eastAsiaTheme="minorEastAsia"/>
          <w:color w:val="auto"/>
          <w:sz w:val="24"/>
          <w:highlight w:val="none"/>
        </w:rPr>
        <w:t>（质量保函）</w:t>
      </w:r>
      <w:r>
        <w:rPr>
          <w:rFonts w:asciiTheme="minorEastAsia" w:hAnsiTheme="minorEastAsia" w:eastAsiaTheme="minorEastAsia"/>
          <w:color w:val="auto"/>
          <w:sz w:val="24"/>
          <w:highlight w:val="none"/>
        </w:rPr>
        <w:t>中予以直接扣除，不足部分，甲方有权继续追索。</w:t>
      </w:r>
      <w:r>
        <w:rPr>
          <w:rFonts w:hint="eastAsia" w:asciiTheme="minorEastAsia" w:hAnsiTheme="minorEastAsia" w:eastAsiaTheme="minorEastAsia"/>
          <w:color w:val="auto"/>
          <w:sz w:val="24"/>
          <w:highlight w:val="none"/>
        </w:rPr>
        <w:t>乙方不得以任何原因影响项目正常建设及运行。</w:t>
      </w:r>
    </w:p>
    <w:p>
      <w:pPr>
        <w:pStyle w:val="3"/>
        <w:rPr>
          <w:rFonts w:asciiTheme="minorEastAsia" w:hAnsiTheme="minorEastAsia" w:eastAsiaTheme="minorEastAsia"/>
          <w:color w:val="auto"/>
          <w:highlight w:val="none"/>
        </w:rPr>
      </w:pPr>
      <w:bookmarkStart w:id="20" w:name="_Toc86399301"/>
      <w:bookmarkStart w:id="21" w:name="_Toc86392965"/>
      <w:r>
        <w:rPr>
          <w:rFonts w:asciiTheme="minorEastAsia" w:hAnsiTheme="minorEastAsia" w:eastAsiaTheme="minorEastAsia"/>
          <w:color w:val="auto"/>
          <w:highlight w:val="none"/>
        </w:rPr>
        <w:t>第十一条　违约责任</w:t>
      </w:r>
      <w:bookmarkEnd w:id="20"/>
      <w:bookmarkEnd w:id="21"/>
    </w:p>
    <w:p>
      <w:pPr>
        <w:spacing w:line="36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11.1 甲方的违约责任</w:t>
      </w:r>
    </w:p>
    <w:p>
      <w:pPr>
        <w:spacing w:line="360" w:lineRule="auto"/>
        <w:ind w:left="630" w:leftChars="3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甲方逾期付款的，每逾期一日按逾期付款额的万分之二支付违约金,违约金总额不得超过总价款的百分之二十。</w:t>
      </w:r>
    </w:p>
    <w:p>
      <w:pPr>
        <w:spacing w:line="36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11.2 乙方的</w:t>
      </w:r>
      <w:r>
        <w:rPr>
          <w:rFonts w:hint="eastAsia" w:cs="宋体" w:asciiTheme="minorEastAsia" w:hAnsiTheme="minorEastAsia" w:eastAsiaTheme="minorEastAsia"/>
          <w:color w:val="auto"/>
          <w:sz w:val="24"/>
          <w:highlight w:val="none"/>
        </w:rPr>
        <w:t>违约</w:t>
      </w:r>
      <w:r>
        <w:rPr>
          <w:rFonts w:hint="eastAsia" w:cs="宋体" w:asciiTheme="minorEastAsia" w:hAnsiTheme="minorEastAsia" w:eastAsiaTheme="minorEastAsia"/>
          <w:color w:val="auto"/>
          <w:sz w:val="24"/>
          <w:szCs w:val="24"/>
          <w:highlight w:val="none"/>
        </w:rPr>
        <w:t>责任</w:t>
      </w:r>
    </w:p>
    <w:p>
      <w:pPr>
        <w:spacing w:line="360" w:lineRule="auto"/>
        <w:ind w:left="990" w:leftChars="300" w:hanging="360" w:hangingChars="1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乙方逾期交货、怠于履行保证义务、怠于履行质保责任，每逾期或怠于履行一日按合同总价款的</w:t>
      </w:r>
      <w:r>
        <w:rPr>
          <w:rFonts w:hint="eastAsia" w:asciiTheme="minorEastAsia" w:hAnsiTheme="minorEastAsia" w:eastAsiaTheme="minorEastAsia"/>
          <w:color w:val="auto"/>
          <w:sz w:val="24"/>
          <w:szCs w:val="24"/>
          <w:highlight w:val="none"/>
        </w:rPr>
        <w:t>千分之三</w:t>
      </w:r>
      <w:r>
        <w:rPr>
          <w:rFonts w:asciiTheme="minorEastAsia" w:hAnsiTheme="minorEastAsia" w:eastAsiaTheme="minorEastAsia"/>
          <w:color w:val="auto"/>
          <w:sz w:val="24"/>
          <w:szCs w:val="24"/>
          <w:highlight w:val="none"/>
        </w:rPr>
        <w:t>向甲方支付违约金，甲方可以从合同总价款中优先扣除违约金。乙方明示不履行交货、保证等义务，或不履行质保责任或逾期交货超过15天、怠于履行保证义务的时间超过15天时，</w:t>
      </w:r>
      <w:r>
        <w:rPr>
          <w:rFonts w:hint="eastAsia" w:cs="宋体" w:asciiTheme="minorEastAsia" w:hAnsiTheme="minorEastAsia" w:eastAsiaTheme="minorEastAsia"/>
          <w:color w:val="auto"/>
          <w:sz w:val="24"/>
          <w:szCs w:val="24"/>
          <w:highlight w:val="none"/>
        </w:rPr>
        <w:t>甲方可以单方行使合同解除权，乙方须退还已经支付的合同款，并向甲方支付总价款百分之二十的违约金。</w:t>
      </w:r>
    </w:p>
    <w:p>
      <w:pPr>
        <w:spacing w:line="360" w:lineRule="auto"/>
        <w:ind w:left="990" w:leftChars="300" w:hanging="360" w:hangingChars="1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2）乙方交付的货物违反本合同第九条约定，乙方同意甲方随时解除合同，甲方书面通知乙方解除合同后乙方3个工作日内退还已收取的全部合同款项并支付本合同总价款百分之二十的违约金，且应负责拆卸运回甲方项目所在地的乙方货物；甲方亦有权要求乙方采取更换、退货、折价等补救措施，若甲方基于不影响工程工期原因未要求乙方更换、退货的，乙方应折价补偿甲方，折价金额为本合同总价款百分之二十，且在此期间甲方的损失（系指11.2条第3）款所述的）及采取补救措施发生的费用由乙方承担。若乙方不按甲方要求采取补救措施或补救后仍不符合合同约定的，甲方可以单方行使合同解除权，要求退还已经支付的合同款，同时乙方应支付本合同总价款百分之二十的违约金。</w:t>
      </w:r>
    </w:p>
    <w:p>
      <w:pPr>
        <w:spacing w:line="360" w:lineRule="auto"/>
        <w:ind w:left="990" w:leftChars="300" w:hanging="360" w:hangingChars="15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乙方按11.2条第1）、2）款支付违约金后仍不足以弥补甲方的损失时，乙方须补足甲方的经济损失。甲方的损失</w:t>
      </w:r>
      <w:r>
        <w:rPr>
          <w:rFonts w:hint="eastAsia" w:asciiTheme="minorEastAsia" w:hAnsiTheme="minorEastAsia" w:eastAsiaTheme="minorEastAsia"/>
          <w:color w:val="auto"/>
          <w:sz w:val="24"/>
          <w:szCs w:val="24"/>
          <w:highlight w:val="none"/>
        </w:rPr>
        <w:t>系指</w:t>
      </w:r>
      <w:r>
        <w:rPr>
          <w:rFonts w:asciiTheme="minorEastAsia" w:hAnsiTheme="minorEastAsia" w:eastAsiaTheme="minorEastAsia"/>
          <w:color w:val="auto"/>
          <w:sz w:val="24"/>
          <w:szCs w:val="24"/>
          <w:highlight w:val="none"/>
        </w:rPr>
        <w:t>乙方违约</w:t>
      </w:r>
      <w:r>
        <w:rPr>
          <w:rFonts w:hint="eastAsia" w:asciiTheme="minorEastAsia" w:hAnsiTheme="minorEastAsia" w:eastAsiaTheme="minorEastAsia"/>
          <w:color w:val="auto"/>
          <w:sz w:val="24"/>
          <w:szCs w:val="24"/>
          <w:highlight w:val="none"/>
        </w:rPr>
        <w:t>导致</w:t>
      </w:r>
      <w:r>
        <w:rPr>
          <w:rFonts w:asciiTheme="minorEastAsia" w:hAnsiTheme="minorEastAsia" w:eastAsiaTheme="minorEastAsia"/>
          <w:color w:val="auto"/>
          <w:sz w:val="24"/>
          <w:szCs w:val="24"/>
          <w:highlight w:val="none"/>
        </w:rPr>
        <w:t>业主发电量损失（</w:t>
      </w:r>
      <w:r>
        <w:rPr>
          <w:rFonts w:hint="eastAsia" w:asciiTheme="minorEastAsia" w:hAnsiTheme="minorEastAsia" w:eastAsiaTheme="minorEastAsia"/>
          <w:color w:val="auto"/>
          <w:sz w:val="24"/>
          <w:szCs w:val="24"/>
          <w:highlight w:val="none"/>
        </w:rPr>
        <w:t>即项目</w:t>
      </w:r>
      <w:r>
        <w:rPr>
          <w:rFonts w:asciiTheme="minorEastAsia" w:hAnsiTheme="minorEastAsia" w:eastAsiaTheme="minorEastAsia"/>
          <w:color w:val="auto"/>
          <w:sz w:val="24"/>
          <w:szCs w:val="24"/>
          <w:highlight w:val="none"/>
        </w:rPr>
        <w:t>可研报告</w:t>
      </w:r>
      <w:r>
        <w:rPr>
          <w:rFonts w:hint="eastAsia" w:asciiTheme="minorEastAsia" w:hAnsiTheme="minorEastAsia" w:eastAsiaTheme="minorEastAsia"/>
          <w:color w:val="auto"/>
          <w:sz w:val="24"/>
          <w:szCs w:val="24"/>
          <w:highlight w:val="none"/>
        </w:rPr>
        <w:t>提供</w:t>
      </w:r>
      <w:r>
        <w:rPr>
          <w:rFonts w:asciiTheme="minorEastAsia" w:hAnsiTheme="minorEastAsia" w:eastAsiaTheme="minorEastAsia"/>
          <w:color w:val="auto"/>
          <w:sz w:val="24"/>
          <w:szCs w:val="24"/>
          <w:highlight w:val="none"/>
        </w:rPr>
        <w:t>的发电数据减去项目实际发电量得出的数据即为减少</w:t>
      </w:r>
      <w:r>
        <w:rPr>
          <w:rFonts w:hint="eastAsia" w:asciiTheme="minorEastAsia" w:hAnsiTheme="minorEastAsia" w:eastAsiaTheme="minorEastAsia"/>
          <w:color w:val="auto"/>
          <w:sz w:val="24"/>
          <w:szCs w:val="24"/>
          <w:highlight w:val="none"/>
        </w:rPr>
        <w:t>的</w:t>
      </w:r>
      <w:r>
        <w:rPr>
          <w:rFonts w:asciiTheme="minorEastAsia" w:hAnsiTheme="minorEastAsia" w:eastAsiaTheme="minorEastAsia"/>
          <w:color w:val="auto"/>
          <w:sz w:val="24"/>
          <w:szCs w:val="24"/>
          <w:highlight w:val="none"/>
        </w:rPr>
        <w:t>发电量）</w:t>
      </w:r>
      <w:r>
        <w:rPr>
          <w:rFonts w:hint="eastAsia" w:asciiTheme="minorEastAsia" w:hAnsiTheme="minorEastAsia" w:eastAsiaTheme="minorEastAsia"/>
          <w:color w:val="auto"/>
          <w:sz w:val="24"/>
          <w:szCs w:val="24"/>
          <w:highlight w:val="none"/>
        </w:rPr>
        <w:t>，及</w:t>
      </w:r>
      <w:r>
        <w:rPr>
          <w:rFonts w:asciiTheme="minorEastAsia" w:hAnsiTheme="minorEastAsia" w:eastAsiaTheme="minorEastAsia"/>
          <w:color w:val="auto"/>
          <w:sz w:val="24"/>
          <w:szCs w:val="24"/>
          <w:highlight w:val="none"/>
        </w:rPr>
        <w:t>因乙方违约导致甲方向业主或第三方承担违约责任而支付的违约金</w:t>
      </w:r>
      <w:r>
        <w:rPr>
          <w:rFonts w:hint="eastAsia" w:asciiTheme="minorEastAsia" w:hAnsiTheme="minorEastAsia" w:eastAsiaTheme="minorEastAsia"/>
          <w:color w:val="auto"/>
          <w:sz w:val="24"/>
          <w:szCs w:val="24"/>
          <w:highlight w:val="none"/>
        </w:rPr>
        <w:t>、</w:t>
      </w:r>
      <w:r>
        <w:rPr>
          <w:rFonts w:hint="eastAsia" w:cs="宋体" w:asciiTheme="minorEastAsia" w:hAnsiTheme="minorEastAsia" w:eastAsiaTheme="minorEastAsia"/>
          <w:color w:val="auto"/>
          <w:sz w:val="24"/>
          <w:szCs w:val="24"/>
          <w:highlight w:val="none"/>
        </w:rPr>
        <w:t>发电量损失索赔金等</w:t>
      </w:r>
      <w:r>
        <w:rPr>
          <w:rFonts w:asciiTheme="minorEastAsia" w:hAnsiTheme="minorEastAsia" w:eastAsiaTheme="minorEastAsia"/>
          <w:color w:val="auto"/>
          <w:sz w:val="24"/>
          <w:szCs w:val="24"/>
          <w:highlight w:val="none"/>
        </w:rPr>
        <w:t>。</w:t>
      </w:r>
    </w:p>
    <w:p>
      <w:pPr>
        <w:pStyle w:val="14"/>
        <w:ind w:left="1050" w:leftChars="100" w:hanging="840" w:hangingChars="3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4）</w:t>
      </w:r>
      <w:r>
        <w:rPr>
          <w:rFonts w:asciiTheme="minorEastAsia" w:hAnsiTheme="minorEastAsia" w:eastAsiaTheme="minorEastAsia"/>
          <w:color w:val="auto"/>
          <w:highlight w:val="none"/>
        </w:rPr>
        <w:t>乙方提交的产品若因</w:t>
      </w:r>
      <w:r>
        <w:rPr>
          <w:rFonts w:hint="eastAsia" w:cs="宋体" w:asciiTheme="minorEastAsia" w:hAnsiTheme="minorEastAsia" w:eastAsiaTheme="minorEastAsia"/>
          <w:color w:val="auto"/>
          <w:szCs w:val="24"/>
          <w:highlight w:val="none"/>
        </w:rPr>
        <w:t>乙方产品质量的原因发生锈蚀、腐蚀等，由此引起的所有责任、损失等由乙方承担。</w:t>
      </w:r>
    </w:p>
    <w:p>
      <w:pPr>
        <w:spacing w:line="360" w:lineRule="auto"/>
        <w:ind w:left="990" w:leftChars="300" w:hanging="360" w:hangingChars="1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乙方提交的产品若因乙方知识产权原因导致甲方产生损失时，由此引起的所有责任、损失等由乙方承担。</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11.3 违约金的支付并不免除违约方的合同义务。经守约方书面同意，可以免除违约方的违约责任。守约方依据本合同第十七条实现权利救济过程中产生的诉讼费、律师费、复印费、交通费、通讯费等可向违约方主张。</w:t>
      </w:r>
    </w:p>
    <w:p>
      <w:pPr>
        <w:pStyle w:val="3"/>
        <w:rPr>
          <w:rFonts w:asciiTheme="minorEastAsia" w:hAnsiTheme="minorEastAsia" w:eastAsiaTheme="minorEastAsia"/>
          <w:color w:val="auto"/>
          <w:highlight w:val="none"/>
        </w:rPr>
      </w:pPr>
      <w:bookmarkStart w:id="22" w:name="_Toc86399302"/>
      <w:bookmarkStart w:id="23" w:name="_Toc86392966"/>
      <w:r>
        <w:rPr>
          <w:rFonts w:asciiTheme="minorEastAsia" w:hAnsiTheme="minorEastAsia" w:eastAsiaTheme="minorEastAsia"/>
          <w:color w:val="auto"/>
          <w:highlight w:val="none"/>
        </w:rPr>
        <w:t>第十二条　廉洁条款</w:t>
      </w:r>
      <w:bookmarkEnd w:id="22"/>
      <w:bookmarkEnd w:id="23"/>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12.1 乙方如存在违背廉洁承诺的行为，甲方有权拒付全部货款（含本年度内），所供货物不予退还，给甲方造成经济损失的，予以损失五倍以上的赔偿，构成犯罪的移送司法机关追究刑事责任。</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12.2 如甲方工作人员有向乙方索贿及为个人谋取不正当利益的行为，乙方应当通知甲方，甲方接收邮箱为【jwbgs@cmie.cn】。</w:t>
      </w:r>
    </w:p>
    <w:p>
      <w:pPr>
        <w:pStyle w:val="3"/>
        <w:rPr>
          <w:rFonts w:asciiTheme="minorEastAsia" w:hAnsiTheme="minorEastAsia" w:eastAsiaTheme="minorEastAsia"/>
          <w:color w:val="auto"/>
          <w:highlight w:val="none"/>
        </w:rPr>
      </w:pPr>
      <w:bookmarkStart w:id="24" w:name="_Toc86399303"/>
      <w:bookmarkStart w:id="25" w:name="_Toc86392967"/>
      <w:r>
        <w:rPr>
          <w:rFonts w:asciiTheme="minorEastAsia" w:hAnsiTheme="minorEastAsia" w:eastAsiaTheme="minorEastAsia"/>
          <w:color w:val="auto"/>
          <w:highlight w:val="none"/>
        </w:rPr>
        <w:t>第十三条　保密约定</w:t>
      </w:r>
      <w:bookmarkEnd w:id="24"/>
      <w:bookmarkEnd w:id="25"/>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13.1 本合同拥有信息的一方（“乙方”）根据本合同向另一方（“甲方”）提供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甲方及其人员为本合同目的而使用。除本合同另有规定外，对于乙方提供的任何保密信息，未经乙方的书面同意，甲方及其知悉保密信息的人员均不得直接或间接地以任何方式提供或披露给任何“第三方”。在本条中，“第三方”是指任何自然人、企业或其分支机构、代理、组织或其他实体，但不包括甲方关联公司。甲方关联公司是指甲方的子公司、分公司、代表处及甲方的股东方（含最终）和直接或间接控股的公司，以及上述公司的合法继承人。</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13.2 乙方向甲方提供或披露的保密信息，仅可由甲方为执行本合同需要披露给指定的雇员，并且仅在为执行本合同所需的范围内进行该等披露；但是，甲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13.3</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甲方的律师、会计师、承包商和顾问为提供专业协助而需要了解保密信息时，甲方可向其披露保密信息，但是，其应要求上述人员签订保密协议或按照有关职业道德标准履行保密义务。</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13.4</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如相关政府部门、监管机构、证交所或联交所（以上含香港特别行政区）要求甲方披露任何保密信息，甲方可做出披露而无需承担本合同项下的责任。但前提是，该甲方应立即将需披露的信息书面通知乙方，以便乙方采取必要的保护措施，且该等通知应尽可能在信息披露前做出。</w:t>
      </w:r>
    </w:p>
    <w:p>
      <w:pPr>
        <w:spacing w:line="360" w:lineRule="auto"/>
        <w:ind w:left="360" w:hanging="360" w:hanging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13.5 在任何情形下，本条所规定的保密义务应永久持续有效。</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13.6 本条规定的保密义务对以下信息不适用：</w:t>
      </w:r>
    </w:p>
    <w:p>
      <w:pPr>
        <w:spacing w:line="360" w:lineRule="auto"/>
        <w:ind w:left="870" w:leftChars="300" w:hanging="240" w:hangingChars="1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1）在一方披露时，已经是公众所知的信息，或者在披露后，并非由于甲方或其雇员、律师、会计师、承包商、顾问或者其他人员的过失而成为公众所知的信息；</w:t>
      </w:r>
    </w:p>
    <w:p>
      <w:pPr>
        <w:spacing w:line="360" w:lineRule="auto"/>
        <w:ind w:left="870" w:leftChars="300" w:hanging="240" w:hangingChars="1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2）有书面证据证明在披露时已经由甲方掌握的信息，而且信息并非直接或间接来自乙方； </w:t>
      </w:r>
    </w:p>
    <w:p>
      <w:pPr>
        <w:spacing w:line="360" w:lineRule="auto"/>
        <w:ind w:left="870" w:leftChars="300" w:hanging="240" w:hangingChars="1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3）有书面证据证明第三方已向甲方披露的信息，而该第三方并不负有保密义务，并且有权做出披露。</w:t>
      </w:r>
    </w:p>
    <w:p>
      <w:pPr>
        <w:pStyle w:val="14"/>
        <w:ind w:firstLine="600" w:firstLineChars="2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4）因项目所需要向本项目业主、监理单位提供相关信息的。</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13.7</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当本合同解除或终止时，甲方应立即停止使用且不得许可第三方使用乙方的保密信息，同时，甲方应按照乙方的书面要求，将乙方提供的保密信息退还乙方或予以删除或销毁。</w:t>
      </w:r>
    </w:p>
    <w:p>
      <w:pPr>
        <w:pStyle w:val="3"/>
        <w:rPr>
          <w:rFonts w:asciiTheme="minorEastAsia" w:hAnsiTheme="minorEastAsia" w:eastAsiaTheme="minorEastAsia"/>
          <w:color w:val="auto"/>
          <w:highlight w:val="none"/>
        </w:rPr>
      </w:pPr>
      <w:bookmarkStart w:id="26" w:name="_Toc86399304"/>
      <w:bookmarkStart w:id="27" w:name="_Toc86392968"/>
      <w:r>
        <w:rPr>
          <w:rFonts w:asciiTheme="minorEastAsia" w:hAnsiTheme="minorEastAsia" w:eastAsiaTheme="minorEastAsia"/>
          <w:color w:val="auto"/>
          <w:highlight w:val="none"/>
        </w:rPr>
        <w:t>第十四条　知识产权及其它合法权益</w:t>
      </w:r>
      <w:bookmarkEnd w:id="26"/>
      <w:bookmarkEnd w:id="27"/>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14.1 甲方同意并保证尊重乙方对其提供产品的知识产权及其它合法权益，承诺其所采购的产品使用目的合法，且不会因为采购产品的使用而使乙方受到第三方的法律追索。</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14.2 乙方同意并保证尊重任何他方的知识产权及其它合法权益，承诺其提供的产品或服务均为有合法权利的、甲方对其提供产品的使用或接受服务不会受到其他任何第三方的法律追索。</w:t>
      </w:r>
    </w:p>
    <w:p>
      <w:pPr>
        <w:pStyle w:val="3"/>
        <w:rPr>
          <w:rFonts w:asciiTheme="minorEastAsia" w:hAnsiTheme="minorEastAsia" w:eastAsiaTheme="minorEastAsia"/>
          <w:color w:val="auto"/>
          <w:highlight w:val="none"/>
        </w:rPr>
      </w:pPr>
      <w:bookmarkStart w:id="28" w:name="_Toc86399305"/>
      <w:bookmarkStart w:id="29" w:name="_Toc86392969"/>
      <w:r>
        <w:rPr>
          <w:rFonts w:asciiTheme="minorEastAsia" w:hAnsiTheme="minorEastAsia" w:eastAsiaTheme="minorEastAsia"/>
          <w:color w:val="auto"/>
          <w:highlight w:val="none"/>
        </w:rPr>
        <w:t>第十五条　权利保留</w:t>
      </w:r>
      <w:bookmarkEnd w:id="28"/>
      <w:bookmarkEnd w:id="29"/>
    </w:p>
    <w:p>
      <w:pPr>
        <w:spacing w:line="360" w:lineRule="auto"/>
        <w:ind w:firstLine="480" w:firstLineChars="200"/>
        <w:rPr>
          <w:rFonts w:asciiTheme="minorEastAsia" w:hAnsiTheme="minorEastAsia" w:eastAsiaTheme="minorEastAsia"/>
          <w:bCs/>
          <w:color w:val="auto"/>
          <w:kern w:val="0"/>
          <w:sz w:val="24"/>
          <w:szCs w:val="24"/>
          <w:highlight w:val="none"/>
        </w:rPr>
      </w:pPr>
      <w:r>
        <w:rPr>
          <w:rFonts w:asciiTheme="minorEastAsia" w:hAnsiTheme="minorEastAsia" w:eastAsiaTheme="minorEastAsia"/>
          <w:bCs/>
          <w:color w:val="auto"/>
          <w:kern w:val="0"/>
          <w:sz w:val="24"/>
          <w:szCs w:val="24"/>
          <w:highlight w:val="none"/>
        </w:rPr>
        <w:t>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pStyle w:val="3"/>
        <w:rPr>
          <w:rFonts w:asciiTheme="minorEastAsia" w:hAnsiTheme="minorEastAsia" w:eastAsiaTheme="minorEastAsia"/>
          <w:color w:val="auto"/>
          <w:highlight w:val="none"/>
        </w:rPr>
      </w:pPr>
      <w:bookmarkStart w:id="30" w:name="_Toc86392970"/>
      <w:bookmarkStart w:id="31" w:name="_Toc86399306"/>
      <w:r>
        <w:rPr>
          <w:rFonts w:asciiTheme="minorEastAsia" w:hAnsiTheme="minorEastAsia" w:eastAsiaTheme="minorEastAsia"/>
          <w:color w:val="auto"/>
          <w:highlight w:val="none"/>
        </w:rPr>
        <w:t>第十六条　不可抗力</w:t>
      </w:r>
      <w:bookmarkEnd w:id="30"/>
      <w:bookmarkEnd w:id="31"/>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16.1 本合同所指不可抗力，是自然灾害、如台风、冰雹、地震、海啸、洪水、火山爆发、山体滑坡、疫情和政府行为及社会异常事件（如战争、武装冲突、罢工、骚乱、暴动等）。</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16.2 由于不可抗力事件，致使一方在履行其在本合同项下的义务过程中遇到障碍或延误，不能按约定的条款全部或部分履行其义务的，遇到不可抗力事件的一方（“受阻方”），只要满足下列所有条件，不应视为违反本合同： </w:t>
      </w:r>
    </w:p>
    <w:p>
      <w:pPr>
        <w:spacing w:line="360" w:lineRule="auto"/>
        <w:ind w:left="990" w:leftChars="300" w:hanging="360" w:hangingChars="1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1）受阻方不能全部或部分履行其义务，是由于不可抗力事件直接造成的，且在不可抗力发生前受阻方不存在迟延履行相关义务的情形；</w:t>
      </w:r>
    </w:p>
    <w:p>
      <w:pPr>
        <w:spacing w:line="360" w:lineRule="auto"/>
        <w:ind w:left="870" w:leftChars="300" w:hanging="240" w:hangingChars="1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2）受阻方已尽最大努力履行义务并减少由于不可抗力事件给另一方造成的损失；</w:t>
      </w:r>
    </w:p>
    <w:p>
      <w:pPr>
        <w:spacing w:line="360" w:lineRule="auto"/>
        <w:ind w:left="990" w:leftChars="300" w:hanging="360" w:hangingChars="1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3）不可抗力事件发生，受阻方已立即通知了对方，并在不可抗力事件发生后的十天内提供有关该事件的公证文书和书面说明，书面说明中应包括对延迟履行或部分履行本合同的原因说明。</w:t>
      </w:r>
    </w:p>
    <w:p>
      <w:pPr>
        <w:spacing w:line="360" w:lineRule="auto"/>
        <w:ind w:left="720" w:hanging="720" w:hanging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16.3 不可抗力事件终止或被排除后，受阻方应继续履行本合同，并应尽快通知另一方。受阻方应可延长履行义务的时间，延长期应相当于不可抗力事件实际造成延误的时间。</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16.4 如果不可抗力事件的影响持续达三十（30）日或以上时，双方应根据该事件对本合同履行的影响程度协商对本合同的修改或终止。如在一方发出协商书面通知之日起十日内双方无法就此达成一致，任何一方均有权解除本合同而无需承担违约责任。</w:t>
      </w:r>
    </w:p>
    <w:p>
      <w:pPr>
        <w:spacing w:line="360" w:lineRule="auto"/>
        <w:ind w:left="360" w:hanging="360" w:hangingChars="15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16.5 当事人迟延履行后发生不可抗力的，不能免除责任。</w:t>
      </w:r>
    </w:p>
    <w:p>
      <w:pPr>
        <w:pStyle w:val="3"/>
        <w:rPr>
          <w:rFonts w:asciiTheme="minorEastAsia" w:hAnsiTheme="minorEastAsia" w:eastAsiaTheme="minorEastAsia"/>
          <w:color w:val="auto"/>
          <w:highlight w:val="none"/>
        </w:rPr>
      </w:pPr>
      <w:bookmarkStart w:id="32" w:name="_Toc86392971"/>
      <w:bookmarkStart w:id="33" w:name="_Toc86399307"/>
      <w:r>
        <w:rPr>
          <w:rFonts w:asciiTheme="minorEastAsia" w:hAnsiTheme="minorEastAsia" w:eastAsiaTheme="minorEastAsia"/>
          <w:color w:val="auto"/>
          <w:highlight w:val="none"/>
        </w:rPr>
        <w:t>第十七条　法律适用及争议解决</w:t>
      </w:r>
      <w:bookmarkEnd w:id="32"/>
      <w:bookmarkEnd w:id="33"/>
    </w:p>
    <w:p>
      <w:pPr>
        <w:snapToGrid w:val="0"/>
        <w:spacing w:line="360" w:lineRule="auto"/>
        <w:ind w:left="600" w:hanging="600" w:hangingChars="250"/>
        <w:rPr>
          <w:rFonts w:asciiTheme="minorEastAsia" w:hAnsiTheme="minorEastAsia" w:eastAsiaTheme="minorEastAsia"/>
          <w:bCs/>
          <w:color w:val="auto"/>
          <w:kern w:val="0"/>
          <w:sz w:val="24"/>
          <w:szCs w:val="24"/>
          <w:highlight w:val="none"/>
        </w:rPr>
      </w:pPr>
      <w:bookmarkStart w:id="34" w:name="_Toc49080816"/>
      <w:bookmarkStart w:id="35" w:name="_Toc68613779"/>
      <w:bookmarkStart w:id="36" w:name="_Toc86392972"/>
      <w:bookmarkStart w:id="37" w:name="_Toc49001500"/>
      <w:r>
        <w:rPr>
          <w:rFonts w:asciiTheme="minorEastAsia" w:hAnsiTheme="minorEastAsia" w:eastAsiaTheme="minorEastAsia"/>
          <w:bCs/>
          <w:color w:val="auto"/>
          <w:kern w:val="0"/>
          <w:sz w:val="24"/>
          <w:szCs w:val="24"/>
          <w:highlight w:val="none"/>
        </w:rPr>
        <w:t>17.1 本合同的成立、有效性、解释、履行、签署、修订和终止以及争议的解决均应适用中华人民共和国法律。</w:t>
      </w:r>
    </w:p>
    <w:p>
      <w:pPr>
        <w:snapToGrid w:val="0"/>
        <w:spacing w:line="360" w:lineRule="auto"/>
        <w:ind w:left="600" w:hanging="600" w:hangingChars="250"/>
        <w:rPr>
          <w:rFonts w:asciiTheme="minorEastAsia" w:hAnsiTheme="minorEastAsia" w:eastAsiaTheme="minorEastAsia"/>
          <w:bCs/>
          <w:color w:val="auto"/>
          <w:kern w:val="0"/>
          <w:sz w:val="24"/>
          <w:szCs w:val="24"/>
          <w:highlight w:val="none"/>
        </w:rPr>
      </w:pPr>
      <w:r>
        <w:rPr>
          <w:rFonts w:asciiTheme="minorEastAsia" w:hAnsiTheme="minorEastAsia" w:eastAsiaTheme="minorEastAsia"/>
          <w:bCs/>
          <w:color w:val="auto"/>
          <w:kern w:val="0"/>
          <w:sz w:val="24"/>
          <w:szCs w:val="24"/>
          <w:highlight w:val="none"/>
        </w:rPr>
        <w:t>17.2 如果任何争议或权利要求起因于本合同或与本合同有关或与本合同的解释、违约、终止或效力有关，都应由双方通过友好协商解决。协商应在一方向另一方送达关于协商的书面要求后立即开始。</w:t>
      </w:r>
    </w:p>
    <w:p>
      <w:pPr>
        <w:snapToGrid w:val="0"/>
        <w:spacing w:line="360" w:lineRule="auto"/>
        <w:ind w:left="600" w:hanging="600" w:hangingChars="250"/>
        <w:rPr>
          <w:rFonts w:asciiTheme="minorEastAsia" w:hAnsiTheme="minorEastAsia" w:eastAsiaTheme="minorEastAsia"/>
          <w:bCs/>
          <w:color w:val="auto"/>
          <w:kern w:val="0"/>
          <w:sz w:val="24"/>
          <w:szCs w:val="24"/>
          <w:highlight w:val="none"/>
        </w:rPr>
      </w:pPr>
      <w:r>
        <w:rPr>
          <w:rFonts w:asciiTheme="minorEastAsia" w:hAnsiTheme="minorEastAsia" w:eastAsiaTheme="minorEastAsia"/>
          <w:bCs/>
          <w:color w:val="auto"/>
          <w:kern w:val="0"/>
          <w:sz w:val="24"/>
          <w:szCs w:val="24"/>
          <w:highlight w:val="none"/>
        </w:rPr>
        <w:t>17.3 如果在一方提出协商要求后的十天内，双方通过协商不能解决争议，则各方同意</w:t>
      </w:r>
    </w:p>
    <w:p>
      <w:pPr>
        <w:snapToGrid w:val="0"/>
        <w:spacing w:line="360" w:lineRule="auto"/>
        <w:ind w:left="598" w:leftChars="285"/>
        <w:rPr>
          <w:rFonts w:asciiTheme="minorEastAsia" w:hAnsiTheme="minorEastAsia" w:eastAsiaTheme="minorEastAsia"/>
          <w:bCs/>
          <w:color w:val="auto"/>
          <w:kern w:val="0"/>
          <w:sz w:val="24"/>
          <w:szCs w:val="24"/>
          <w:highlight w:val="none"/>
        </w:rPr>
      </w:pPr>
      <w:r>
        <w:rPr>
          <w:rFonts w:hint="eastAsia" w:asciiTheme="minorEastAsia" w:hAnsiTheme="minorEastAsia" w:eastAsiaTheme="minorEastAsia"/>
          <w:bCs/>
          <w:color w:val="auto"/>
          <w:kern w:val="0"/>
          <w:sz w:val="24"/>
          <w:szCs w:val="24"/>
          <w:highlight w:val="none"/>
        </w:rPr>
        <w:t>将该争议提交至本合同签订地有管辖权的人民法院诉讼解决。</w:t>
      </w:r>
    </w:p>
    <w:p>
      <w:pPr>
        <w:snapToGrid w:val="0"/>
        <w:spacing w:line="360" w:lineRule="auto"/>
        <w:ind w:left="600" w:hanging="600" w:hangingChars="250"/>
        <w:rPr>
          <w:rFonts w:asciiTheme="minorEastAsia" w:hAnsiTheme="minorEastAsia" w:eastAsiaTheme="minorEastAsia"/>
          <w:bCs/>
          <w:color w:val="auto"/>
          <w:kern w:val="0"/>
          <w:sz w:val="24"/>
          <w:szCs w:val="24"/>
          <w:highlight w:val="none"/>
        </w:rPr>
      </w:pPr>
      <w:r>
        <w:rPr>
          <w:rFonts w:asciiTheme="minorEastAsia" w:hAnsiTheme="minorEastAsia" w:eastAsiaTheme="minorEastAsia"/>
          <w:bCs/>
          <w:color w:val="auto"/>
          <w:kern w:val="0"/>
          <w:sz w:val="24"/>
          <w:szCs w:val="24"/>
          <w:highlight w:val="none"/>
        </w:rPr>
        <w:t>17.4 诉讼进行过程中，除双方有争议的部分外，本合同其他部分仍然有效，各方应继续履行。</w:t>
      </w:r>
    </w:p>
    <w:p>
      <w:pPr>
        <w:snapToGrid w:val="0"/>
        <w:spacing w:line="360" w:lineRule="auto"/>
        <w:ind w:left="600" w:hanging="600" w:hangingChars="250"/>
        <w:rPr>
          <w:rFonts w:asciiTheme="minorEastAsia" w:hAnsiTheme="minorEastAsia" w:eastAsiaTheme="minorEastAsia"/>
          <w:bCs/>
          <w:color w:val="auto"/>
          <w:kern w:val="0"/>
          <w:sz w:val="24"/>
          <w:szCs w:val="24"/>
          <w:highlight w:val="none"/>
        </w:rPr>
      </w:pPr>
      <w:r>
        <w:rPr>
          <w:rFonts w:asciiTheme="minorEastAsia" w:hAnsiTheme="minorEastAsia" w:eastAsiaTheme="minorEastAsia"/>
          <w:bCs/>
          <w:color w:val="auto"/>
          <w:kern w:val="0"/>
          <w:sz w:val="24"/>
          <w:szCs w:val="24"/>
          <w:highlight w:val="none"/>
        </w:rPr>
        <w:t>17.5 每一方同意使用本合同通知与送达条款规定的方式送达与诉讼或强制执行有关的传票、通知或其他文件。本合同通知与送达条款中的任何规定均不应影响一方以法律允许的其他方式送达上述传票、通知或其他文件的权利。</w:t>
      </w:r>
    </w:p>
    <w:p>
      <w:pPr>
        <w:snapToGrid w:val="0"/>
        <w:spacing w:line="360" w:lineRule="auto"/>
        <w:ind w:left="600" w:hanging="600" w:hangingChars="250"/>
        <w:rPr>
          <w:rFonts w:asciiTheme="minorEastAsia" w:hAnsiTheme="minorEastAsia" w:eastAsiaTheme="minorEastAsia"/>
          <w:bCs/>
          <w:color w:val="auto"/>
          <w:kern w:val="0"/>
          <w:sz w:val="24"/>
          <w:szCs w:val="24"/>
          <w:highlight w:val="none"/>
        </w:rPr>
      </w:pPr>
      <w:r>
        <w:rPr>
          <w:rFonts w:asciiTheme="minorEastAsia" w:hAnsiTheme="minorEastAsia" w:eastAsiaTheme="minorEastAsia"/>
          <w:bCs/>
          <w:color w:val="auto"/>
          <w:kern w:val="0"/>
          <w:sz w:val="24"/>
          <w:szCs w:val="24"/>
          <w:highlight w:val="none"/>
        </w:rPr>
        <w:t>17.6 本合同全部或部分无效的，本条依然有效。</w:t>
      </w:r>
    </w:p>
    <w:p>
      <w:pPr>
        <w:pStyle w:val="3"/>
        <w:rPr>
          <w:rFonts w:asciiTheme="minorEastAsia" w:hAnsiTheme="minorEastAsia" w:eastAsiaTheme="minorEastAsia"/>
          <w:color w:val="auto"/>
          <w:highlight w:val="none"/>
        </w:rPr>
      </w:pPr>
      <w:bookmarkStart w:id="38" w:name="_Toc86399308"/>
      <w:r>
        <w:rPr>
          <w:rFonts w:asciiTheme="minorEastAsia" w:hAnsiTheme="minorEastAsia" w:eastAsiaTheme="minorEastAsia"/>
          <w:color w:val="auto"/>
          <w:highlight w:val="none"/>
        </w:rPr>
        <w:t>第十八条  通知与送达</w:t>
      </w:r>
      <w:bookmarkEnd w:id="34"/>
      <w:bookmarkEnd w:id="35"/>
      <w:bookmarkEnd w:id="36"/>
      <w:bookmarkEnd w:id="37"/>
      <w:bookmarkEnd w:id="38"/>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18.1 甲乙双方根据本合同需要，以特快专递形式发出通知的，发往本市内的，发出后第2日视为送达。发往国内其他地区的，发出后第3日视为送达。发往港、澳、台地区的，发出后第5日视为送达。发往境外其他国家或地区的，发出后第10日视为送达。上述书面通知按对方在本合同第18.3条款中所列的地址发出，并按本合同第18.1条款规定时间视为已经送达。如任何一方的地址有变更时，须在变更前十日以书面形式通知对方。因迟延通知而造成的损失，由过错方承担责任。</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18.2 甲乙双方根据本合同需要，以电子邮件形式发出通知的，收件人回复的邮件中确认收到日期为送达日期，而收件人未回复的，以电子邮件进入收件人特定系统之日为送达之日。凡从该邮箱中送达给对方的文件均视为发送方的真实意思表示。</w:t>
      </w:r>
    </w:p>
    <w:p>
      <w:pPr>
        <w:spacing w:line="360" w:lineRule="auto"/>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18.3 各方地址与联系方式如下：</w:t>
      </w:r>
    </w:p>
    <w:p>
      <w:pPr>
        <w:spacing w:line="360" w:lineRule="auto"/>
        <w:ind w:firstLine="600" w:firstLineChars="250"/>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如致甲方：</w:t>
      </w:r>
    </w:p>
    <w:p>
      <w:pPr>
        <w:spacing w:line="360" w:lineRule="auto"/>
        <w:ind w:firstLine="600" w:firstLine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中机国际工程设计研究院有限责任公司</w:t>
      </w:r>
    </w:p>
    <w:p>
      <w:pPr>
        <w:pStyle w:val="14"/>
        <w:ind w:firstLine="600" w:firstLineChars="250"/>
        <w:rPr>
          <w:rFonts w:hint="eastAsia" w:asciiTheme="minorEastAsia" w:hAnsiTheme="minorEastAsia" w:eastAsiaTheme="minorEastAsia"/>
          <w:color w:val="auto"/>
          <w:highlight w:val="none"/>
          <w:lang w:eastAsia="zh-CN"/>
        </w:rPr>
      </w:pPr>
      <w:r>
        <w:rPr>
          <w:rFonts w:hint="eastAsia" w:cs="宋体" w:asciiTheme="minorEastAsia" w:hAnsiTheme="minorEastAsia" w:eastAsiaTheme="minorEastAsia"/>
          <w:color w:val="auto"/>
          <w:szCs w:val="24"/>
          <w:highlight w:val="none"/>
        </w:rPr>
        <w:t>姓    名：</w:t>
      </w:r>
      <w:r>
        <w:rPr>
          <w:rFonts w:hint="eastAsia" w:cs="宋体" w:asciiTheme="minorEastAsia" w:hAnsiTheme="minorEastAsia" w:eastAsiaTheme="minorEastAsia"/>
          <w:color w:val="auto"/>
          <w:szCs w:val="24"/>
          <w:highlight w:val="none"/>
          <w:lang w:eastAsia="zh-CN"/>
        </w:rPr>
        <w:t>周鲁</w:t>
      </w:r>
    </w:p>
    <w:p>
      <w:pPr>
        <w:spacing w:line="360" w:lineRule="auto"/>
        <w:ind w:firstLine="600" w:firstLineChars="250"/>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地    址：</w:t>
      </w:r>
      <w:r>
        <w:rPr>
          <w:rFonts w:hint="eastAsia" w:cs="宋体" w:asciiTheme="minorEastAsia" w:hAnsiTheme="minorEastAsia" w:eastAsiaTheme="minorEastAsia"/>
          <w:color w:val="auto"/>
          <w:sz w:val="24"/>
          <w:highlight w:val="none"/>
        </w:rPr>
        <w:t>长沙市</w:t>
      </w:r>
      <w:r>
        <w:rPr>
          <w:rFonts w:hint="eastAsia" w:cs="宋体" w:asciiTheme="minorEastAsia" w:hAnsiTheme="minorEastAsia" w:eastAsiaTheme="minorEastAsia"/>
          <w:color w:val="auto"/>
          <w:sz w:val="24"/>
          <w:szCs w:val="24"/>
          <w:highlight w:val="none"/>
        </w:rPr>
        <w:t>雨花区</w:t>
      </w:r>
      <w:r>
        <w:rPr>
          <w:rFonts w:hint="eastAsia" w:cs="宋体" w:asciiTheme="minorEastAsia" w:hAnsiTheme="minorEastAsia" w:eastAsiaTheme="minorEastAsia"/>
          <w:color w:val="auto"/>
          <w:sz w:val="24"/>
          <w:highlight w:val="none"/>
        </w:rPr>
        <w:t>韶山中路18号</w:t>
      </w:r>
    </w:p>
    <w:p>
      <w:pPr>
        <w:spacing w:line="360" w:lineRule="auto"/>
        <w:ind w:firstLine="600" w:firstLineChars="250"/>
        <w:rPr>
          <w:rFonts w:hint="default" w:cs="宋体" w:asciiTheme="minorEastAsia" w:hAnsiTheme="minorEastAsia" w:eastAsiaTheme="minorEastAsia"/>
          <w:color w:val="auto"/>
          <w:sz w:val="24"/>
          <w:szCs w:val="24"/>
          <w:highlight w:val="none"/>
          <w:lang w:val="en-US" w:eastAsia="zh-CN"/>
        </w:rPr>
      </w:pPr>
      <w:r>
        <w:rPr>
          <w:rFonts w:hint="eastAsia" w:cs="宋体" w:asciiTheme="minorEastAsia" w:hAnsiTheme="minorEastAsia" w:eastAsiaTheme="minorEastAsia"/>
          <w:bCs/>
          <w:color w:val="auto"/>
          <w:kern w:val="0"/>
          <w:sz w:val="24"/>
          <w:szCs w:val="24"/>
          <w:highlight w:val="none"/>
        </w:rPr>
        <w:t>电    话：</w:t>
      </w:r>
      <w:r>
        <w:rPr>
          <w:rFonts w:hint="eastAsia" w:cs="宋体" w:asciiTheme="minorEastAsia" w:hAnsiTheme="minorEastAsia" w:eastAsiaTheme="minorEastAsia"/>
          <w:bCs/>
          <w:color w:val="auto"/>
          <w:kern w:val="0"/>
          <w:sz w:val="24"/>
          <w:szCs w:val="24"/>
          <w:highlight w:val="none"/>
          <w:lang w:val="en-US" w:eastAsia="zh-CN"/>
        </w:rPr>
        <w:t>17788911781</w:t>
      </w:r>
    </w:p>
    <w:p>
      <w:pPr>
        <w:spacing w:line="360" w:lineRule="auto"/>
        <w:ind w:firstLine="600" w:firstLineChars="250"/>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邮政编码：</w:t>
      </w:r>
      <w:r>
        <w:rPr>
          <w:rFonts w:hint="eastAsia" w:cs="宋体" w:asciiTheme="minorEastAsia" w:hAnsiTheme="minorEastAsia" w:eastAsiaTheme="minorEastAsia"/>
          <w:color w:val="auto"/>
          <w:sz w:val="24"/>
          <w:szCs w:val="24"/>
          <w:highlight w:val="none"/>
        </w:rPr>
        <w:t>410007</w:t>
      </w:r>
    </w:p>
    <w:p>
      <w:pPr>
        <w:spacing w:line="360" w:lineRule="auto"/>
        <w:ind w:firstLine="600" w:firstLineChars="250"/>
        <w:rPr>
          <w:rFonts w:hint="default" w:cs="宋体" w:asciiTheme="minorEastAsia" w:hAnsiTheme="minorEastAsia" w:eastAsiaTheme="minorEastAsia"/>
          <w:bCs/>
          <w:color w:val="auto"/>
          <w:kern w:val="0"/>
          <w:sz w:val="24"/>
          <w:szCs w:val="24"/>
          <w:highlight w:val="none"/>
          <w:lang w:val="en-US" w:eastAsia="zh-CN"/>
        </w:rPr>
      </w:pPr>
      <w:r>
        <w:rPr>
          <w:rFonts w:hint="eastAsia" w:cs="宋体" w:asciiTheme="minorEastAsia" w:hAnsiTheme="minorEastAsia" w:eastAsiaTheme="minorEastAsia"/>
          <w:bCs/>
          <w:color w:val="auto"/>
          <w:kern w:val="0"/>
          <w:sz w:val="24"/>
          <w:szCs w:val="24"/>
          <w:highlight w:val="none"/>
        </w:rPr>
        <w:t>电子邮箱：</w:t>
      </w:r>
      <w:r>
        <w:rPr>
          <w:rFonts w:hint="eastAsia" w:cs="宋体" w:asciiTheme="minorEastAsia" w:hAnsiTheme="minorEastAsia" w:eastAsiaTheme="minorEastAsia"/>
          <w:bCs/>
          <w:color w:val="auto"/>
          <w:kern w:val="0"/>
          <w:sz w:val="24"/>
          <w:szCs w:val="24"/>
          <w:highlight w:val="none"/>
          <w:lang w:val="en-US" w:eastAsia="zh-CN"/>
        </w:rPr>
        <w:t>zhoulu</w:t>
      </w:r>
      <w:r>
        <w:rPr>
          <w:rFonts w:hint="eastAsia"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color w:val="auto"/>
          <w:sz w:val="24"/>
          <w:szCs w:val="24"/>
          <w:highlight w:val="none"/>
          <w:lang w:val="en-US" w:eastAsia="zh-CN"/>
        </w:rPr>
        <w:t>cmie.cn</w:t>
      </w:r>
    </w:p>
    <w:p>
      <w:pPr>
        <w:snapToGrid w:val="0"/>
        <w:spacing w:line="360" w:lineRule="auto"/>
        <w:ind w:left="600" w:hanging="600" w:hangingChars="250"/>
        <w:rPr>
          <w:rFonts w:cs="宋体" w:asciiTheme="minorEastAsia" w:hAnsiTheme="minorEastAsia" w:eastAsiaTheme="minorEastAsia"/>
          <w:bCs/>
          <w:color w:val="auto"/>
          <w:kern w:val="0"/>
          <w:sz w:val="24"/>
          <w:szCs w:val="24"/>
          <w:highlight w:val="none"/>
        </w:rPr>
      </w:pPr>
    </w:p>
    <w:p>
      <w:pPr>
        <w:spacing w:line="360" w:lineRule="auto"/>
        <w:ind w:firstLine="600" w:firstLineChars="250"/>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如致乙方：</w:t>
      </w:r>
    </w:p>
    <w:p>
      <w:pPr>
        <w:spacing w:line="360" w:lineRule="auto"/>
        <w:ind w:firstLine="600" w:firstLineChars="250"/>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lang w:eastAsia="zh-CN"/>
        </w:rPr>
        <w:t>XXXX</w:t>
      </w:r>
    </w:p>
    <w:p>
      <w:pPr>
        <w:spacing w:line="360" w:lineRule="auto"/>
        <w:ind w:firstLine="600" w:firstLineChars="2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姓    名：</w:t>
      </w:r>
    </w:p>
    <w:p>
      <w:pPr>
        <w:spacing w:line="360" w:lineRule="auto"/>
        <w:ind w:firstLine="600" w:firstLineChars="250"/>
        <w:rPr>
          <w:rFonts w:hint="eastAsia" w:cs="宋体" w:asciiTheme="minorEastAsia" w:hAnsiTheme="minorEastAsia" w:eastAsiaTheme="minorEastAsia"/>
          <w:bCs/>
          <w:color w:val="auto"/>
          <w:kern w:val="0"/>
          <w:sz w:val="24"/>
          <w:szCs w:val="24"/>
          <w:highlight w:val="none"/>
          <w:lang w:eastAsia="zh-CN"/>
        </w:rPr>
      </w:pPr>
      <w:r>
        <w:rPr>
          <w:rFonts w:hint="eastAsia" w:cs="宋体" w:asciiTheme="minorEastAsia" w:hAnsiTheme="minorEastAsia" w:eastAsiaTheme="minorEastAsia"/>
          <w:bCs/>
          <w:color w:val="auto"/>
          <w:kern w:val="0"/>
          <w:sz w:val="24"/>
          <w:szCs w:val="24"/>
          <w:highlight w:val="none"/>
        </w:rPr>
        <w:t>地    址：</w:t>
      </w:r>
      <w:r>
        <w:rPr>
          <w:rFonts w:hint="eastAsia" w:cs="Times New Roman" w:eastAsiaTheme="minorEastAsia"/>
          <w:bCs/>
          <w:sz w:val="24"/>
          <w:highlight w:val="none"/>
          <w:lang w:eastAsia="zh-CN"/>
        </w:rPr>
        <w:t xml:space="preserve"> </w:t>
      </w:r>
    </w:p>
    <w:p>
      <w:pPr>
        <w:spacing w:line="360" w:lineRule="auto"/>
        <w:ind w:firstLine="600" w:firstLineChars="2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bCs/>
          <w:color w:val="auto"/>
          <w:kern w:val="0"/>
          <w:sz w:val="24"/>
          <w:szCs w:val="24"/>
          <w:highlight w:val="none"/>
        </w:rPr>
        <w:t>电    话：</w:t>
      </w:r>
    </w:p>
    <w:p>
      <w:pPr>
        <w:spacing w:line="360" w:lineRule="auto"/>
        <w:ind w:firstLine="600" w:firstLineChars="2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bCs/>
          <w:color w:val="auto"/>
          <w:kern w:val="0"/>
          <w:sz w:val="24"/>
          <w:szCs w:val="24"/>
          <w:highlight w:val="none"/>
        </w:rPr>
        <w:t>邮政编码：</w:t>
      </w:r>
    </w:p>
    <w:p>
      <w:pPr>
        <w:spacing w:line="360" w:lineRule="auto"/>
        <w:ind w:firstLine="600" w:firstLineChars="250"/>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电子邮箱：</w:t>
      </w:r>
    </w:p>
    <w:p>
      <w:pPr>
        <w:pStyle w:val="3"/>
        <w:rPr>
          <w:rFonts w:asciiTheme="minorEastAsia" w:hAnsiTheme="minorEastAsia" w:eastAsiaTheme="minorEastAsia"/>
          <w:color w:val="auto"/>
          <w:highlight w:val="none"/>
        </w:rPr>
      </w:pPr>
      <w:bookmarkStart w:id="39" w:name="_Toc86399309"/>
      <w:bookmarkStart w:id="40" w:name="_Toc86392973"/>
      <w:r>
        <w:rPr>
          <w:rFonts w:asciiTheme="minorEastAsia" w:hAnsiTheme="minorEastAsia" w:eastAsiaTheme="minorEastAsia"/>
          <w:color w:val="auto"/>
          <w:highlight w:val="none"/>
        </w:rPr>
        <w:t>第十九条　合同生效及其他</w:t>
      </w:r>
      <w:bookmarkEnd w:id="39"/>
      <w:bookmarkEnd w:id="40"/>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19.1 整体合同。本合同及其附件构成各方就本合同标的达成的完整协议，取代以前各方就本合同标的所达成的所有书面的协议、协商、意向书以及其他协议和文件。</w:t>
      </w:r>
    </w:p>
    <w:p>
      <w:pPr>
        <w:spacing w:line="360" w:lineRule="auto"/>
        <w:ind w:left="360" w:hanging="360" w:hanging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19.2 转让。未经合同另一方书面同意，一方不得转让本合同项下任何权利义务。</w:t>
      </w:r>
    </w:p>
    <w:p>
      <w:pPr>
        <w:spacing w:line="360" w:lineRule="auto"/>
        <w:ind w:left="600" w:hanging="600" w:hangingChars="2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highlight w:val="none"/>
        </w:rPr>
        <w:t>19.3 语言和文本。本合同以中文签署，</w:t>
      </w:r>
      <w:r>
        <w:rPr>
          <w:rFonts w:asciiTheme="minorEastAsia" w:hAnsiTheme="minorEastAsia" w:eastAsiaTheme="minorEastAsia"/>
          <w:color w:val="auto"/>
          <w:sz w:val="24"/>
          <w:szCs w:val="24"/>
          <w:highlight w:val="none"/>
        </w:rPr>
        <w:t>一式</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eastAsia="zh-CN"/>
        </w:rPr>
        <w:t>肆</w:t>
      </w:r>
      <w:r>
        <w:rPr>
          <w:rFonts w:hint="default"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份，甲乙双方各执【</w:t>
      </w:r>
      <w:r>
        <w:rPr>
          <w:rFonts w:hint="eastAsia" w:asciiTheme="minorEastAsia" w:hAnsiTheme="minorEastAsia" w:eastAsiaTheme="minorEastAsia"/>
          <w:color w:val="auto"/>
          <w:sz w:val="24"/>
          <w:szCs w:val="24"/>
          <w:highlight w:val="none"/>
          <w:lang w:eastAsia="zh-CN"/>
        </w:rPr>
        <w:t>贰</w:t>
      </w:r>
      <w:r>
        <w:rPr>
          <w:rFonts w:asciiTheme="minorEastAsia" w:hAnsiTheme="minorEastAsia" w:eastAsiaTheme="minorEastAsia"/>
          <w:color w:val="auto"/>
          <w:sz w:val="24"/>
          <w:szCs w:val="24"/>
          <w:highlight w:val="none"/>
        </w:rPr>
        <w:t>】份</w:t>
      </w:r>
      <w:r>
        <w:rPr>
          <w:rFonts w:hint="eastAsia" w:cs="宋体" w:asciiTheme="minorEastAsia" w:hAnsiTheme="minorEastAsia" w:eastAsiaTheme="minorEastAsia"/>
          <w:color w:val="auto"/>
          <w:sz w:val="24"/>
          <w:szCs w:val="24"/>
          <w:highlight w:val="none"/>
        </w:rPr>
        <w:t>，具有相同法律效力。合同中手写体与印刷体具有同等法律效力。</w:t>
      </w:r>
    </w:p>
    <w:p>
      <w:pPr>
        <w:spacing w:line="360" w:lineRule="auto"/>
        <w:ind w:left="600" w:hanging="600" w:hangingChars="25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19.4 标题。本合同中加入的各章、条、款、项的标题仅为方便阅读而设，不应对本合同的含义或解释有任何影响。</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szCs w:val="24"/>
          <w:highlight w:val="none"/>
        </w:rPr>
        <w:t>19.5 可分割性。本合同的任何条款或规定，如被有关机构判定为无效或不可执行，不应影响本合同其他条款或规定的效力或可执行</w:t>
      </w:r>
      <w:r>
        <w:rPr>
          <w:rFonts w:hint="eastAsia" w:cs="宋体" w:asciiTheme="minorEastAsia" w:hAnsiTheme="minorEastAsia" w:eastAsiaTheme="minorEastAsia"/>
          <w:color w:val="auto"/>
          <w:sz w:val="24"/>
          <w:highlight w:val="none"/>
        </w:rPr>
        <w:t>性，也不应影响该条款或规定在其他情形下的效力或可执行性。</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19.6 费用。本合同各方应各自承担其自身与本合同及本合同项下的交易有关的所有开支和费用（包括法律费用），本合同另有规定的除外。</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19.7</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无中间代理。双方确认，没有任何代理人、中间人或中介人直接或间接就本合同或本合同拟定的交易为任何一方行事，并且没有任何人基于任何一方做出的或代表任何一方做出的合同、安排而有权收取与本交易有关的任何代理费、中介费、中间人佣金或类似的佣金。</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19.8 合同修改和补充。本合同未尽事宜，应由双方友好协商解决。如需对本合同及其附件作任何修改或补充，须由双方以书面做出方为有效。修改或补充文件与本合同有不一致的，以修改或补充文件为准。</w:t>
      </w:r>
    </w:p>
    <w:p>
      <w:pPr>
        <w:spacing w:line="360" w:lineRule="auto"/>
        <w:ind w:left="600" w:hanging="600" w:hanging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19.9 合同生效及效力。本合同已由双方授权代表签字并加盖公司印章，自双方签字盖章之日起生效。合同将保持其效力直至各方已完全履行合同项下的所有义务并且各方之间的所有付款和索赔已结清。</w:t>
      </w:r>
    </w:p>
    <w:p>
      <w:pPr>
        <w:spacing w:line="360" w:lineRule="auto"/>
        <w:ind w:left="720" w:hanging="720" w:hanging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19.10 合同附件。合同附件为本合同的组成部分，与本合同正文具有同等法律效力。若合同附件与合同正文有任何冲突，以合同正文为准。</w:t>
      </w:r>
    </w:p>
    <w:p>
      <w:pPr>
        <w:pStyle w:val="14"/>
        <w:ind w:firstLine="0" w:firstLineChars="0"/>
        <w:rPr>
          <w:rFonts w:asciiTheme="minorEastAsia" w:hAnsiTheme="minorEastAsia" w:eastAsiaTheme="minorEastAsia"/>
          <w:color w:val="auto"/>
          <w:highlight w:val="none"/>
        </w:rPr>
      </w:pPr>
      <w:r>
        <w:rPr>
          <w:rFonts w:hint="eastAsia" w:cs="宋体" w:asciiTheme="minorEastAsia" w:hAnsiTheme="minorEastAsia" w:eastAsiaTheme="minorEastAsia"/>
          <w:b/>
          <w:bCs/>
          <w:snapToGrid w:val="0"/>
          <w:color w:val="auto"/>
          <w:highlight w:val="none"/>
        </w:rPr>
        <w:t>附件一：</w:t>
      </w:r>
      <w:r>
        <w:rPr>
          <w:rFonts w:hint="eastAsia" w:cs="宋体" w:asciiTheme="minorEastAsia" w:hAnsiTheme="minorEastAsia" w:eastAsiaTheme="minorEastAsia"/>
          <w:b/>
          <w:color w:val="auto"/>
          <w:szCs w:val="24"/>
          <w:highlight w:val="none"/>
        </w:rPr>
        <w:t>《</w:t>
      </w:r>
      <w:r>
        <w:rPr>
          <w:rFonts w:hint="eastAsia" w:cs="宋体" w:asciiTheme="minorEastAsia" w:hAnsiTheme="minorEastAsia" w:eastAsiaTheme="minorEastAsia"/>
          <w:color w:val="auto"/>
          <w:sz w:val="24"/>
          <w:szCs w:val="24"/>
          <w:highlight w:val="none"/>
          <w:lang w:eastAsia="zh-CN"/>
        </w:rPr>
        <w:t>组串式并网逆变器技术协议</w:t>
      </w:r>
      <w:r>
        <w:rPr>
          <w:rFonts w:hint="eastAsia" w:cs="宋体" w:asciiTheme="minorEastAsia" w:hAnsiTheme="minorEastAsia" w:eastAsiaTheme="minorEastAsia"/>
          <w:b/>
          <w:color w:val="auto"/>
          <w:szCs w:val="24"/>
          <w:highlight w:val="none"/>
        </w:rPr>
        <w:t>》</w:t>
      </w:r>
    </w:p>
    <w:p>
      <w:pPr>
        <w:spacing w:before="38" w:line="360" w:lineRule="auto"/>
        <w:jc w:val="left"/>
        <w:rPr>
          <w:rFonts w:cs="宋体" w:asciiTheme="minorEastAsia" w:hAnsiTheme="minorEastAsia" w:eastAsiaTheme="minorEastAsia"/>
          <w:b/>
          <w:bCs/>
          <w:snapToGrid w:val="0"/>
          <w:color w:val="auto"/>
          <w:sz w:val="24"/>
          <w:highlight w:val="none"/>
        </w:rPr>
      </w:pPr>
      <w:r>
        <w:rPr>
          <w:rFonts w:hint="eastAsia" w:cs="宋体" w:asciiTheme="minorEastAsia" w:hAnsiTheme="minorEastAsia" w:eastAsiaTheme="minorEastAsia"/>
          <w:b/>
          <w:bCs/>
          <w:snapToGrid w:val="0"/>
          <w:color w:val="auto"/>
          <w:sz w:val="24"/>
          <w:highlight w:val="none"/>
        </w:rPr>
        <w:t>附件二：《</w:t>
      </w:r>
      <w:r>
        <w:rPr>
          <w:rFonts w:hint="eastAsia" w:cs="宋体" w:asciiTheme="minorEastAsia" w:hAnsiTheme="minorEastAsia" w:eastAsiaTheme="minorEastAsia"/>
          <w:color w:val="auto"/>
          <w:sz w:val="24"/>
          <w:highlight w:val="none"/>
        </w:rPr>
        <w:t>设备材料采购合同价款支付申请（核准）表</w:t>
      </w:r>
      <w:r>
        <w:rPr>
          <w:rFonts w:hint="eastAsia" w:cs="宋体" w:asciiTheme="minorEastAsia" w:hAnsiTheme="minorEastAsia" w:eastAsiaTheme="minorEastAsia"/>
          <w:b/>
          <w:bCs/>
          <w:snapToGrid w:val="0"/>
          <w:color w:val="auto"/>
          <w:sz w:val="24"/>
          <w:highlight w:val="none"/>
        </w:rPr>
        <w:t>》</w:t>
      </w:r>
    </w:p>
    <w:p>
      <w:pPr>
        <w:spacing w:before="38" w:line="360" w:lineRule="auto"/>
        <w:jc w:val="left"/>
        <w:rPr>
          <w:rFonts w:cs="宋体" w:asciiTheme="minorEastAsia" w:hAnsiTheme="minorEastAsia" w:eastAsiaTheme="minorEastAsia"/>
          <w:b/>
          <w:bCs/>
          <w:snapToGrid w:val="0"/>
          <w:color w:val="auto"/>
          <w:sz w:val="24"/>
          <w:highlight w:val="none"/>
        </w:rPr>
      </w:pPr>
      <w:r>
        <w:rPr>
          <w:rFonts w:hint="eastAsia" w:cs="宋体" w:asciiTheme="minorEastAsia" w:hAnsiTheme="minorEastAsia" w:eastAsiaTheme="minorEastAsia"/>
          <w:b/>
          <w:bCs/>
          <w:snapToGrid w:val="0"/>
          <w:color w:val="auto"/>
          <w:sz w:val="24"/>
          <w:highlight w:val="none"/>
        </w:rPr>
        <w:t>附件三</w:t>
      </w:r>
      <w:r>
        <w:rPr>
          <w:rFonts w:cs="宋体" w:asciiTheme="minorEastAsia" w:hAnsiTheme="minorEastAsia" w:eastAsiaTheme="minorEastAsia"/>
          <w:b/>
          <w:bCs/>
          <w:snapToGrid w:val="0"/>
          <w:color w:val="auto"/>
          <w:sz w:val="24"/>
          <w:highlight w:val="none"/>
        </w:rPr>
        <w:t>：</w:t>
      </w:r>
      <w:r>
        <w:rPr>
          <w:rFonts w:hint="eastAsia" w:cs="宋体" w:asciiTheme="minorEastAsia" w:hAnsiTheme="minorEastAsia" w:eastAsiaTheme="minorEastAsia"/>
          <w:b/>
          <w:bCs/>
          <w:snapToGrid w:val="0"/>
          <w:color w:val="auto"/>
          <w:sz w:val="24"/>
          <w:highlight w:val="none"/>
        </w:rPr>
        <w:t>《</w:t>
      </w:r>
      <w:r>
        <w:rPr>
          <w:rFonts w:hint="eastAsia" w:cs="宋体" w:asciiTheme="minorEastAsia" w:hAnsiTheme="minorEastAsia" w:eastAsiaTheme="minorEastAsia"/>
          <w:color w:val="auto"/>
          <w:sz w:val="24"/>
          <w:highlight w:val="none"/>
        </w:rPr>
        <w:t>分包/采购</w:t>
      </w:r>
      <w:r>
        <w:rPr>
          <w:rFonts w:cs="宋体" w:asciiTheme="minorEastAsia" w:hAnsiTheme="minorEastAsia" w:eastAsiaTheme="minorEastAsia"/>
          <w:color w:val="auto"/>
          <w:sz w:val="24"/>
          <w:highlight w:val="none"/>
        </w:rPr>
        <w:t>廉政确认函</w:t>
      </w:r>
      <w:r>
        <w:rPr>
          <w:rFonts w:hint="eastAsia" w:cs="宋体" w:asciiTheme="minorEastAsia" w:hAnsiTheme="minorEastAsia" w:eastAsiaTheme="minorEastAsia"/>
          <w:b/>
          <w:bCs/>
          <w:snapToGrid w:val="0"/>
          <w:color w:val="auto"/>
          <w:sz w:val="24"/>
          <w:highlight w:val="none"/>
        </w:rPr>
        <w:t>》</w:t>
      </w:r>
    </w:p>
    <w:p>
      <w:pPr>
        <w:autoSpaceDE w:val="0"/>
        <w:autoSpaceDN w:val="0"/>
        <w:adjustRightInd w:val="0"/>
        <w:spacing w:line="360" w:lineRule="auto"/>
        <w:jc w:val="center"/>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b/>
          <w:bCs/>
          <w:color w:val="auto"/>
          <w:kern w:val="0"/>
          <w:sz w:val="24"/>
          <w:highlight w:val="none"/>
          <w:lang w:val="zh-CN"/>
        </w:rPr>
        <w:t>（下无正文）</w:t>
      </w:r>
    </w:p>
    <w:p>
      <w:pPr>
        <w:spacing w:before="38"/>
        <w:jc w:val="left"/>
        <w:rPr>
          <w:rFonts w:asciiTheme="minorEastAsia" w:hAnsiTheme="minorEastAsia" w:eastAsiaTheme="minorEastAsia"/>
          <w:b/>
          <w:bCs/>
          <w:snapToGrid w:val="0"/>
          <w:color w:val="auto"/>
          <w:sz w:val="24"/>
          <w:highlight w:val="none"/>
        </w:rPr>
      </w:pPr>
    </w:p>
    <w:p>
      <w:pPr>
        <w:spacing w:line="360" w:lineRule="auto"/>
        <w:rPr>
          <w:rFonts w:asciiTheme="minorEastAsia" w:hAnsiTheme="minorEastAsia" w:eastAsiaTheme="minorEastAsia"/>
          <w:snapToGrid w:val="0"/>
          <w:color w:val="auto"/>
          <w:sz w:val="24"/>
          <w:highlight w:val="none"/>
        </w:rPr>
      </w:pPr>
    </w:p>
    <w:p>
      <w:pPr>
        <w:spacing w:line="500" w:lineRule="exact"/>
        <w:ind w:firstLine="3120" w:firstLineChars="1300"/>
        <w:rPr>
          <w:rFonts w:asciiTheme="minorEastAsia" w:hAnsiTheme="minorEastAsia" w:eastAsiaTheme="minorEastAsia"/>
          <w:color w:val="auto"/>
          <w:sz w:val="24"/>
          <w:szCs w:val="24"/>
          <w:highlight w:val="none"/>
        </w:rPr>
      </w:pPr>
    </w:p>
    <w:p>
      <w:pPr>
        <w:spacing w:line="500" w:lineRule="exact"/>
        <w:ind w:firstLine="3120" w:firstLineChars="13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spacing w:line="50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（签字页，本页无正文）</w:t>
      </w:r>
    </w:p>
    <w:p>
      <w:pPr>
        <w:spacing w:before="79" w:beforeLines="25" w:after="79" w:afterLines="25" w:line="30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兹证明，签字方已经于本合同第一条列示日期正式签署本协议。</w:t>
      </w:r>
    </w:p>
    <w:tbl>
      <w:tblPr>
        <w:tblStyle w:val="16"/>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1" w:hRule="atLeast"/>
          <w:jc w:val="center"/>
        </w:trPr>
        <w:tc>
          <w:tcPr>
            <w:tcW w:w="4839" w:type="dxa"/>
            <w:tcBorders>
              <w:top w:val="single" w:color="auto" w:sz="4" w:space="0"/>
              <w:left w:val="single" w:color="auto" w:sz="4" w:space="0"/>
              <w:bottom w:val="single" w:color="auto" w:sz="4" w:space="0"/>
              <w:right w:val="single" w:color="auto" w:sz="4" w:space="0"/>
            </w:tcBorders>
          </w:tcPr>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甲   方</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单位名称（章）：中机国际工程设计研究院</w:t>
            </w:r>
          </w:p>
          <w:p>
            <w:pPr>
              <w:spacing w:line="480" w:lineRule="auto"/>
              <w:ind w:firstLine="1920" w:firstLineChars="8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有限责任公司</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单位地址：湖南省长沙市韶山中路18号</w:t>
            </w:r>
          </w:p>
          <w:p>
            <w:pPr>
              <w:spacing w:line="480" w:lineRule="auto"/>
              <w:rPr>
                <w:rFonts w:cs="宋体" w:asciiTheme="minorEastAsia" w:hAnsiTheme="minorEastAsia" w:eastAsiaTheme="minorEastAsia"/>
                <w:color w:val="auto"/>
                <w:sz w:val="24"/>
                <w:szCs w:val="24"/>
                <w:highlight w:val="none"/>
              </w:rPr>
            </w:pP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法定代表人：易凡</w:t>
            </w:r>
          </w:p>
          <w:p>
            <w:pPr>
              <w:pStyle w:val="12"/>
              <w:widowControl w:val="0"/>
              <w:spacing w:beforeAutospacing="0" w:afterAutospacing="0" w:line="480" w:lineRule="auto"/>
              <w:jc w:val="both"/>
              <w:rPr>
                <w:rFonts w:cs="宋体" w:asciiTheme="minorEastAsia" w:hAnsiTheme="minorEastAsia" w:eastAsiaTheme="minorEastAsia"/>
                <w:color w:val="auto"/>
                <w:kern w:val="2"/>
                <w:highlight w:val="none"/>
              </w:rPr>
            </w:pP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委托代理人：</w:t>
            </w:r>
          </w:p>
          <w:p>
            <w:pPr>
              <w:spacing w:line="480" w:lineRule="auto"/>
              <w:rPr>
                <w:rFonts w:cs="宋体" w:asciiTheme="minorEastAsia" w:hAnsiTheme="minorEastAsia" w:eastAsiaTheme="minorEastAsia"/>
                <w:color w:val="auto"/>
                <w:sz w:val="24"/>
                <w:szCs w:val="24"/>
                <w:highlight w:val="none"/>
              </w:rPr>
            </w:pP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签字日期：</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电    话： 0731-85383359</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电    传： 0731-85383359</w:t>
            </w:r>
          </w:p>
          <w:p>
            <w:pPr>
              <w:spacing w:line="480" w:lineRule="auto"/>
              <w:ind w:left="1200" w:hanging="1200" w:hangingChars="5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开户银行：中国建设银行股份</w:t>
            </w:r>
            <w:r>
              <w:rPr>
                <w:rFonts w:cs="宋体" w:asciiTheme="minorEastAsia" w:hAnsiTheme="minorEastAsia" w:eastAsiaTheme="minorEastAsia"/>
                <w:color w:val="auto"/>
                <w:sz w:val="24"/>
                <w:szCs w:val="24"/>
                <w:highlight w:val="none"/>
              </w:rPr>
              <w:t>有限公司</w:t>
            </w:r>
            <w:r>
              <w:rPr>
                <w:rFonts w:hint="eastAsia" w:cs="宋体" w:asciiTheme="minorEastAsia" w:hAnsiTheme="minorEastAsia" w:eastAsiaTheme="minorEastAsia"/>
                <w:color w:val="auto"/>
                <w:sz w:val="24"/>
                <w:szCs w:val="24"/>
                <w:highlight w:val="none"/>
              </w:rPr>
              <w:t>长沙芙蓉支行</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帐    号：4300 1539 0610 5000 2926</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税    号：914300004448853216 </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邮政编码：410007</w:t>
            </w:r>
          </w:p>
        </w:tc>
        <w:tc>
          <w:tcPr>
            <w:tcW w:w="4678" w:type="dxa"/>
            <w:tcBorders>
              <w:top w:val="single" w:color="auto" w:sz="4" w:space="0"/>
              <w:left w:val="single" w:color="auto" w:sz="4" w:space="0"/>
              <w:bottom w:val="single" w:color="auto" w:sz="4" w:space="0"/>
              <w:right w:val="single" w:color="auto" w:sz="4" w:space="0"/>
            </w:tcBorders>
          </w:tcPr>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乙   方</w:t>
            </w:r>
          </w:p>
          <w:p>
            <w:pPr>
              <w:spacing w:line="480" w:lineRule="auto"/>
              <w:ind w:left="1800" w:hanging="1800" w:hangingChars="750"/>
              <w:rPr>
                <w:rFonts w:hint="eastAsia" w:asciiTheme="minorEastAsia" w:hAnsiTheme="minorEastAsia" w:eastAsiaTheme="minorEastAsia"/>
                <w:color w:val="auto"/>
                <w:sz w:val="24"/>
                <w:szCs w:val="24"/>
                <w:highlight w:val="none"/>
                <w:lang w:eastAsia="zh-CN"/>
              </w:rPr>
            </w:pPr>
            <w:r>
              <w:rPr>
                <w:rFonts w:hint="eastAsia" w:cs="宋体" w:asciiTheme="minorEastAsia" w:hAnsiTheme="minorEastAsia" w:eastAsiaTheme="minorEastAsia"/>
                <w:color w:val="auto"/>
                <w:sz w:val="24"/>
                <w:szCs w:val="24"/>
                <w:highlight w:val="none"/>
              </w:rPr>
              <w:t>单位名称（章）：</w:t>
            </w:r>
            <w:r>
              <w:rPr>
                <w:rFonts w:hint="eastAsia" w:asciiTheme="minorEastAsia" w:hAnsiTheme="minorEastAsia" w:eastAsiaTheme="minorEastAsia"/>
                <w:color w:val="auto"/>
                <w:sz w:val="24"/>
                <w:szCs w:val="24"/>
                <w:highlight w:val="none"/>
                <w:lang w:eastAsia="zh-CN"/>
              </w:rPr>
              <w:t>XXXX</w:t>
            </w:r>
          </w:p>
          <w:p>
            <w:pPr>
              <w:spacing w:line="480" w:lineRule="auto"/>
              <w:ind w:left="1200" w:hanging="1200" w:hangingChars="500"/>
              <w:rPr>
                <w:rFonts w:hint="eastAsia" w:cs="宋体" w:asciiTheme="minorEastAsia" w:hAnsiTheme="minorEastAsia" w:eastAsiaTheme="minorEastAsia"/>
                <w:color w:val="auto"/>
                <w:sz w:val="24"/>
                <w:szCs w:val="24"/>
                <w:highlight w:val="none"/>
              </w:rPr>
            </w:pPr>
          </w:p>
          <w:p>
            <w:pPr>
              <w:spacing w:line="480" w:lineRule="auto"/>
              <w:ind w:left="1200" w:hanging="1200" w:hangingChars="500"/>
              <w:rPr>
                <w:rFonts w:hint="eastAsia" w:cs="宋体" w:asciiTheme="minorEastAsia" w:hAnsiTheme="minorEastAsia" w:eastAsiaTheme="minorEastAsia"/>
                <w:color w:val="auto"/>
                <w:sz w:val="24"/>
                <w:szCs w:val="24"/>
                <w:highlight w:val="none"/>
                <w:lang w:eastAsia="zh-CN"/>
              </w:rPr>
            </w:pPr>
            <w:r>
              <w:rPr>
                <w:rFonts w:hint="eastAsia" w:cs="宋体" w:asciiTheme="minorEastAsia" w:hAnsiTheme="minorEastAsia" w:eastAsiaTheme="minorEastAsia"/>
                <w:color w:val="auto"/>
                <w:sz w:val="24"/>
                <w:szCs w:val="24"/>
                <w:highlight w:val="none"/>
              </w:rPr>
              <w:t>单位地址：</w:t>
            </w:r>
            <w:r>
              <w:rPr>
                <w:rFonts w:hint="eastAsia" w:cs="Times New Roman" w:eastAsiaTheme="minorEastAsia"/>
                <w:bCs/>
                <w:sz w:val="24"/>
                <w:highlight w:val="none"/>
                <w:lang w:eastAsia="zh-CN"/>
              </w:rPr>
              <w:t xml:space="preserve"> </w:t>
            </w:r>
          </w:p>
          <w:p>
            <w:pPr>
              <w:spacing w:line="480" w:lineRule="auto"/>
              <w:rPr>
                <w:rFonts w:hint="eastAsia" w:cs="宋体" w:asciiTheme="minorEastAsia" w:hAnsiTheme="minorEastAsia" w:eastAsiaTheme="minorEastAsia"/>
                <w:color w:val="auto"/>
                <w:sz w:val="24"/>
                <w:szCs w:val="24"/>
                <w:highlight w:val="none"/>
                <w:lang w:eastAsia="zh-CN"/>
              </w:rPr>
            </w:pPr>
            <w:r>
              <w:rPr>
                <w:rFonts w:hint="eastAsia" w:cs="宋体" w:asciiTheme="minorEastAsia" w:hAnsiTheme="minorEastAsia" w:eastAsiaTheme="minorEastAsia"/>
                <w:color w:val="auto"/>
                <w:sz w:val="24"/>
                <w:szCs w:val="24"/>
                <w:highlight w:val="none"/>
              </w:rPr>
              <w:t xml:space="preserve">法定代表人: </w:t>
            </w:r>
            <w:r>
              <w:rPr>
                <w:rFonts w:hint="eastAsia" w:cs="Times New Roman" w:eastAsiaTheme="minorEastAsia"/>
                <w:bCs/>
                <w:sz w:val="24"/>
                <w:highlight w:val="none"/>
                <w:lang w:eastAsia="zh-CN"/>
              </w:rPr>
              <w:t xml:space="preserve"> </w:t>
            </w:r>
          </w:p>
          <w:p>
            <w:pPr>
              <w:spacing w:line="480" w:lineRule="auto"/>
              <w:rPr>
                <w:rFonts w:cs="宋体" w:asciiTheme="minorEastAsia" w:hAnsiTheme="minorEastAsia" w:eastAsiaTheme="minorEastAsia"/>
                <w:color w:val="auto"/>
                <w:sz w:val="24"/>
                <w:szCs w:val="24"/>
                <w:highlight w:val="none"/>
              </w:rPr>
            </w:pP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委托代理人：</w:t>
            </w:r>
          </w:p>
          <w:p>
            <w:pPr>
              <w:spacing w:line="480" w:lineRule="auto"/>
              <w:rPr>
                <w:rFonts w:cs="宋体" w:asciiTheme="minorEastAsia" w:hAnsiTheme="minorEastAsia" w:eastAsiaTheme="minorEastAsia"/>
                <w:color w:val="auto"/>
                <w:sz w:val="24"/>
                <w:szCs w:val="24"/>
                <w:highlight w:val="none"/>
              </w:rPr>
            </w:pP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签字日期：</w:t>
            </w:r>
          </w:p>
          <w:p>
            <w:pPr>
              <w:spacing w:line="480" w:lineRule="auto"/>
              <w:jc w:val="left"/>
              <w:rPr>
                <w:rFonts w:hint="default" w:ascii="Times New Roman" w:hAnsi="Times New Roman" w:cs="Times New Roman"/>
                <w:bCs/>
                <w:sz w:val="24"/>
                <w:highlight w:val="none"/>
              </w:rPr>
            </w:pPr>
            <w:r>
              <w:rPr>
                <w:rFonts w:hint="eastAsia" w:cs="宋体" w:asciiTheme="minorEastAsia" w:hAnsiTheme="minorEastAsia" w:eastAsiaTheme="minorEastAsia"/>
                <w:color w:val="auto"/>
                <w:sz w:val="24"/>
                <w:szCs w:val="24"/>
                <w:highlight w:val="none"/>
              </w:rPr>
              <w:t>电    话：</w:t>
            </w:r>
          </w:p>
          <w:p>
            <w:pPr>
              <w:spacing w:line="480" w:lineRule="auto"/>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电    传：</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开户银行：</w:t>
            </w:r>
            <w:r>
              <w:rPr>
                <w:rFonts w:hint="default" w:ascii="Times New Roman" w:hAnsi="Times New Roman" w:cs="Times New Roman"/>
                <w:bCs/>
                <w:sz w:val="24"/>
                <w:highlight w:val="none"/>
              </w:rPr>
              <w:t xml:space="preserve"> </w:t>
            </w:r>
          </w:p>
          <w:p>
            <w:pPr>
              <w:spacing w:line="480" w:lineRule="auto"/>
              <w:rPr>
                <w:rFonts w:hint="eastAsia" w:cs="宋体" w:asciiTheme="minorEastAsia" w:hAnsiTheme="minorEastAsia" w:eastAsiaTheme="minorEastAsia"/>
                <w:color w:val="auto"/>
                <w:sz w:val="24"/>
                <w:szCs w:val="24"/>
                <w:highlight w:val="none"/>
                <w:lang w:eastAsia="zh-CN"/>
              </w:rPr>
            </w:pPr>
            <w:r>
              <w:rPr>
                <w:rFonts w:hint="eastAsia" w:cs="宋体" w:asciiTheme="minorEastAsia" w:hAnsiTheme="minorEastAsia" w:eastAsiaTheme="minorEastAsia"/>
                <w:color w:val="auto"/>
                <w:sz w:val="24"/>
                <w:szCs w:val="24"/>
                <w:highlight w:val="none"/>
              </w:rPr>
              <w:t>帐    号：</w:t>
            </w:r>
          </w:p>
          <w:p>
            <w:pPr>
              <w:spacing w:line="480" w:lineRule="auto"/>
              <w:rPr>
                <w:rFonts w:hint="eastAsia" w:cs="宋体" w:asciiTheme="minorEastAsia" w:hAnsiTheme="minorEastAsia" w:eastAsiaTheme="minorEastAsia"/>
                <w:color w:val="auto"/>
                <w:sz w:val="24"/>
                <w:szCs w:val="24"/>
                <w:highlight w:val="none"/>
                <w:lang w:eastAsia="zh-CN"/>
              </w:rPr>
            </w:pPr>
            <w:r>
              <w:rPr>
                <w:rFonts w:hint="eastAsia" w:cs="宋体" w:asciiTheme="minorEastAsia" w:hAnsiTheme="minorEastAsia" w:eastAsiaTheme="minorEastAsia"/>
                <w:color w:val="auto"/>
                <w:sz w:val="24"/>
                <w:szCs w:val="24"/>
                <w:highlight w:val="none"/>
              </w:rPr>
              <w:t>税    号：</w:t>
            </w:r>
          </w:p>
          <w:p>
            <w:pPr>
              <w:spacing w:line="48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邮政编码：</w:t>
            </w:r>
          </w:p>
        </w:tc>
      </w:tr>
    </w:tbl>
    <w:p>
      <w:pPr>
        <w:spacing w:line="360" w:lineRule="auto"/>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spacing w:line="360" w:lineRule="auto"/>
        <w:ind w:left="360" w:hanging="360" w:hangingChars="150"/>
        <w:rPr>
          <w:rFonts w:asciiTheme="minorEastAsia" w:hAnsiTheme="minorEastAsia" w:eastAsiaTheme="minorEastAsia"/>
          <w:color w:val="auto"/>
          <w:sz w:val="24"/>
          <w:highlight w:val="none"/>
        </w:rPr>
        <w:sectPr>
          <w:headerReference r:id="rId8" w:type="first"/>
          <w:pgSz w:w="11906" w:h="16838"/>
          <w:pgMar w:top="1452" w:right="1106" w:bottom="1452" w:left="1622" w:header="851" w:footer="992" w:gutter="0"/>
          <w:cols w:space="720" w:num="1"/>
          <w:titlePg/>
          <w:docGrid w:type="lines" w:linePitch="316" w:charSpace="0"/>
        </w:sectPr>
      </w:pPr>
    </w:p>
    <w:p>
      <w:pPr>
        <w:pStyle w:val="3"/>
        <w:rPr>
          <w:color w:val="auto"/>
          <w:highlight w:val="none"/>
        </w:rPr>
      </w:pPr>
      <w:bookmarkStart w:id="41" w:name="_Toc86399310"/>
      <w:bookmarkStart w:id="42" w:name="_Toc86392974"/>
      <w:r>
        <w:rPr>
          <w:rFonts w:hint="eastAsia"/>
          <w:color w:val="auto"/>
          <w:highlight w:val="none"/>
        </w:rPr>
        <w:t>附件一：</w:t>
      </w:r>
      <w:bookmarkEnd w:id="41"/>
      <w:bookmarkEnd w:id="42"/>
    </w:p>
    <w:p>
      <w:pPr>
        <w:spacing w:line="360" w:lineRule="auto"/>
        <w:ind w:firstLine="720" w:firstLineChars="30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color w:val="auto"/>
          <w:sz w:val="24"/>
          <w:szCs w:val="24"/>
          <w:highlight w:val="none"/>
          <w:lang w:eastAsia="zh-CN"/>
        </w:rPr>
        <w:t>组串式并网逆变器技术协议</w:t>
      </w:r>
      <w:r>
        <w:rPr>
          <w:rFonts w:hint="eastAsia" w:cs="宋体" w:asciiTheme="minorEastAsia" w:hAnsiTheme="minorEastAsia" w:eastAsiaTheme="minorEastAsia"/>
          <w:color w:val="auto"/>
          <w:sz w:val="24"/>
          <w:szCs w:val="24"/>
          <w:highlight w:val="none"/>
        </w:rPr>
        <w:t>》，另行造册。</w:t>
      </w: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rPr>
          <w:rFonts w:asciiTheme="minorEastAsia" w:hAnsiTheme="minorEastAsia" w:eastAsiaTheme="minorEastAsia"/>
          <w:color w:val="auto"/>
          <w:sz w:val="36"/>
          <w:szCs w:val="36"/>
          <w:highlight w:val="none"/>
        </w:rPr>
      </w:pPr>
    </w:p>
    <w:p>
      <w:pPr>
        <w:widowControl/>
        <w:jc w:val="left"/>
        <w:rPr>
          <w:rFonts w:asciiTheme="minorEastAsia" w:hAnsiTheme="minorEastAsia" w:eastAsiaTheme="minorEastAsia"/>
          <w:color w:val="auto"/>
          <w:sz w:val="36"/>
          <w:szCs w:val="36"/>
          <w:highlight w:val="none"/>
        </w:rPr>
      </w:pPr>
      <w:r>
        <w:rPr>
          <w:rFonts w:asciiTheme="minorEastAsia" w:hAnsiTheme="minorEastAsia" w:eastAsiaTheme="minorEastAsia"/>
          <w:color w:val="auto"/>
          <w:sz w:val="36"/>
          <w:szCs w:val="36"/>
          <w:highlight w:val="none"/>
        </w:rPr>
        <w:br w:type="page"/>
      </w:r>
    </w:p>
    <w:p>
      <w:pPr>
        <w:pStyle w:val="3"/>
        <w:rPr>
          <w:color w:val="auto"/>
          <w:highlight w:val="none"/>
        </w:rPr>
      </w:pPr>
      <w:bookmarkStart w:id="43" w:name="_Toc86392975"/>
      <w:bookmarkStart w:id="44" w:name="_Toc86399311"/>
      <w:r>
        <w:rPr>
          <w:rFonts w:hint="eastAsia"/>
          <w:color w:val="auto"/>
          <w:highlight w:val="none"/>
        </w:rPr>
        <w:t>附件二：</w:t>
      </w:r>
      <w:bookmarkEnd w:id="43"/>
      <w:bookmarkEnd w:id="44"/>
    </w:p>
    <w:tbl>
      <w:tblPr>
        <w:tblStyle w:val="16"/>
        <w:tblpPr w:leftFromText="180" w:rightFromText="180" w:vertAnchor="text" w:horzAnchor="page" w:tblpX="1597" w:tblpY="712"/>
        <w:tblOverlap w:val="never"/>
        <w:tblW w:w="96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6"/>
        <w:gridCol w:w="193"/>
        <w:gridCol w:w="2465"/>
        <w:gridCol w:w="690"/>
        <w:gridCol w:w="1222"/>
        <w:gridCol w:w="2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409" w:type="dxa"/>
            <w:gridSpan w:val="2"/>
            <w:vAlign w:val="center"/>
          </w:tcPr>
          <w:p>
            <w:pPr>
              <w:pStyle w:val="27"/>
              <w:spacing w:before="1"/>
              <w:ind w:firstLine="630" w:firstLineChars="300"/>
              <w:rPr>
                <w:rFonts w:asciiTheme="minorEastAsia" w:hAnsiTheme="minorEastAsia" w:eastAsiaTheme="minorEastAsia"/>
                <w:color w:val="auto"/>
                <w:highlight w:val="none"/>
              </w:rPr>
            </w:pPr>
            <w:r>
              <w:rPr>
                <w:rFonts w:asciiTheme="minorEastAsia" w:hAnsiTheme="minorEastAsia" w:eastAsiaTheme="minorEastAsia"/>
                <w:color w:val="auto"/>
                <w:highlight w:val="none"/>
              </w:rPr>
              <w:t>项目名称</w:t>
            </w:r>
          </w:p>
        </w:tc>
        <w:tc>
          <w:tcPr>
            <w:tcW w:w="7210" w:type="dxa"/>
            <w:gridSpan w:val="4"/>
            <w:vAlign w:val="center"/>
          </w:tcPr>
          <w:p>
            <w:pPr>
              <w:pStyle w:val="27"/>
              <w:rPr>
                <w:rFonts w:asciiTheme="minorEastAsia" w:hAnsiTheme="minorEastAsia" w:eastAsia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09" w:type="dxa"/>
            <w:gridSpan w:val="2"/>
            <w:vAlign w:val="center"/>
          </w:tcPr>
          <w:p>
            <w:pPr>
              <w:pStyle w:val="27"/>
              <w:spacing w:before="1"/>
              <w:ind w:firstLine="630" w:firstLineChars="300"/>
              <w:rPr>
                <w:rFonts w:asciiTheme="minorEastAsia" w:hAnsiTheme="minorEastAsia" w:eastAsiaTheme="minorEastAsia"/>
                <w:color w:val="auto"/>
                <w:highlight w:val="none"/>
              </w:rPr>
            </w:pPr>
            <w:r>
              <w:rPr>
                <w:rFonts w:asciiTheme="minorEastAsia" w:hAnsiTheme="minorEastAsia" w:eastAsiaTheme="minorEastAsia"/>
                <w:color w:val="auto"/>
                <w:highlight w:val="none"/>
              </w:rPr>
              <w:t>合同编号</w:t>
            </w:r>
          </w:p>
        </w:tc>
        <w:tc>
          <w:tcPr>
            <w:tcW w:w="7210" w:type="dxa"/>
            <w:gridSpan w:val="4"/>
            <w:vAlign w:val="center"/>
          </w:tcPr>
          <w:p>
            <w:pPr>
              <w:pStyle w:val="27"/>
              <w:rPr>
                <w:rFonts w:asciiTheme="minorEastAsia" w:hAnsiTheme="minorEastAsia" w:eastAsia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409" w:type="dxa"/>
            <w:gridSpan w:val="2"/>
            <w:vAlign w:val="center"/>
          </w:tcPr>
          <w:p>
            <w:pPr>
              <w:pStyle w:val="27"/>
              <w:spacing w:before="1"/>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本次付款申请为</w:t>
            </w:r>
          </w:p>
        </w:tc>
        <w:tc>
          <w:tcPr>
            <w:tcW w:w="7210" w:type="dxa"/>
            <w:gridSpan w:val="4"/>
            <w:vAlign w:val="center"/>
          </w:tcPr>
          <w:p>
            <w:pPr>
              <w:pStyle w:val="27"/>
              <w:tabs>
                <w:tab w:val="left" w:pos="1503"/>
                <w:tab w:val="left" w:pos="2553"/>
                <w:tab w:val="left" w:pos="3603"/>
                <w:tab w:val="left" w:pos="5807"/>
              </w:tabs>
              <w:spacing w:before="1"/>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预付款□</w:t>
            </w:r>
            <w:r>
              <w:rPr>
                <w:rFonts w:asciiTheme="minorEastAsia" w:hAnsiTheme="minorEastAsia" w:eastAsiaTheme="minorEastAsia"/>
                <w:color w:val="auto"/>
                <w:highlight w:val="none"/>
              </w:rPr>
              <w:tab/>
            </w:r>
            <w:r>
              <w:rPr>
                <w:rFonts w:hint="eastAsia" w:asciiTheme="minorEastAsia" w:hAnsiTheme="minorEastAsia" w:eastAsiaTheme="minorEastAsia"/>
                <w:color w:val="auto"/>
                <w:highlight w:val="none"/>
                <w:lang w:eastAsia="zh-CN"/>
              </w:rPr>
              <w:t>到货款</w:t>
            </w:r>
            <w:r>
              <w:rPr>
                <w:rFonts w:asciiTheme="minorEastAsia" w:hAnsiTheme="minorEastAsia" w:eastAsiaTheme="minorEastAsia"/>
                <w:color w:val="auto"/>
                <w:highlight w:val="none"/>
              </w:rPr>
              <w:t>□</w:t>
            </w:r>
            <w:r>
              <w:rPr>
                <w:rFonts w:asciiTheme="minorEastAsia" w:hAnsiTheme="minorEastAsia" w:eastAsiaTheme="minorEastAsia"/>
                <w:color w:val="auto"/>
                <w:highlight w:val="none"/>
              </w:rPr>
              <w:tab/>
            </w:r>
            <w:r>
              <w:rPr>
                <w:rFonts w:hint="eastAsia" w:asciiTheme="minorEastAsia" w:hAnsiTheme="minorEastAsia" w:eastAsiaTheme="minorEastAsia"/>
                <w:color w:val="auto"/>
                <w:highlight w:val="none"/>
                <w:lang w:eastAsia="zh-CN"/>
              </w:rPr>
              <w:t>验收款</w:t>
            </w:r>
            <w:r>
              <w:rPr>
                <w:rFonts w:asciiTheme="minorEastAsia" w:hAnsiTheme="minorEastAsia" w:eastAsiaTheme="minorEastAsia"/>
                <w:color w:val="auto"/>
                <w:highlight w:val="none"/>
              </w:rPr>
              <w:t>□</w:t>
            </w:r>
            <w:r>
              <w:rPr>
                <w:rFonts w:asciiTheme="minorEastAsia" w:hAnsiTheme="minorEastAsia" w:eastAsiaTheme="minorEastAsia"/>
                <w:color w:val="auto"/>
                <w:highlight w:val="none"/>
              </w:rPr>
              <w:tab/>
            </w:r>
            <w:r>
              <w:rPr>
                <w:rFonts w:hint="eastAsia" w:asciiTheme="minorEastAsia" w:hAnsiTheme="minorEastAsia" w:eastAsiaTheme="minorEastAsia"/>
                <w:color w:val="auto"/>
                <w:highlight w:val="none"/>
                <w:lang w:eastAsia="zh-CN"/>
              </w:rPr>
              <w:t>结算款</w:t>
            </w:r>
            <w:r>
              <w:rPr>
                <w:rFonts w:asciiTheme="minorEastAsia" w:hAnsiTheme="minorEastAsia" w:eastAsiaTheme="minorEastAsia"/>
                <w:color w:val="auto"/>
                <w:highlight w:val="none"/>
              </w:rPr>
              <w:t>□</w:t>
            </w:r>
            <w:r>
              <w:rPr>
                <w:rFonts w:asciiTheme="minorEastAsia" w:hAnsiTheme="minorEastAsia" w:eastAsiaTheme="minorEastAsia"/>
                <w:color w:val="auto"/>
                <w:spacing w:val="-1"/>
                <w:highlight w:val="none"/>
              </w:rPr>
              <w:t xml:space="preserve"> </w:t>
            </w:r>
            <w:r>
              <w:rPr>
                <w:rFonts w:hint="eastAsia" w:asciiTheme="minorEastAsia" w:hAnsiTheme="minorEastAsia" w:eastAsiaTheme="minorEastAsia"/>
                <w:color w:val="auto"/>
                <w:spacing w:val="-1"/>
                <w:highlight w:val="none"/>
                <w:lang w:val="en-US" w:eastAsia="zh-CN"/>
              </w:rPr>
              <w:t xml:space="preserve"> </w:t>
            </w:r>
            <w:r>
              <w:rPr>
                <w:rFonts w:hint="eastAsia" w:asciiTheme="minorEastAsia" w:hAnsiTheme="minorEastAsia" w:eastAsiaTheme="minorEastAsia"/>
                <w:color w:val="auto"/>
                <w:highlight w:val="none"/>
                <w:lang w:eastAsia="zh-CN"/>
              </w:rPr>
              <w:t>质保金</w:t>
            </w:r>
            <w:r>
              <w:rPr>
                <w:rFonts w:asciiTheme="minorEastAsia" w:hAnsiTheme="minorEastAsia" w:eastAsiaTheme="minorEastAsia"/>
                <w:color w:val="auto"/>
                <w:highlight w:val="none"/>
              </w:rPr>
              <w:t>□</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5" w:hRule="atLeast"/>
        </w:trPr>
        <w:tc>
          <w:tcPr>
            <w:tcW w:w="9619" w:type="dxa"/>
            <w:gridSpan w:val="6"/>
            <w:vAlign w:val="center"/>
          </w:tcPr>
          <w:p>
            <w:pPr>
              <w:pStyle w:val="27"/>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致：</w:t>
            </w:r>
            <w:r>
              <w:rPr>
                <w:rFonts w:asciiTheme="minorEastAsia" w:hAnsiTheme="minorEastAsia" w:eastAsiaTheme="minorEastAsia"/>
                <w:color w:val="auto"/>
                <w:highlight w:val="none"/>
                <w:u w:val="single"/>
              </w:rPr>
              <w:t xml:space="preserve"> 中机国际工程设计研究</w:t>
            </w:r>
            <w:r>
              <w:rPr>
                <w:rFonts w:hint="eastAsia" w:asciiTheme="minorEastAsia" w:hAnsiTheme="minorEastAsia" w:eastAsiaTheme="minorEastAsia"/>
                <w:color w:val="auto"/>
                <w:highlight w:val="none"/>
                <w:u w:val="single"/>
                <w:lang w:eastAsia="zh-CN"/>
              </w:rPr>
              <w:t>院</w:t>
            </w:r>
            <w:r>
              <w:rPr>
                <w:rFonts w:asciiTheme="minorEastAsia" w:hAnsiTheme="minorEastAsia" w:eastAsiaTheme="minorEastAsia"/>
                <w:color w:val="auto"/>
                <w:highlight w:val="none"/>
                <w:u w:val="single"/>
              </w:rPr>
              <w:t xml:space="preserve">有限责任公司 </w:t>
            </w:r>
            <w:r>
              <w:rPr>
                <w:rFonts w:asciiTheme="minorEastAsia" w:hAnsiTheme="minorEastAsia" w:eastAsiaTheme="minorEastAsia"/>
                <w:color w:val="auto"/>
                <w:highlight w:val="none"/>
              </w:rPr>
              <w:t>（发包人全称）</w:t>
            </w:r>
          </w:p>
          <w:p>
            <w:pPr>
              <w:pStyle w:val="27"/>
              <w:tabs>
                <w:tab w:val="left" w:pos="1787"/>
                <w:tab w:val="left" w:pos="2627"/>
                <w:tab w:val="left" w:pos="4379"/>
                <w:tab w:val="left" w:pos="5040"/>
                <w:tab w:val="left" w:pos="8650"/>
              </w:tabs>
              <w:spacing w:before="4" w:line="242" w:lineRule="auto"/>
              <w:ind w:left="107" w:right="-15" w:firstLine="420"/>
              <w:rPr>
                <w:rFonts w:asciiTheme="minorEastAsia" w:hAnsiTheme="minorEastAsia" w:eastAsiaTheme="minorEastAsia"/>
                <w:color w:val="auto"/>
                <w:highlight w:val="none"/>
                <w:lang w:eastAsia="zh-CN"/>
              </w:rPr>
            </w:pPr>
            <w:r>
              <w:rPr>
                <w:rFonts w:asciiTheme="minorEastAsia" w:hAnsiTheme="minorEastAsia" w:eastAsiaTheme="minorEastAsia"/>
                <w:color w:val="auto"/>
                <w:highlight w:val="none"/>
              </w:rPr>
              <w:t>我方于</w:t>
            </w:r>
            <w:r>
              <w:rPr>
                <w:rFonts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ab/>
            </w:r>
            <w:r>
              <w:rPr>
                <w:rFonts w:asciiTheme="minorEastAsia" w:hAnsiTheme="minorEastAsia" w:eastAsiaTheme="minorEastAsia"/>
                <w:color w:val="auto"/>
                <w:highlight w:val="none"/>
              </w:rPr>
              <w:t>至</w:t>
            </w:r>
            <w:r>
              <w:rPr>
                <w:rFonts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ab/>
            </w:r>
            <w:r>
              <w:rPr>
                <w:rFonts w:asciiTheme="minorEastAsia" w:hAnsiTheme="minorEastAsia" w:eastAsiaTheme="minorEastAsia"/>
                <w:color w:val="auto"/>
                <w:highlight w:val="none"/>
              </w:rPr>
              <w:t>期间已完成了</w:t>
            </w:r>
            <w:r>
              <w:rPr>
                <w:rFonts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ab/>
            </w:r>
            <w:r>
              <w:rPr>
                <w:rFonts w:asciiTheme="minorEastAsia" w:hAnsiTheme="minorEastAsia" w:eastAsiaTheme="minorEastAsia"/>
                <w:color w:val="auto"/>
                <w:highlight w:val="none"/>
                <w:u w:val="single"/>
              </w:rPr>
              <w:tab/>
            </w:r>
            <w:r>
              <w:rPr>
                <w:rFonts w:hint="eastAsia" w:asciiTheme="minorEastAsia" w:hAnsiTheme="minorEastAsia" w:eastAsiaTheme="minorEastAsia"/>
                <w:color w:val="auto"/>
                <w:highlight w:val="none"/>
                <w:lang w:eastAsia="zh-CN"/>
              </w:rPr>
              <w:t>项目</w:t>
            </w:r>
            <w:r>
              <w:rPr>
                <w:rFonts w:hint="eastAsia" w:asciiTheme="minorEastAsia" w:hAnsiTheme="minorEastAsia" w:eastAsiaTheme="minorEastAsia"/>
                <w:color w:val="auto"/>
                <w:highlight w:val="none"/>
                <w:u w:val="single"/>
                <w:lang w:val="en-US" w:eastAsia="zh-CN"/>
              </w:rPr>
              <w:t xml:space="preserve">       </w:t>
            </w:r>
            <w:r>
              <w:rPr>
                <w:rFonts w:hint="eastAsia" w:asciiTheme="minorEastAsia" w:hAnsiTheme="minorEastAsia" w:eastAsiaTheme="minorEastAsia"/>
                <w:color w:val="auto"/>
                <w:highlight w:val="none"/>
                <w:lang w:val="en-US" w:eastAsia="zh-CN"/>
              </w:rPr>
              <w:t>设备（含备品备件）设备供应</w:t>
            </w:r>
            <w:r>
              <w:rPr>
                <w:rFonts w:asciiTheme="minorEastAsia" w:hAnsiTheme="minorEastAsia" w:eastAsiaTheme="minorEastAsia"/>
                <w:color w:val="auto"/>
                <w:spacing w:val="-42"/>
                <w:highlight w:val="none"/>
              </w:rPr>
              <w:t>，</w:t>
            </w:r>
            <w:r>
              <w:rPr>
                <w:rFonts w:asciiTheme="minorEastAsia" w:hAnsiTheme="minorEastAsia" w:eastAsiaTheme="minorEastAsia"/>
                <w:color w:val="auto"/>
                <w:highlight w:val="none"/>
              </w:rPr>
              <w:t>根据合同的约定</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 xml:space="preserve">               </w:t>
            </w:r>
            <w:r>
              <w:rPr>
                <w:rFonts w:asciiTheme="minorEastAsia" w:hAnsiTheme="minorEastAsia" w:eastAsiaTheme="minorEastAsia"/>
                <w:color w:val="auto"/>
                <w:spacing w:val="-42"/>
                <w:highlight w:val="none"/>
              </w:rPr>
              <w:t>，</w:t>
            </w:r>
            <w:r>
              <w:rPr>
                <w:rFonts w:asciiTheme="minorEastAsia" w:hAnsiTheme="minorEastAsia" w:eastAsiaTheme="minorEastAsia"/>
                <w:color w:val="auto"/>
                <w:highlight w:val="none"/>
              </w:rPr>
              <w:t>现申请支付本周期的</w:t>
            </w:r>
            <w:r>
              <w:rPr>
                <w:rFonts w:hint="eastAsia" w:asciiTheme="minorEastAsia" w:hAnsiTheme="minorEastAsia" w:eastAsiaTheme="minorEastAsia"/>
                <w:color w:val="auto"/>
                <w:highlight w:val="none"/>
                <w:lang w:eastAsia="zh-CN"/>
              </w:rPr>
              <w:t>设备</w:t>
            </w:r>
            <w:r>
              <w:rPr>
                <w:rFonts w:asciiTheme="minorEastAsia" w:hAnsiTheme="minorEastAsia" w:eastAsiaTheme="minorEastAsia"/>
                <w:color w:val="auto"/>
                <w:highlight w:val="none"/>
              </w:rPr>
              <w:t>款额</w:t>
            </w:r>
            <w:r>
              <w:rPr>
                <w:rFonts w:asciiTheme="minorEastAsia" w:hAnsiTheme="minorEastAsia" w:eastAsiaTheme="minorEastAsia"/>
                <w:color w:val="auto"/>
                <w:spacing w:val="-17"/>
                <w:highlight w:val="none"/>
              </w:rPr>
              <w:t>为</w:t>
            </w:r>
            <w:r>
              <w:rPr>
                <w:rFonts w:asciiTheme="minorEastAsia" w:hAnsiTheme="minorEastAsia" w:eastAsiaTheme="minorEastAsia"/>
                <w:color w:val="auto"/>
                <w:highlight w:val="none"/>
              </w:rPr>
              <w:t>（小写</w:t>
            </w:r>
            <w:r>
              <w:rPr>
                <w:rFonts w:asciiTheme="minorEastAsia" w:hAnsiTheme="minorEastAsia" w:eastAsiaTheme="minorEastAsia"/>
                <w:color w:val="auto"/>
                <w:spacing w:val="-18"/>
                <w:highlight w:val="none"/>
              </w:rPr>
              <w:t>）</w:t>
            </w:r>
            <w:r>
              <w:rPr>
                <w:rFonts w:asciiTheme="minorEastAsia" w:hAnsiTheme="minorEastAsia" w:eastAsiaTheme="minorEastAsia"/>
                <w:color w:val="auto"/>
                <w:spacing w:val="-18"/>
                <w:highlight w:val="none"/>
                <w:u w:val="single"/>
              </w:rPr>
              <w:t xml:space="preserve"> </w:t>
            </w:r>
            <w:r>
              <w:rPr>
                <w:rFonts w:asciiTheme="minorEastAsia" w:hAnsiTheme="minorEastAsia" w:eastAsiaTheme="minorEastAsia"/>
                <w:color w:val="auto"/>
                <w:spacing w:val="-18"/>
                <w:highlight w:val="none"/>
                <w:u w:val="single"/>
              </w:rPr>
              <w:tab/>
            </w:r>
            <w:r>
              <w:rPr>
                <w:rFonts w:asciiTheme="minorEastAsia" w:hAnsiTheme="minorEastAsia" w:eastAsiaTheme="minorEastAsia"/>
                <w:color w:val="auto"/>
                <w:spacing w:val="-18"/>
                <w:highlight w:val="none"/>
                <w:u w:val="single"/>
              </w:rPr>
              <w:tab/>
            </w:r>
            <w:r>
              <w:rPr>
                <w:rFonts w:asciiTheme="minorEastAsia" w:hAnsiTheme="minorEastAsia" w:eastAsiaTheme="minorEastAsia"/>
                <w:color w:val="auto"/>
                <w:spacing w:val="-18"/>
                <w:highlight w:val="none"/>
              </w:rPr>
              <w:t>，（</w:t>
            </w:r>
            <w:r>
              <w:rPr>
                <w:rFonts w:asciiTheme="minorEastAsia" w:hAnsiTheme="minorEastAsia" w:eastAsiaTheme="minorEastAsia"/>
                <w:color w:val="auto"/>
                <w:highlight w:val="none"/>
              </w:rPr>
              <w:t>大写</w:t>
            </w:r>
            <w:r>
              <w:rPr>
                <w:rFonts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ab/>
            </w:r>
            <w:r>
              <w:rPr>
                <w:rFonts w:asciiTheme="minorEastAsia" w:hAnsiTheme="minorEastAsia" w:eastAsiaTheme="minorEastAsia"/>
                <w:color w:val="auto"/>
                <w:spacing w:val="-15"/>
                <w:highlight w:val="none"/>
              </w:rPr>
              <w:t xml:space="preserve">）， </w:t>
            </w:r>
            <w:r>
              <w:rPr>
                <w:rFonts w:asciiTheme="minorEastAsia" w:hAnsiTheme="minorEastAsia" w:eastAsiaTheme="minorEastAsia"/>
                <w:color w:val="auto"/>
                <w:highlight w:val="none"/>
              </w:rPr>
              <w:t>请予核准。</w:t>
            </w:r>
            <w:r>
              <w:rPr>
                <w:rFonts w:hint="eastAsia" w:asciiTheme="minorEastAsia" w:hAnsiTheme="minorEastAsia" w:eastAsiaTheme="minorEastAsia"/>
                <w:color w:val="auto"/>
                <w:highlight w:val="none"/>
                <w:lang w:eastAsia="zh-CN"/>
              </w:rPr>
              <w:t>详情请见以下附件：</w:t>
            </w:r>
          </w:p>
          <w:p>
            <w:pPr>
              <w:pStyle w:val="27"/>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到货签收单</w:t>
            </w:r>
          </w:p>
          <w:p>
            <w:pPr>
              <w:pStyle w:val="27"/>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全额增值税专用发票（税率   %）等</w:t>
            </w:r>
          </w:p>
          <w:p>
            <w:pPr>
              <w:pStyle w:val="27"/>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其他说明文件</w:t>
            </w:r>
          </w:p>
          <w:p>
            <w:pPr>
              <w:pStyle w:val="27"/>
              <w:spacing w:before="5"/>
              <w:rPr>
                <w:rFonts w:asciiTheme="minorEastAsia" w:hAnsiTheme="minorEastAsia" w:eastAsiaTheme="minorEastAsia"/>
                <w:b/>
                <w:color w:val="auto"/>
                <w:highlight w:val="none"/>
              </w:rPr>
            </w:pPr>
          </w:p>
          <w:p>
            <w:pPr>
              <w:pStyle w:val="27"/>
              <w:ind w:left="3887"/>
              <w:rPr>
                <w:rFonts w:asciiTheme="minorEastAsia" w:hAnsiTheme="minorEastAsia" w:eastAsiaTheme="minorEastAsia"/>
                <w:color w:val="auto"/>
                <w:highlight w:val="none"/>
              </w:rPr>
            </w:pPr>
            <w:r>
              <w:rPr>
                <w:rFonts w:asciiTheme="minorEastAsia" w:hAnsiTheme="minorEastAsia" w:eastAsiaTheme="minorEastAsia"/>
                <w:color w:val="auto"/>
                <w:highlight w:val="none"/>
              </w:rPr>
              <w:t>承包人（章）</w:t>
            </w:r>
          </w:p>
          <w:p>
            <w:pPr>
              <w:pStyle w:val="27"/>
              <w:tabs>
                <w:tab w:val="left" w:pos="4728"/>
                <w:tab w:val="left" w:pos="7140"/>
              </w:tabs>
              <w:spacing w:before="2" w:line="242" w:lineRule="auto"/>
              <w:ind w:left="3887" w:right="1901" w:hanging="2"/>
              <w:rPr>
                <w:rFonts w:asciiTheme="minorEastAsia" w:hAnsiTheme="minorEastAsia" w:eastAsiaTheme="minorEastAsia"/>
                <w:color w:val="auto"/>
                <w:highlight w:val="none"/>
                <w:u w:val="single"/>
              </w:rPr>
            </w:pPr>
            <w:r>
              <w:rPr>
                <w:rFonts w:asciiTheme="minorEastAsia" w:hAnsiTheme="minorEastAsia" w:eastAsiaTheme="minorEastAsia"/>
                <w:color w:val="auto"/>
                <w:spacing w:val="-1"/>
                <w:highlight w:val="none"/>
              </w:rPr>
              <w:t>承包人代</w:t>
            </w:r>
            <w:r>
              <w:rPr>
                <w:rFonts w:asciiTheme="minorEastAsia" w:hAnsiTheme="minorEastAsia" w:eastAsiaTheme="minorEastAsia"/>
                <w:color w:val="auto"/>
                <w:highlight w:val="none"/>
              </w:rPr>
              <w:t>表</w:t>
            </w:r>
            <w:r>
              <w:rPr>
                <w:rFonts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ab/>
            </w:r>
            <w:r>
              <w:rPr>
                <w:rFonts w:asciiTheme="minorEastAsia" w:hAnsiTheme="minorEastAsia" w:eastAsiaTheme="minorEastAsia"/>
                <w:color w:val="auto"/>
                <w:highlight w:val="none"/>
                <w:u w:val="single"/>
              </w:rPr>
              <w:t xml:space="preserve"> </w:t>
            </w:r>
          </w:p>
          <w:p>
            <w:pPr>
              <w:pStyle w:val="27"/>
              <w:tabs>
                <w:tab w:val="left" w:pos="4728"/>
                <w:tab w:val="left" w:pos="7140"/>
              </w:tabs>
              <w:spacing w:before="2" w:line="242" w:lineRule="auto"/>
              <w:ind w:left="3887" w:right="1901" w:hanging="2"/>
              <w:rPr>
                <w:rFonts w:asciiTheme="minorEastAsia" w:hAnsiTheme="minorEastAsia" w:eastAsiaTheme="minorEastAsia"/>
                <w:color w:val="auto"/>
                <w:highlight w:val="none"/>
              </w:rPr>
            </w:pPr>
            <w:r>
              <w:rPr>
                <w:rFonts w:asciiTheme="minorEastAsia" w:hAnsiTheme="minorEastAsia" w:eastAsiaTheme="minorEastAsia"/>
                <w:color w:val="auto"/>
                <w:highlight w:val="none"/>
              </w:rPr>
              <w:t>日</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期</w:t>
            </w:r>
            <w:r>
              <w:rPr>
                <w:rFonts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216" w:type="dxa"/>
            <w:vAlign w:val="center"/>
          </w:tcPr>
          <w:p>
            <w:pPr>
              <w:pStyle w:val="27"/>
              <w:spacing w:before="137" w:line="360" w:lineRule="auto"/>
              <w:ind w:left="308"/>
              <w:rPr>
                <w:rFonts w:asciiTheme="minorEastAsia" w:hAnsiTheme="minorEastAsia" w:eastAsiaTheme="minorEastAsia"/>
                <w:color w:val="auto"/>
                <w:highlight w:val="none"/>
              </w:rPr>
            </w:pPr>
            <w:r>
              <w:rPr>
                <w:rFonts w:asciiTheme="minorEastAsia" w:hAnsiTheme="minorEastAsia" w:eastAsiaTheme="minorEastAsia"/>
                <w:color w:val="auto"/>
                <w:highlight w:val="none"/>
              </w:rPr>
              <w:t>已完成工程进度</w:t>
            </w:r>
          </w:p>
        </w:tc>
        <w:tc>
          <w:tcPr>
            <w:tcW w:w="7403" w:type="dxa"/>
            <w:gridSpan w:val="5"/>
            <w:vAlign w:val="center"/>
          </w:tcPr>
          <w:p>
            <w:pPr>
              <w:pStyle w:val="27"/>
              <w:spacing w:line="360" w:lineRule="auto"/>
              <w:rPr>
                <w:rFonts w:asciiTheme="minorEastAsia" w:hAnsiTheme="minorEastAsia" w:eastAsia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216" w:type="dxa"/>
          </w:tcPr>
          <w:p>
            <w:pPr>
              <w:pStyle w:val="27"/>
              <w:spacing w:before="68" w:line="242" w:lineRule="auto"/>
              <w:ind w:left="413" w:right="402" w:hanging="2"/>
              <w:rPr>
                <w:rFonts w:asciiTheme="minorEastAsia" w:hAnsiTheme="minorEastAsia" w:eastAsiaTheme="minorEastAsia"/>
                <w:color w:val="auto"/>
                <w:highlight w:val="none"/>
              </w:rPr>
            </w:pPr>
            <w:r>
              <w:rPr>
                <w:rFonts w:asciiTheme="minorEastAsia" w:hAnsiTheme="minorEastAsia" w:eastAsiaTheme="minorEastAsia"/>
                <w:color w:val="auto"/>
                <w:highlight w:val="none"/>
              </w:rPr>
              <w:t>已开发票金额(小写：万元)</w:t>
            </w:r>
          </w:p>
        </w:tc>
        <w:tc>
          <w:tcPr>
            <w:tcW w:w="2658" w:type="dxa"/>
            <w:gridSpan w:val="2"/>
          </w:tcPr>
          <w:p>
            <w:pPr>
              <w:pStyle w:val="27"/>
              <w:rPr>
                <w:rFonts w:asciiTheme="minorEastAsia" w:hAnsiTheme="minorEastAsia" w:eastAsiaTheme="minorEastAsia"/>
                <w:color w:val="auto"/>
                <w:sz w:val="20"/>
                <w:highlight w:val="none"/>
              </w:rPr>
            </w:pPr>
          </w:p>
        </w:tc>
        <w:tc>
          <w:tcPr>
            <w:tcW w:w="1912" w:type="dxa"/>
            <w:gridSpan w:val="2"/>
          </w:tcPr>
          <w:p>
            <w:pPr>
              <w:pStyle w:val="27"/>
              <w:spacing w:before="68" w:line="242" w:lineRule="auto"/>
              <w:ind w:left="269" w:right="258"/>
              <w:rPr>
                <w:rFonts w:asciiTheme="minorEastAsia" w:hAnsiTheme="minorEastAsia" w:eastAsiaTheme="minorEastAsia"/>
                <w:color w:val="auto"/>
                <w:highlight w:val="none"/>
              </w:rPr>
            </w:pPr>
            <w:r>
              <w:rPr>
                <w:rFonts w:asciiTheme="minorEastAsia" w:hAnsiTheme="minorEastAsia" w:eastAsiaTheme="minorEastAsia"/>
                <w:color w:val="auto"/>
                <w:highlight w:val="none"/>
              </w:rPr>
              <w:t>累计已付金额(小写：万元)</w:t>
            </w:r>
          </w:p>
        </w:tc>
        <w:tc>
          <w:tcPr>
            <w:tcW w:w="2833" w:type="dxa"/>
          </w:tcPr>
          <w:p>
            <w:pPr>
              <w:pStyle w:val="27"/>
              <w:rPr>
                <w:rFonts w:asciiTheme="minorEastAsia" w:hAnsiTheme="minorEastAsia" w:eastAsia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216" w:type="dxa"/>
          </w:tcPr>
          <w:p>
            <w:pPr>
              <w:pStyle w:val="27"/>
              <w:spacing w:before="68"/>
              <w:ind w:left="412"/>
              <w:rPr>
                <w:rFonts w:asciiTheme="minorEastAsia" w:hAnsiTheme="minorEastAsia" w:eastAsiaTheme="minorEastAsia"/>
                <w:color w:val="auto"/>
                <w:highlight w:val="none"/>
              </w:rPr>
            </w:pPr>
            <w:r>
              <w:rPr>
                <w:rFonts w:asciiTheme="minorEastAsia" w:hAnsiTheme="minorEastAsia" w:eastAsiaTheme="minorEastAsia"/>
                <w:color w:val="auto"/>
                <w:highlight w:val="none"/>
              </w:rPr>
              <w:t>本次申报金额</w:t>
            </w:r>
          </w:p>
          <w:p>
            <w:pPr>
              <w:pStyle w:val="27"/>
              <w:spacing w:before="3"/>
              <w:ind w:left="361"/>
              <w:rPr>
                <w:rFonts w:asciiTheme="minorEastAsia" w:hAnsiTheme="minorEastAsia" w:eastAsiaTheme="minorEastAsia"/>
                <w:color w:val="auto"/>
                <w:highlight w:val="none"/>
              </w:rPr>
            </w:pPr>
            <w:r>
              <w:rPr>
                <w:rFonts w:asciiTheme="minorEastAsia" w:hAnsiTheme="minorEastAsia" w:eastAsiaTheme="minorEastAsia"/>
                <w:color w:val="auto"/>
                <w:spacing w:val="-1"/>
                <w:highlight w:val="none"/>
              </w:rPr>
              <w:t>（小写：万元)</w:t>
            </w:r>
          </w:p>
        </w:tc>
        <w:tc>
          <w:tcPr>
            <w:tcW w:w="2658" w:type="dxa"/>
            <w:gridSpan w:val="2"/>
          </w:tcPr>
          <w:p>
            <w:pPr>
              <w:pStyle w:val="27"/>
              <w:rPr>
                <w:rFonts w:asciiTheme="minorEastAsia" w:hAnsiTheme="minorEastAsia" w:eastAsiaTheme="minorEastAsia"/>
                <w:color w:val="auto"/>
                <w:sz w:val="20"/>
                <w:highlight w:val="none"/>
              </w:rPr>
            </w:pPr>
          </w:p>
        </w:tc>
        <w:tc>
          <w:tcPr>
            <w:tcW w:w="1912" w:type="dxa"/>
            <w:gridSpan w:val="2"/>
          </w:tcPr>
          <w:p>
            <w:pPr>
              <w:pStyle w:val="27"/>
              <w:spacing w:before="68" w:line="242" w:lineRule="auto"/>
              <w:ind w:left="269" w:right="153" w:hanging="106"/>
              <w:rPr>
                <w:rFonts w:asciiTheme="minorEastAsia" w:hAnsiTheme="minorEastAsia" w:eastAsiaTheme="minorEastAsia"/>
                <w:color w:val="auto"/>
                <w:highlight w:val="none"/>
              </w:rPr>
            </w:pPr>
            <w:r>
              <w:rPr>
                <w:rFonts w:asciiTheme="minorEastAsia" w:hAnsiTheme="minorEastAsia" w:eastAsiaTheme="minorEastAsia"/>
                <w:color w:val="auto"/>
                <w:highlight w:val="none"/>
              </w:rPr>
              <w:t>付款后合同余额(小写：万元)</w:t>
            </w:r>
          </w:p>
        </w:tc>
        <w:tc>
          <w:tcPr>
            <w:tcW w:w="2833" w:type="dxa"/>
          </w:tcPr>
          <w:p>
            <w:pPr>
              <w:pStyle w:val="27"/>
              <w:rPr>
                <w:rFonts w:asciiTheme="minorEastAsia" w:hAnsiTheme="minorEastAsia" w:eastAsia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2" w:hRule="atLeast"/>
        </w:trPr>
        <w:tc>
          <w:tcPr>
            <w:tcW w:w="5564" w:type="dxa"/>
            <w:gridSpan w:val="4"/>
          </w:tcPr>
          <w:p>
            <w:pPr>
              <w:pStyle w:val="27"/>
              <w:spacing w:before="97"/>
              <w:ind w:left="107"/>
              <w:rPr>
                <w:rFonts w:asciiTheme="minorEastAsia" w:hAnsiTheme="minorEastAsia" w:eastAsiaTheme="minorEastAsia"/>
                <w:color w:val="auto"/>
                <w:highlight w:val="none"/>
              </w:rPr>
            </w:pPr>
            <w:r>
              <w:rPr>
                <w:rFonts w:asciiTheme="minorEastAsia" w:hAnsiTheme="minorEastAsia" w:eastAsiaTheme="minorEastAsia"/>
                <w:color w:val="auto"/>
                <w:highlight w:val="none"/>
              </w:rPr>
              <w:t>复核意见：</w:t>
            </w:r>
          </w:p>
          <w:p>
            <w:pPr>
              <w:pStyle w:val="27"/>
              <w:spacing w:before="139"/>
              <w:rPr>
                <w:rFonts w:eastAsia="MS Mincho" w:asciiTheme="minorEastAsia" w:hAnsiTheme="minorEastAsia"/>
                <w:color w:val="auto"/>
                <w:highlight w:val="none"/>
              </w:rPr>
            </w:pPr>
            <w:r>
              <w:rPr>
                <w:rFonts w:asciiTheme="minorEastAsia" w:hAnsiTheme="minorEastAsia" w:eastAsiaTheme="minorEastAsia"/>
                <w:color w:val="auto"/>
                <w:highlight w:val="none"/>
              </w:rPr>
              <w:t>□与合同约定不相符，修改意见见附件。</w:t>
            </w:r>
          </w:p>
          <w:p>
            <w:pPr>
              <w:pStyle w:val="27"/>
              <w:spacing w:before="139"/>
              <w:rPr>
                <w:rFonts w:eastAsia="MS Mincho" w:asciiTheme="minorEastAsia" w:hAnsiTheme="minorEastAsia"/>
                <w:color w:val="auto"/>
                <w:highlight w:val="none"/>
              </w:rPr>
            </w:pPr>
          </w:p>
          <w:p>
            <w:pPr>
              <w:pStyle w:val="27"/>
              <w:rPr>
                <w:rFonts w:asciiTheme="minorEastAsia" w:hAnsiTheme="minorEastAsia" w:eastAsiaTheme="minorEastAsia"/>
                <w:b/>
                <w:color w:val="auto"/>
                <w:sz w:val="20"/>
                <w:highlight w:val="none"/>
                <w:lang w:val="en-US" w:eastAsia="zh-CN"/>
              </w:rPr>
            </w:pPr>
            <w:r>
              <w:rPr>
                <w:rFonts w:asciiTheme="minorEastAsia" w:hAnsiTheme="minorEastAsia" w:eastAsiaTheme="minorEastAsia"/>
                <w:color w:val="auto"/>
                <w:highlight w:val="none"/>
              </w:rPr>
              <w:t>□与合同约定相符，具体金额由造价工程师/跟踪审计复核。</w:t>
            </w:r>
            <w:r>
              <w:rPr>
                <w:rFonts w:hint="eastAsia" w:asciiTheme="minorEastAsia" w:hAnsiTheme="minorEastAsia" w:eastAsiaTheme="minorEastAsia"/>
                <w:color w:val="auto"/>
                <w:highlight w:val="none"/>
                <w:lang w:val="en-US" w:eastAsia="zh-CN"/>
              </w:rPr>
              <w:t xml:space="preserve"> </w:t>
            </w:r>
          </w:p>
          <w:p>
            <w:pPr>
              <w:pStyle w:val="27"/>
              <w:tabs>
                <w:tab w:val="left" w:pos="2418"/>
              </w:tabs>
              <w:spacing w:before="151" w:line="364" w:lineRule="auto"/>
              <w:ind w:left="2520" w:leftChars="1200" w:right="1129"/>
              <w:rPr>
                <w:rFonts w:asciiTheme="minorEastAsia" w:hAnsiTheme="minorEastAsia" w:eastAsiaTheme="minorEastAsia"/>
                <w:color w:val="auto"/>
                <w:highlight w:val="none"/>
              </w:rPr>
            </w:pPr>
            <w:r>
              <w:rPr>
                <w:rFonts w:asciiTheme="minorEastAsia" w:hAnsiTheme="minorEastAsia" w:eastAsiaTheme="minorEastAsia"/>
                <w:color w:val="auto"/>
                <w:spacing w:val="-1"/>
                <w:highlight w:val="none"/>
              </w:rPr>
              <w:t>发包人</w:t>
            </w:r>
            <w:r>
              <w:rPr>
                <w:rFonts w:asciiTheme="minorEastAsia" w:hAnsiTheme="minorEastAsia" w:eastAsiaTheme="minorEastAsia"/>
                <w:color w:val="auto"/>
                <w:highlight w:val="none"/>
              </w:rPr>
              <w:t>工程师（签字） 日</w:t>
            </w:r>
            <w:r>
              <w:rPr>
                <w:rFonts w:hint="eastAsia" w:asciiTheme="minorEastAsia" w:hAnsiTheme="minorEastAsia" w:eastAsiaTheme="minorEastAsia"/>
                <w:color w:val="auto"/>
                <w:highlight w:val="none"/>
                <w:lang w:eastAsia="zh-CN"/>
              </w:rPr>
              <w:t xml:space="preserve">   </w:t>
            </w:r>
            <w:r>
              <w:rPr>
                <w:rFonts w:asciiTheme="minorEastAsia" w:hAnsiTheme="minorEastAsia" w:eastAsiaTheme="minorEastAsia"/>
                <w:color w:val="auto"/>
                <w:highlight w:val="none"/>
              </w:rPr>
              <w:t>期：</w:t>
            </w:r>
          </w:p>
        </w:tc>
        <w:tc>
          <w:tcPr>
            <w:tcW w:w="4055" w:type="dxa"/>
            <w:gridSpan w:val="2"/>
          </w:tcPr>
          <w:p>
            <w:pPr>
              <w:pStyle w:val="27"/>
              <w:spacing w:before="97"/>
              <w:ind w:left="107"/>
              <w:rPr>
                <w:rFonts w:asciiTheme="minorEastAsia" w:hAnsiTheme="minorEastAsia" w:eastAsiaTheme="minorEastAsia"/>
                <w:color w:val="auto"/>
                <w:highlight w:val="none"/>
              </w:rPr>
            </w:pPr>
            <w:r>
              <w:rPr>
                <w:rFonts w:asciiTheme="minorEastAsia" w:hAnsiTheme="minorEastAsia" w:eastAsiaTheme="minorEastAsia"/>
                <w:color w:val="auto"/>
                <w:highlight w:val="none"/>
              </w:rPr>
              <w:t>复核意见：</w:t>
            </w:r>
          </w:p>
          <w:p>
            <w:pPr>
              <w:pStyle w:val="27"/>
              <w:tabs>
                <w:tab w:val="left" w:pos="2942"/>
              </w:tabs>
              <w:spacing w:before="139" w:line="364" w:lineRule="auto"/>
              <w:ind w:left="107" w:right="97" w:firstLine="212"/>
              <w:rPr>
                <w:rFonts w:asciiTheme="minorEastAsia" w:hAnsiTheme="minorEastAsia" w:eastAsiaTheme="minorEastAsia"/>
                <w:color w:val="auto"/>
                <w:highlight w:val="none"/>
              </w:rPr>
            </w:pPr>
            <w:r>
              <w:rPr>
                <w:rFonts w:asciiTheme="minorEastAsia" w:hAnsiTheme="minorEastAsia" w:eastAsiaTheme="minorEastAsia"/>
                <w:color w:val="auto"/>
                <w:highlight w:val="none"/>
              </w:rPr>
              <w:t>你方提出的支付申请经复核，本周</w:t>
            </w:r>
            <w:r>
              <w:rPr>
                <w:rFonts w:asciiTheme="minorEastAsia" w:hAnsiTheme="minorEastAsia" w:eastAsiaTheme="minorEastAsia"/>
                <w:color w:val="auto"/>
                <w:spacing w:val="-12"/>
                <w:highlight w:val="none"/>
              </w:rPr>
              <w:t>期</w:t>
            </w:r>
            <w:r>
              <w:rPr>
                <w:rFonts w:asciiTheme="minorEastAsia" w:hAnsiTheme="minorEastAsia" w:eastAsiaTheme="minorEastAsia"/>
                <w:color w:val="auto"/>
                <w:highlight w:val="none"/>
              </w:rPr>
              <w:t>已完成合同款额为</w:t>
            </w:r>
            <w:r>
              <w:rPr>
                <w:rFonts w:hint="eastAsia" w:asciiTheme="minorEastAsia" w:hAnsiTheme="minorEastAsia" w:eastAsiaTheme="minorEastAsia"/>
                <w:color w:val="auto"/>
                <w:highlight w:val="none"/>
                <w:u w:val="single"/>
                <w:lang w:eastAsia="zh-CN"/>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eastAsia="zh-CN"/>
              </w:rPr>
              <w:t xml:space="preserve">   </w:t>
            </w:r>
            <w:r>
              <w:rPr>
                <w:rFonts w:asciiTheme="minorEastAsia" w:hAnsiTheme="minorEastAsia" w:eastAsiaTheme="minorEastAsia"/>
                <w:color w:val="auto"/>
                <w:highlight w:val="none"/>
              </w:rPr>
              <w:t>，本期间应支付金</w:t>
            </w:r>
            <w:r>
              <w:rPr>
                <w:rFonts w:asciiTheme="minorEastAsia" w:hAnsiTheme="minorEastAsia" w:eastAsiaTheme="minorEastAsia"/>
                <w:color w:val="auto"/>
                <w:spacing w:val="-12"/>
                <w:highlight w:val="none"/>
              </w:rPr>
              <w:t>额</w:t>
            </w:r>
            <w:r>
              <w:rPr>
                <w:rFonts w:asciiTheme="minorEastAsia" w:hAnsiTheme="minorEastAsia" w:eastAsiaTheme="minorEastAsia"/>
                <w:color w:val="auto"/>
                <w:highlight w:val="none"/>
              </w:rPr>
              <w:t>为</w:t>
            </w:r>
            <w:r>
              <w:rPr>
                <w:rFonts w:hint="eastAsia" w:asciiTheme="minorEastAsia" w:hAnsiTheme="minorEastAsia" w:eastAsiaTheme="minorEastAsia"/>
                <w:color w:val="auto"/>
                <w:highlight w:val="none"/>
                <w:u w:val="single"/>
                <w:lang w:eastAsia="zh-CN"/>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eastAsia="zh-CN"/>
              </w:rPr>
              <w:t xml:space="preserve"> </w:t>
            </w:r>
            <w:r>
              <w:rPr>
                <w:rFonts w:asciiTheme="minorEastAsia" w:hAnsiTheme="minorEastAsia" w:eastAsiaTheme="minorEastAsia"/>
                <w:color w:val="auto"/>
                <w:highlight w:val="none"/>
              </w:rPr>
              <w:t>（小写）</w:t>
            </w:r>
          </w:p>
          <w:p>
            <w:pPr>
              <w:pStyle w:val="27"/>
              <w:tabs>
                <w:tab w:val="left" w:pos="1578"/>
              </w:tabs>
              <w:spacing w:before="151" w:line="364" w:lineRule="auto"/>
              <w:ind w:left="1470" w:leftChars="700" w:right="758"/>
              <w:rPr>
                <w:rFonts w:asciiTheme="minorEastAsia" w:hAnsiTheme="minorEastAsia" w:eastAsiaTheme="minorEastAsia"/>
                <w:color w:val="auto"/>
                <w:highlight w:val="none"/>
              </w:rPr>
            </w:pPr>
            <w:r>
              <w:rPr>
                <w:rFonts w:asciiTheme="minorEastAsia" w:hAnsiTheme="minorEastAsia" w:eastAsiaTheme="minorEastAsia"/>
                <w:color w:val="auto"/>
                <w:spacing w:val="-1"/>
                <w:highlight w:val="none"/>
              </w:rPr>
              <w:t>造</w:t>
            </w:r>
            <w:r>
              <w:rPr>
                <w:rFonts w:asciiTheme="minorEastAsia" w:hAnsiTheme="minorEastAsia" w:eastAsiaTheme="minorEastAsia"/>
                <w:color w:val="auto"/>
                <w:highlight w:val="none"/>
              </w:rPr>
              <w:t>价工程师（签字） 日</w:t>
            </w:r>
            <w:r>
              <w:rPr>
                <w:rFonts w:hint="eastAsia" w:asciiTheme="minorEastAsia" w:hAnsiTheme="minorEastAsia" w:eastAsiaTheme="minorEastAsia"/>
                <w:color w:val="auto"/>
                <w:highlight w:val="none"/>
                <w:lang w:eastAsia="zh-CN"/>
              </w:rPr>
              <w:t xml:space="preserve">   </w:t>
            </w:r>
            <w:r>
              <w:rPr>
                <w:rFonts w:asciiTheme="minorEastAsia" w:hAnsiTheme="minorEastAsia" w:eastAsiaTheme="minorEastAsia"/>
                <w:color w:val="auto"/>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1" w:hRule="atLeast"/>
        </w:trPr>
        <w:tc>
          <w:tcPr>
            <w:tcW w:w="9619" w:type="dxa"/>
            <w:gridSpan w:val="6"/>
          </w:tcPr>
          <w:p>
            <w:pPr>
              <w:pStyle w:val="27"/>
              <w:spacing w:before="11"/>
              <w:rPr>
                <w:rFonts w:asciiTheme="minorEastAsia" w:hAnsiTheme="minorEastAsia" w:eastAsiaTheme="minorEastAsia"/>
                <w:b/>
                <w:color w:val="auto"/>
                <w:sz w:val="20"/>
                <w:highlight w:val="none"/>
              </w:rPr>
            </w:pPr>
          </w:p>
          <w:p>
            <w:pPr>
              <w:pStyle w:val="27"/>
              <w:ind w:left="107"/>
              <w:rPr>
                <w:rFonts w:asciiTheme="minorEastAsia" w:hAnsiTheme="minorEastAsia" w:eastAsiaTheme="minorEastAsia"/>
                <w:color w:val="auto"/>
                <w:highlight w:val="none"/>
              </w:rPr>
            </w:pPr>
            <w:r>
              <w:rPr>
                <w:rFonts w:asciiTheme="minorEastAsia" w:hAnsiTheme="minorEastAsia" w:eastAsiaTheme="minorEastAsia"/>
                <w:color w:val="auto"/>
                <w:highlight w:val="none"/>
              </w:rPr>
              <w:t>审核意见：</w:t>
            </w:r>
          </w:p>
          <w:p>
            <w:pPr>
              <w:pStyle w:val="27"/>
              <w:spacing w:before="12"/>
              <w:ind w:firstLine="1260" w:firstLineChars="600"/>
              <w:rPr>
                <w:rFonts w:eastAsia="MS Mincho" w:asciiTheme="minorEastAsia" w:hAnsiTheme="minorEastAsia"/>
                <w:color w:val="auto"/>
                <w:highlight w:val="none"/>
              </w:rPr>
            </w:pPr>
            <w:r>
              <w:rPr>
                <w:rFonts w:asciiTheme="minorEastAsia" w:hAnsiTheme="minorEastAsia" w:eastAsiaTheme="minorEastAsia"/>
                <w:color w:val="auto"/>
                <w:highlight w:val="none"/>
              </w:rPr>
              <w:t>□不同意。</w:t>
            </w:r>
          </w:p>
          <w:p>
            <w:pPr>
              <w:pStyle w:val="27"/>
              <w:spacing w:before="12"/>
              <w:ind w:left="1463"/>
              <w:rPr>
                <w:rFonts w:eastAsia="MS Mincho" w:asciiTheme="minorEastAsia" w:hAnsiTheme="minorEastAsia"/>
                <w:color w:val="auto"/>
                <w:highlight w:val="none"/>
              </w:rPr>
            </w:pPr>
          </w:p>
          <w:p>
            <w:pPr>
              <w:pStyle w:val="27"/>
              <w:spacing w:before="5"/>
              <w:ind w:firstLine="1260" w:firstLineChars="600"/>
              <w:rPr>
                <w:rFonts w:asciiTheme="minorEastAsia" w:hAnsiTheme="minorEastAsia" w:eastAsiaTheme="minorEastAsia"/>
                <w:b/>
                <w:color w:val="auto"/>
                <w:sz w:val="26"/>
                <w:highlight w:val="none"/>
              </w:rPr>
            </w:pPr>
            <w:r>
              <w:rPr>
                <w:rFonts w:asciiTheme="minorEastAsia" w:hAnsiTheme="minorEastAsia" w:eastAsiaTheme="minorEastAsia"/>
                <w:color w:val="auto"/>
                <w:highlight w:val="none"/>
              </w:rPr>
              <w:t>□</w:t>
            </w:r>
            <w:r>
              <w:rPr>
                <w:rFonts w:asciiTheme="minorEastAsia" w:hAnsiTheme="minorEastAsia" w:eastAsiaTheme="minorEastAsia"/>
                <w:color w:val="auto"/>
                <w:spacing w:val="16"/>
                <w:highlight w:val="none"/>
              </w:rPr>
              <w:t>同意，支付时间为本</w:t>
            </w:r>
            <w:r>
              <w:rPr>
                <w:rFonts w:asciiTheme="minorEastAsia" w:hAnsiTheme="minorEastAsia" w:eastAsiaTheme="minorEastAsia"/>
                <w:color w:val="auto"/>
                <w:spacing w:val="17"/>
                <w:highlight w:val="none"/>
              </w:rPr>
              <w:t>表</w:t>
            </w:r>
            <w:r>
              <w:rPr>
                <w:rFonts w:asciiTheme="minorEastAsia" w:hAnsiTheme="minorEastAsia" w:eastAsiaTheme="minorEastAsia"/>
                <w:color w:val="auto"/>
                <w:spacing w:val="15"/>
                <w:highlight w:val="none"/>
              </w:rPr>
              <w:t>签发后</w:t>
            </w:r>
            <w:r>
              <w:rPr>
                <w:rFonts w:asciiTheme="minorEastAsia" w:hAnsiTheme="minorEastAsia" w:eastAsiaTheme="minorEastAsia"/>
                <w:color w:val="auto"/>
                <w:highlight w:val="none"/>
              </w:rPr>
              <w:t>的</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 xml:space="preserve"> </w:t>
            </w:r>
            <w:r>
              <w:rPr>
                <w:rFonts w:asciiTheme="minorEastAsia" w:hAnsiTheme="minorEastAsia" w:eastAsiaTheme="minorEastAsia"/>
                <w:color w:val="auto"/>
                <w:spacing w:val="15"/>
                <w:highlight w:val="none"/>
              </w:rPr>
              <w:t>天内。</w:t>
            </w:r>
          </w:p>
          <w:p>
            <w:pPr>
              <w:pStyle w:val="27"/>
              <w:tabs>
                <w:tab w:val="left" w:pos="7029"/>
              </w:tabs>
              <w:spacing w:line="249" w:lineRule="auto"/>
              <w:ind w:left="6320" w:right="1562" w:firstLine="15"/>
              <w:jc w:val="center"/>
              <w:rPr>
                <w:rFonts w:asciiTheme="minorEastAsia" w:hAnsiTheme="minorEastAsia" w:eastAsiaTheme="minorEastAsia"/>
                <w:color w:val="auto"/>
                <w:highlight w:val="none"/>
              </w:rPr>
            </w:pPr>
            <w:r>
              <w:rPr>
                <w:rFonts w:asciiTheme="minorEastAsia" w:hAnsiTheme="minorEastAsia" w:eastAsiaTheme="minorEastAsia"/>
                <w:color w:val="auto"/>
                <w:spacing w:val="16"/>
                <w:highlight w:val="none"/>
              </w:rPr>
              <w:t>项</w:t>
            </w:r>
            <w:r>
              <w:rPr>
                <w:rFonts w:asciiTheme="minorEastAsia" w:hAnsiTheme="minorEastAsia" w:eastAsiaTheme="minorEastAsia"/>
                <w:color w:val="auto"/>
                <w:spacing w:val="15"/>
                <w:highlight w:val="none"/>
              </w:rPr>
              <w:t>目经</w:t>
            </w:r>
            <w:r>
              <w:rPr>
                <w:rFonts w:asciiTheme="minorEastAsia" w:hAnsiTheme="minorEastAsia" w:eastAsiaTheme="minorEastAsia"/>
                <w:color w:val="auto"/>
                <w:spacing w:val="16"/>
                <w:highlight w:val="none"/>
              </w:rPr>
              <w:t>理</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 xml:space="preserve">     </w:t>
            </w:r>
            <w:r>
              <w:rPr>
                <w:rFonts w:asciiTheme="minorEastAsia" w:hAnsiTheme="minorEastAsia" w:eastAsiaTheme="minorEastAsia"/>
                <w:color w:val="auto"/>
                <w:highlight w:val="none"/>
              </w:rPr>
              <w:t>日</w:t>
            </w:r>
            <w:r>
              <w:rPr>
                <w:rFonts w:asciiTheme="minorEastAsia" w:hAnsiTheme="minorEastAsia" w:eastAsiaTheme="minorEastAsia"/>
                <w:color w:val="auto"/>
                <w:highlight w:val="none"/>
              </w:rPr>
              <w:tab/>
            </w:r>
            <w:r>
              <w:rPr>
                <w:rFonts w:asciiTheme="minorEastAsia" w:hAnsiTheme="minorEastAsia" w:eastAsiaTheme="minorEastAsia"/>
                <w:color w:val="auto"/>
                <w:spacing w:val="15"/>
                <w:highlight w:val="none"/>
              </w:rPr>
              <w:t>期</w:t>
            </w:r>
            <w:r>
              <w:rPr>
                <w:rFonts w:asciiTheme="minorEastAsia" w:hAnsiTheme="minorEastAsia" w:eastAsiaTheme="minorEastAsia"/>
                <w:color w:val="auto"/>
                <w:highlight w:val="none"/>
              </w:rPr>
              <w:t>：</w:t>
            </w:r>
          </w:p>
        </w:tc>
      </w:tr>
    </w:tbl>
    <w:p>
      <w:pPr>
        <w:spacing w:before="38"/>
        <w:ind w:firstLine="1928" w:firstLineChars="600"/>
        <w:jc w:val="left"/>
        <w:rPr>
          <w:rFonts w:asciiTheme="minorEastAsia" w:hAnsiTheme="minorEastAsia" w:eastAsiaTheme="minorEastAsia"/>
          <w:color w:val="auto"/>
          <w:sz w:val="28"/>
          <w:highlight w:val="none"/>
        </w:rPr>
      </w:pPr>
      <w:r>
        <w:rPr>
          <w:rFonts w:hint="eastAsia" w:asciiTheme="minorEastAsia" w:hAnsiTheme="minorEastAsia" w:eastAsiaTheme="minorEastAsia"/>
          <w:b/>
          <w:color w:val="auto"/>
          <w:sz w:val="32"/>
          <w:highlight w:val="none"/>
        </w:rPr>
        <w:t>设备材料采购</w:t>
      </w:r>
      <w:r>
        <w:rPr>
          <w:rFonts w:asciiTheme="minorEastAsia" w:hAnsiTheme="minorEastAsia" w:eastAsiaTheme="minorEastAsia"/>
          <w:b/>
          <w:color w:val="auto"/>
          <w:sz w:val="32"/>
          <w:highlight w:val="none"/>
        </w:rPr>
        <w:t>合同价款支付申请（核准）表</w:t>
      </w:r>
    </w:p>
    <w:p>
      <w:pPr>
        <w:pStyle w:val="3"/>
        <w:rPr>
          <w:color w:val="auto"/>
          <w:highlight w:val="none"/>
        </w:rPr>
        <w:sectPr>
          <w:footerReference r:id="rId10" w:type="first"/>
          <w:footerReference r:id="rId9" w:type="default"/>
          <w:pgSz w:w="11906" w:h="16838"/>
          <w:pgMar w:top="1452" w:right="1106" w:bottom="1452" w:left="1622" w:header="851" w:footer="992" w:gutter="0"/>
          <w:cols w:space="720" w:num="1"/>
          <w:titlePg/>
          <w:docGrid w:type="lines" w:linePitch="316" w:charSpace="0"/>
        </w:sectPr>
      </w:pPr>
    </w:p>
    <w:p>
      <w:pPr>
        <w:pStyle w:val="3"/>
        <w:rPr>
          <w:color w:val="auto"/>
          <w:highlight w:val="none"/>
        </w:rPr>
      </w:pPr>
      <w:bookmarkStart w:id="45" w:name="_Toc86392976"/>
      <w:bookmarkStart w:id="46" w:name="_Toc86399312"/>
      <w:r>
        <w:rPr>
          <w:rFonts w:hint="eastAsia"/>
          <w:color w:val="auto"/>
          <w:highlight w:val="none"/>
        </w:rPr>
        <w:drawing>
          <wp:anchor distT="0" distB="0" distL="114300" distR="114300" simplePos="0" relativeHeight="251660288" behindDoc="0" locked="0" layoutInCell="1" allowOverlap="1">
            <wp:simplePos x="0" y="0"/>
            <wp:positionH relativeFrom="column">
              <wp:posOffset>-238125</wp:posOffset>
            </wp:positionH>
            <wp:positionV relativeFrom="paragraph">
              <wp:posOffset>373380</wp:posOffset>
            </wp:positionV>
            <wp:extent cx="5772150" cy="7009130"/>
            <wp:effectExtent l="0" t="0" r="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72150" cy="7009130"/>
                    </a:xfrm>
                    <a:prstGeom prst="rect">
                      <a:avLst/>
                    </a:prstGeom>
                    <a:noFill/>
                    <a:ln>
                      <a:noFill/>
                    </a:ln>
                  </pic:spPr>
                </pic:pic>
              </a:graphicData>
            </a:graphic>
          </wp:anchor>
        </w:drawing>
      </w:r>
      <w:r>
        <w:rPr>
          <w:rFonts w:hint="eastAsia"/>
          <w:color w:val="auto"/>
          <w:highlight w:val="none"/>
        </w:rPr>
        <w:t>附件三</w:t>
      </w:r>
      <w:r>
        <w:rPr>
          <w:color w:val="auto"/>
          <w:highlight w:val="none"/>
        </w:rPr>
        <w:t>：</w:t>
      </w:r>
      <w:bookmarkEnd w:id="45"/>
      <w:bookmarkEnd w:id="46"/>
    </w:p>
    <w:sectPr>
      <w:headerReference r:id="rId11" w:type="default"/>
      <w:pgSz w:w="11906" w:h="16838"/>
      <w:pgMar w:top="1452" w:right="1106" w:bottom="1452" w:left="1622"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jc w:val="center"/>
                          </w:pPr>
                          <w:r>
                            <w:fldChar w:fldCharType="begin"/>
                          </w:r>
                          <w:r>
                            <w:instrText xml:space="preserve"> PAGE  \* MERGEFORMAT </w:instrText>
                          </w:r>
                          <w:r>
                            <w:fldChar w:fldCharType="separate"/>
                          </w:r>
                          <w:r>
                            <w:t>16</w:t>
                          </w:r>
                          <w:r>
                            <w:fldChar w:fldCharType="end"/>
                          </w: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c0co0xQEAAJoDAAAOAAAAAAAAAAEAIAAAAB8BAABkcnMvZTJvRG9jLnht&#10;bFBLBQYAAAAABgAGAFkBAABWBQAAAAA=&#10;">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t>16</w:t>
                    </w:r>
                    <w:r>
                      <w:fldChar w:fldCharType="end"/>
                    </w:r>
                  </w:p>
                </w:txbxContent>
              </v:textbox>
            </v:rect>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693217"/>
      <w:docPartObj>
        <w:docPartGallery w:val="autotext"/>
      </w:docPartObj>
    </w:sdtPr>
    <w:sdtContent>
      <w:p>
        <w:pPr>
          <w:pStyle w:val="9"/>
          <w:jc w:val="center"/>
        </w:pPr>
        <w:r>
          <w:fldChar w:fldCharType="begin"/>
        </w:r>
        <w:r>
          <w:instrText xml:space="preserve">PAGE   \* MERGEFORMAT</w:instrText>
        </w:r>
        <w:r>
          <w:fldChar w:fldCharType="separate"/>
        </w:r>
        <w:r>
          <w:rPr>
            <w:lang w:val="zh-CN"/>
          </w:rPr>
          <w:t>18</w:t>
        </w:r>
        <w:r>
          <w:fldChar w:fldCharType="end"/>
        </w:r>
      </w:p>
    </w:sdtContent>
  </w:sdt>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366499"/>
      <w:docPartObj>
        <w:docPartGallery w:val="autotext"/>
      </w:docPartObj>
    </w:sdtPr>
    <w:sdtContent>
      <w:p>
        <w:pPr>
          <w:pStyle w:val="9"/>
          <w:jc w:val="center"/>
        </w:pPr>
        <w:r>
          <w:fldChar w:fldCharType="begin"/>
        </w:r>
        <w:r>
          <w:instrText xml:space="preserve">PAGE   \* MERGEFORMAT</w:instrText>
        </w:r>
        <w:r>
          <w:fldChar w:fldCharType="separate"/>
        </w:r>
        <w:r>
          <w:rPr>
            <w:lang w:val="zh-CN"/>
          </w:rPr>
          <w:t>17</w:t>
        </w:r>
        <w: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200" w:hanging="1050" w:hangingChars="500"/>
      <w:jc w:val="right"/>
      <w:rPr>
        <w:w w:val="90"/>
        <w:u w:val="single"/>
      </w:rPr>
    </w:pPr>
    <w:r>
      <w:rPr>
        <w:rFonts w:hint="eastAsia"/>
        <w:color w:val="000000"/>
        <w:u w:val="single"/>
      </w:rPr>
      <w:t>逆变器</w:t>
    </w:r>
    <w:r>
      <w:rPr>
        <w:rFonts w:hint="eastAsia"/>
        <w:u w:val="single"/>
      </w:rPr>
      <w:t>采购合同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w:t>
    </w:r>
    <w:r>
      <w:rPr>
        <w:rFonts w:asciiTheme="minorEastAsia" w:hAnsiTheme="minorEastAsia" w:eastAsiaTheme="minorEastAsia"/>
        <w:sz w:val="21"/>
        <w:szCs w:val="21"/>
        <w:u w:val="single"/>
      </w:rPr>
      <w:t>项目</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箱式变压器采购合同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**项目                                                                   逆变器采购合同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943" w:hanging="945" w:hangingChars="500"/>
      <w:jc w:val="left"/>
      <w:rPr>
        <w:rFonts w:asciiTheme="minorEastAsia" w:hAnsiTheme="minorEastAsia" w:eastAsiaTheme="minorEastAsia"/>
        <w:w w:val="90"/>
        <w:u w:val="single"/>
      </w:rPr>
    </w:pPr>
    <w:r>
      <w:rPr>
        <w:rFonts w:hint="eastAsia" w:asciiTheme="minorEastAsia" w:hAnsiTheme="minorEastAsia" w:eastAsiaTheme="minorEastAsia"/>
        <w:w w:val="90"/>
        <w:u w:val="single"/>
      </w:rPr>
      <w:t xml:space="preserve">**项目                                                  </w:t>
    </w:r>
    <w:r>
      <w:rPr>
        <w:rFonts w:asciiTheme="minorEastAsia" w:hAnsiTheme="minorEastAsia" w:eastAsiaTheme="minorEastAsia"/>
        <w:w w:val="90"/>
        <w:u w:val="single"/>
      </w:rPr>
      <w:t xml:space="preserve">          </w:t>
    </w:r>
    <w:r>
      <w:rPr>
        <w:rFonts w:hint="eastAsia" w:asciiTheme="minorEastAsia" w:hAnsiTheme="minorEastAsia" w:eastAsiaTheme="minorEastAsia"/>
        <w:w w:val="90"/>
        <w:u w:val="single"/>
      </w:rPr>
      <w:t xml:space="preserve">                 逆变器采购合同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01450"/>
    <w:multiLevelType w:val="singleLevel"/>
    <w:tmpl w:val="5820145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0ZjBiMGQxMWI5NmZkNzM1YTQ3M2Q1OWVkZDNkZjYifQ=="/>
  </w:docVars>
  <w:rsids>
    <w:rsidRoot w:val="00172A27"/>
    <w:rsid w:val="000307E5"/>
    <w:rsid w:val="00041545"/>
    <w:rsid w:val="00042D3F"/>
    <w:rsid w:val="000448DC"/>
    <w:rsid w:val="00050A45"/>
    <w:rsid w:val="00060390"/>
    <w:rsid w:val="00063184"/>
    <w:rsid w:val="00067FAE"/>
    <w:rsid w:val="000731C2"/>
    <w:rsid w:val="000A32B6"/>
    <w:rsid w:val="000B5AB9"/>
    <w:rsid w:val="000E0DB6"/>
    <w:rsid w:val="001240FD"/>
    <w:rsid w:val="00124199"/>
    <w:rsid w:val="00127E67"/>
    <w:rsid w:val="00150582"/>
    <w:rsid w:val="001569E9"/>
    <w:rsid w:val="00172A27"/>
    <w:rsid w:val="0017710E"/>
    <w:rsid w:val="00185D8D"/>
    <w:rsid w:val="00185FD0"/>
    <w:rsid w:val="00187ADB"/>
    <w:rsid w:val="001B4E40"/>
    <w:rsid w:val="001C03BC"/>
    <w:rsid w:val="001C29C9"/>
    <w:rsid w:val="001C38B4"/>
    <w:rsid w:val="001C3D8F"/>
    <w:rsid w:val="001C5A3F"/>
    <w:rsid w:val="001C603E"/>
    <w:rsid w:val="001E723E"/>
    <w:rsid w:val="001F4FFC"/>
    <w:rsid w:val="001F7A20"/>
    <w:rsid w:val="001F7DBC"/>
    <w:rsid w:val="00202705"/>
    <w:rsid w:val="00206A4B"/>
    <w:rsid w:val="00223E6C"/>
    <w:rsid w:val="002508AD"/>
    <w:rsid w:val="002523D9"/>
    <w:rsid w:val="00266789"/>
    <w:rsid w:val="002711C0"/>
    <w:rsid w:val="00273DE5"/>
    <w:rsid w:val="00296EB9"/>
    <w:rsid w:val="002A323A"/>
    <w:rsid w:val="002A717B"/>
    <w:rsid w:val="002B4D91"/>
    <w:rsid w:val="002C0400"/>
    <w:rsid w:val="002D2974"/>
    <w:rsid w:val="002D33F8"/>
    <w:rsid w:val="002D5483"/>
    <w:rsid w:val="002E0E52"/>
    <w:rsid w:val="002E6288"/>
    <w:rsid w:val="002E6C5B"/>
    <w:rsid w:val="002E75A2"/>
    <w:rsid w:val="002F4056"/>
    <w:rsid w:val="00310272"/>
    <w:rsid w:val="00316F27"/>
    <w:rsid w:val="00324229"/>
    <w:rsid w:val="00330F67"/>
    <w:rsid w:val="0033204A"/>
    <w:rsid w:val="003348BF"/>
    <w:rsid w:val="00350EC3"/>
    <w:rsid w:val="00356ADC"/>
    <w:rsid w:val="003619D6"/>
    <w:rsid w:val="0037163D"/>
    <w:rsid w:val="003A2224"/>
    <w:rsid w:val="003C4D02"/>
    <w:rsid w:val="003E5A57"/>
    <w:rsid w:val="004011D1"/>
    <w:rsid w:val="00470067"/>
    <w:rsid w:val="00484C52"/>
    <w:rsid w:val="0049075D"/>
    <w:rsid w:val="00490F9C"/>
    <w:rsid w:val="004A4E5C"/>
    <w:rsid w:val="004B6ACE"/>
    <w:rsid w:val="004D14FD"/>
    <w:rsid w:val="004D326C"/>
    <w:rsid w:val="00504270"/>
    <w:rsid w:val="00521CBB"/>
    <w:rsid w:val="00523C3B"/>
    <w:rsid w:val="00526446"/>
    <w:rsid w:val="005676B5"/>
    <w:rsid w:val="0058521D"/>
    <w:rsid w:val="005C1943"/>
    <w:rsid w:val="005D2FD2"/>
    <w:rsid w:val="005E38EE"/>
    <w:rsid w:val="005F137B"/>
    <w:rsid w:val="00624A91"/>
    <w:rsid w:val="00625682"/>
    <w:rsid w:val="00631C44"/>
    <w:rsid w:val="00645EC2"/>
    <w:rsid w:val="0065335C"/>
    <w:rsid w:val="00665D2A"/>
    <w:rsid w:val="00680F8E"/>
    <w:rsid w:val="00683711"/>
    <w:rsid w:val="00684386"/>
    <w:rsid w:val="00690529"/>
    <w:rsid w:val="006A4E38"/>
    <w:rsid w:val="006C7CE2"/>
    <w:rsid w:val="006D3522"/>
    <w:rsid w:val="006F0038"/>
    <w:rsid w:val="00705551"/>
    <w:rsid w:val="00711995"/>
    <w:rsid w:val="00753770"/>
    <w:rsid w:val="007567E9"/>
    <w:rsid w:val="00781F53"/>
    <w:rsid w:val="007C0B84"/>
    <w:rsid w:val="007C5EAF"/>
    <w:rsid w:val="007C7901"/>
    <w:rsid w:val="007D1589"/>
    <w:rsid w:val="007D7EFF"/>
    <w:rsid w:val="007F1167"/>
    <w:rsid w:val="008003FC"/>
    <w:rsid w:val="008175AF"/>
    <w:rsid w:val="00820201"/>
    <w:rsid w:val="00837102"/>
    <w:rsid w:val="0086135D"/>
    <w:rsid w:val="008711EC"/>
    <w:rsid w:val="008713B1"/>
    <w:rsid w:val="008761AD"/>
    <w:rsid w:val="00876C0D"/>
    <w:rsid w:val="008A2F3F"/>
    <w:rsid w:val="008A33AF"/>
    <w:rsid w:val="008B0DCB"/>
    <w:rsid w:val="008B5747"/>
    <w:rsid w:val="008D6CFF"/>
    <w:rsid w:val="008F73CE"/>
    <w:rsid w:val="00903739"/>
    <w:rsid w:val="00906A6A"/>
    <w:rsid w:val="00913AFE"/>
    <w:rsid w:val="009426D7"/>
    <w:rsid w:val="009502B8"/>
    <w:rsid w:val="00961D21"/>
    <w:rsid w:val="0098231D"/>
    <w:rsid w:val="00982604"/>
    <w:rsid w:val="009A3BDC"/>
    <w:rsid w:val="009D28C2"/>
    <w:rsid w:val="009D319F"/>
    <w:rsid w:val="009E0EE1"/>
    <w:rsid w:val="00A053FB"/>
    <w:rsid w:val="00A148F3"/>
    <w:rsid w:val="00A55063"/>
    <w:rsid w:val="00A715C9"/>
    <w:rsid w:val="00A9167E"/>
    <w:rsid w:val="00AA7E63"/>
    <w:rsid w:val="00AB01A2"/>
    <w:rsid w:val="00AB2315"/>
    <w:rsid w:val="00AC1904"/>
    <w:rsid w:val="00AC7A25"/>
    <w:rsid w:val="00AE03A3"/>
    <w:rsid w:val="00AE2409"/>
    <w:rsid w:val="00AE53E1"/>
    <w:rsid w:val="00AF69C8"/>
    <w:rsid w:val="00B13B04"/>
    <w:rsid w:val="00B22801"/>
    <w:rsid w:val="00B35792"/>
    <w:rsid w:val="00B42702"/>
    <w:rsid w:val="00B77373"/>
    <w:rsid w:val="00B94533"/>
    <w:rsid w:val="00BC0BB5"/>
    <w:rsid w:val="00BC75ED"/>
    <w:rsid w:val="00BD08E4"/>
    <w:rsid w:val="00BD5A94"/>
    <w:rsid w:val="00BE3DA0"/>
    <w:rsid w:val="00BE489E"/>
    <w:rsid w:val="00C04DE7"/>
    <w:rsid w:val="00C0727F"/>
    <w:rsid w:val="00C07F14"/>
    <w:rsid w:val="00C105D2"/>
    <w:rsid w:val="00C114BB"/>
    <w:rsid w:val="00C23908"/>
    <w:rsid w:val="00C24BF5"/>
    <w:rsid w:val="00C250FE"/>
    <w:rsid w:val="00C32176"/>
    <w:rsid w:val="00C323F5"/>
    <w:rsid w:val="00C53071"/>
    <w:rsid w:val="00C65F3C"/>
    <w:rsid w:val="00C8558E"/>
    <w:rsid w:val="00CA3748"/>
    <w:rsid w:val="00CB0642"/>
    <w:rsid w:val="00CB1FB2"/>
    <w:rsid w:val="00CD3246"/>
    <w:rsid w:val="00CE26A0"/>
    <w:rsid w:val="00CE6A19"/>
    <w:rsid w:val="00CE7116"/>
    <w:rsid w:val="00CE7DFE"/>
    <w:rsid w:val="00D37399"/>
    <w:rsid w:val="00D47F9A"/>
    <w:rsid w:val="00D54144"/>
    <w:rsid w:val="00D63A18"/>
    <w:rsid w:val="00D66DEB"/>
    <w:rsid w:val="00D77C7A"/>
    <w:rsid w:val="00D850C9"/>
    <w:rsid w:val="00D86211"/>
    <w:rsid w:val="00D97AFC"/>
    <w:rsid w:val="00DA20A8"/>
    <w:rsid w:val="00DA4314"/>
    <w:rsid w:val="00DA454F"/>
    <w:rsid w:val="00DA5E61"/>
    <w:rsid w:val="00DC3137"/>
    <w:rsid w:val="00DC49B8"/>
    <w:rsid w:val="00DC6D04"/>
    <w:rsid w:val="00DD7B77"/>
    <w:rsid w:val="00DF0587"/>
    <w:rsid w:val="00E06970"/>
    <w:rsid w:val="00E07928"/>
    <w:rsid w:val="00E52571"/>
    <w:rsid w:val="00E566DB"/>
    <w:rsid w:val="00E612B2"/>
    <w:rsid w:val="00E6176C"/>
    <w:rsid w:val="00E62203"/>
    <w:rsid w:val="00E71932"/>
    <w:rsid w:val="00E84490"/>
    <w:rsid w:val="00E9419C"/>
    <w:rsid w:val="00EA09FA"/>
    <w:rsid w:val="00EC55E9"/>
    <w:rsid w:val="00ED159E"/>
    <w:rsid w:val="00EE50F0"/>
    <w:rsid w:val="00EF1E70"/>
    <w:rsid w:val="00EF6345"/>
    <w:rsid w:val="00F00F95"/>
    <w:rsid w:val="00F3030C"/>
    <w:rsid w:val="00F34ED5"/>
    <w:rsid w:val="00F523E7"/>
    <w:rsid w:val="00F6035F"/>
    <w:rsid w:val="00F77FAA"/>
    <w:rsid w:val="00F96401"/>
    <w:rsid w:val="00FA1CF2"/>
    <w:rsid w:val="00FA6525"/>
    <w:rsid w:val="00FB3D44"/>
    <w:rsid w:val="00FC07B3"/>
    <w:rsid w:val="00FC0C59"/>
    <w:rsid w:val="00FC7E2B"/>
    <w:rsid w:val="00FD0C69"/>
    <w:rsid w:val="00FD2EAF"/>
    <w:rsid w:val="00FD541A"/>
    <w:rsid w:val="011F1E6B"/>
    <w:rsid w:val="014A1332"/>
    <w:rsid w:val="015C7B69"/>
    <w:rsid w:val="01687840"/>
    <w:rsid w:val="01970B98"/>
    <w:rsid w:val="01A8675B"/>
    <w:rsid w:val="01C00FAC"/>
    <w:rsid w:val="01F01417"/>
    <w:rsid w:val="0208634F"/>
    <w:rsid w:val="02402EB2"/>
    <w:rsid w:val="02554C56"/>
    <w:rsid w:val="02BD4815"/>
    <w:rsid w:val="02CB0C64"/>
    <w:rsid w:val="02EF5188"/>
    <w:rsid w:val="03082A06"/>
    <w:rsid w:val="033522A2"/>
    <w:rsid w:val="034023F6"/>
    <w:rsid w:val="034B7D5B"/>
    <w:rsid w:val="036C2CC2"/>
    <w:rsid w:val="037C036A"/>
    <w:rsid w:val="03D45985"/>
    <w:rsid w:val="03F33BC4"/>
    <w:rsid w:val="04577B11"/>
    <w:rsid w:val="046A1D8E"/>
    <w:rsid w:val="048418B4"/>
    <w:rsid w:val="049A17D6"/>
    <w:rsid w:val="04AB6F9B"/>
    <w:rsid w:val="04BC6094"/>
    <w:rsid w:val="054225A3"/>
    <w:rsid w:val="05CA220D"/>
    <w:rsid w:val="064E2F34"/>
    <w:rsid w:val="06547252"/>
    <w:rsid w:val="06803DAB"/>
    <w:rsid w:val="06A656D1"/>
    <w:rsid w:val="06C21CE4"/>
    <w:rsid w:val="06C97B70"/>
    <w:rsid w:val="06DE5484"/>
    <w:rsid w:val="06E442AD"/>
    <w:rsid w:val="072253E3"/>
    <w:rsid w:val="07243335"/>
    <w:rsid w:val="07247892"/>
    <w:rsid w:val="076D1A95"/>
    <w:rsid w:val="07E624C4"/>
    <w:rsid w:val="07EB5782"/>
    <w:rsid w:val="07FF0631"/>
    <w:rsid w:val="084624B2"/>
    <w:rsid w:val="08571E13"/>
    <w:rsid w:val="085B2262"/>
    <w:rsid w:val="08C750CD"/>
    <w:rsid w:val="09216050"/>
    <w:rsid w:val="092F1D6D"/>
    <w:rsid w:val="09312C0B"/>
    <w:rsid w:val="094260C0"/>
    <w:rsid w:val="096E7170"/>
    <w:rsid w:val="097215B1"/>
    <w:rsid w:val="09AE0F7B"/>
    <w:rsid w:val="09D27C2B"/>
    <w:rsid w:val="09E67999"/>
    <w:rsid w:val="09F47AAE"/>
    <w:rsid w:val="09FF0204"/>
    <w:rsid w:val="0A3B0CB2"/>
    <w:rsid w:val="0A4D1279"/>
    <w:rsid w:val="0A915F53"/>
    <w:rsid w:val="0AB049BF"/>
    <w:rsid w:val="0AB11AAE"/>
    <w:rsid w:val="0ACD1708"/>
    <w:rsid w:val="0B0279F4"/>
    <w:rsid w:val="0B280E6B"/>
    <w:rsid w:val="0B5D7A50"/>
    <w:rsid w:val="0B6848A6"/>
    <w:rsid w:val="0B6A00A3"/>
    <w:rsid w:val="0B7034F6"/>
    <w:rsid w:val="0B911490"/>
    <w:rsid w:val="0BAF73B6"/>
    <w:rsid w:val="0BDA7E80"/>
    <w:rsid w:val="0C207AF3"/>
    <w:rsid w:val="0C5109F1"/>
    <w:rsid w:val="0C77606C"/>
    <w:rsid w:val="0C802FBE"/>
    <w:rsid w:val="0D9D7D7E"/>
    <w:rsid w:val="0DAF2D1D"/>
    <w:rsid w:val="0DFC2933"/>
    <w:rsid w:val="0E0F7A34"/>
    <w:rsid w:val="0E215372"/>
    <w:rsid w:val="0E432B18"/>
    <w:rsid w:val="0E6B74C2"/>
    <w:rsid w:val="0EF31D53"/>
    <w:rsid w:val="0F7E3348"/>
    <w:rsid w:val="0FAB2617"/>
    <w:rsid w:val="0FB05CBB"/>
    <w:rsid w:val="0FC14025"/>
    <w:rsid w:val="0FF33461"/>
    <w:rsid w:val="0FF45419"/>
    <w:rsid w:val="0FFE71F5"/>
    <w:rsid w:val="0FFF2D91"/>
    <w:rsid w:val="10231348"/>
    <w:rsid w:val="1049607A"/>
    <w:rsid w:val="107021CA"/>
    <w:rsid w:val="109E0A94"/>
    <w:rsid w:val="10AA076A"/>
    <w:rsid w:val="10B326B1"/>
    <w:rsid w:val="11415FC4"/>
    <w:rsid w:val="11600835"/>
    <w:rsid w:val="117864CE"/>
    <w:rsid w:val="119B735A"/>
    <w:rsid w:val="119C66DD"/>
    <w:rsid w:val="11BA44A3"/>
    <w:rsid w:val="11F65250"/>
    <w:rsid w:val="11F85ED5"/>
    <w:rsid w:val="121B2BD7"/>
    <w:rsid w:val="121C5806"/>
    <w:rsid w:val="127970F5"/>
    <w:rsid w:val="128E5FDF"/>
    <w:rsid w:val="12A3612D"/>
    <w:rsid w:val="12A50CCB"/>
    <w:rsid w:val="12B164B4"/>
    <w:rsid w:val="12C10215"/>
    <w:rsid w:val="12C32B55"/>
    <w:rsid w:val="13503322"/>
    <w:rsid w:val="1365604D"/>
    <w:rsid w:val="13780B6C"/>
    <w:rsid w:val="139B1EA0"/>
    <w:rsid w:val="13C02EFC"/>
    <w:rsid w:val="14107DC2"/>
    <w:rsid w:val="1419174C"/>
    <w:rsid w:val="142350DF"/>
    <w:rsid w:val="143523B5"/>
    <w:rsid w:val="14446DC6"/>
    <w:rsid w:val="14646B04"/>
    <w:rsid w:val="1470155C"/>
    <w:rsid w:val="148768C7"/>
    <w:rsid w:val="148821AD"/>
    <w:rsid w:val="14931781"/>
    <w:rsid w:val="149A0759"/>
    <w:rsid w:val="14AB3211"/>
    <w:rsid w:val="14E325E2"/>
    <w:rsid w:val="153C7BA5"/>
    <w:rsid w:val="156F2D05"/>
    <w:rsid w:val="158D019E"/>
    <w:rsid w:val="15965BCA"/>
    <w:rsid w:val="160819FE"/>
    <w:rsid w:val="160E0FA4"/>
    <w:rsid w:val="169C257F"/>
    <w:rsid w:val="16AB5D6F"/>
    <w:rsid w:val="173F1D18"/>
    <w:rsid w:val="176D4F94"/>
    <w:rsid w:val="1779692D"/>
    <w:rsid w:val="178228F1"/>
    <w:rsid w:val="17C6049C"/>
    <w:rsid w:val="17C64A7D"/>
    <w:rsid w:val="17D13249"/>
    <w:rsid w:val="17E7209C"/>
    <w:rsid w:val="18413A1D"/>
    <w:rsid w:val="18446D34"/>
    <w:rsid w:val="18512EDF"/>
    <w:rsid w:val="188A4A7F"/>
    <w:rsid w:val="18C156A5"/>
    <w:rsid w:val="18EC6370"/>
    <w:rsid w:val="191F33B6"/>
    <w:rsid w:val="192E1580"/>
    <w:rsid w:val="19455EC0"/>
    <w:rsid w:val="196744F1"/>
    <w:rsid w:val="19817FAA"/>
    <w:rsid w:val="19B33EAB"/>
    <w:rsid w:val="19F66EDF"/>
    <w:rsid w:val="1A033978"/>
    <w:rsid w:val="1A064FC7"/>
    <w:rsid w:val="1A3618B9"/>
    <w:rsid w:val="1A3E2BF6"/>
    <w:rsid w:val="1A8431CD"/>
    <w:rsid w:val="1A9052E1"/>
    <w:rsid w:val="1AA81FA2"/>
    <w:rsid w:val="1AF90E87"/>
    <w:rsid w:val="1AFD563C"/>
    <w:rsid w:val="1B063590"/>
    <w:rsid w:val="1B4A70A3"/>
    <w:rsid w:val="1B570567"/>
    <w:rsid w:val="1B9659CF"/>
    <w:rsid w:val="1B9F3D10"/>
    <w:rsid w:val="1BAF5075"/>
    <w:rsid w:val="1BCA0FB2"/>
    <w:rsid w:val="1BF23356"/>
    <w:rsid w:val="1BF251F7"/>
    <w:rsid w:val="1BF72547"/>
    <w:rsid w:val="1C014721"/>
    <w:rsid w:val="1C192082"/>
    <w:rsid w:val="1C1F236F"/>
    <w:rsid w:val="1C246982"/>
    <w:rsid w:val="1C3261F1"/>
    <w:rsid w:val="1C352737"/>
    <w:rsid w:val="1C565A89"/>
    <w:rsid w:val="1C855BF5"/>
    <w:rsid w:val="1CAE76F1"/>
    <w:rsid w:val="1CBF1393"/>
    <w:rsid w:val="1CF424DD"/>
    <w:rsid w:val="1D2576C9"/>
    <w:rsid w:val="1D561F27"/>
    <w:rsid w:val="1D861A19"/>
    <w:rsid w:val="1D9C4107"/>
    <w:rsid w:val="1DBF0B16"/>
    <w:rsid w:val="1DE83602"/>
    <w:rsid w:val="1E0323C3"/>
    <w:rsid w:val="1E2453D1"/>
    <w:rsid w:val="1E390105"/>
    <w:rsid w:val="1E5550C6"/>
    <w:rsid w:val="1E687282"/>
    <w:rsid w:val="1E6A0F4A"/>
    <w:rsid w:val="1EA96664"/>
    <w:rsid w:val="1EB55C12"/>
    <w:rsid w:val="1EBA1DFD"/>
    <w:rsid w:val="1EFC4C0E"/>
    <w:rsid w:val="1F052146"/>
    <w:rsid w:val="1F0E3463"/>
    <w:rsid w:val="1F116ACA"/>
    <w:rsid w:val="1F5A63E4"/>
    <w:rsid w:val="1F926F07"/>
    <w:rsid w:val="1FC4292A"/>
    <w:rsid w:val="1FE6055D"/>
    <w:rsid w:val="200321CD"/>
    <w:rsid w:val="202B74A8"/>
    <w:rsid w:val="206467B2"/>
    <w:rsid w:val="208869F0"/>
    <w:rsid w:val="209D7D3F"/>
    <w:rsid w:val="20A10DDC"/>
    <w:rsid w:val="20EC7CFA"/>
    <w:rsid w:val="21775883"/>
    <w:rsid w:val="21927222"/>
    <w:rsid w:val="21B94A0E"/>
    <w:rsid w:val="21C205E7"/>
    <w:rsid w:val="21ED6DC3"/>
    <w:rsid w:val="220554CC"/>
    <w:rsid w:val="221E0EFA"/>
    <w:rsid w:val="22247E6B"/>
    <w:rsid w:val="228133AE"/>
    <w:rsid w:val="22B2160B"/>
    <w:rsid w:val="22D82A28"/>
    <w:rsid w:val="239434A4"/>
    <w:rsid w:val="23997A08"/>
    <w:rsid w:val="23E52F82"/>
    <w:rsid w:val="23F05575"/>
    <w:rsid w:val="244619A7"/>
    <w:rsid w:val="244B5FFC"/>
    <w:rsid w:val="24520CE8"/>
    <w:rsid w:val="248049CC"/>
    <w:rsid w:val="24C56DE2"/>
    <w:rsid w:val="25093DE7"/>
    <w:rsid w:val="25153B48"/>
    <w:rsid w:val="251F26A6"/>
    <w:rsid w:val="2532586B"/>
    <w:rsid w:val="2547689F"/>
    <w:rsid w:val="256B71B8"/>
    <w:rsid w:val="259A74D6"/>
    <w:rsid w:val="25E97886"/>
    <w:rsid w:val="25EC4743"/>
    <w:rsid w:val="25F8111F"/>
    <w:rsid w:val="260605CF"/>
    <w:rsid w:val="26111AA1"/>
    <w:rsid w:val="261B7A69"/>
    <w:rsid w:val="261D29AB"/>
    <w:rsid w:val="262A5E16"/>
    <w:rsid w:val="26355B31"/>
    <w:rsid w:val="26915562"/>
    <w:rsid w:val="269E671B"/>
    <w:rsid w:val="26A65D58"/>
    <w:rsid w:val="26E056B7"/>
    <w:rsid w:val="26FD7B12"/>
    <w:rsid w:val="27825C48"/>
    <w:rsid w:val="278A6C46"/>
    <w:rsid w:val="278E46DE"/>
    <w:rsid w:val="27AA3B80"/>
    <w:rsid w:val="27C91997"/>
    <w:rsid w:val="27EB21D9"/>
    <w:rsid w:val="27F76719"/>
    <w:rsid w:val="2833012D"/>
    <w:rsid w:val="288E2B78"/>
    <w:rsid w:val="28AA6F2D"/>
    <w:rsid w:val="28D754F4"/>
    <w:rsid w:val="28D92EF8"/>
    <w:rsid w:val="28E6183C"/>
    <w:rsid w:val="28F53459"/>
    <w:rsid w:val="29084BE8"/>
    <w:rsid w:val="29C276BB"/>
    <w:rsid w:val="29E33E3C"/>
    <w:rsid w:val="2A093BA7"/>
    <w:rsid w:val="2A22143F"/>
    <w:rsid w:val="2A355154"/>
    <w:rsid w:val="2A5D3596"/>
    <w:rsid w:val="2A84358E"/>
    <w:rsid w:val="2AAE16AE"/>
    <w:rsid w:val="2ABB19BA"/>
    <w:rsid w:val="2ADA7E3B"/>
    <w:rsid w:val="2AF6125A"/>
    <w:rsid w:val="2AF97A6D"/>
    <w:rsid w:val="2B407844"/>
    <w:rsid w:val="2B475ABF"/>
    <w:rsid w:val="2BFB4A78"/>
    <w:rsid w:val="2C43762D"/>
    <w:rsid w:val="2C467059"/>
    <w:rsid w:val="2C532B9C"/>
    <w:rsid w:val="2C644F00"/>
    <w:rsid w:val="2C9F7935"/>
    <w:rsid w:val="2CBE1A27"/>
    <w:rsid w:val="2CEA2E05"/>
    <w:rsid w:val="2D134569"/>
    <w:rsid w:val="2D4056A8"/>
    <w:rsid w:val="2D617589"/>
    <w:rsid w:val="2D6A00F2"/>
    <w:rsid w:val="2D9B20AC"/>
    <w:rsid w:val="2DB46B8B"/>
    <w:rsid w:val="2DB85A5A"/>
    <w:rsid w:val="2DEC3739"/>
    <w:rsid w:val="2E1C3D28"/>
    <w:rsid w:val="2E2B6BD6"/>
    <w:rsid w:val="2E5067AD"/>
    <w:rsid w:val="2E7F7C8D"/>
    <w:rsid w:val="2EAC5BF0"/>
    <w:rsid w:val="2EB61A55"/>
    <w:rsid w:val="2EC94AED"/>
    <w:rsid w:val="2F065C7A"/>
    <w:rsid w:val="2FBC2054"/>
    <w:rsid w:val="2FBE1BA9"/>
    <w:rsid w:val="302531AC"/>
    <w:rsid w:val="30336EF3"/>
    <w:rsid w:val="30595801"/>
    <w:rsid w:val="30631250"/>
    <w:rsid w:val="306D14B4"/>
    <w:rsid w:val="307F174A"/>
    <w:rsid w:val="308E6A35"/>
    <w:rsid w:val="30AF41C8"/>
    <w:rsid w:val="30DE5CEC"/>
    <w:rsid w:val="3104648E"/>
    <w:rsid w:val="311214AF"/>
    <w:rsid w:val="3130726A"/>
    <w:rsid w:val="319A1FA1"/>
    <w:rsid w:val="31A03E43"/>
    <w:rsid w:val="31BC6EE7"/>
    <w:rsid w:val="321A05C0"/>
    <w:rsid w:val="322A1AD2"/>
    <w:rsid w:val="32391208"/>
    <w:rsid w:val="32462C69"/>
    <w:rsid w:val="325C4826"/>
    <w:rsid w:val="32630B52"/>
    <w:rsid w:val="327E3F3F"/>
    <w:rsid w:val="3289631F"/>
    <w:rsid w:val="32A022D1"/>
    <w:rsid w:val="32A91E6D"/>
    <w:rsid w:val="32B90C03"/>
    <w:rsid w:val="32BB708B"/>
    <w:rsid w:val="32C32EA4"/>
    <w:rsid w:val="32FB01FE"/>
    <w:rsid w:val="335E7DDB"/>
    <w:rsid w:val="338A2CFC"/>
    <w:rsid w:val="33F2042A"/>
    <w:rsid w:val="340715B7"/>
    <w:rsid w:val="341C22A6"/>
    <w:rsid w:val="342C2EAA"/>
    <w:rsid w:val="343626F6"/>
    <w:rsid w:val="34376346"/>
    <w:rsid w:val="344B0BEB"/>
    <w:rsid w:val="344E71F6"/>
    <w:rsid w:val="346A5AEA"/>
    <w:rsid w:val="351A3055"/>
    <w:rsid w:val="35270CE2"/>
    <w:rsid w:val="352749E2"/>
    <w:rsid w:val="35422776"/>
    <w:rsid w:val="354B57F8"/>
    <w:rsid w:val="35553E0A"/>
    <w:rsid w:val="35D4711A"/>
    <w:rsid w:val="35EC49F7"/>
    <w:rsid w:val="360055E6"/>
    <w:rsid w:val="36204975"/>
    <w:rsid w:val="36310EC9"/>
    <w:rsid w:val="36323E01"/>
    <w:rsid w:val="36517391"/>
    <w:rsid w:val="367E1FB1"/>
    <w:rsid w:val="368446E2"/>
    <w:rsid w:val="368D0FC3"/>
    <w:rsid w:val="36DC7AFD"/>
    <w:rsid w:val="36E8722A"/>
    <w:rsid w:val="36F64A9B"/>
    <w:rsid w:val="36F66AC5"/>
    <w:rsid w:val="36FE7FA9"/>
    <w:rsid w:val="37025C7B"/>
    <w:rsid w:val="372C6B3D"/>
    <w:rsid w:val="373839DF"/>
    <w:rsid w:val="373C2C29"/>
    <w:rsid w:val="37586F45"/>
    <w:rsid w:val="37602D82"/>
    <w:rsid w:val="377D2A75"/>
    <w:rsid w:val="37945050"/>
    <w:rsid w:val="37A25D83"/>
    <w:rsid w:val="37B33975"/>
    <w:rsid w:val="37C1567F"/>
    <w:rsid w:val="37D80A3B"/>
    <w:rsid w:val="380E6B11"/>
    <w:rsid w:val="381D1802"/>
    <w:rsid w:val="38650FE3"/>
    <w:rsid w:val="38894391"/>
    <w:rsid w:val="394A7380"/>
    <w:rsid w:val="39C61CA1"/>
    <w:rsid w:val="39D2747B"/>
    <w:rsid w:val="39DD7897"/>
    <w:rsid w:val="39EA6F8B"/>
    <w:rsid w:val="3A556B74"/>
    <w:rsid w:val="3AA001EE"/>
    <w:rsid w:val="3AC76FAE"/>
    <w:rsid w:val="3AD569E6"/>
    <w:rsid w:val="3B3A27CB"/>
    <w:rsid w:val="3B4D1189"/>
    <w:rsid w:val="3BBD741D"/>
    <w:rsid w:val="3BEA750A"/>
    <w:rsid w:val="3C005E0E"/>
    <w:rsid w:val="3C5E6CCA"/>
    <w:rsid w:val="3CA64F96"/>
    <w:rsid w:val="3CB87433"/>
    <w:rsid w:val="3CD94F6A"/>
    <w:rsid w:val="3D1D69B0"/>
    <w:rsid w:val="3D3B79A8"/>
    <w:rsid w:val="3D752AB0"/>
    <w:rsid w:val="3D7E6AEE"/>
    <w:rsid w:val="3DBB2DE2"/>
    <w:rsid w:val="3DDE554A"/>
    <w:rsid w:val="3E053EEE"/>
    <w:rsid w:val="3E165061"/>
    <w:rsid w:val="3E2B5D2D"/>
    <w:rsid w:val="3E4B004D"/>
    <w:rsid w:val="3E4F7973"/>
    <w:rsid w:val="3E6A78F7"/>
    <w:rsid w:val="3E701A53"/>
    <w:rsid w:val="3E7A08FC"/>
    <w:rsid w:val="3E815DF3"/>
    <w:rsid w:val="3E885815"/>
    <w:rsid w:val="3E8F77BD"/>
    <w:rsid w:val="3F0356B3"/>
    <w:rsid w:val="3F0E2A4F"/>
    <w:rsid w:val="3F0F7228"/>
    <w:rsid w:val="3F800439"/>
    <w:rsid w:val="3F9F4408"/>
    <w:rsid w:val="3FB76825"/>
    <w:rsid w:val="3FFF15AA"/>
    <w:rsid w:val="402501D6"/>
    <w:rsid w:val="404674DD"/>
    <w:rsid w:val="407E76FB"/>
    <w:rsid w:val="4086336F"/>
    <w:rsid w:val="41155243"/>
    <w:rsid w:val="412132D7"/>
    <w:rsid w:val="414F5821"/>
    <w:rsid w:val="415B3485"/>
    <w:rsid w:val="4168626C"/>
    <w:rsid w:val="417C1472"/>
    <w:rsid w:val="41FC03DA"/>
    <w:rsid w:val="42721BE9"/>
    <w:rsid w:val="42995626"/>
    <w:rsid w:val="42D204FD"/>
    <w:rsid w:val="42DF3BD4"/>
    <w:rsid w:val="4314170A"/>
    <w:rsid w:val="43640105"/>
    <w:rsid w:val="43647479"/>
    <w:rsid w:val="43921A87"/>
    <w:rsid w:val="43CA309A"/>
    <w:rsid w:val="44407B63"/>
    <w:rsid w:val="446400E3"/>
    <w:rsid w:val="449523E8"/>
    <w:rsid w:val="454741A5"/>
    <w:rsid w:val="45651531"/>
    <w:rsid w:val="45FE7A1E"/>
    <w:rsid w:val="462776E5"/>
    <w:rsid w:val="469B0AD6"/>
    <w:rsid w:val="46B82D7F"/>
    <w:rsid w:val="46E5695A"/>
    <w:rsid w:val="46FC26D6"/>
    <w:rsid w:val="472D6919"/>
    <w:rsid w:val="474A5AF8"/>
    <w:rsid w:val="475D6D03"/>
    <w:rsid w:val="477529E9"/>
    <w:rsid w:val="485D085D"/>
    <w:rsid w:val="487E5550"/>
    <w:rsid w:val="489B44C4"/>
    <w:rsid w:val="49036102"/>
    <w:rsid w:val="495E79A1"/>
    <w:rsid w:val="498B5615"/>
    <w:rsid w:val="49994883"/>
    <w:rsid w:val="49A04DA5"/>
    <w:rsid w:val="4A7877B3"/>
    <w:rsid w:val="4A8F1D11"/>
    <w:rsid w:val="4AC978DA"/>
    <w:rsid w:val="4AD2651D"/>
    <w:rsid w:val="4ADF07DA"/>
    <w:rsid w:val="4AE2664F"/>
    <w:rsid w:val="4B1344E7"/>
    <w:rsid w:val="4B152746"/>
    <w:rsid w:val="4B327CD7"/>
    <w:rsid w:val="4B567DD1"/>
    <w:rsid w:val="4B611088"/>
    <w:rsid w:val="4BF800EC"/>
    <w:rsid w:val="4C135437"/>
    <w:rsid w:val="4C1715BA"/>
    <w:rsid w:val="4C6E30F2"/>
    <w:rsid w:val="4CB062DF"/>
    <w:rsid w:val="4CFA4D6F"/>
    <w:rsid w:val="4D2C394A"/>
    <w:rsid w:val="4D764EE9"/>
    <w:rsid w:val="4D9D505A"/>
    <w:rsid w:val="4DB36E54"/>
    <w:rsid w:val="4DD23E4B"/>
    <w:rsid w:val="4DEC19B6"/>
    <w:rsid w:val="4DFB0966"/>
    <w:rsid w:val="4E1A754C"/>
    <w:rsid w:val="4E291987"/>
    <w:rsid w:val="4E3E07B2"/>
    <w:rsid w:val="4EF31C24"/>
    <w:rsid w:val="4EF4033D"/>
    <w:rsid w:val="4EFB26C3"/>
    <w:rsid w:val="4F222A81"/>
    <w:rsid w:val="4F264A96"/>
    <w:rsid w:val="4F397DAD"/>
    <w:rsid w:val="4F693BA6"/>
    <w:rsid w:val="4F9706B0"/>
    <w:rsid w:val="4FE036FE"/>
    <w:rsid w:val="50094F46"/>
    <w:rsid w:val="500E0D24"/>
    <w:rsid w:val="502923D5"/>
    <w:rsid w:val="50734F15"/>
    <w:rsid w:val="50797170"/>
    <w:rsid w:val="50953A1E"/>
    <w:rsid w:val="50C435A0"/>
    <w:rsid w:val="515A106D"/>
    <w:rsid w:val="517F0B84"/>
    <w:rsid w:val="51A2259E"/>
    <w:rsid w:val="51C3517B"/>
    <w:rsid w:val="522C766D"/>
    <w:rsid w:val="523B4D62"/>
    <w:rsid w:val="52412A4D"/>
    <w:rsid w:val="5275330B"/>
    <w:rsid w:val="529225EC"/>
    <w:rsid w:val="52A72A0E"/>
    <w:rsid w:val="52CB6247"/>
    <w:rsid w:val="52FC460F"/>
    <w:rsid w:val="532B0C81"/>
    <w:rsid w:val="53373425"/>
    <w:rsid w:val="535B1B9C"/>
    <w:rsid w:val="5363089F"/>
    <w:rsid w:val="53704AC4"/>
    <w:rsid w:val="537A1FDE"/>
    <w:rsid w:val="53AA7E80"/>
    <w:rsid w:val="53FD7347"/>
    <w:rsid w:val="54062DF9"/>
    <w:rsid w:val="54782E90"/>
    <w:rsid w:val="54F45033"/>
    <w:rsid w:val="551D05CB"/>
    <w:rsid w:val="55973029"/>
    <w:rsid w:val="55C07044"/>
    <w:rsid w:val="55FA4C56"/>
    <w:rsid w:val="56206157"/>
    <w:rsid w:val="56330F29"/>
    <w:rsid w:val="56B9554C"/>
    <w:rsid w:val="57131EAE"/>
    <w:rsid w:val="57245C51"/>
    <w:rsid w:val="57322212"/>
    <w:rsid w:val="573E59B2"/>
    <w:rsid w:val="579E5BB8"/>
    <w:rsid w:val="57D36B72"/>
    <w:rsid w:val="580E3752"/>
    <w:rsid w:val="5812129C"/>
    <w:rsid w:val="58434C4E"/>
    <w:rsid w:val="585D5578"/>
    <w:rsid w:val="58760537"/>
    <w:rsid w:val="58817556"/>
    <w:rsid w:val="58B8235C"/>
    <w:rsid w:val="58C10852"/>
    <w:rsid w:val="58C32D33"/>
    <w:rsid w:val="58D3251A"/>
    <w:rsid w:val="58E517D7"/>
    <w:rsid w:val="5905192A"/>
    <w:rsid w:val="59507A2D"/>
    <w:rsid w:val="59544106"/>
    <w:rsid w:val="59A478C7"/>
    <w:rsid w:val="59DD4863"/>
    <w:rsid w:val="59ED35EF"/>
    <w:rsid w:val="59F61B64"/>
    <w:rsid w:val="5A146EB4"/>
    <w:rsid w:val="5A244B36"/>
    <w:rsid w:val="5A5F14AF"/>
    <w:rsid w:val="5ACA1629"/>
    <w:rsid w:val="5AFA7DC1"/>
    <w:rsid w:val="5B400476"/>
    <w:rsid w:val="5B504132"/>
    <w:rsid w:val="5B6D2119"/>
    <w:rsid w:val="5B830C63"/>
    <w:rsid w:val="5BA456AB"/>
    <w:rsid w:val="5BB43189"/>
    <w:rsid w:val="5BDE62B2"/>
    <w:rsid w:val="5C163563"/>
    <w:rsid w:val="5C250771"/>
    <w:rsid w:val="5C480A21"/>
    <w:rsid w:val="5C486FA1"/>
    <w:rsid w:val="5C6A11B8"/>
    <w:rsid w:val="5C9E4D27"/>
    <w:rsid w:val="5CAB110F"/>
    <w:rsid w:val="5CF034EE"/>
    <w:rsid w:val="5CFB5BBE"/>
    <w:rsid w:val="5D0618E4"/>
    <w:rsid w:val="5D1675FF"/>
    <w:rsid w:val="5D92185F"/>
    <w:rsid w:val="5DB51A2A"/>
    <w:rsid w:val="5DE737B7"/>
    <w:rsid w:val="5E1961B6"/>
    <w:rsid w:val="5E5C1A88"/>
    <w:rsid w:val="5E7B2EAF"/>
    <w:rsid w:val="5E9B58A7"/>
    <w:rsid w:val="5EFB3D10"/>
    <w:rsid w:val="5EFD64C6"/>
    <w:rsid w:val="5F1354FE"/>
    <w:rsid w:val="5F3C5EF2"/>
    <w:rsid w:val="5F7E048F"/>
    <w:rsid w:val="5F8E1C6E"/>
    <w:rsid w:val="5F972336"/>
    <w:rsid w:val="5FA64C6B"/>
    <w:rsid w:val="5FA85F9E"/>
    <w:rsid w:val="5FE365DB"/>
    <w:rsid w:val="5FF4177C"/>
    <w:rsid w:val="6023660D"/>
    <w:rsid w:val="6055141E"/>
    <w:rsid w:val="6060517C"/>
    <w:rsid w:val="60937D36"/>
    <w:rsid w:val="60E56BEB"/>
    <w:rsid w:val="60EC42AA"/>
    <w:rsid w:val="61286726"/>
    <w:rsid w:val="61294225"/>
    <w:rsid w:val="6152674D"/>
    <w:rsid w:val="626A3FD8"/>
    <w:rsid w:val="628A3171"/>
    <w:rsid w:val="62D2253D"/>
    <w:rsid w:val="62FB5FE8"/>
    <w:rsid w:val="630E37E0"/>
    <w:rsid w:val="630E7832"/>
    <w:rsid w:val="63192F14"/>
    <w:rsid w:val="6384546F"/>
    <w:rsid w:val="638533C5"/>
    <w:rsid w:val="638B51D1"/>
    <w:rsid w:val="63910388"/>
    <w:rsid w:val="639B175A"/>
    <w:rsid w:val="63AD2034"/>
    <w:rsid w:val="63D645F7"/>
    <w:rsid w:val="640E6DC2"/>
    <w:rsid w:val="64234EF0"/>
    <w:rsid w:val="646A2CDA"/>
    <w:rsid w:val="64936E4D"/>
    <w:rsid w:val="649707A9"/>
    <w:rsid w:val="64AA5D04"/>
    <w:rsid w:val="64B63B41"/>
    <w:rsid w:val="64FE06CA"/>
    <w:rsid w:val="65326CE6"/>
    <w:rsid w:val="655864EE"/>
    <w:rsid w:val="656F66B9"/>
    <w:rsid w:val="65811244"/>
    <w:rsid w:val="65860DD7"/>
    <w:rsid w:val="65BC58E6"/>
    <w:rsid w:val="65DE1932"/>
    <w:rsid w:val="65E76365"/>
    <w:rsid w:val="65FE3636"/>
    <w:rsid w:val="66521A82"/>
    <w:rsid w:val="666F5691"/>
    <w:rsid w:val="66C437D9"/>
    <w:rsid w:val="67671849"/>
    <w:rsid w:val="67841358"/>
    <w:rsid w:val="67A73245"/>
    <w:rsid w:val="67F47896"/>
    <w:rsid w:val="67F97B08"/>
    <w:rsid w:val="680A2E3B"/>
    <w:rsid w:val="68220851"/>
    <w:rsid w:val="68430842"/>
    <w:rsid w:val="685308B6"/>
    <w:rsid w:val="688F4B8F"/>
    <w:rsid w:val="689801F5"/>
    <w:rsid w:val="68AB2898"/>
    <w:rsid w:val="68E57CBB"/>
    <w:rsid w:val="695437D4"/>
    <w:rsid w:val="69677339"/>
    <w:rsid w:val="699651EE"/>
    <w:rsid w:val="6A0333DB"/>
    <w:rsid w:val="6A135DFE"/>
    <w:rsid w:val="6A1E37AF"/>
    <w:rsid w:val="6A2068BB"/>
    <w:rsid w:val="6A403E8B"/>
    <w:rsid w:val="6A411453"/>
    <w:rsid w:val="6A427D51"/>
    <w:rsid w:val="6A5B7965"/>
    <w:rsid w:val="6A6E7D16"/>
    <w:rsid w:val="6A923238"/>
    <w:rsid w:val="6A9D6C13"/>
    <w:rsid w:val="6AA13C96"/>
    <w:rsid w:val="6AB70FF5"/>
    <w:rsid w:val="6ABA79BB"/>
    <w:rsid w:val="6AC755BB"/>
    <w:rsid w:val="6AC90992"/>
    <w:rsid w:val="6ACA2D4A"/>
    <w:rsid w:val="6AF90E6A"/>
    <w:rsid w:val="6B257366"/>
    <w:rsid w:val="6B4240D7"/>
    <w:rsid w:val="6B446E8F"/>
    <w:rsid w:val="6B7A7393"/>
    <w:rsid w:val="6B821F56"/>
    <w:rsid w:val="6B9352EB"/>
    <w:rsid w:val="6BD80F02"/>
    <w:rsid w:val="6BF75130"/>
    <w:rsid w:val="6C0243E8"/>
    <w:rsid w:val="6C0C042A"/>
    <w:rsid w:val="6C144391"/>
    <w:rsid w:val="6C1F1A80"/>
    <w:rsid w:val="6C2B3686"/>
    <w:rsid w:val="6C602BF8"/>
    <w:rsid w:val="6C646B55"/>
    <w:rsid w:val="6C6A2018"/>
    <w:rsid w:val="6C84496D"/>
    <w:rsid w:val="6C9B6F6D"/>
    <w:rsid w:val="6CB65527"/>
    <w:rsid w:val="6CB956B8"/>
    <w:rsid w:val="6CC26A37"/>
    <w:rsid w:val="6CCC2195"/>
    <w:rsid w:val="6CDA3879"/>
    <w:rsid w:val="6CED794C"/>
    <w:rsid w:val="6CEF41F3"/>
    <w:rsid w:val="6D125244"/>
    <w:rsid w:val="6D4A4E43"/>
    <w:rsid w:val="6D7D7352"/>
    <w:rsid w:val="6DA07E90"/>
    <w:rsid w:val="6DA10569"/>
    <w:rsid w:val="6DB079AB"/>
    <w:rsid w:val="6DC73002"/>
    <w:rsid w:val="6DF40668"/>
    <w:rsid w:val="6DF54902"/>
    <w:rsid w:val="6E59443B"/>
    <w:rsid w:val="6E604E79"/>
    <w:rsid w:val="6E7A6C7B"/>
    <w:rsid w:val="6E9940CC"/>
    <w:rsid w:val="6EA43B52"/>
    <w:rsid w:val="6EC725A3"/>
    <w:rsid w:val="6EE639B5"/>
    <w:rsid w:val="6EFF2498"/>
    <w:rsid w:val="6F1117A0"/>
    <w:rsid w:val="6F1261C5"/>
    <w:rsid w:val="6F207F99"/>
    <w:rsid w:val="6F263524"/>
    <w:rsid w:val="6F2A69AE"/>
    <w:rsid w:val="6F6064F0"/>
    <w:rsid w:val="6F784085"/>
    <w:rsid w:val="6F8F5B19"/>
    <w:rsid w:val="6FAB6A03"/>
    <w:rsid w:val="6FDB7429"/>
    <w:rsid w:val="70012A12"/>
    <w:rsid w:val="709B1AAB"/>
    <w:rsid w:val="70AA1A09"/>
    <w:rsid w:val="70AD6C1E"/>
    <w:rsid w:val="70B03D8E"/>
    <w:rsid w:val="71061E75"/>
    <w:rsid w:val="7111048D"/>
    <w:rsid w:val="7128274E"/>
    <w:rsid w:val="71546B60"/>
    <w:rsid w:val="719F3FBA"/>
    <w:rsid w:val="71BA13B8"/>
    <w:rsid w:val="71CF7926"/>
    <w:rsid w:val="71D06075"/>
    <w:rsid w:val="71F11FC3"/>
    <w:rsid w:val="720C5C41"/>
    <w:rsid w:val="72174A47"/>
    <w:rsid w:val="724C552E"/>
    <w:rsid w:val="72524AEC"/>
    <w:rsid w:val="72706231"/>
    <w:rsid w:val="72D01629"/>
    <w:rsid w:val="72DF40D4"/>
    <w:rsid w:val="72ED6BD9"/>
    <w:rsid w:val="73113435"/>
    <w:rsid w:val="736A6B45"/>
    <w:rsid w:val="736B6A6F"/>
    <w:rsid w:val="738E612E"/>
    <w:rsid w:val="7416298B"/>
    <w:rsid w:val="74295763"/>
    <w:rsid w:val="745F6F6C"/>
    <w:rsid w:val="74675E03"/>
    <w:rsid w:val="746A2EA0"/>
    <w:rsid w:val="7477445F"/>
    <w:rsid w:val="749623E4"/>
    <w:rsid w:val="74965DF3"/>
    <w:rsid w:val="74995CDC"/>
    <w:rsid w:val="74D01ED1"/>
    <w:rsid w:val="74FF4FA9"/>
    <w:rsid w:val="751C0FB6"/>
    <w:rsid w:val="751F15C3"/>
    <w:rsid w:val="75940446"/>
    <w:rsid w:val="75996EF2"/>
    <w:rsid w:val="75E033FF"/>
    <w:rsid w:val="75ED095A"/>
    <w:rsid w:val="75F76612"/>
    <w:rsid w:val="76151CE9"/>
    <w:rsid w:val="76664C18"/>
    <w:rsid w:val="76C55626"/>
    <w:rsid w:val="77020F10"/>
    <w:rsid w:val="77165451"/>
    <w:rsid w:val="77304D94"/>
    <w:rsid w:val="7743392E"/>
    <w:rsid w:val="777C486B"/>
    <w:rsid w:val="77912E0C"/>
    <w:rsid w:val="77A2414C"/>
    <w:rsid w:val="77A51345"/>
    <w:rsid w:val="77D70D52"/>
    <w:rsid w:val="77E871CE"/>
    <w:rsid w:val="780B631D"/>
    <w:rsid w:val="781977C9"/>
    <w:rsid w:val="78202D8D"/>
    <w:rsid w:val="78216BC2"/>
    <w:rsid w:val="782E6E4F"/>
    <w:rsid w:val="78545B26"/>
    <w:rsid w:val="787209CB"/>
    <w:rsid w:val="78941552"/>
    <w:rsid w:val="78943634"/>
    <w:rsid w:val="78D06871"/>
    <w:rsid w:val="78F31047"/>
    <w:rsid w:val="790B01E6"/>
    <w:rsid w:val="79501973"/>
    <w:rsid w:val="795E75BD"/>
    <w:rsid w:val="799D4322"/>
    <w:rsid w:val="799F5FBD"/>
    <w:rsid w:val="79BB4575"/>
    <w:rsid w:val="7A0D3DE8"/>
    <w:rsid w:val="7A0D463D"/>
    <w:rsid w:val="7A1D35DA"/>
    <w:rsid w:val="7A203766"/>
    <w:rsid w:val="7A2134B0"/>
    <w:rsid w:val="7A3A58D8"/>
    <w:rsid w:val="7A546EE1"/>
    <w:rsid w:val="7A74313C"/>
    <w:rsid w:val="7A8613E4"/>
    <w:rsid w:val="7A9F6F6C"/>
    <w:rsid w:val="7AF12A4E"/>
    <w:rsid w:val="7B031D1C"/>
    <w:rsid w:val="7B0D3FEC"/>
    <w:rsid w:val="7B160B17"/>
    <w:rsid w:val="7B371AC4"/>
    <w:rsid w:val="7B531C81"/>
    <w:rsid w:val="7B761242"/>
    <w:rsid w:val="7B7E0215"/>
    <w:rsid w:val="7BA82F7A"/>
    <w:rsid w:val="7CD769DF"/>
    <w:rsid w:val="7CE13964"/>
    <w:rsid w:val="7CEA17D9"/>
    <w:rsid w:val="7D0847DA"/>
    <w:rsid w:val="7D262268"/>
    <w:rsid w:val="7D3D6645"/>
    <w:rsid w:val="7D697920"/>
    <w:rsid w:val="7DA37935"/>
    <w:rsid w:val="7DAA1F3E"/>
    <w:rsid w:val="7E413FB8"/>
    <w:rsid w:val="7E535D3A"/>
    <w:rsid w:val="7E6C78A7"/>
    <w:rsid w:val="7E6D2DED"/>
    <w:rsid w:val="7E7B09C8"/>
    <w:rsid w:val="7E844905"/>
    <w:rsid w:val="7E8E203C"/>
    <w:rsid w:val="7EE779B9"/>
    <w:rsid w:val="7EFE067C"/>
    <w:rsid w:val="7F615B7F"/>
    <w:rsid w:val="7F8927D5"/>
    <w:rsid w:val="7F93285F"/>
    <w:rsid w:val="7FAB2FEA"/>
    <w:rsid w:val="7FDC1E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2"/>
    <w:qFormat/>
    <w:uiPriority w:val="0"/>
    <w:pPr>
      <w:keepNext/>
      <w:keepLines/>
      <w:spacing w:before="120" w:after="120" w:line="360" w:lineRule="auto"/>
      <w:outlineLvl w:val="0"/>
    </w:pPr>
    <w:rPr>
      <w:b/>
      <w:bCs/>
      <w:kern w:val="44"/>
      <w:sz w:val="28"/>
      <w:szCs w:val="44"/>
    </w:rPr>
  </w:style>
  <w:style w:type="paragraph" w:styleId="4">
    <w:name w:val="heading 2"/>
    <w:basedOn w:val="1"/>
    <w:next w:val="1"/>
    <w:link w:val="21"/>
    <w:qFormat/>
    <w:uiPriority w:val="0"/>
    <w:pPr>
      <w:keepNext/>
      <w:keepLines/>
      <w:spacing w:line="413" w:lineRule="auto"/>
      <w:outlineLvl w:val="1"/>
    </w:pPr>
    <w:rPr>
      <w:rFonts w:ascii="Cambria" w:hAnsi="Cambria"/>
      <w:b/>
      <w:bCs/>
      <w:kern w:val="0"/>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spacing w:after="200"/>
      <w:ind w:left="420" w:leftChars="200"/>
    </w:pPr>
    <w:rPr>
      <w:rFonts w:ascii="Tahoma" w:hAnsi="Tahoma" w:eastAsia="微软雅黑"/>
      <w:sz w:val="22"/>
    </w:rPr>
  </w:style>
  <w:style w:type="paragraph" w:styleId="5">
    <w:name w:val="annotation text"/>
    <w:basedOn w:val="1"/>
    <w:link w:val="49"/>
    <w:qFormat/>
    <w:uiPriority w:val="0"/>
    <w:pPr>
      <w:jc w:val="left"/>
    </w:pPr>
    <w:rPr>
      <w:kern w:val="0"/>
    </w:rPr>
  </w:style>
  <w:style w:type="paragraph" w:styleId="6">
    <w:name w:val="Body Text"/>
    <w:basedOn w:val="1"/>
    <w:link w:val="38"/>
    <w:qFormat/>
    <w:uiPriority w:val="0"/>
    <w:rPr>
      <w:kern w:val="0"/>
      <w:sz w:val="24"/>
      <w:szCs w:val="24"/>
    </w:rPr>
  </w:style>
  <w:style w:type="paragraph" w:styleId="7">
    <w:name w:val="Body Text Indent"/>
    <w:basedOn w:val="1"/>
    <w:qFormat/>
    <w:uiPriority w:val="0"/>
    <w:pPr>
      <w:spacing w:after="120"/>
      <w:ind w:left="420" w:leftChars="200"/>
    </w:pPr>
  </w:style>
  <w:style w:type="paragraph" w:styleId="8">
    <w:name w:val="Balloon Text"/>
    <w:basedOn w:val="1"/>
    <w:link w:val="37"/>
    <w:qFormat/>
    <w:uiPriority w:val="0"/>
    <w:rPr>
      <w:kern w:val="0"/>
      <w:sz w:val="18"/>
      <w:szCs w:val="18"/>
    </w:rPr>
  </w:style>
  <w:style w:type="paragraph" w:styleId="9">
    <w:name w:val="footer"/>
    <w:basedOn w:val="1"/>
    <w:link w:val="50"/>
    <w:qFormat/>
    <w:uiPriority w:val="99"/>
    <w:pPr>
      <w:tabs>
        <w:tab w:val="center" w:pos="4153"/>
        <w:tab w:val="right" w:pos="8306"/>
      </w:tabs>
      <w:snapToGrid w:val="0"/>
      <w:jc w:val="left"/>
    </w:pPr>
    <w:rPr>
      <w:kern w:val="0"/>
      <w:sz w:val="18"/>
      <w:szCs w:val="18"/>
    </w:rPr>
  </w:style>
  <w:style w:type="paragraph" w:styleId="10">
    <w:name w:val="header"/>
    <w:basedOn w:val="1"/>
    <w:link w:val="4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39"/>
    <w:pPr>
      <w:jc w:val="left"/>
    </w:pPr>
    <w:rPr>
      <w:b/>
      <w:bCs/>
      <w:caps/>
      <w:szCs w:val="24"/>
    </w:rPr>
  </w:style>
  <w:style w:type="paragraph" w:styleId="12">
    <w:name w:val="Normal (Web)"/>
    <w:basedOn w:val="1"/>
    <w:qFormat/>
    <w:uiPriority w:val="0"/>
    <w:pPr>
      <w:widowControl/>
      <w:spacing w:beforeAutospacing="1" w:afterAutospacing="1"/>
      <w:jc w:val="left"/>
    </w:pPr>
    <w:rPr>
      <w:rFonts w:ascii="宋体" w:hAnsi="宋体"/>
      <w:kern w:val="0"/>
      <w:sz w:val="24"/>
      <w:szCs w:val="24"/>
    </w:rPr>
  </w:style>
  <w:style w:type="paragraph" w:styleId="13">
    <w:name w:val="annotation subject"/>
    <w:basedOn w:val="5"/>
    <w:next w:val="5"/>
    <w:link w:val="43"/>
    <w:qFormat/>
    <w:uiPriority w:val="0"/>
    <w:rPr>
      <w:b/>
      <w:bCs/>
      <w:kern w:val="2"/>
    </w:rPr>
  </w:style>
  <w:style w:type="paragraph" w:styleId="14">
    <w:name w:val="Body Text First Indent"/>
    <w:basedOn w:val="6"/>
    <w:qFormat/>
    <w:uiPriority w:val="0"/>
    <w:pPr>
      <w:spacing w:line="360" w:lineRule="auto"/>
      <w:ind w:firstLine="420" w:firstLineChars="100"/>
    </w:pPr>
    <w:rPr>
      <w:szCs w:val="20"/>
    </w:rPr>
  </w:style>
  <w:style w:type="paragraph" w:styleId="15">
    <w:name w:val="Body Text First Indent 2"/>
    <w:basedOn w:val="7"/>
    <w:next w:val="1"/>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cs="Times New Roman"/>
      <w:color w:val="0000FF"/>
      <w:u w:val="single"/>
    </w:rPr>
  </w:style>
  <w:style w:type="character" w:styleId="20">
    <w:name w:val="annotation reference"/>
    <w:qFormat/>
    <w:uiPriority w:val="0"/>
    <w:rPr>
      <w:sz w:val="21"/>
      <w:szCs w:val="21"/>
    </w:rPr>
  </w:style>
  <w:style w:type="character" w:customStyle="1" w:styleId="21">
    <w:name w:val="标题 2 Char"/>
    <w:link w:val="4"/>
    <w:qFormat/>
    <w:uiPriority w:val="0"/>
    <w:rPr>
      <w:rFonts w:ascii="Cambria" w:hAnsi="Cambria" w:eastAsia="宋体" w:cs="Times New Roman"/>
      <w:b/>
      <w:bCs/>
      <w:sz w:val="32"/>
      <w:szCs w:val="32"/>
    </w:rPr>
  </w:style>
  <w:style w:type="character" w:customStyle="1" w:styleId="22">
    <w:name w:val="标题 1 Char"/>
    <w:link w:val="3"/>
    <w:qFormat/>
    <w:uiPriority w:val="0"/>
    <w:rPr>
      <w:b/>
      <w:bCs/>
      <w:kern w:val="44"/>
      <w:sz w:val="28"/>
      <w:szCs w:val="44"/>
    </w:rPr>
  </w:style>
  <w:style w:type="paragraph" w:customStyle="1" w:styleId="23">
    <w:name w:val="日期1"/>
    <w:basedOn w:val="1"/>
    <w:next w:val="1"/>
    <w:link w:val="39"/>
    <w:qFormat/>
    <w:uiPriority w:val="0"/>
    <w:pPr>
      <w:adjustRightInd w:val="0"/>
      <w:spacing w:line="360" w:lineRule="atLeast"/>
      <w:textAlignment w:val="baseline"/>
    </w:pPr>
    <w:rPr>
      <w:kern w:val="0"/>
      <w:sz w:val="20"/>
      <w:szCs w:val="20"/>
    </w:rPr>
  </w:style>
  <w:style w:type="paragraph" w:customStyle="1" w:styleId="24">
    <w:name w:val="批注主题1"/>
    <w:basedOn w:val="5"/>
    <w:next w:val="5"/>
    <w:link w:val="33"/>
    <w:qFormat/>
    <w:uiPriority w:val="0"/>
  </w:style>
  <w:style w:type="paragraph" w:customStyle="1" w:styleId="25">
    <w:name w:val="文档结构图1"/>
    <w:basedOn w:val="1"/>
    <w:link w:val="47"/>
    <w:qFormat/>
    <w:uiPriority w:val="0"/>
    <w:rPr>
      <w:rFonts w:ascii="宋体"/>
      <w:kern w:val="0"/>
      <w:sz w:val="18"/>
      <w:szCs w:val="18"/>
    </w:rPr>
  </w:style>
  <w:style w:type="paragraph" w:customStyle="1" w:styleId="26">
    <w:name w:val="正文文本 21"/>
    <w:basedOn w:val="1"/>
    <w:link w:val="45"/>
    <w:qFormat/>
    <w:uiPriority w:val="0"/>
    <w:pPr>
      <w:spacing w:line="480" w:lineRule="auto"/>
    </w:pPr>
    <w:rPr>
      <w:kern w:val="0"/>
    </w:rPr>
  </w:style>
  <w:style w:type="paragraph" w:customStyle="1" w:styleId="27">
    <w:name w:val="Table Paragraph"/>
    <w:basedOn w:val="1"/>
    <w:qFormat/>
    <w:uiPriority w:val="1"/>
    <w:rPr>
      <w:rFonts w:ascii="宋体" w:hAnsi="宋体" w:cs="宋体"/>
      <w:lang w:val="ja-JP" w:eastAsia="ja-JP" w:bidi="ja-JP"/>
    </w:rPr>
  </w:style>
  <w:style w:type="paragraph" w:customStyle="1" w:styleId="28">
    <w:name w:val="普通(网站)1"/>
    <w:basedOn w:val="1"/>
    <w:qFormat/>
    <w:uiPriority w:val="0"/>
    <w:pPr>
      <w:widowControl/>
      <w:spacing w:beforeAutospacing="1" w:afterAutospacing="1"/>
      <w:jc w:val="left"/>
    </w:pPr>
    <w:rPr>
      <w:rFonts w:ascii="宋体" w:hAnsi="宋体"/>
      <w:kern w:val="0"/>
      <w:sz w:val="24"/>
      <w:szCs w:val="24"/>
    </w:rPr>
  </w:style>
  <w:style w:type="paragraph" w:customStyle="1" w:styleId="29">
    <w:name w:val="Char Char Char Char Char Char Char Char Char Char"/>
    <w:basedOn w:val="1"/>
    <w:qFormat/>
    <w:uiPriority w:val="0"/>
    <w:pPr>
      <w:shd w:val="clear" w:color="auto" w:fill="000080"/>
    </w:pPr>
    <w:rPr>
      <w:rFonts w:ascii="Tahoma" w:hAnsi="Tahoma"/>
      <w:sz w:val="24"/>
      <w:szCs w:val="24"/>
    </w:rPr>
  </w:style>
  <w:style w:type="paragraph" w:customStyle="1" w:styleId="30">
    <w:name w:val="列表 21"/>
    <w:basedOn w:val="1"/>
    <w:qFormat/>
    <w:uiPriority w:val="0"/>
    <w:pPr>
      <w:ind w:left="200" w:leftChars="200" w:hanging="200" w:hangingChars="200"/>
    </w:pPr>
    <w:rPr>
      <w:szCs w:val="24"/>
    </w:rPr>
  </w:style>
  <w:style w:type="paragraph" w:customStyle="1" w:styleId="31">
    <w:name w:val="Revision1"/>
    <w:qFormat/>
    <w:uiPriority w:val="0"/>
    <w:rPr>
      <w:rFonts w:ascii="Times New Roman" w:hAnsi="Times New Roman" w:eastAsia="宋体" w:cs="Times New Roman"/>
      <w:kern w:val="2"/>
      <w:sz w:val="21"/>
      <w:szCs w:val="21"/>
      <w:lang w:val="en-US" w:eastAsia="zh-CN" w:bidi="ar-SA"/>
    </w:rPr>
  </w:style>
  <w:style w:type="paragraph" w:customStyle="1" w:styleId="32">
    <w:name w:val="列出段落1"/>
    <w:basedOn w:val="1"/>
    <w:qFormat/>
    <w:uiPriority w:val="0"/>
    <w:pPr>
      <w:ind w:firstLine="420" w:firstLineChars="200"/>
    </w:pPr>
    <w:rPr>
      <w:szCs w:val="24"/>
    </w:rPr>
  </w:style>
  <w:style w:type="character" w:customStyle="1" w:styleId="33">
    <w:name w:val="批注主题 Char"/>
    <w:link w:val="24"/>
    <w:qFormat/>
    <w:uiPriority w:val="0"/>
    <w:rPr>
      <w:rFonts w:cs="Times New Roman"/>
      <w:sz w:val="21"/>
      <w:szCs w:val="21"/>
    </w:rPr>
  </w:style>
  <w:style w:type="character" w:customStyle="1" w:styleId="34">
    <w:name w:val="批注主题 Char1"/>
    <w:qFormat/>
    <w:uiPriority w:val="0"/>
    <w:rPr>
      <w:rFonts w:ascii="Times New Roman" w:hAnsi="Times New Roman" w:eastAsia="宋体" w:cs="Times New Roman"/>
      <w:b/>
      <w:bCs/>
      <w:sz w:val="21"/>
      <w:szCs w:val="21"/>
    </w:rPr>
  </w:style>
  <w:style w:type="character" w:customStyle="1" w:styleId="35">
    <w:name w:val="批注引用1"/>
    <w:qFormat/>
    <w:uiPriority w:val="0"/>
    <w:rPr>
      <w:rFonts w:cs="Times New Roman"/>
      <w:sz w:val="21"/>
      <w:szCs w:val="21"/>
    </w:rPr>
  </w:style>
  <w:style w:type="character" w:customStyle="1" w:styleId="36">
    <w:name w:val="DeltaView Insertion"/>
    <w:qFormat/>
    <w:uiPriority w:val="0"/>
  </w:style>
  <w:style w:type="character" w:customStyle="1" w:styleId="37">
    <w:name w:val="批注框文本 Char"/>
    <w:link w:val="8"/>
    <w:qFormat/>
    <w:uiPriority w:val="0"/>
    <w:rPr>
      <w:rFonts w:cs="Times New Roman"/>
      <w:sz w:val="18"/>
      <w:szCs w:val="18"/>
    </w:rPr>
  </w:style>
  <w:style w:type="character" w:customStyle="1" w:styleId="38">
    <w:name w:val="正文文本 Char"/>
    <w:link w:val="6"/>
    <w:qFormat/>
    <w:uiPriority w:val="0"/>
    <w:rPr>
      <w:rFonts w:ascii="Times New Roman" w:hAnsi="Times New Roman" w:eastAsia="宋体" w:cs="Times New Roman"/>
      <w:sz w:val="24"/>
      <w:szCs w:val="24"/>
    </w:rPr>
  </w:style>
  <w:style w:type="character" w:customStyle="1" w:styleId="39">
    <w:name w:val="日期 Char"/>
    <w:link w:val="23"/>
    <w:qFormat/>
    <w:uiPriority w:val="0"/>
    <w:rPr>
      <w:rFonts w:ascii="Times New Roman" w:hAnsi="Times New Roman" w:eastAsia="宋体" w:cs="Times New Roman"/>
      <w:kern w:val="0"/>
      <w:sz w:val="20"/>
      <w:szCs w:val="20"/>
    </w:rPr>
  </w:style>
  <w:style w:type="character" w:customStyle="1" w:styleId="40">
    <w:name w:val="apple-style-span"/>
    <w:qFormat/>
    <w:uiPriority w:val="0"/>
    <w:rPr>
      <w:rFonts w:cs="Times New Roman"/>
    </w:rPr>
  </w:style>
  <w:style w:type="character" w:customStyle="1" w:styleId="41">
    <w:name w:val="页眉 Char"/>
    <w:link w:val="10"/>
    <w:qFormat/>
    <w:uiPriority w:val="0"/>
    <w:rPr>
      <w:rFonts w:cs="Times New Roman"/>
      <w:sz w:val="18"/>
      <w:szCs w:val="18"/>
    </w:rPr>
  </w:style>
  <w:style w:type="character" w:customStyle="1" w:styleId="42">
    <w:name w:val="页码1"/>
    <w:qFormat/>
    <w:uiPriority w:val="0"/>
    <w:rPr>
      <w:rFonts w:cs="Times New Roman"/>
    </w:rPr>
  </w:style>
  <w:style w:type="character" w:customStyle="1" w:styleId="43">
    <w:name w:val="批注主题 Char2"/>
    <w:link w:val="13"/>
    <w:qFormat/>
    <w:uiPriority w:val="0"/>
    <w:rPr>
      <w:rFonts w:cs="Times New Roman"/>
      <w:b/>
      <w:bCs/>
      <w:kern w:val="2"/>
      <w:sz w:val="21"/>
      <w:szCs w:val="21"/>
    </w:rPr>
  </w:style>
  <w:style w:type="character" w:customStyle="1" w:styleId="44">
    <w:name w:val="批注框文本 Char1"/>
    <w:qFormat/>
    <w:uiPriority w:val="0"/>
    <w:rPr>
      <w:rFonts w:ascii="Times New Roman" w:hAnsi="Times New Roman" w:eastAsia="宋体" w:cs="Times New Roman"/>
      <w:sz w:val="18"/>
      <w:szCs w:val="18"/>
    </w:rPr>
  </w:style>
  <w:style w:type="character" w:customStyle="1" w:styleId="45">
    <w:name w:val="正文文本 2 Char"/>
    <w:link w:val="26"/>
    <w:qFormat/>
    <w:uiPriority w:val="0"/>
    <w:rPr>
      <w:rFonts w:ascii="Times New Roman" w:hAnsi="Times New Roman" w:eastAsia="宋体" w:cs="Times New Roman"/>
      <w:sz w:val="21"/>
      <w:szCs w:val="21"/>
    </w:rPr>
  </w:style>
  <w:style w:type="character" w:customStyle="1" w:styleId="46">
    <w:name w:val="font11"/>
    <w:qFormat/>
    <w:uiPriority w:val="0"/>
    <w:rPr>
      <w:rFonts w:hint="eastAsia" w:ascii="宋体" w:hAnsi="宋体" w:eastAsia="宋体" w:cs="宋体"/>
      <w:color w:val="000000"/>
      <w:sz w:val="21"/>
      <w:szCs w:val="21"/>
      <w:u w:val="none"/>
    </w:rPr>
  </w:style>
  <w:style w:type="character" w:customStyle="1" w:styleId="47">
    <w:name w:val="文档结构图 Char"/>
    <w:link w:val="25"/>
    <w:qFormat/>
    <w:uiPriority w:val="0"/>
    <w:rPr>
      <w:rFonts w:ascii="宋体" w:hAnsi="Times New Roman" w:eastAsia="宋体" w:cs="Times New Roman"/>
      <w:sz w:val="18"/>
      <w:szCs w:val="18"/>
    </w:rPr>
  </w:style>
  <w:style w:type="character" w:customStyle="1" w:styleId="48">
    <w:name w:val="批注文字 Char1"/>
    <w:qFormat/>
    <w:uiPriority w:val="0"/>
    <w:rPr>
      <w:rFonts w:ascii="Times New Roman" w:hAnsi="Times New Roman" w:eastAsia="宋体" w:cs="Times New Roman"/>
      <w:sz w:val="21"/>
      <w:szCs w:val="21"/>
    </w:rPr>
  </w:style>
  <w:style w:type="character" w:customStyle="1" w:styleId="49">
    <w:name w:val="批注文字 Char"/>
    <w:link w:val="5"/>
    <w:qFormat/>
    <w:uiPriority w:val="0"/>
    <w:rPr>
      <w:rFonts w:cs="Times New Roman"/>
      <w:sz w:val="21"/>
      <w:szCs w:val="21"/>
    </w:rPr>
  </w:style>
  <w:style w:type="character" w:customStyle="1" w:styleId="50">
    <w:name w:val="页脚 Char"/>
    <w:link w:val="9"/>
    <w:qFormat/>
    <w:uiPriority w:val="99"/>
    <w:rPr>
      <w:rFonts w:cs="Times New Roman"/>
      <w:sz w:val="18"/>
      <w:szCs w:val="18"/>
    </w:rPr>
  </w:style>
  <w:style w:type="paragraph" w:customStyle="1" w:styleId="51">
    <w:name w:val="Revision"/>
    <w:hidden/>
    <w:semiHidden/>
    <w:qFormat/>
    <w:uiPriority w:val="99"/>
    <w:rPr>
      <w:rFonts w:ascii="Times New Roman" w:hAnsi="Times New Roman" w:eastAsia="宋体" w:cs="Times New Roman"/>
      <w:kern w:val="2"/>
      <w:sz w:val="21"/>
      <w:szCs w:val="21"/>
      <w:lang w:val="en-US" w:eastAsia="zh-CN" w:bidi="ar-SA"/>
    </w:rPr>
  </w:style>
  <w:style w:type="table" w:customStyle="1" w:styleId="52">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34971-7475-4CFE-9580-BCAB0310AF7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2017</Words>
  <Characters>11499</Characters>
  <Lines>95</Lines>
  <Paragraphs>26</Paragraphs>
  <TotalTime>1</TotalTime>
  <ScaleCrop>false</ScaleCrop>
  <LinksUpToDate>false</LinksUpToDate>
  <CharactersWithSpaces>13490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2021-10-29T08:40:00Z</dcterms:created>
  <dc:creator>Administrator</dc:creator>
  <cp:lastModifiedBy>Eva</cp:lastModifiedBy>
  <cp:lastPrinted>2021-10-29T02:31:00Z</cp:lastPrinted>
  <dcterms:modified xsi:type="dcterms:W3CDTF">2022-11-24T01:54:23Z</dcterms:modified>
  <dc:title>提供方合同编号：</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6DE1955AE53D45D5A26B1272DAB10BC9</vt:lpwstr>
  </property>
</Properties>
</file>