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FCA20B">
      <w:pPr>
        <w:spacing w:line="360" w:lineRule="auto"/>
        <w:jc w:val="center"/>
        <w:rPr>
          <w:highlight w:val="none"/>
          <w:u w:val="single"/>
        </w:rPr>
      </w:pPr>
      <w:bookmarkStart w:id="0" w:name="_GoBack"/>
    </w:p>
    <w:p w14:paraId="598C0825">
      <w:pPr>
        <w:spacing w:line="360" w:lineRule="auto"/>
        <w:jc w:val="center"/>
        <w:rPr>
          <w:highlight w:val="none"/>
          <w:u w:val="single"/>
        </w:rPr>
      </w:pPr>
    </w:p>
    <w:p w14:paraId="2F90D12F">
      <w:pPr>
        <w:spacing w:line="360" w:lineRule="auto"/>
        <w:jc w:val="center"/>
        <w:rPr>
          <w:highlight w:val="none"/>
        </w:rPr>
      </w:pPr>
    </w:p>
    <w:p w14:paraId="57366246">
      <w:pPr>
        <w:spacing w:line="360" w:lineRule="auto"/>
        <w:jc w:val="center"/>
        <w:rPr>
          <w:highlight w:val="none"/>
        </w:rPr>
      </w:pPr>
    </w:p>
    <w:p w14:paraId="0B48189C">
      <w:pPr>
        <w:spacing w:line="360" w:lineRule="auto"/>
        <w:jc w:val="center"/>
        <w:rPr>
          <w:highlight w:val="none"/>
          <w:u w:val="single"/>
        </w:rPr>
      </w:pPr>
    </w:p>
    <w:p w14:paraId="1405E758">
      <w:pPr>
        <w:spacing w:line="360" w:lineRule="auto"/>
        <w:jc w:val="center"/>
        <w:rPr>
          <w:highlight w:val="none"/>
          <w:u w:val="single"/>
        </w:rPr>
      </w:pPr>
      <w:r>
        <w:rPr>
          <w:rFonts w:hint="eastAsia"/>
          <w:highlight w:val="none"/>
          <w:u w:val="single"/>
        </w:rPr>
        <w:t>　中机国际中设</w:t>
      </w:r>
      <w:r>
        <w:rPr>
          <w:highlight w:val="none"/>
          <w:u w:val="single"/>
        </w:rPr>
        <w:t>广场</w:t>
      </w:r>
      <w:r>
        <w:rPr>
          <w:rFonts w:hint="eastAsia"/>
          <w:highlight w:val="none"/>
          <w:u w:val="single"/>
        </w:rPr>
        <w:t>裙楼</w:t>
      </w:r>
      <w:r>
        <w:rPr>
          <w:highlight w:val="none"/>
          <w:u w:val="single"/>
        </w:rPr>
        <w:t>物业管理</w:t>
      </w:r>
      <w:r>
        <w:rPr>
          <w:rFonts w:hint="eastAsia"/>
          <w:highlight w:val="none"/>
          <w:u w:val="single"/>
        </w:rPr>
        <w:t>服务　</w:t>
      </w:r>
    </w:p>
    <w:p w14:paraId="7848EAE0">
      <w:pPr>
        <w:spacing w:line="360" w:lineRule="auto"/>
        <w:jc w:val="center"/>
        <w:rPr>
          <w:highlight w:val="none"/>
        </w:rPr>
      </w:pPr>
      <w:r>
        <w:rPr>
          <w:rFonts w:hint="eastAsia"/>
          <w:highlight w:val="none"/>
        </w:rPr>
        <w:t>采购项目</w:t>
      </w:r>
    </w:p>
    <w:p w14:paraId="09EB512D">
      <w:pPr>
        <w:spacing w:line="360" w:lineRule="auto"/>
        <w:jc w:val="center"/>
        <w:rPr>
          <w:highlight w:val="none"/>
        </w:rPr>
      </w:pPr>
      <w:r>
        <w:rPr>
          <w:rFonts w:hint="eastAsia"/>
          <w:highlight w:val="none"/>
        </w:rPr>
        <w:t>（采购编号：</w:t>
      </w:r>
      <w:r>
        <w:rPr>
          <w:rFonts w:hint="eastAsia"/>
          <w:highlight w:val="none"/>
          <w:u w:val="single"/>
        </w:rPr>
        <w:t>　　　　　　</w:t>
      </w:r>
      <w:r>
        <w:rPr>
          <w:rFonts w:hint="eastAsia"/>
          <w:highlight w:val="none"/>
        </w:rPr>
        <w:t>）</w:t>
      </w:r>
    </w:p>
    <w:p w14:paraId="7C8ECF3E">
      <w:pPr>
        <w:spacing w:line="360" w:lineRule="auto"/>
        <w:jc w:val="center"/>
        <w:rPr>
          <w:rFonts w:ascii="黑体" w:hAnsi="黑体" w:eastAsia="黑体" w:cs="黑体"/>
          <w:sz w:val="44"/>
          <w:szCs w:val="44"/>
          <w:highlight w:val="none"/>
        </w:rPr>
      </w:pPr>
    </w:p>
    <w:p w14:paraId="21690254">
      <w:pPr>
        <w:spacing w:line="360" w:lineRule="auto"/>
        <w:jc w:val="center"/>
        <w:rPr>
          <w:rFonts w:ascii="黑体" w:hAnsi="黑体" w:eastAsia="黑体" w:cs="黑体"/>
          <w:sz w:val="44"/>
          <w:szCs w:val="44"/>
          <w:highlight w:val="none"/>
        </w:rPr>
      </w:pPr>
    </w:p>
    <w:p w14:paraId="105E6679">
      <w:pPr>
        <w:spacing w:line="360" w:lineRule="auto"/>
        <w:jc w:val="center"/>
        <w:rPr>
          <w:rFonts w:ascii="黑体" w:hAnsi="黑体" w:eastAsia="黑体" w:cs="黑体"/>
          <w:sz w:val="44"/>
          <w:szCs w:val="44"/>
          <w:highlight w:val="none"/>
        </w:rPr>
      </w:pPr>
      <w:r>
        <w:rPr>
          <w:rFonts w:hint="eastAsia" w:ascii="黑体" w:hAnsi="黑体" w:eastAsia="黑体" w:cs="黑体"/>
          <w:sz w:val="44"/>
          <w:szCs w:val="44"/>
          <w:highlight w:val="none"/>
        </w:rPr>
        <w:t>谈判采购文件</w:t>
      </w:r>
    </w:p>
    <w:p w14:paraId="20A00DA5">
      <w:pPr>
        <w:spacing w:line="360" w:lineRule="auto"/>
        <w:jc w:val="center"/>
        <w:rPr>
          <w:highlight w:val="none"/>
        </w:rPr>
      </w:pPr>
    </w:p>
    <w:p w14:paraId="33DA8766">
      <w:pPr>
        <w:spacing w:line="360" w:lineRule="auto"/>
        <w:jc w:val="center"/>
        <w:rPr>
          <w:highlight w:val="none"/>
        </w:rPr>
      </w:pPr>
    </w:p>
    <w:p w14:paraId="0B66C98D">
      <w:pPr>
        <w:spacing w:line="360" w:lineRule="auto"/>
        <w:jc w:val="center"/>
        <w:rPr>
          <w:highlight w:val="none"/>
        </w:rPr>
      </w:pPr>
    </w:p>
    <w:p w14:paraId="6AA021D2">
      <w:pPr>
        <w:spacing w:line="360" w:lineRule="auto"/>
        <w:jc w:val="center"/>
        <w:rPr>
          <w:highlight w:val="none"/>
        </w:rPr>
      </w:pPr>
    </w:p>
    <w:p w14:paraId="55CC9826">
      <w:pPr>
        <w:spacing w:line="360" w:lineRule="auto"/>
        <w:jc w:val="center"/>
        <w:rPr>
          <w:highlight w:val="none"/>
        </w:rPr>
      </w:pPr>
    </w:p>
    <w:p w14:paraId="0E701C0F">
      <w:pPr>
        <w:spacing w:line="360" w:lineRule="auto"/>
        <w:jc w:val="center"/>
        <w:rPr>
          <w:highlight w:val="none"/>
        </w:rPr>
      </w:pPr>
    </w:p>
    <w:p w14:paraId="405A081B">
      <w:pPr>
        <w:spacing w:line="360" w:lineRule="auto"/>
        <w:jc w:val="center"/>
        <w:rPr>
          <w:highlight w:val="none"/>
        </w:rPr>
      </w:pPr>
    </w:p>
    <w:p w14:paraId="4200D4A9">
      <w:pPr>
        <w:spacing w:line="360" w:lineRule="auto"/>
        <w:jc w:val="center"/>
        <w:rPr>
          <w:highlight w:val="none"/>
        </w:rPr>
      </w:pPr>
    </w:p>
    <w:p w14:paraId="423B2903">
      <w:pPr>
        <w:spacing w:line="360" w:lineRule="auto"/>
        <w:jc w:val="center"/>
        <w:rPr>
          <w:highlight w:val="none"/>
        </w:rPr>
      </w:pPr>
      <w:r>
        <w:rPr>
          <w:rFonts w:hint="eastAsia"/>
          <w:highlight w:val="none"/>
        </w:rPr>
        <w:t>采购人：中机国际工程设计研究院有限责任公司</w:t>
      </w:r>
    </w:p>
    <w:p w14:paraId="0723BCA7">
      <w:pPr>
        <w:spacing w:line="360" w:lineRule="auto"/>
        <w:jc w:val="center"/>
        <w:rPr>
          <w:highlight w:val="none"/>
        </w:rPr>
        <w:sectPr>
          <w:pgSz w:w="11906" w:h="16838"/>
          <w:pgMar w:top="1440" w:right="1800" w:bottom="1440" w:left="1800" w:header="851" w:footer="992" w:gutter="0"/>
          <w:cols w:space="425" w:num="1"/>
          <w:docGrid w:type="lines" w:linePitch="312" w:charSpace="0"/>
        </w:sectPr>
      </w:pPr>
      <w:r>
        <w:rPr>
          <w:rFonts w:hint="eastAsia"/>
          <w:highlight w:val="none"/>
        </w:rPr>
        <w:t>202</w:t>
      </w:r>
      <w:r>
        <w:rPr>
          <w:highlight w:val="none"/>
        </w:rPr>
        <w:t>6</w:t>
      </w:r>
      <w:r>
        <w:rPr>
          <w:rFonts w:hint="eastAsia"/>
          <w:highlight w:val="none"/>
        </w:rPr>
        <w:t>年</w:t>
      </w:r>
      <w:r>
        <w:rPr>
          <w:highlight w:val="none"/>
        </w:rPr>
        <w:t>4</w:t>
      </w:r>
      <w:r>
        <w:rPr>
          <w:rFonts w:hint="eastAsia"/>
          <w:highlight w:val="none"/>
        </w:rPr>
        <w:t>月</w:t>
      </w:r>
      <w:r>
        <w:rPr>
          <w:highlight w:val="none"/>
        </w:rPr>
        <w:t>26</w:t>
      </w:r>
      <w:r>
        <w:rPr>
          <w:rFonts w:hint="eastAsia"/>
          <w:highlight w:val="none"/>
        </w:rPr>
        <w:t>日</w:t>
      </w:r>
    </w:p>
    <w:p w14:paraId="54A00445">
      <w:pPr>
        <w:pStyle w:val="14"/>
        <w:spacing w:before="0" w:after="0"/>
        <w:rPr>
          <w:highlight w:val="none"/>
        </w:rPr>
      </w:pPr>
      <w:r>
        <w:rPr>
          <w:rFonts w:hint="eastAsia"/>
          <w:highlight w:val="none"/>
        </w:rPr>
        <w:t>第一章　谈判采购公告</w:t>
      </w:r>
    </w:p>
    <w:p w14:paraId="36CCA9AA">
      <w:pPr>
        <w:spacing w:line="360" w:lineRule="auto"/>
        <w:rPr>
          <w:sz w:val="24"/>
          <w:szCs w:val="24"/>
          <w:highlight w:val="none"/>
        </w:rPr>
      </w:pPr>
      <w:r>
        <w:rPr>
          <w:rFonts w:hint="eastAsia"/>
          <w:sz w:val="24"/>
          <w:szCs w:val="24"/>
          <w:highlight w:val="none"/>
        </w:rPr>
        <w:t>　　</w:t>
      </w:r>
      <w:r>
        <w:rPr>
          <w:rFonts w:hint="eastAsia"/>
          <w:sz w:val="24"/>
          <w:szCs w:val="24"/>
          <w:highlight w:val="none"/>
          <w:u w:val="single"/>
        </w:rPr>
        <w:t>中机国际中设广场裙楼物业管理服务</w:t>
      </w:r>
      <w:r>
        <w:rPr>
          <w:rFonts w:hint="eastAsia"/>
          <w:sz w:val="24"/>
          <w:szCs w:val="24"/>
          <w:highlight w:val="none"/>
        </w:rPr>
        <w:t>已具备采购条件，现公开邀请供应商参加谈判采购活动。</w:t>
      </w:r>
    </w:p>
    <w:p w14:paraId="032588D0">
      <w:pPr>
        <w:pStyle w:val="15"/>
        <w:spacing w:before="0" w:after="0"/>
        <w:rPr>
          <w:rFonts w:ascii="仿宋" w:hAnsi="仿宋" w:eastAsia="仿宋"/>
          <w:b/>
          <w:highlight w:val="none"/>
        </w:rPr>
      </w:pPr>
      <w:r>
        <w:rPr>
          <w:rFonts w:hint="eastAsia" w:ascii="仿宋" w:hAnsi="仿宋" w:eastAsia="仿宋"/>
          <w:b/>
          <w:highlight w:val="none"/>
        </w:rPr>
        <w:t>　　1采购项目简介</w:t>
      </w:r>
    </w:p>
    <w:p w14:paraId="6C150B9B">
      <w:pPr>
        <w:spacing w:line="360" w:lineRule="auto"/>
        <w:rPr>
          <w:sz w:val="24"/>
          <w:szCs w:val="24"/>
          <w:highlight w:val="none"/>
          <w:u w:val="single"/>
        </w:rPr>
      </w:pPr>
      <w:r>
        <w:rPr>
          <w:rFonts w:hint="eastAsia"/>
          <w:sz w:val="24"/>
          <w:szCs w:val="24"/>
          <w:highlight w:val="none"/>
        </w:rPr>
        <w:t>　　1.1采购项目名称：</w:t>
      </w:r>
      <w:r>
        <w:rPr>
          <w:rFonts w:hint="eastAsia"/>
          <w:sz w:val="24"/>
          <w:szCs w:val="24"/>
          <w:highlight w:val="none"/>
          <w:u w:val="single"/>
        </w:rPr>
        <w:t>中机国际中设广场裙楼物业管理服务采购</w:t>
      </w:r>
    </w:p>
    <w:p w14:paraId="026E3BFC">
      <w:pPr>
        <w:spacing w:line="360" w:lineRule="auto"/>
        <w:rPr>
          <w:sz w:val="24"/>
          <w:szCs w:val="24"/>
          <w:highlight w:val="none"/>
        </w:rPr>
      </w:pPr>
      <w:r>
        <w:rPr>
          <w:rFonts w:hint="eastAsia"/>
          <w:sz w:val="24"/>
          <w:szCs w:val="24"/>
          <w:highlight w:val="none"/>
        </w:rPr>
        <w:t>　　1.2采购人：中机国际工程设计研究院有限责任公司</w:t>
      </w:r>
    </w:p>
    <w:p w14:paraId="73A53783">
      <w:pPr>
        <w:spacing w:line="360" w:lineRule="auto"/>
        <w:rPr>
          <w:sz w:val="24"/>
          <w:szCs w:val="24"/>
          <w:highlight w:val="none"/>
        </w:rPr>
      </w:pPr>
      <w:r>
        <w:rPr>
          <w:rFonts w:hint="eastAsia"/>
          <w:sz w:val="24"/>
          <w:szCs w:val="24"/>
          <w:highlight w:val="none"/>
        </w:rPr>
        <w:t>　　1.3采购代理机构：</w:t>
      </w:r>
      <w:r>
        <w:rPr>
          <w:rFonts w:hint="eastAsia"/>
          <w:sz w:val="24"/>
          <w:szCs w:val="24"/>
          <w:highlight w:val="none"/>
          <w:u w:val="single"/>
        </w:rPr>
        <w:t>无</w:t>
      </w:r>
    </w:p>
    <w:p w14:paraId="225FA7CC">
      <w:pPr>
        <w:spacing w:line="360" w:lineRule="auto"/>
        <w:rPr>
          <w:sz w:val="24"/>
          <w:szCs w:val="24"/>
          <w:highlight w:val="none"/>
        </w:rPr>
      </w:pPr>
      <w:r>
        <w:rPr>
          <w:rFonts w:hint="eastAsia"/>
          <w:sz w:val="24"/>
          <w:szCs w:val="24"/>
          <w:highlight w:val="none"/>
        </w:rPr>
        <w:t>　　1.4采购项目资金落实情况：企业自筹资金</w:t>
      </w:r>
    </w:p>
    <w:p w14:paraId="1E59EBAA">
      <w:pPr>
        <w:spacing w:line="360" w:lineRule="auto"/>
        <w:rPr>
          <w:sz w:val="24"/>
          <w:szCs w:val="24"/>
          <w:highlight w:val="none"/>
        </w:rPr>
      </w:pPr>
      <w:r>
        <w:rPr>
          <w:rFonts w:hint="eastAsia"/>
          <w:sz w:val="24"/>
          <w:szCs w:val="24"/>
          <w:highlight w:val="none"/>
        </w:rPr>
        <w:t>　　1.5采购项目概况：　　</w:t>
      </w:r>
    </w:p>
    <w:p w14:paraId="65C15D79">
      <w:pPr>
        <w:spacing w:line="360" w:lineRule="auto"/>
        <w:rPr>
          <w:sz w:val="24"/>
          <w:szCs w:val="24"/>
          <w:highlight w:val="none"/>
        </w:rPr>
      </w:pPr>
      <w:r>
        <w:rPr>
          <w:rFonts w:hint="eastAsia"/>
          <w:sz w:val="24"/>
          <w:szCs w:val="24"/>
          <w:highlight w:val="none"/>
        </w:rPr>
        <w:t>　　1.6成交供应商数量及成交份额：</w:t>
      </w:r>
    </w:p>
    <w:p w14:paraId="2A9680F7">
      <w:pPr>
        <w:spacing w:line="360" w:lineRule="auto"/>
        <w:rPr>
          <w:sz w:val="24"/>
          <w:szCs w:val="24"/>
          <w:highlight w:val="none"/>
        </w:rPr>
      </w:pPr>
      <w:r>
        <w:rPr>
          <w:rFonts w:hint="eastAsia"/>
          <w:sz w:val="24"/>
          <w:szCs w:val="24"/>
          <w:highlight w:val="none"/>
        </w:rPr>
        <w:t>　　☑一家</w:t>
      </w:r>
    </w:p>
    <w:p w14:paraId="2D23EB35">
      <w:pPr>
        <w:spacing w:line="360" w:lineRule="auto"/>
        <w:rPr>
          <w:sz w:val="24"/>
          <w:szCs w:val="24"/>
          <w:highlight w:val="none"/>
        </w:rPr>
      </w:pPr>
      <w:r>
        <w:rPr>
          <w:rFonts w:hint="eastAsia"/>
          <w:sz w:val="24"/>
          <w:szCs w:val="24"/>
          <w:highlight w:val="none"/>
        </w:rPr>
        <w:t>　　□</w:t>
      </w:r>
      <w:r>
        <w:rPr>
          <w:rFonts w:hint="eastAsia" w:ascii="仿宋" w:hAnsi="仿宋"/>
          <w:sz w:val="24"/>
          <w:szCs w:val="24"/>
          <w:highlight w:val="none"/>
          <w:u w:val="single"/>
        </w:rPr>
        <w:t>　/　</w:t>
      </w:r>
      <w:r>
        <w:rPr>
          <w:rFonts w:hint="eastAsia"/>
          <w:sz w:val="24"/>
          <w:szCs w:val="24"/>
          <w:highlight w:val="none"/>
        </w:rPr>
        <w:t>家，成交份额：第一名：；第二名：；第三名：；……</w:t>
      </w:r>
    </w:p>
    <w:p w14:paraId="3E62F0B2">
      <w:pPr>
        <w:pStyle w:val="15"/>
        <w:spacing w:before="0" w:after="0"/>
        <w:rPr>
          <w:b/>
          <w:bCs/>
          <w:highlight w:val="none"/>
        </w:rPr>
      </w:pPr>
      <w:r>
        <w:rPr>
          <w:rFonts w:hint="eastAsia"/>
          <w:b/>
          <w:bCs/>
          <w:highlight w:val="none"/>
        </w:rPr>
        <w:t>　</w:t>
      </w:r>
      <w:r>
        <w:rPr>
          <w:rFonts w:hint="eastAsia" w:ascii="仿宋" w:hAnsi="仿宋" w:eastAsia="仿宋"/>
          <w:b/>
          <w:highlight w:val="none"/>
        </w:rPr>
        <w:t>　2采购范围及相关要求</w:t>
      </w:r>
    </w:p>
    <w:p w14:paraId="5EB4AF96">
      <w:pPr>
        <w:spacing w:line="360" w:lineRule="auto"/>
        <w:rPr>
          <w:color w:val="000000" w:themeColor="text1"/>
          <w:sz w:val="24"/>
          <w:szCs w:val="24"/>
          <w:highlight w:val="none"/>
          <w:u w:val="single"/>
          <w14:textFill>
            <w14:solidFill>
              <w14:schemeClr w14:val="tx1"/>
            </w14:solidFill>
          </w14:textFill>
        </w:rPr>
      </w:pPr>
      <w:r>
        <w:rPr>
          <w:rFonts w:hint="eastAsia"/>
          <w:sz w:val="24"/>
          <w:szCs w:val="24"/>
          <w:highlight w:val="none"/>
        </w:rPr>
        <w:t>　　2.1采购范围：</w:t>
      </w:r>
      <w:r>
        <w:rPr>
          <w:rFonts w:hint="eastAsia"/>
          <w:color w:val="000000" w:themeColor="text1"/>
          <w:sz w:val="24"/>
          <w:szCs w:val="24"/>
          <w:highlight w:val="none"/>
          <w:u w:val="single"/>
          <w14:textFill>
            <w14:solidFill>
              <w14:schemeClr w14:val="tx1"/>
            </w14:solidFill>
          </w14:textFill>
        </w:rPr>
        <w:t>中机国际中设广场裙楼物业管理服务范围</w:t>
      </w:r>
      <w:r>
        <w:rPr>
          <w:rFonts w:hint="eastAsia" w:ascii="仿宋" w:hAnsi="仿宋"/>
          <w:color w:val="000000" w:themeColor="text1"/>
          <w:sz w:val="24"/>
          <w:szCs w:val="24"/>
          <w:highlight w:val="none"/>
          <w:u w:val="single"/>
          <w14:textFill>
            <w14:solidFill>
              <w14:schemeClr w14:val="tx1"/>
            </w14:solidFill>
          </w14:textFill>
        </w:rPr>
        <w:t>包括裙楼（含一至五层）的所有范围及商业裙楼的附属配套设施，包括但不限于楼梯间、消防通道、电梯井、各设备管道井、走廊通道、门厅、业主用房、监控室、配电房、水泵房等物业的日常维护、保养和管理。</w:t>
      </w:r>
    </w:p>
    <w:p w14:paraId="03E8DF59">
      <w:pPr>
        <w:spacing w:line="360" w:lineRule="auto"/>
        <w:rPr>
          <w:sz w:val="24"/>
          <w:szCs w:val="24"/>
          <w:highlight w:val="none"/>
        </w:rPr>
      </w:pPr>
      <w:r>
        <w:rPr>
          <w:rFonts w:hint="eastAsia"/>
          <w:sz w:val="24"/>
          <w:szCs w:val="24"/>
          <w:highlight w:val="none"/>
        </w:rPr>
        <w:t>　　2.2服务期限：</w:t>
      </w:r>
      <w:r>
        <w:rPr>
          <w:rFonts w:ascii="仿宋" w:hAnsi="仿宋"/>
          <w:sz w:val="24"/>
          <w:szCs w:val="24"/>
          <w:highlight w:val="none"/>
          <w:u w:val="single"/>
        </w:rPr>
        <w:t>3</w:t>
      </w:r>
      <w:r>
        <w:rPr>
          <w:rFonts w:hint="eastAsia" w:ascii="仿宋" w:hAnsi="仿宋"/>
          <w:sz w:val="24"/>
          <w:szCs w:val="24"/>
          <w:highlight w:val="none"/>
          <w:u w:val="single"/>
        </w:rPr>
        <w:t>年</w:t>
      </w:r>
    </w:p>
    <w:p w14:paraId="73812EFC">
      <w:pPr>
        <w:spacing w:line="360" w:lineRule="auto"/>
        <w:rPr>
          <w:sz w:val="24"/>
          <w:szCs w:val="24"/>
          <w:highlight w:val="none"/>
          <w:u w:val="single"/>
        </w:rPr>
      </w:pPr>
      <w:r>
        <w:rPr>
          <w:rFonts w:hint="eastAsia"/>
          <w:sz w:val="24"/>
          <w:szCs w:val="24"/>
          <w:highlight w:val="none"/>
        </w:rPr>
        <w:t>　　2.3服务地点：</w:t>
      </w:r>
      <w:r>
        <w:rPr>
          <w:rFonts w:hint="eastAsia"/>
          <w:sz w:val="24"/>
          <w:szCs w:val="24"/>
          <w:highlight w:val="none"/>
          <w:u w:val="single"/>
        </w:rPr>
        <w:t>中机国际中设广场裙楼</w:t>
      </w:r>
    </w:p>
    <w:p w14:paraId="35DC4998">
      <w:pPr>
        <w:spacing w:line="360" w:lineRule="auto"/>
        <w:rPr>
          <w:rFonts w:ascii="仿宋" w:hAnsi="仿宋"/>
          <w:sz w:val="24"/>
          <w:szCs w:val="24"/>
          <w:highlight w:val="none"/>
          <w:u w:val="single"/>
        </w:rPr>
      </w:pPr>
      <w:r>
        <w:rPr>
          <w:rFonts w:hint="eastAsia"/>
          <w:sz w:val="24"/>
          <w:szCs w:val="24"/>
          <w:highlight w:val="none"/>
        </w:rPr>
        <w:t>　　2.4质量要求或服务标准：</w:t>
      </w:r>
      <w:r>
        <w:rPr>
          <w:rFonts w:hint="eastAsia" w:ascii="仿宋" w:hAnsi="仿宋"/>
          <w:color w:val="FF0000"/>
          <w:sz w:val="24"/>
          <w:szCs w:val="24"/>
          <w:highlight w:val="none"/>
          <w:u w:val="single"/>
        </w:rPr>
        <w:t>详见采购人</w:t>
      </w:r>
      <w:r>
        <w:rPr>
          <w:rFonts w:ascii="仿宋" w:hAnsi="仿宋"/>
          <w:color w:val="FF0000"/>
          <w:sz w:val="24"/>
          <w:szCs w:val="24"/>
          <w:highlight w:val="none"/>
          <w:u w:val="single"/>
        </w:rPr>
        <w:t>需求</w:t>
      </w:r>
      <w:r>
        <w:rPr>
          <w:rFonts w:hint="eastAsia" w:ascii="仿宋" w:hAnsi="仿宋"/>
          <w:sz w:val="24"/>
          <w:szCs w:val="24"/>
          <w:highlight w:val="none"/>
          <w:u w:val="single"/>
        </w:rPr>
        <w:t>；</w:t>
      </w:r>
    </w:p>
    <w:p w14:paraId="70E102BA">
      <w:pPr>
        <w:pStyle w:val="15"/>
        <w:spacing w:before="0" w:after="0"/>
        <w:rPr>
          <w:b/>
          <w:bCs/>
          <w:highlight w:val="none"/>
        </w:rPr>
      </w:pPr>
      <w:r>
        <w:rPr>
          <w:rFonts w:hint="eastAsia"/>
          <w:b/>
          <w:bCs/>
          <w:highlight w:val="none"/>
        </w:rPr>
        <w:t>　　</w:t>
      </w:r>
      <w:r>
        <w:rPr>
          <w:rFonts w:hint="eastAsia" w:ascii="仿宋" w:hAnsi="仿宋" w:eastAsia="仿宋"/>
          <w:b/>
          <w:highlight w:val="none"/>
        </w:rPr>
        <w:t>3供应商资格要求</w:t>
      </w:r>
    </w:p>
    <w:p w14:paraId="192A0024">
      <w:pPr>
        <w:spacing w:line="360" w:lineRule="auto"/>
        <w:rPr>
          <w:sz w:val="24"/>
          <w:szCs w:val="24"/>
          <w:highlight w:val="none"/>
        </w:rPr>
      </w:pPr>
      <w:r>
        <w:rPr>
          <w:rFonts w:hint="eastAsia"/>
          <w:sz w:val="24"/>
          <w:szCs w:val="24"/>
          <w:highlight w:val="none"/>
        </w:rPr>
        <w:t>　　3.1供应商应依法设立且满足如下要求：</w:t>
      </w:r>
    </w:p>
    <w:p w14:paraId="43A1FB4E">
      <w:pPr>
        <w:widowControl/>
        <w:spacing w:line="360" w:lineRule="auto"/>
        <w:jc w:val="left"/>
        <w:rPr>
          <w:sz w:val="24"/>
          <w:szCs w:val="24"/>
          <w:highlight w:val="none"/>
        </w:rPr>
      </w:pPr>
      <w:r>
        <w:rPr>
          <w:rFonts w:hint="eastAsia"/>
          <w:sz w:val="24"/>
          <w:szCs w:val="24"/>
          <w:highlight w:val="none"/>
        </w:rPr>
        <w:t>（1）具有独立承担民事责任的能力且在中华人民共和国境内注册的法人，并依法取得企业营业执照（或事业单位法人证书）。</w:t>
      </w:r>
    </w:p>
    <w:p w14:paraId="3832B162">
      <w:pPr>
        <w:widowControl/>
        <w:spacing w:line="360" w:lineRule="auto"/>
        <w:jc w:val="left"/>
        <w:rPr>
          <w:sz w:val="24"/>
          <w:szCs w:val="24"/>
          <w:highlight w:val="none"/>
        </w:rPr>
      </w:pPr>
      <w:r>
        <w:rPr>
          <w:rFonts w:hint="eastAsia"/>
          <w:sz w:val="24"/>
          <w:szCs w:val="24"/>
          <w:highlight w:val="none"/>
        </w:rPr>
        <w:t>（2）具有良好的商业信誉和健全的财务制度，资产运营良好，不存在因借贷、担保等可能影响投标人履行本招标项目的情况。</w:t>
      </w:r>
    </w:p>
    <w:p w14:paraId="0BCBD279">
      <w:pPr>
        <w:widowControl/>
        <w:spacing w:line="360" w:lineRule="auto"/>
        <w:jc w:val="left"/>
        <w:rPr>
          <w:sz w:val="24"/>
          <w:szCs w:val="24"/>
          <w:highlight w:val="none"/>
        </w:rPr>
      </w:pPr>
      <w:r>
        <w:rPr>
          <w:rFonts w:hint="eastAsia"/>
          <w:sz w:val="24"/>
          <w:szCs w:val="24"/>
          <w:highlight w:val="none"/>
        </w:rPr>
        <w:t>（3）投标人是正常缴纳税收及缴纳社保的企业，提供依法缴纳税收和社会保险费的证明材料：</w:t>
      </w:r>
    </w:p>
    <w:p w14:paraId="25562594">
      <w:pPr>
        <w:widowControl/>
        <w:spacing w:line="360" w:lineRule="auto"/>
        <w:jc w:val="left"/>
        <w:rPr>
          <w:sz w:val="24"/>
          <w:szCs w:val="24"/>
          <w:highlight w:val="none"/>
        </w:rPr>
      </w:pPr>
      <w:r>
        <w:rPr>
          <w:rFonts w:hint="eastAsia"/>
          <w:sz w:val="24"/>
          <w:szCs w:val="24"/>
          <w:highlight w:val="none"/>
        </w:rPr>
        <w:t>①缴纳税收证明材料：《税务登记证》复印件，或者近三个月（202</w:t>
      </w:r>
      <w:r>
        <w:rPr>
          <w:sz w:val="24"/>
          <w:szCs w:val="24"/>
          <w:highlight w:val="none"/>
        </w:rPr>
        <w:t>5</w:t>
      </w:r>
      <w:r>
        <w:rPr>
          <w:rFonts w:hint="eastAsia"/>
          <w:sz w:val="24"/>
          <w:szCs w:val="24"/>
          <w:highlight w:val="none"/>
        </w:rPr>
        <w:t>年</w:t>
      </w:r>
      <w:r>
        <w:rPr>
          <w:sz w:val="24"/>
          <w:szCs w:val="24"/>
          <w:highlight w:val="none"/>
        </w:rPr>
        <w:t>11</w:t>
      </w:r>
      <w:r>
        <w:rPr>
          <w:rFonts w:hint="eastAsia"/>
          <w:sz w:val="24"/>
          <w:szCs w:val="24"/>
          <w:highlight w:val="none"/>
        </w:rPr>
        <w:t>月-202</w:t>
      </w:r>
      <w:r>
        <w:rPr>
          <w:sz w:val="24"/>
          <w:szCs w:val="24"/>
          <w:highlight w:val="none"/>
        </w:rPr>
        <w:t>6</w:t>
      </w:r>
      <w:r>
        <w:rPr>
          <w:rFonts w:hint="eastAsia"/>
          <w:sz w:val="24"/>
          <w:szCs w:val="24"/>
          <w:highlight w:val="none"/>
        </w:rPr>
        <w:t>年</w:t>
      </w:r>
      <w:r>
        <w:rPr>
          <w:sz w:val="24"/>
          <w:szCs w:val="24"/>
          <w:highlight w:val="none"/>
        </w:rPr>
        <w:t>3</w:t>
      </w:r>
      <w:r>
        <w:rPr>
          <w:rFonts w:hint="eastAsia"/>
          <w:sz w:val="24"/>
          <w:szCs w:val="24"/>
          <w:highlight w:val="none"/>
        </w:rPr>
        <w:t>月中的任意连续三个月，同下）依法缴纳税收的证明材料（纳税凭证复印件），或者委托他人缴纳的委托代办协议和三个月的缴纳证明（收据复印件），或者法定征收机关出具的依法免缴纳税收的证明材料原件。</w:t>
      </w:r>
    </w:p>
    <w:p w14:paraId="74EC6C63">
      <w:pPr>
        <w:widowControl/>
        <w:spacing w:line="360" w:lineRule="auto"/>
        <w:jc w:val="left"/>
        <w:rPr>
          <w:sz w:val="24"/>
          <w:szCs w:val="24"/>
          <w:highlight w:val="none"/>
        </w:rPr>
      </w:pPr>
      <w:r>
        <w:rPr>
          <w:rFonts w:hint="eastAsia"/>
          <w:sz w:val="24"/>
          <w:szCs w:val="24"/>
          <w:highlight w:val="none"/>
        </w:rPr>
        <w:t>②缴纳社会保险证明材料：《社会保险登记证》复印件，或者近三个月依法缴纳社会保险的证明（缴费凭证复印件），或者委托他人缴纳的委托代办协议和近三个月的缴纳证明（收据复印件），或者法定征收机关出具的依法免缴社会保险的证明原件。</w:t>
      </w:r>
    </w:p>
    <w:p w14:paraId="2D071910">
      <w:pPr>
        <w:widowControl/>
        <w:spacing w:line="360" w:lineRule="auto"/>
        <w:jc w:val="left"/>
        <w:rPr>
          <w:sz w:val="24"/>
          <w:szCs w:val="24"/>
          <w:highlight w:val="none"/>
        </w:rPr>
      </w:pPr>
      <w:r>
        <w:rPr>
          <w:rFonts w:hint="eastAsia"/>
          <w:sz w:val="24"/>
          <w:szCs w:val="24"/>
          <w:highlight w:val="none"/>
        </w:rPr>
        <w:t>（4）提供近三年度经会计师事务所审计的财务报告复印件（至少包含资产负债表、利润表和现金流量表），如成立不足1年的企业则提供银行资信证明。</w:t>
      </w:r>
    </w:p>
    <w:p w14:paraId="6F317D72">
      <w:pPr>
        <w:widowControl/>
        <w:spacing w:line="360" w:lineRule="auto"/>
        <w:jc w:val="left"/>
        <w:rPr>
          <w:sz w:val="24"/>
          <w:szCs w:val="24"/>
          <w:highlight w:val="none"/>
        </w:rPr>
      </w:pPr>
      <w:r>
        <w:rPr>
          <w:rFonts w:hint="eastAsia"/>
          <w:sz w:val="24"/>
          <w:szCs w:val="24"/>
          <w:highlight w:val="none"/>
        </w:rPr>
        <w:t>（5）参加本次采购活动前三年内，在经营活动中没有重大违法记录（如该记录对禁止参与招标投标活动有明确规定的，从其规定，不受三年时间限制），投标人自行提供承诺书并加盖公章。</w:t>
      </w:r>
    </w:p>
    <w:p w14:paraId="58A66AFC">
      <w:pPr>
        <w:widowControl/>
        <w:spacing w:line="360" w:lineRule="auto"/>
        <w:jc w:val="left"/>
        <w:rPr>
          <w:sz w:val="24"/>
          <w:szCs w:val="24"/>
          <w:highlight w:val="none"/>
        </w:rPr>
      </w:pPr>
      <w:r>
        <w:rPr>
          <w:rFonts w:hint="eastAsia"/>
          <w:sz w:val="24"/>
          <w:szCs w:val="24"/>
          <w:highlight w:val="none"/>
        </w:rPr>
        <w:t>（6）未被“信用中国”网站（http://www.creditchina.gov.cn）列入失信被执行人、重大税收违法案件当事人名单，需提供网页截图（最终以评标当日查询结果为准）。</w:t>
      </w:r>
    </w:p>
    <w:p w14:paraId="0DDD1D73">
      <w:pPr>
        <w:widowControl/>
        <w:spacing w:line="360" w:lineRule="auto"/>
        <w:jc w:val="left"/>
        <w:rPr>
          <w:sz w:val="24"/>
          <w:szCs w:val="24"/>
          <w:highlight w:val="none"/>
        </w:rPr>
      </w:pPr>
      <w:r>
        <w:rPr>
          <w:rFonts w:hint="eastAsia"/>
          <w:sz w:val="24"/>
          <w:szCs w:val="24"/>
          <w:highlight w:val="none"/>
        </w:rPr>
        <w:t>（</w:t>
      </w:r>
      <w:r>
        <w:rPr>
          <w:sz w:val="24"/>
          <w:szCs w:val="24"/>
          <w:highlight w:val="none"/>
        </w:rPr>
        <w:t>7</w:t>
      </w:r>
      <w:r>
        <w:rPr>
          <w:rFonts w:hint="eastAsia"/>
          <w:sz w:val="24"/>
          <w:szCs w:val="24"/>
          <w:highlight w:val="none"/>
        </w:rPr>
        <w:t>）无其他法律、行政法规规定的禁止参与招标投标的行为。</w:t>
      </w:r>
    </w:p>
    <w:p w14:paraId="736AF53C">
      <w:pPr>
        <w:spacing w:line="360" w:lineRule="auto"/>
        <w:rPr>
          <w:sz w:val="24"/>
          <w:szCs w:val="24"/>
          <w:highlight w:val="none"/>
        </w:rPr>
      </w:pPr>
      <w:r>
        <w:rPr>
          <w:rFonts w:hint="eastAsia"/>
          <w:sz w:val="24"/>
          <w:szCs w:val="24"/>
          <w:highlight w:val="none"/>
        </w:rPr>
        <w:t>　　3.2供应商不得存在下列情形之一：</w:t>
      </w:r>
    </w:p>
    <w:p w14:paraId="0029F830">
      <w:pPr>
        <w:spacing w:line="360" w:lineRule="auto"/>
        <w:rPr>
          <w:sz w:val="24"/>
          <w:szCs w:val="24"/>
          <w:highlight w:val="none"/>
        </w:rPr>
      </w:pPr>
      <w:r>
        <w:rPr>
          <w:rFonts w:hint="eastAsia"/>
          <w:sz w:val="24"/>
          <w:szCs w:val="24"/>
          <w:highlight w:val="none"/>
        </w:rPr>
        <w:t>（1）处于被责令停产停业、暂扣或者吊销执照、暂扣或者吊销许可证、吊销资质证书状态；</w:t>
      </w:r>
    </w:p>
    <w:p w14:paraId="5010D38C">
      <w:pPr>
        <w:spacing w:line="360" w:lineRule="auto"/>
        <w:rPr>
          <w:sz w:val="24"/>
          <w:szCs w:val="24"/>
          <w:highlight w:val="none"/>
        </w:rPr>
      </w:pPr>
      <w:r>
        <w:rPr>
          <w:rFonts w:hint="eastAsia"/>
          <w:sz w:val="24"/>
          <w:szCs w:val="24"/>
          <w:highlight w:val="none"/>
        </w:rPr>
        <w:t>（2）进入清算程序，或被宣告破产，或其他丧失履约能力的情形。</w:t>
      </w:r>
    </w:p>
    <w:p w14:paraId="50D950B6">
      <w:pPr>
        <w:spacing w:line="360" w:lineRule="auto"/>
        <w:rPr>
          <w:sz w:val="24"/>
          <w:szCs w:val="24"/>
          <w:highlight w:val="none"/>
        </w:rPr>
      </w:pPr>
      <w:r>
        <w:rPr>
          <w:rFonts w:hint="eastAsia"/>
          <w:sz w:val="24"/>
          <w:szCs w:val="24"/>
          <w:highlight w:val="none"/>
        </w:rPr>
        <w:t>　　3.3本次采购不接受联合体。</w:t>
      </w:r>
    </w:p>
    <w:p w14:paraId="5861E03F">
      <w:pPr>
        <w:pStyle w:val="15"/>
        <w:spacing w:before="0" w:after="0"/>
        <w:rPr>
          <w:b/>
          <w:bCs/>
          <w:highlight w:val="none"/>
        </w:rPr>
      </w:pPr>
      <w:r>
        <w:rPr>
          <w:rFonts w:hint="eastAsia"/>
          <w:b/>
          <w:bCs/>
          <w:highlight w:val="none"/>
        </w:rPr>
        <w:t>　</w:t>
      </w:r>
      <w:r>
        <w:rPr>
          <w:rFonts w:hint="eastAsia" w:ascii="仿宋" w:hAnsi="仿宋" w:eastAsia="仿宋"/>
          <w:b/>
          <w:highlight w:val="none"/>
        </w:rPr>
        <w:t>　4采购文件的获取</w:t>
      </w:r>
    </w:p>
    <w:p w14:paraId="57E26474">
      <w:pPr>
        <w:spacing w:line="360" w:lineRule="auto"/>
        <w:rPr>
          <w:sz w:val="24"/>
          <w:szCs w:val="24"/>
          <w:highlight w:val="none"/>
        </w:rPr>
      </w:pPr>
      <w:r>
        <w:rPr>
          <w:rFonts w:hint="eastAsia"/>
          <w:sz w:val="24"/>
          <w:szCs w:val="24"/>
          <w:highlight w:val="none"/>
        </w:rPr>
        <w:t>　　4.1.获取时间</w:t>
      </w:r>
    </w:p>
    <w:p w14:paraId="3E700661">
      <w:pPr>
        <w:spacing w:line="360" w:lineRule="auto"/>
        <w:rPr>
          <w:sz w:val="24"/>
          <w:szCs w:val="24"/>
          <w:highlight w:val="none"/>
        </w:rPr>
      </w:pPr>
      <w:r>
        <w:rPr>
          <w:rFonts w:hint="eastAsia"/>
          <w:sz w:val="24"/>
          <w:szCs w:val="24"/>
          <w:highlight w:val="none"/>
        </w:rPr>
        <w:t>　　从</w:t>
      </w:r>
      <w:r>
        <w:rPr>
          <w:rFonts w:hint="eastAsia"/>
          <w:sz w:val="24"/>
          <w:szCs w:val="24"/>
          <w:highlight w:val="none"/>
          <w:u w:val="single"/>
        </w:rPr>
        <w:t>202</w:t>
      </w:r>
      <w:r>
        <w:rPr>
          <w:sz w:val="24"/>
          <w:szCs w:val="24"/>
          <w:highlight w:val="none"/>
          <w:u w:val="single"/>
        </w:rPr>
        <w:t>6</w:t>
      </w:r>
      <w:r>
        <w:rPr>
          <w:rFonts w:hint="eastAsia"/>
          <w:sz w:val="24"/>
          <w:szCs w:val="24"/>
          <w:highlight w:val="none"/>
        </w:rPr>
        <w:t>年</w:t>
      </w:r>
      <w:r>
        <w:rPr>
          <w:rFonts w:hint="eastAsia"/>
          <w:sz w:val="24"/>
          <w:szCs w:val="24"/>
          <w:highlight w:val="none"/>
          <w:u w:val="single"/>
          <w:lang w:val="en-US" w:eastAsia="zh-CN"/>
        </w:rPr>
        <w:t>5</w:t>
      </w:r>
      <w:r>
        <w:rPr>
          <w:rFonts w:hint="eastAsia"/>
          <w:sz w:val="24"/>
          <w:szCs w:val="24"/>
          <w:highlight w:val="none"/>
        </w:rPr>
        <w:t>月</w:t>
      </w:r>
      <w:r>
        <w:rPr>
          <w:rFonts w:hint="eastAsia"/>
          <w:sz w:val="24"/>
          <w:szCs w:val="24"/>
          <w:highlight w:val="none"/>
          <w:u w:val="single"/>
          <w:lang w:val="en-US" w:eastAsia="zh-CN"/>
        </w:rPr>
        <w:t>14</w:t>
      </w:r>
      <w:r>
        <w:rPr>
          <w:rFonts w:hint="eastAsia"/>
          <w:sz w:val="24"/>
          <w:szCs w:val="24"/>
          <w:highlight w:val="none"/>
        </w:rPr>
        <w:t>日</w:t>
      </w:r>
      <w:r>
        <w:rPr>
          <w:rFonts w:hint="eastAsia"/>
          <w:sz w:val="24"/>
          <w:szCs w:val="24"/>
          <w:highlight w:val="none"/>
          <w:u w:val="single"/>
        </w:rPr>
        <w:t>9</w:t>
      </w:r>
      <w:r>
        <w:rPr>
          <w:rFonts w:hint="eastAsia"/>
          <w:sz w:val="24"/>
          <w:szCs w:val="24"/>
          <w:highlight w:val="none"/>
        </w:rPr>
        <w:t>时</w:t>
      </w:r>
      <w:r>
        <w:rPr>
          <w:rFonts w:hint="eastAsia"/>
          <w:sz w:val="24"/>
          <w:szCs w:val="24"/>
          <w:highlight w:val="none"/>
          <w:u w:val="single"/>
        </w:rPr>
        <w:t>00</w:t>
      </w:r>
      <w:r>
        <w:rPr>
          <w:rFonts w:hint="eastAsia"/>
          <w:sz w:val="24"/>
          <w:szCs w:val="24"/>
          <w:highlight w:val="none"/>
        </w:rPr>
        <w:t>分</w:t>
      </w:r>
      <w:r>
        <w:rPr>
          <w:rFonts w:hint="eastAsia"/>
          <w:sz w:val="24"/>
          <w:szCs w:val="24"/>
          <w:highlight w:val="none"/>
        </w:rPr>
        <w:t>起至</w:t>
      </w:r>
      <w:r>
        <w:rPr>
          <w:rFonts w:hint="eastAsia"/>
          <w:sz w:val="24"/>
          <w:szCs w:val="24"/>
          <w:highlight w:val="none"/>
          <w:u w:val="single"/>
        </w:rPr>
        <w:t>202</w:t>
      </w:r>
      <w:r>
        <w:rPr>
          <w:sz w:val="24"/>
          <w:szCs w:val="24"/>
          <w:highlight w:val="none"/>
          <w:u w:val="single"/>
        </w:rPr>
        <w:t>6</w:t>
      </w:r>
      <w:r>
        <w:rPr>
          <w:rFonts w:hint="eastAsia"/>
          <w:sz w:val="24"/>
          <w:szCs w:val="24"/>
          <w:highlight w:val="none"/>
        </w:rPr>
        <w:t>年</w:t>
      </w:r>
      <w:r>
        <w:rPr>
          <w:rFonts w:hint="eastAsia"/>
          <w:sz w:val="24"/>
          <w:szCs w:val="24"/>
          <w:highlight w:val="none"/>
          <w:u w:val="single"/>
          <w:lang w:val="en-US" w:eastAsia="zh-CN"/>
        </w:rPr>
        <w:t>5</w:t>
      </w:r>
      <w:r>
        <w:rPr>
          <w:rFonts w:hint="eastAsia"/>
          <w:sz w:val="24"/>
          <w:szCs w:val="24"/>
          <w:highlight w:val="none"/>
        </w:rPr>
        <w:t>月</w:t>
      </w:r>
      <w:r>
        <w:rPr>
          <w:rFonts w:hint="eastAsia"/>
          <w:sz w:val="24"/>
          <w:szCs w:val="24"/>
          <w:highlight w:val="none"/>
          <w:u w:val="single"/>
          <w:lang w:val="en-US" w:eastAsia="zh-CN"/>
        </w:rPr>
        <w:t>15</w:t>
      </w:r>
      <w:r>
        <w:rPr>
          <w:rFonts w:hint="eastAsia"/>
          <w:sz w:val="24"/>
          <w:szCs w:val="24"/>
          <w:highlight w:val="none"/>
        </w:rPr>
        <w:t>日</w:t>
      </w:r>
      <w:r>
        <w:rPr>
          <w:rFonts w:hint="eastAsia"/>
          <w:sz w:val="24"/>
          <w:szCs w:val="24"/>
          <w:highlight w:val="none"/>
          <w:u w:val="single"/>
        </w:rPr>
        <w:t>17</w:t>
      </w:r>
      <w:r>
        <w:rPr>
          <w:rFonts w:hint="eastAsia"/>
          <w:sz w:val="24"/>
          <w:szCs w:val="24"/>
          <w:highlight w:val="none"/>
        </w:rPr>
        <w:t>时</w:t>
      </w:r>
      <w:r>
        <w:rPr>
          <w:rFonts w:hint="eastAsia"/>
          <w:sz w:val="24"/>
          <w:szCs w:val="24"/>
          <w:highlight w:val="none"/>
          <w:u w:val="single"/>
        </w:rPr>
        <w:t>00</w:t>
      </w:r>
      <w:r>
        <w:rPr>
          <w:rFonts w:hint="eastAsia"/>
          <w:sz w:val="24"/>
          <w:szCs w:val="24"/>
          <w:highlight w:val="none"/>
        </w:rPr>
        <w:t>分</w:t>
      </w:r>
      <w:r>
        <w:rPr>
          <w:rFonts w:hint="eastAsia"/>
          <w:sz w:val="24"/>
          <w:szCs w:val="24"/>
          <w:highlight w:val="none"/>
        </w:rPr>
        <w:t>止。</w:t>
      </w:r>
    </w:p>
    <w:p w14:paraId="571F69E9">
      <w:pPr>
        <w:spacing w:line="360" w:lineRule="auto"/>
        <w:rPr>
          <w:sz w:val="24"/>
          <w:szCs w:val="24"/>
          <w:highlight w:val="none"/>
        </w:rPr>
      </w:pPr>
      <w:r>
        <w:rPr>
          <w:rFonts w:hint="eastAsia"/>
          <w:sz w:val="24"/>
          <w:szCs w:val="24"/>
          <w:highlight w:val="none"/>
        </w:rPr>
        <w:t>　　4.2.获取方式</w:t>
      </w:r>
    </w:p>
    <w:p w14:paraId="1425FE08">
      <w:pPr>
        <w:spacing w:line="360" w:lineRule="auto"/>
        <w:rPr>
          <w:sz w:val="24"/>
          <w:szCs w:val="24"/>
          <w:highlight w:val="none"/>
        </w:rPr>
      </w:pPr>
      <w:r>
        <w:rPr>
          <w:rFonts w:hint="eastAsia"/>
          <w:sz w:val="24"/>
          <w:szCs w:val="24"/>
          <w:highlight w:val="none"/>
        </w:rPr>
        <w:t>　　</w:t>
      </w:r>
      <w:r>
        <w:rPr>
          <w:rFonts w:hint="eastAsia"/>
          <w:sz w:val="24"/>
          <w:szCs w:val="24"/>
          <w:highlight w:val="none"/>
          <w:u w:val="single"/>
        </w:rPr>
        <w:t>在中机国际电子采购交易平台下载采购文件</w:t>
      </w:r>
      <w:r>
        <w:rPr>
          <w:rFonts w:hint="eastAsia"/>
          <w:sz w:val="24"/>
          <w:szCs w:val="24"/>
          <w:highlight w:val="none"/>
        </w:rPr>
        <w:t>。</w:t>
      </w:r>
    </w:p>
    <w:p w14:paraId="3CC33BF1">
      <w:pPr>
        <w:spacing w:line="360" w:lineRule="auto"/>
        <w:rPr>
          <w:sz w:val="24"/>
          <w:szCs w:val="24"/>
          <w:highlight w:val="none"/>
        </w:rPr>
      </w:pPr>
      <w:r>
        <w:rPr>
          <w:rFonts w:hint="eastAsia"/>
          <w:sz w:val="24"/>
          <w:szCs w:val="24"/>
          <w:highlight w:val="none"/>
        </w:rPr>
        <w:t>　　4.3交纳采购文件工本费</w:t>
      </w:r>
    </w:p>
    <w:p w14:paraId="69F7CD08">
      <w:pPr>
        <w:spacing w:line="360" w:lineRule="auto"/>
        <w:rPr>
          <w:sz w:val="24"/>
          <w:szCs w:val="24"/>
          <w:highlight w:val="none"/>
        </w:rPr>
      </w:pPr>
      <w:r>
        <w:rPr>
          <w:rFonts w:hint="eastAsia"/>
          <w:sz w:val="24"/>
          <w:szCs w:val="24"/>
          <w:highlight w:val="none"/>
        </w:rPr>
        <w:t>　　☑不收费。</w:t>
      </w:r>
    </w:p>
    <w:p w14:paraId="14A1B8F4">
      <w:pPr>
        <w:spacing w:line="360" w:lineRule="auto"/>
        <w:rPr>
          <w:sz w:val="24"/>
          <w:szCs w:val="24"/>
          <w:highlight w:val="none"/>
        </w:rPr>
      </w:pPr>
      <w:r>
        <w:rPr>
          <w:rFonts w:hint="eastAsia"/>
          <w:sz w:val="24"/>
          <w:szCs w:val="24"/>
          <w:highlight w:val="none"/>
        </w:rPr>
        <w:t>　　□每套售价人民币</w:t>
      </w:r>
      <w:r>
        <w:rPr>
          <w:rFonts w:hint="eastAsia"/>
          <w:sz w:val="24"/>
          <w:szCs w:val="24"/>
          <w:highlight w:val="none"/>
          <w:u w:val="single"/>
        </w:rPr>
        <w:t>　　</w:t>
      </w:r>
      <w:r>
        <w:rPr>
          <w:rFonts w:hint="eastAsia"/>
          <w:sz w:val="24"/>
          <w:szCs w:val="24"/>
          <w:highlight w:val="none"/>
        </w:rPr>
        <w:t>元。</w:t>
      </w:r>
    </w:p>
    <w:p w14:paraId="1761C16E">
      <w:pPr>
        <w:pStyle w:val="15"/>
        <w:spacing w:before="0" w:after="0"/>
        <w:rPr>
          <w:rFonts w:ascii="仿宋" w:hAnsi="仿宋" w:eastAsia="仿宋"/>
          <w:b/>
          <w:highlight w:val="none"/>
        </w:rPr>
      </w:pPr>
      <w:r>
        <w:rPr>
          <w:rFonts w:hint="eastAsia" w:ascii="仿宋" w:hAnsi="仿宋" w:eastAsia="仿宋"/>
          <w:b/>
          <w:highlight w:val="none"/>
        </w:rPr>
        <w:t>　　5响应文件的递交</w:t>
      </w:r>
    </w:p>
    <w:p w14:paraId="5788384F">
      <w:pPr>
        <w:spacing w:line="360" w:lineRule="auto"/>
        <w:rPr>
          <w:sz w:val="24"/>
          <w:szCs w:val="24"/>
          <w:highlight w:val="none"/>
        </w:rPr>
      </w:pPr>
      <w:r>
        <w:rPr>
          <w:rFonts w:hint="eastAsia"/>
          <w:sz w:val="24"/>
          <w:szCs w:val="24"/>
          <w:highlight w:val="none"/>
        </w:rPr>
        <w:t>　　5.1.递交响应文件截止时间</w:t>
      </w:r>
    </w:p>
    <w:p w14:paraId="350EA4C7">
      <w:pPr>
        <w:spacing w:line="360" w:lineRule="auto"/>
        <w:rPr>
          <w:sz w:val="24"/>
          <w:szCs w:val="24"/>
          <w:highlight w:val="none"/>
        </w:rPr>
      </w:pPr>
      <w:r>
        <w:rPr>
          <w:rFonts w:hint="eastAsia"/>
          <w:sz w:val="24"/>
          <w:szCs w:val="24"/>
          <w:highlight w:val="none"/>
        </w:rPr>
        <w:t>　　</w:t>
      </w:r>
      <w:r>
        <w:rPr>
          <w:rFonts w:hint="eastAsia"/>
          <w:sz w:val="24"/>
          <w:szCs w:val="24"/>
          <w:highlight w:val="none"/>
          <w:u w:val="single"/>
        </w:rPr>
        <w:t>202</w:t>
      </w:r>
      <w:r>
        <w:rPr>
          <w:sz w:val="24"/>
          <w:szCs w:val="24"/>
          <w:highlight w:val="none"/>
          <w:u w:val="single"/>
        </w:rPr>
        <w:t>6</w:t>
      </w:r>
      <w:r>
        <w:rPr>
          <w:rFonts w:hint="eastAsia"/>
          <w:sz w:val="24"/>
          <w:szCs w:val="24"/>
          <w:highlight w:val="none"/>
        </w:rPr>
        <w:t>年</w:t>
      </w:r>
      <w:r>
        <w:rPr>
          <w:sz w:val="24"/>
          <w:szCs w:val="24"/>
          <w:highlight w:val="none"/>
          <w:u w:val="single"/>
        </w:rPr>
        <w:t>5</w:t>
      </w:r>
      <w:r>
        <w:rPr>
          <w:rFonts w:hint="eastAsia"/>
          <w:sz w:val="24"/>
          <w:szCs w:val="24"/>
          <w:highlight w:val="none"/>
        </w:rPr>
        <w:t>月</w:t>
      </w:r>
      <w:r>
        <w:rPr>
          <w:rFonts w:hint="eastAsia"/>
          <w:sz w:val="24"/>
          <w:szCs w:val="24"/>
          <w:highlight w:val="none"/>
          <w:u w:val="single"/>
          <w:lang w:val="en-US" w:eastAsia="zh-CN"/>
        </w:rPr>
        <w:t>22</w:t>
      </w:r>
      <w:r>
        <w:rPr>
          <w:rFonts w:hint="eastAsia"/>
          <w:sz w:val="24"/>
          <w:szCs w:val="24"/>
          <w:highlight w:val="none"/>
        </w:rPr>
        <w:t>日</w:t>
      </w:r>
      <w:r>
        <w:rPr>
          <w:rFonts w:hint="eastAsia"/>
          <w:sz w:val="24"/>
          <w:szCs w:val="24"/>
          <w:highlight w:val="none"/>
          <w:u w:val="single"/>
        </w:rPr>
        <w:t>10</w:t>
      </w:r>
      <w:r>
        <w:rPr>
          <w:rFonts w:hint="eastAsia"/>
          <w:sz w:val="24"/>
          <w:szCs w:val="24"/>
          <w:highlight w:val="none"/>
        </w:rPr>
        <w:t>时</w:t>
      </w:r>
      <w:r>
        <w:rPr>
          <w:rFonts w:hint="eastAsia"/>
          <w:sz w:val="24"/>
          <w:szCs w:val="24"/>
          <w:highlight w:val="none"/>
          <w:u w:val="single"/>
        </w:rPr>
        <w:t>00</w:t>
      </w:r>
      <w:r>
        <w:rPr>
          <w:rFonts w:hint="eastAsia"/>
          <w:sz w:val="24"/>
          <w:szCs w:val="24"/>
          <w:highlight w:val="none"/>
        </w:rPr>
        <w:t>分（北京时间）。</w:t>
      </w:r>
    </w:p>
    <w:p w14:paraId="58344A26">
      <w:pPr>
        <w:spacing w:line="360" w:lineRule="auto"/>
        <w:rPr>
          <w:sz w:val="24"/>
          <w:szCs w:val="24"/>
          <w:highlight w:val="none"/>
        </w:rPr>
      </w:pPr>
      <w:r>
        <w:rPr>
          <w:rFonts w:hint="eastAsia"/>
          <w:sz w:val="24"/>
          <w:szCs w:val="24"/>
          <w:highlight w:val="none"/>
        </w:rPr>
        <w:t>　　5.2递交地址</w:t>
      </w:r>
    </w:p>
    <w:p w14:paraId="5BD1E8C6">
      <w:pPr>
        <w:spacing w:line="360" w:lineRule="auto"/>
        <w:rPr>
          <w:sz w:val="24"/>
          <w:szCs w:val="24"/>
          <w:highlight w:val="none"/>
        </w:rPr>
      </w:pPr>
      <w:r>
        <w:rPr>
          <w:rFonts w:hint="eastAsia"/>
          <w:sz w:val="24"/>
          <w:szCs w:val="24"/>
          <w:highlight w:val="none"/>
        </w:rPr>
        <w:t>　　指派专人送至</w:t>
      </w:r>
      <w:r>
        <w:rPr>
          <w:rFonts w:hint="eastAsia"/>
          <w:sz w:val="24"/>
          <w:szCs w:val="24"/>
          <w:highlight w:val="none"/>
          <w:u w:val="single"/>
        </w:rPr>
        <w:t>长沙市雨花区韶山中路18号中机国际工程设计研究院有限责任公司901会议室</w:t>
      </w:r>
      <w:r>
        <w:rPr>
          <w:rFonts w:hint="eastAsia"/>
          <w:sz w:val="24"/>
          <w:szCs w:val="24"/>
          <w:highlight w:val="none"/>
        </w:rPr>
        <w:t>，同时加密上传到电子采购交易平台。</w:t>
      </w:r>
    </w:p>
    <w:p w14:paraId="229460B4">
      <w:pPr>
        <w:spacing w:line="360" w:lineRule="auto"/>
        <w:rPr>
          <w:sz w:val="24"/>
          <w:szCs w:val="24"/>
          <w:highlight w:val="none"/>
        </w:rPr>
      </w:pPr>
      <w:r>
        <w:rPr>
          <w:rFonts w:hint="eastAsia"/>
          <w:sz w:val="24"/>
          <w:szCs w:val="24"/>
          <w:highlight w:val="none"/>
        </w:rPr>
        <w:t>　　逾期电子采购交易平台将关闭上传。逾期送达的、未送达指定地点的响应文件，采购人将拒绝接收。</w:t>
      </w:r>
    </w:p>
    <w:p w14:paraId="72610D20">
      <w:pPr>
        <w:pStyle w:val="15"/>
        <w:spacing w:before="0" w:after="0"/>
        <w:rPr>
          <w:b/>
          <w:bCs/>
          <w:highlight w:val="none"/>
        </w:rPr>
      </w:pPr>
      <w:r>
        <w:rPr>
          <w:rFonts w:hint="eastAsia"/>
          <w:b/>
          <w:bCs/>
          <w:highlight w:val="none"/>
        </w:rPr>
        <w:t>　</w:t>
      </w:r>
      <w:r>
        <w:rPr>
          <w:rFonts w:hint="eastAsia" w:ascii="仿宋" w:hAnsi="仿宋" w:eastAsia="仿宋"/>
          <w:b/>
          <w:highlight w:val="none"/>
        </w:rPr>
        <w:t>　6谈判时间和地点</w:t>
      </w:r>
    </w:p>
    <w:p w14:paraId="2D70128C">
      <w:pPr>
        <w:spacing w:line="360" w:lineRule="auto"/>
        <w:rPr>
          <w:sz w:val="24"/>
          <w:szCs w:val="24"/>
          <w:highlight w:val="none"/>
        </w:rPr>
      </w:pPr>
      <w:r>
        <w:rPr>
          <w:rFonts w:hint="eastAsia"/>
          <w:sz w:val="24"/>
          <w:szCs w:val="24"/>
          <w:highlight w:val="none"/>
        </w:rPr>
        <w:t>　　递交响应文件的供应商应委派代表准时参加谈判活动，谈判开始时间预计为</w:t>
      </w:r>
      <w:r>
        <w:rPr>
          <w:rFonts w:hint="eastAsia"/>
          <w:sz w:val="24"/>
          <w:szCs w:val="24"/>
          <w:highlight w:val="none"/>
          <w:u w:val="single"/>
        </w:rPr>
        <w:t>202</w:t>
      </w:r>
      <w:r>
        <w:rPr>
          <w:sz w:val="24"/>
          <w:szCs w:val="24"/>
          <w:highlight w:val="none"/>
          <w:u w:val="single"/>
        </w:rPr>
        <w:t>6</w:t>
      </w:r>
      <w:r>
        <w:rPr>
          <w:rFonts w:hint="eastAsia"/>
          <w:sz w:val="24"/>
          <w:szCs w:val="24"/>
          <w:highlight w:val="none"/>
        </w:rPr>
        <w:t>年</w:t>
      </w:r>
      <w:r>
        <w:rPr>
          <w:sz w:val="24"/>
          <w:szCs w:val="24"/>
          <w:highlight w:val="none"/>
          <w:u w:val="single"/>
        </w:rPr>
        <w:t>5</w:t>
      </w:r>
      <w:r>
        <w:rPr>
          <w:rFonts w:hint="eastAsia"/>
          <w:sz w:val="24"/>
          <w:szCs w:val="24"/>
          <w:highlight w:val="none"/>
        </w:rPr>
        <w:t>月</w:t>
      </w:r>
      <w:r>
        <w:rPr>
          <w:rFonts w:hint="eastAsia"/>
          <w:sz w:val="24"/>
          <w:szCs w:val="24"/>
          <w:highlight w:val="none"/>
          <w:u w:val="single"/>
          <w:lang w:val="en-US" w:eastAsia="zh-CN"/>
        </w:rPr>
        <w:t>22</w:t>
      </w:r>
      <w:r>
        <w:rPr>
          <w:rFonts w:hint="eastAsia"/>
          <w:sz w:val="24"/>
          <w:szCs w:val="24"/>
          <w:highlight w:val="none"/>
        </w:rPr>
        <w:t>日</w:t>
      </w:r>
      <w:r>
        <w:rPr>
          <w:rFonts w:hint="eastAsia"/>
          <w:sz w:val="24"/>
          <w:szCs w:val="24"/>
          <w:highlight w:val="none"/>
          <w:u w:val="single"/>
        </w:rPr>
        <w:t>10</w:t>
      </w:r>
      <w:r>
        <w:rPr>
          <w:rFonts w:hint="eastAsia"/>
          <w:sz w:val="24"/>
          <w:szCs w:val="24"/>
          <w:highlight w:val="none"/>
        </w:rPr>
        <w:t>时</w:t>
      </w:r>
      <w:r>
        <w:rPr>
          <w:rFonts w:hint="eastAsia"/>
          <w:sz w:val="24"/>
          <w:szCs w:val="24"/>
          <w:highlight w:val="none"/>
          <w:u w:val="single"/>
        </w:rPr>
        <w:t>00</w:t>
      </w:r>
      <w:r>
        <w:rPr>
          <w:rFonts w:hint="eastAsia"/>
          <w:sz w:val="24"/>
          <w:szCs w:val="24"/>
          <w:highlight w:val="none"/>
        </w:rPr>
        <w:t>分</w:t>
      </w:r>
      <w:r>
        <w:rPr>
          <w:rFonts w:hint="eastAsia"/>
          <w:sz w:val="24"/>
          <w:szCs w:val="24"/>
          <w:highlight w:val="none"/>
        </w:rPr>
        <w:t>，与每一供应商进行谈判的具体时间另行通知。谈判地点为</w:t>
      </w:r>
      <w:r>
        <w:rPr>
          <w:rFonts w:hint="eastAsia"/>
          <w:sz w:val="24"/>
          <w:szCs w:val="24"/>
          <w:highlight w:val="none"/>
          <w:u w:val="single"/>
        </w:rPr>
        <w:t>长沙市雨花区韶山中路18号中机国际工程设计研究院有限责任公司901会议室</w:t>
      </w:r>
      <w:r>
        <w:rPr>
          <w:rFonts w:hint="eastAsia"/>
          <w:sz w:val="24"/>
          <w:szCs w:val="24"/>
          <w:highlight w:val="none"/>
        </w:rPr>
        <w:t>。</w:t>
      </w:r>
    </w:p>
    <w:p w14:paraId="43D0B63D">
      <w:pPr>
        <w:pStyle w:val="15"/>
        <w:spacing w:before="0" w:after="0"/>
        <w:rPr>
          <w:b/>
          <w:bCs/>
          <w:highlight w:val="none"/>
        </w:rPr>
      </w:pPr>
      <w:r>
        <w:rPr>
          <w:rFonts w:hint="eastAsia"/>
          <w:b/>
          <w:bCs/>
          <w:highlight w:val="none"/>
        </w:rPr>
        <w:t>　</w:t>
      </w:r>
      <w:r>
        <w:rPr>
          <w:rFonts w:hint="eastAsia" w:ascii="仿宋" w:hAnsi="仿宋" w:eastAsia="仿宋"/>
          <w:b/>
          <w:highlight w:val="none"/>
        </w:rPr>
        <w:t>　7发布公告的媒介</w:t>
      </w:r>
    </w:p>
    <w:p w14:paraId="2363186B">
      <w:pPr>
        <w:spacing w:line="360" w:lineRule="auto"/>
        <w:rPr>
          <w:rFonts w:ascii="仿宋" w:hAnsi="仿宋"/>
          <w:sz w:val="24"/>
          <w:szCs w:val="24"/>
          <w:highlight w:val="none"/>
        </w:rPr>
      </w:pPr>
      <w:r>
        <w:rPr>
          <w:rFonts w:hint="eastAsia"/>
          <w:sz w:val="24"/>
          <w:szCs w:val="24"/>
          <w:highlight w:val="none"/>
        </w:rPr>
        <w:t>　　本谈判采购公告在</w:t>
      </w:r>
      <w:r>
        <w:rPr>
          <w:rFonts w:hint="eastAsia"/>
          <w:sz w:val="24"/>
          <w:szCs w:val="24"/>
          <w:highlight w:val="none"/>
          <w:u w:val="single"/>
        </w:rPr>
        <w:t>中机国际电子采购交易平台</w:t>
      </w:r>
      <w:r>
        <w:rPr>
          <w:rFonts w:hint="eastAsia"/>
          <w:sz w:val="24"/>
          <w:szCs w:val="24"/>
          <w:highlight w:val="none"/>
        </w:rPr>
        <w:t>上发布。</w:t>
      </w:r>
    </w:p>
    <w:p w14:paraId="6A403CA1">
      <w:pPr>
        <w:pStyle w:val="15"/>
        <w:spacing w:before="0" w:after="0"/>
        <w:rPr>
          <w:rFonts w:ascii="仿宋" w:hAnsi="仿宋" w:eastAsia="仿宋"/>
          <w:b/>
          <w:highlight w:val="none"/>
        </w:rPr>
      </w:pPr>
      <w:r>
        <w:rPr>
          <w:rFonts w:hint="eastAsia" w:ascii="仿宋" w:hAnsi="仿宋" w:eastAsia="仿宋"/>
          <w:b/>
          <w:highlight w:val="none"/>
        </w:rPr>
        <w:t>　　8联系方式</w:t>
      </w:r>
    </w:p>
    <w:tbl>
      <w:tblPr>
        <w:tblStyle w:val="8"/>
        <w:tblW w:w="8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50"/>
        <w:gridCol w:w="4150"/>
      </w:tblGrid>
      <w:tr w14:paraId="36188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50" w:type="dxa"/>
            <w:tcBorders>
              <w:top w:val="nil"/>
              <w:left w:val="nil"/>
              <w:bottom w:val="nil"/>
              <w:right w:val="nil"/>
              <w:tl2br w:val="nil"/>
            </w:tcBorders>
            <w:shd w:val="clear" w:color="auto" w:fill="FFFFFF"/>
          </w:tcPr>
          <w:p w14:paraId="652865C3">
            <w:pPr>
              <w:pStyle w:val="4"/>
              <w:widowControl/>
              <w:tabs>
                <w:tab w:val="left" w:pos="854"/>
              </w:tabs>
              <w:kinsoku w:val="0"/>
              <w:autoSpaceDE w:val="0"/>
              <w:autoSpaceDN w:val="0"/>
              <w:spacing w:before="156" w:beforeLines="50" w:line="360" w:lineRule="auto"/>
              <w:rPr>
                <w:rFonts w:ascii="仿宋" w:hAnsi="仿宋" w:eastAsia="仿宋" w:cs="仿宋"/>
                <w:bCs/>
                <w:spacing w:val="8"/>
                <w:sz w:val="24"/>
                <w:szCs w:val="24"/>
                <w:highlight w:val="none"/>
              </w:rPr>
            </w:pPr>
            <w:r>
              <w:rPr>
                <w:rFonts w:hint="eastAsia" w:ascii="仿宋" w:hAnsi="仿宋" w:eastAsia="仿宋" w:cs="仿宋"/>
                <w:spacing w:val="8"/>
                <w:sz w:val="24"/>
                <w:szCs w:val="24"/>
                <w:highlight w:val="none"/>
              </w:rPr>
              <w:t>采购人：</w:t>
            </w:r>
            <w:r>
              <w:rPr>
                <w:rFonts w:hint="eastAsia" w:ascii="仿宋" w:hAnsi="仿宋" w:eastAsia="仿宋" w:cs="仿宋"/>
                <w:spacing w:val="8"/>
                <w:sz w:val="24"/>
                <w:szCs w:val="24"/>
                <w:highlight w:val="none"/>
                <w:u w:val="single" w:color="231F20"/>
              </w:rPr>
              <w:t>　</w:t>
            </w:r>
            <w:r>
              <w:rPr>
                <w:rFonts w:hint="eastAsia" w:ascii="仿宋" w:hAnsi="仿宋" w:eastAsia="仿宋" w:cs="仿宋"/>
                <w:sz w:val="24"/>
                <w:szCs w:val="24"/>
                <w:highlight w:val="none"/>
                <w:u w:val="single"/>
              </w:rPr>
              <w:t>中机国际工程设计研究院有限责任公司</w:t>
            </w:r>
            <w:r>
              <w:rPr>
                <w:rFonts w:hint="eastAsia" w:ascii="仿宋" w:hAnsi="仿宋" w:eastAsia="仿宋" w:cs="仿宋"/>
                <w:spacing w:val="8"/>
                <w:sz w:val="24"/>
                <w:szCs w:val="24"/>
                <w:highlight w:val="none"/>
                <w:u w:val="single" w:color="231F20"/>
              </w:rPr>
              <w:t>　</w:t>
            </w:r>
          </w:p>
        </w:tc>
        <w:tc>
          <w:tcPr>
            <w:tcW w:w="4150" w:type="dxa"/>
            <w:tcBorders>
              <w:top w:val="nil"/>
              <w:left w:val="nil"/>
              <w:bottom w:val="nil"/>
              <w:right w:val="nil"/>
            </w:tcBorders>
            <w:shd w:val="clear" w:color="auto" w:fill="FFFFFF"/>
          </w:tcPr>
          <w:p w14:paraId="5C6DBF9B">
            <w:pPr>
              <w:pStyle w:val="4"/>
              <w:widowControl/>
              <w:tabs>
                <w:tab w:val="left" w:pos="854"/>
              </w:tabs>
              <w:kinsoku w:val="0"/>
              <w:autoSpaceDE w:val="0"/>
              <w:autoSpaceDN w:val="0"/>
              <w:spacing w:before="156" w:beforeLines="50" w:line="360" w:lineRule="auto"/>
              <w:rPr>
                <w:rFonts w:ascii="仿宋" w:hAnsi="仿宋" w:eastAsia="仿宋" w:cs="仿宋"/>
                <w:bCs/>
                <w:color w:val="000000"/>
                <w:spacing w:val="8"/>
                <w:sz w:val="24"/>
                <w:szCs w:val="24"/>
                <w:highlight w:val="none"/>
                <w:lang w:eastAsia="en-US"/>
              </w:rPr>
            </w:pPr>
            <w:r>
              <w:rPr>
                <w:rFonts w:hint="eastAsia" w:ascii="仿宋" w:hAnsi="仿宋" w:eastAsia="仿宋" w:cs="仿宋"/>
                <w:spacing w:val="8"/>
                <w:sz w:val="24"/>
                <w:szCs w:val="24"/>
                <w:highlight w:val="none"/>
              </w:rPr>
              <w:t>代理机构：</w:t>
            </w:r>
            <w:r>
              <w:rPr>
                <w:rFonts w:hint="eastAsia" w:ascii="仿宋" w:hAnsi="仿宋" w:eastAsia="仿宋" w:cs="仿宋"/>
                <w:spacing w:val="8"/>
                <w:sz w:val="24"/>
                <w:szCs w:val="24"/>
                <w:highlight w:val="none"/>
                <w:u w:val="single" w:color="231F20"/>
              </w:rPr>
              <w:t>　　（如有）　</w:t>
            </w:r>
          </w:p>
        </w:tc>
      </w:tr>
      <w:tr w14:paraId="72513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50" w:type="dxa"/>
            <w:tcBorders>
              <w:top w:val="nil"/>
              <w:left w:val="nil"/>
              <w:bottom w:val="nil"/>
              <w:right w:val="nil"/>
            </w:tcBorders>
            <w:shd w:val="clear" w:color="auto" w:fill="FFFFFF"/>
          </w:tcPr>
          <w:p w14:paraId="533519BC">
            <w:pPr>
              <w:pStyle w:val="4"/>
              <w:widowControl/>
              <w:tabs>
                <w:tab w:val="left" w:pos="854"/>
              </w:tabs>
              <w:kinsoku w:val="0"/>
              <w:autoSpaceDE w:val="0"/>
              <w:autoSpaceDN w:val="0"/>
              <w:spacing w:before="156" w:beforeLines="50" w:line="360" w:lineRule="auto"/>
              <w:rPr>
                <w:rFonts w:ascii="仿宋" w:hAnsi="仿宋" w:eastAsia="仿宋" w:cs="仿宋"/>
                <w:bCs/>
                <w:spacing w:val="8"/>
                <w:sz w:val="24"/>
                <w:szCs w:val="24"/>
                <w:highlight w:val="none"/>
              </w:rPr>
            </w:pPr>
            <w:r>
              <w:rPr>
                <w:rFonts w:hint="eastAsia" w:ascii="仿宋" w:hAnsi="仿宋" w:eastAsia="仿宋" w:cs="仿宋"/>
                <w:spacing w:val="8"/>
                <w:sz w:val="24"/>
                <w:szCs w:val="24"/>
                <w:highlight w:val="none"/>
              </w:rPr>
              <w:t>地　址：</w:t>
            </w:r>
            <w:r>
              <w:rPr>
                <w:rFonts w:hint="eastAsia" w:ascii="仿宋" w:hAnsi="仿宋" w:eastAsia="仿宋" w:cs="仿宋"/>
                <w:spacing w:val="8"/>
                <w:sz w:val="24"/>
                <w:szCs w:val="24"/>
                <w:highlight w:val="none"/>
                <w:u w:val="single"/>
              </w:rPr>
              <w:t>　</w:t>
            </w:r>
            <w:r>
              <w:rPr>
                <w:rFonts w:hint="eastAsia" w:ascii="仿宋" w:hAnsi="仿宋" w:eastAsia="仿宋" w:cs="仿宋"/>
                <w:sz w:val="24"/>
                <w:szCs w:val="24"/>
                <w:highlight w:val="none"/>
                <w:u w:val="single"/>
              </w:rPr>
              <w:t>长沙市雨花区韶山中路18号</w:t>
            </w:r>
            <w:r>
              <w:rPr>
                <w:rFonts w:hint="eastAsia" w:ascii="仿宋" w:hAnsi="仿宋" w:eastAsia="仿宋" w:cs="仿宋"/>
                <w:spacing w:val="8"/>
                <w:sz w:val="24"/>
                <w:szCs w:val="24"/>
                <w:highlight w:val="none"/>
                <w:u w:val="single"/>
              </w:rPr>
              <w:t>　</w:t>
            </w:r>
          </w:p>
        </w:tc>
        <w:tc>
          <w:tcPr>
            <w:tcW w:w="4150" w:type="dxa"/>
            <w:tcBorders>
              <w:top w:val="nil"/>
              <w:left w:val="nil"/>
              <w:bottom w:val="nil"/>
              <w:right w:val="nil"/>
            </w:tcBorders>
            <w:shd w:val="clear" w:color="auto" w:fill="FFFFFF"/>
          </w:tcPr>
          <w:p w14:paraId="4757610B">
            <w:pPr>
              <w:pStyle w:val="4"/>
              <w:widowControl/>
              <w:tabs>
                <w:tab w:val="left" w:pos="854"/>
              </w:tabs>
              <w:kinsoku w:val="0"/>
              <w:autoSpaceDE w:val="0"/>
              <w:autoSpaceDN w:val="0"/>
              <w:spacing w:before="156" w:beforeLines="50" w:line="360" w:lineRule="auto"/>
              <w:rPr>
                <w:rFonts w:ascii="仿宋" w:hAnsi="仿宋" w:eastAsia="仿宋" w:cs="仿宋"/>
                <w:bCs/>
                <w:color w:val="000000"/>
                <w:spacing w:val="8"/>
                <w:sz w:val="24"/>
                <w:szCs w:val="24"/>
                <w:highlight w:val="none"/>
                <w:lang w:eastAsia="en-US"/>
              </w:rPr>
            </w:pPr>
            <w:r>
              <w:rPr>
                <w:rFonts w:hint="eastAsia" w:ascii="仿宋" w:hAnsi="仿宋" w:eastAsia="仿宋" w:cs="仿宋"/>
                <w:spacing w:val="8"/>
                <w:sz w:val="24"/>
                <w:szCs w:val="24"/>
                <w:highlight w:val="none"/>
              </w:rPr>
              <w:t>地　址：</w:t>
            </w:r>
            <w:r>
              <w:rPr>
                <w:rFonts w:hint="eastAsia" w:ascii="仿宋" w:hAnsi="仿宋" w:eastAsia="仿宋" w:cs="仿宋"/>
                <w:spacing w:val="8"/>
                <w:sz w:val="24"/>
                <w:szCs w:val="24"/>
                <w:highlight w:val="none"/>
                <w:u w:val="single" w:color="231F20"/>
              </w:rPr>
              <w:t>　　　　　　　　</w:t>
            </w:r>
          </w:p>
        </w:tc>
      </w:tr>
      <w:tr w14:paraId="587D3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50" w:type="dxa"/>
            <w:tcBorders>
              <w:top w:val="nil"/>
              <w:left w:val="nil"/>
              <w:bottom w:val="nil"/>
              <w:right w:val="nil"/>
            </w:tcBorders>
            <w:shd w:val="clear" w:color="auto" w:fill="FFFFFF"/>
          </w:tcPr>
          <w:p w14:paraId="1012CDDF">
            <w:pPr>
              <w:pStyle w:val="4"/>
              <w:widowControl/>
              <w:tabs>
                <w:tab w:val="left" w:pos="854"/>
              </w:tabs>
              <w:kinsoku w:val="0"/>
              <w:autoSpaceDE w:val="0"/>
              <w:autoSpaceDN w:val="0"/>
              <w:spacing w:before="156" w:beforeLines="50" w:line="360" w:lineRule="auto"/>
              <w:rPr>
                <w:rFonts w:ascii="仿宋" w:hAnsi="仿宋" w:eastAsia="仿宋" w:cs="仿宋"/>
                <w:bCs/>
                <w:spacing w:val="8"/>
                <w:sz w:val="24"/>
                <w:szCs w:val="24"/>
                <w:highlight w:val="none"/>
              </w:rPr>
            </w:pPr>
            <w:r>
              <w:rPr>
                <w:rFonts w:hint="eastAsia" w:ascii="仿宋" w:hAnsi="仿宋" w:eastAsia="仿宋" w:cs="仿宋"/>
                <w:spacing w:val="8"/>
                <w:sz w:val="24"/>
                <w:szCs w:val="24"/>
                <w:highlight w:val="none"/>
              </w:rPr>
              <w:t>邮　编：</w:t>
            </w:r>
            <w:r>
              <w:rPr>
                <w:rFonts w:hint="eastAsia" w:ascii="仿宋" w:hAnsi="仿宋" w:eastAsia="仿宋" w:cs="仿宋"/>
                <w:spacing w:val="8"/>
                <w:sz w:val="24"/>
                <w:szCs w:val="24"/>
                <w:highlight w:val="none"/>
                <w:u w:val="single" w:color="231F20"/>
              </w:rPr>
              <w:t>　　　　　　　　</w:t>
            </w:r>
          </w:p>
        </w:tc>
        <w:tc>
          <w:tcPr>
            <w:tcW w:w="4150" w:type="dxa"/>
            <w:tcBorders>
              <w:top w:val="nil"/>
              <w:left w:val="nil"/>
              <w:bottom w:val="nil"/>
              <w:right w:val="nil"/>
            </w:tcBorders>
            <w:shd w:val="clear" w:color="auto" w:fill="FFFFFF"/>
          </w:tcPr>
          <w:p w14:paraId="7C921255">
            <w:pPr>
              <w:pStyle w:val="4"/>
              <w:widowControl/>
              <w:tabs>
                <w:tab w:val="left" w:pos="854"/>
              </w:tabs>
              <w:kinsoku w:val="0"/>
              <w:autoSpaceDE w:val="0"/>
              <w:autoSpaceDN w:val="0"/>
              <w:spacing w:before="156" w:beforeLines="50" w:line="360" w:lineRule="auto"/>
              <w:rPr>
                <w:rFonts w:ascii="仿宋" w:hAnsi="仿宋" w:eastAsia="仿宋" w:cs="仿宋"/>
                <w:bCs/>
                <w:color w:val="000000"/>
                <w:spacing w:val="8"/>
                <w:sz w:val="24"/>
                <w:szCs w:val="24"/>
                <w:highlight w:val="none"/>
              </w:rPr>
            </w:pPr>
            <w:r>
              <w:rPr>
                <w:rFonts w:hint="eastAsia" w:ascii="仿宋" w:hAnsi="仿宋" w:eastAsia="仿宋" w:cs="仿宋"/>
                <w:spacing w:val="8"/>
                <w:sz w:val="24"/>
                <w:szCs w:val="24"/>
                <w:highlight w:val="none"/>
              </w:rPr>
              <w:t>邮　编：</w:t>
            </w:r>
            <w:r>
              <w:rPr>
                <w:rFonts w:hint="eastAsia" w:ascii="仿宋" w:hAnsi="仿宋" w:eastAsia="仿宋" w:cs="仿宋"/>
                <w:spacing w:val="8"/>
                <w:sz w:val="24"/>
                <w:szCs w:val="24"/>
                <w:highlight w:val="none"/>
                <w:u w:val="single" w:color="231F20"/>
              </w:rPr>
              <w:t>　　　　　　　　</w:t>
            </w:r>
          </w:p>
        </w:tc>
      </w:tr>
      <w:tr w14:paraId="26FBC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50" w:type="dxa"/>
            <w:tcBorders>
              <w:top w:val="nil"/>
              <w:left w:val="nil"/>
              <w:bottom w:val="nil"/>
              <w:right w:val="nil"/>
            </w:tcBorders>
            <w:shd w:val="clear" w:color="auto" w:fill="FFFFFF"/>
          </w:tcPr>
          <w:p w14:paraId="73A0EA6B">
            <w:pPr>
              <w:pStyle w:val="4"/>
              <w:widowControl/>
              <w:tabs>
                <w:tab w:val="left" w:pos="854"/>
              </w:tabs>
              <w:kinsoku w:val="0"/>
              <w:autoSpaceDE w:val="0"/>
              <w:autoSpaceDN w:val="0"/>
              <w:spacing w:before="156" w:beforeLines="50" w:line="360" w:lineRule="auto"/>
              <w:rPr>
                <w:rFonts w:ascii="仿宋" w:hAnsi="仿宋" w:eastAsia="仿宋" w:cs="仿宋"/>
                <w:bCs/>
                <w:spacing w:val="8"/>
                <w:sz w:val="24"/>
                <w:szCs w:val="24"/>
                <w:highlight w:val="none"/>
              </w:rPr>
            </w:pPr>
            <w:r>
              <w:rPr>
                <w:rFonts w:hint="eastAsia" w:ascii="仿宋" w:hAnsi="仿宋" w:eastAsia="仿宋" w:cs="仿宋"/>
                <w:spacing w:val="8"/>
                <w:sz w:val="24"/>
                <w:szCs w:val="24"/>
                <w:highlight w:val="none"/>
              </w:rPr>
              <w:t>联系人：</w:t>
            </w:r>
            <w:r>
              <w:rPr>
                <w:rFonts w:hint="eastAsia" w:ascii="仿宋" w:hAnsi="仿宋" w:eastAsia="仿宋" w:cs="仿宋"/>
                <w:spacing w:val="8"/>
                <w:sz w:val="24"/>
                <w:szCs w:val="24"/>
                <w:highlight w:val="none"/>
                <w:u w:val="single" w:color="231F20"/>
              </w:rPr>
              <w:t>　　黄　炎　　</w:t>
            </w:r>
          </w:p>
        </w:tc>
        <w:tc>
          <w:tcPr>
            <w:tcW w:w="4150" w:type="dxa"/>
            <w:tcBorders>
              <w:top w:val="nil"/>
              <w:left w:val="nil"/>
              <w:bottom w:val="nil"/>
              <w:right w:val="nil"/>
            </w:tcBorders>
            <w:shd w:val="clear" w:color="auto" w:fill="FFFFFF"/>
          </w:tcPr>
          <w:p w14:paraId="01F85684">
            <w:pPr>
              <w:pStyle w:val="4"/>
              <w:widowControl/>
              <w:tabs>
                <w:tab w:val="left" w:pos="854"/>
              </w:tabs>
              <w:kinsoku w:val="0"/>
              <w:autoSpaceDE w:val="0"/>
              <w:autoSpaceDN w:val="0"/>
              <w:spacing w:before="156" w:beforeLines="50" w:line="360" w:lineRule="auto"/>
              <w:rPr>
                <w:rFonts w:ascii="仿宋" w:hAnsi="仿宋" w:eastAsia="仿宋" w:cs="仿宋"/>
                <w:bCs/>
                <w:color w:val="000000"/>
                <w:spacing w:val="8"/>
                <w:sz w:val="24"/>
                <w:szCs w:val="24"/>
                <w:highlight w:val="none"/>
              </w:rPr>
            </w:pPr>
            <w:r>
              <w:rPr>
                <w:rFonts w:hint="eastAsia" w:ascii="仿宋" w:hAnsi="仿宋" w:eastAsia="仿宋" w:cs="仿宋"/>
                <w:spacing w:val="8"/>
                <w:sz w:val="24"/>
                <w:szCs w:val="24"/>
                <w:highlight w:val="none"/>
              </w:rPr>
              <w:t>联系人：</w:t>
            </w:r>
            <w:r>
              <w:rPr>
                <w:rFonts w:hint="eastAsia" w:ascii="仿宋" w:hAnsi="仿宋" w:eastAsia="仿宋" w:cs="仿宋"/>
                <w:spacing w:val="8"/>
                <w:sz w:val="24"/>
                <w:szCs w:val="24"/>
                <w:highlight w:val="none"/>
                <w:u w:val="single" w:color="231F20"/>
              </w:rPr>
              <w:t>　　　　　　　　</w:t>
            </w:r>
          </w:p>
        </w:tc>
      </w:tr>
      <w:tr w14:paraId="05FE8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50" w:type="dxa"/>
            <w:tcBorders>
              <w:top w:val="nil"/>
              <w:left w:val="nil"/>
              <w:bottom w:val="nil"/>
              <w:right w:val="nil"/>
            </w:tcBorders>
            <w:shd w:val="clear" w:color="auto" w:fill="FFFFFF"/>
          </w:tcPr>
          <w:p w14:paraId="488C9E9C">
            <w:pPr>
              <w:pStyle w:val="4"/>
              <w:widowControl/>
              <w:tabs>
                <w:tab w:val="left" w:pos="854"/>
              </w:tabs>
              <w:kinsoku w:val="0"/>
              <w:autoSpaceDE w:val="0"/>
              <w:autoSpaceDN w:val="0"/>
              <w:spacing w:before="156" w:beforeLines="50" w:line="360" w:lineRule="auto"/>
              <w:rPr>
                <w:rFonts w:ascii="仿宋" w:hAnsi="仿宋" w:eastAsia="仿宋" w:cs="仿宋"/>
                <w:bCs/>
                <w:spacing w:val="8"/>
                <w:sz w:val="24"/>
                <w:szCs w:val="24"/>
                <w:highlight w:val="none"/>
              </w:rPr>
            </w:pPr>
            <w:r>
              <w:rPr>
                <w:rFonts w:hint="eastAsia" w:ascii="仿宋" w:hAnsi="仿宋" w:eastAsia="仿宋" w:cs="仿宋"/>
                <w:spacing w:val="8"/>
                <w:sz w:val="24"/>
                <w:szCs w:val="24"/>
                <w:highlight w:val="none"/>
              </w:rPr>
              <w:t>电　话：</w:t>
            </w:r>
            <w:r>
              <w:rPr>
                <w:rFonts w:hint="eastAsia" w:ascii="仿宋" w:hAnsi="仿宋" w:eastAsia="仿宋" w:cs="仿宋"/>
                <w:spacing w:val="8"/>
                <w:sz w:val="24"/>
                <w:szCs w:val="24"/>
                <w:highlight w:val="none"/>
                <w:u w:val="single" w:color="231F20"/>
              </w:rPr>
              <w:t>　15307337890　</w:t>
            </w:r>
          </w:p>
        </w:tc>
        <w:tc>
          <w:tcPr>
            <w:tcW w:w="4150" w:type="dxa"/>
            <w:tcBorders>
              <w:top w:val="nil"/>
              <w:left w:val="nil"/>
              <w:bottom w:val="nil"/>
              <w:right w:val="nil"/>
            </w:tcBorders>
            <w:shd w:val="clear" w:color="auto" w:fill="FFFFFF"/>
          </w:tcPr>
          <w:p w14:paraId="63DAED7B">
            <w:pPr>
              <w:pStyle w:val="4"/>
              <w:widowControl/>
              <w:tabs>
                <w:tab w:val="left" w:pos="854"/>
              </w:tabs>
              <w:kinsoku w:val="0"/>
              <w:autoSpaceDE w:val="0"/>
              <w:autoSpaceDN w:val="0"/>
              <w:spacing w:before="156" w:beforeLines="50" w:line="360" w:lineRule="auto"/>
              <w:rPr>
                <w:rFonts w:ascii="仿宋" w:hAnsi="仿宋" w:eastAsia="仿宋" w:cs="仿宋"/>
                <w:bCs/>
                <w:color w:val="000000"/>
                <w:spacing w:val="8"/>
                <w:sz w:val="24"/>
                <w:szCs w:val="24"/>
                <w:highlight w:val="none"/>
              </w:rPr>
            </w:pPr>
            <w:r>
              <w:rPr>
                <w:rFonts w:hint="eastAsia" w:ascii="仿宋" w:hAnsi="仿宋" w:eastAsia="仿宋" w:cs="仿宋"/>
                <w:spacing w:val="8"/>
                <w:sz w:val="24"/>
                <w:szCs w:val="24"/>
                <w:highlight w:val="none"/>
              </w:rPr>
              <w:t>电　话：</w:t>
            </w:r>
            <w:r>
              <w:rPr>
                <w:rFonts w:hint="eastAsia" w:ascii="仿宋" w:hAnsi="仿宋" w:eastAsia="仿宋" w:cs="仿宋"/>
                <w:spacing w:val="8"/>
                <w:sz w:val="24"/>
                <w:szCs w:val="24"/>
                <w:highlight w:val="none"/>
                <w:u w:val="single" w:color="231F20"/>
              </w:rPr>
              <w:t>　　　　　　　　</w:t>
            </w:r>
          </w:p>
        </w:tc>
      </w:tr>
      <w:tr w14:paraId="3CACF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50" w:type="dxa"/>
            <w:tcBorders>
              <w:top w:val="nil"/>
              <w:left w:val="nil"/>
              <w:bottom w:val="nil"/>
              <w:right w:val="nil"/>
            </w:tcBorders>
            <w:shd w:val="clear" w:color="auto" w:fill="FFFFFF"/>
          </w:tcPr>
          <w:p w14:paraId="27DE39B4">
            <w:pPr>
              <w:pStyle w:val="4"/>
              <w:widowControl/>
              <w:tabs>
                <w:tab w:val="left" w:pos="854"/>
              </w:tabs>
              <w:kinsoku w:val="0"/>
              <w:autoSpaceDE w:val="0"/>
              <w:autoSpaceDN w:val="0"/>
              <w:spacing w:before="156" w:beforeLines="50" w:line="360" w:lineRule="auto"/>
              <w:jc w:val="left"/>
              <w:rPr>
                <w:rFonts w:ascii="仿宋" w:hAnsi="仿宋" w:eastAsia="仿宋" w:cs="仿宋"/>
                <w:bCs/>
                <w:spacing w:val="8"/>
                <w:sz w:val="24"/>
                <w:szCs w:val="24"/>
                <w:highlight w:val="none"/>
              </w:rPr>
            </w:pPr>
            <w:r>
              <w:rPr>
                <w:rFonts w:hint="eastAsia" w:ascii="仿宋" w:hAnsi="仿宋" w:eastAsia="仿宋" w:cs="仿宋"/>
                <w:spacing w:val="8"/>
                <w:sz w:val="24"/>
                <w:szCs w:val="24"/>
                <w:highlight w:val="none"/>
              </w:rPr>
              <w:t>电子邮箱：</w:t>
            </w:r>
            <w:r>
              <w:rPr>
                <w:rFonts w:hint="eastAsia" w:ascii="仿宋" w:hAnsi="仿宋" w:eastAsia="仿宋" w:cs="仿宋"/>
                <w:spacing w:val="8"/>
                <w:sz w:val="24"/>
                <w:szCs w:val="24"/>
                <w:highlight w:val="none"/>
                <w:u w:val="single" w:color="231F20"/>
              </w:rPr>
              <w:t>huangyan@cmie.cn　　</w:t>
            </w:r>
          </w:p>
        </w:tc>
        <w:tc>
          <w:tcPr>
            <w:tcW w:w="4150" w:type="dxa"/>
            <w:tcBorders>
              <w:top w:val="nil"/>
              <w:left w:val="nil"/>
              <w:bottom w:val="nil"/>
              <w:right w:val="nil"/>
            </w:tcBorders>
            <w:shd w:val="clear" w:color="auto" w:fill="FFFFFF"/>
          </w:tcPr>
          <w:p w14:paraId="10B5DF05">
            <w:pPr>
              <w:pStyle w:val="4"/>
              <w:widowControl/>
              <w:tabs>
                <w:tab w:val="left" w:pos="854"/>
              </w:tabs>
              <w:kinsoku w:val="0"/>
              <w:autoSpaceDE w:val="0"/>
              <w:autoSpaceDN w:val="0"/>
              <w:spacing w:before="156" w:beforeLines="50" w:line="360" w:lineRule="auto"/>
              <w:jc w:val="left"/>
              <w:rPr>
                <w:rFonts w:ascii="仿宋" w:hAnsi="仿宋" w:eastAsia="仿宋" w:cs="仿宋"/>
                <w:bCs/>
                <w:color w:val="000000"/>
                <w:spacing w:val="8"/>
                <w:sz w:val="24"/>
                <w:szCs w:val="24"/>
                <w:highlight w:val="none"/>
              </w:rPr>
            </w:pPr>
            <w:r>
              <w:rPr>
                <w:rFonts w:hint="eastAsia" w:ascii="仿宋" w:hAnsi="仿宋" w:eastAsia="仿宋" w:cs="仿宋"/>
                <w:spacing w:val="8"/>
                <w:sz w:val="24"/>
                <w:szCs w:val="24"/>
                <w:highlight w:val="none"/>
              </w:rPr>
              <w:t>电子邮箱：</w:t>
            </w:r>
            <w:r>
              <w:rPr>
                <w:rFonts w:hint="eastAsia" w:ascii="仿宋" w:hAnsi="仿宋" w:eastAsia="仿宋" w:cs="仿宋"/>
                <w:spacing w:val="8"/>
                <w:sz w:val="24"/>
                <w:szCs w:val="24"/>
                <w:highlight w:val="none"/>
                <w:u w:val="single" w:color="231F20"/>
              </w:rPr>
              <w:t>　　　　　　　</w:t>
            </w:r>
          </w:p>
        </w:tc>
      </w:tr>
      <w:tr w14:paraId="46D0A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50" w:type="dxa"/>
            <w:tcBorders>
              <w:top w:val="nil"/>
              <w:left w:val="nil"/>
              <w:bottom w:val="nil"/>
              <w:right w:val="nil"/>
            </w:tcBorders>
            <w:shd w:val="clear" w:color="auto" w:fill="FFFFFF"/>
            <w:vAlign w:val="center"/>
          </w:tcPr>
          <w:p w14:paraId="11B8E950">
            <w:pPr>
              <w:pStyle w:val="4"/>
              <w:widowControl/>
              <w:tabs>
                <w:tab w:val="left" w:pos="854"/>
              </w:tabs>
              <w:kinsoku w:val="0"/>
              <w:autoSpaceDE w:val="0"/>
              <w:autoSpaceDN w:val="0"/>
              <w:spacing w:before="156" w:beforeLines="50" w:line="360" w:lineRule="auto"/>
              <w:rPr>
                <w:rFonts w:ascii="仿宋" w:hAnsi="仿宋" w:eastAsia="仿宋" w:cs="仿宋"/>
                <w:bCs/>
                <w:spacing w:val="8"/>
                <w:sz w:val="24"/>
                <w:szCs w:val="24"/>
                <w:highlight w:val="none"/>
              </w:rPr>
            </w:pPr>
            <w:r>
              <w:rPr>
                <w:rFonts w:hint="eastAsia" w:ascii="仿宋" w:hAnsi="仿宋" w:eastAsia="仿宋" w:cs="仿宋"/>
                <w:spacing w:val="8"/>
                <w:sz w:val="24"/>
                <w:szCs w:val="24"/>
                <w:highlight w:val="none"/>
                <w:u w:val="single" w:color="231F20"/>
              </w:rPr>
              <w:t>　　　　　　　　　　　　　　　　　</w:t>
            </w:r>
            <w:r>
              <w:rPr>
                <w:rFonts w:hint="eastAsia" w:ascii="仿宋" w:hAnsi="仿宋" w:eastAsia="仿宋" w:cs="仿宋"/>
                <w:spacing w:val="8"/>
                <w:sz w:val="24"/>
                <w:szCs w:val="24"/>
                <w:highlight w:val="none"/>
              </w:rPr>
              <w:t>（单位公章）</w:t>
            </w:r>
          </w:p>
        </w:tc>
        <w:tc>
          <w:tcPr>
            <w:tcW w:w="4150" w:type="dxa"/>
            <w:tcBorders>
              <w:top w:val="nil"/>
              <w:left w:val="nil"/>
              <w:bottom w:val="nil"/>
              <w:right w:val="nil"/>
            </w:tcBorders>
            <w:shd w:val="clear" w:color="auto" w:fill="FFFFFF"/>
            <w:vAlign w:val="center"/>
          </w:tcPr>
          <w:p w14:paraId="16A9F182">
            <w:pPr>
              <w:pStyle w:val="4"/>
              <w:widowControl/>
              <w:tabs>
                <w:tab w:val="left" w:pos="854"/>
              </w:tabs>
              <w:kinsoku w:val="0"/>
              <w:autoSpaceDE w:val="0"/>
              <w:autoSpaceDN w:val="0"/>
              <w:spacing w:before="156" w:beforeLines="50" w:line="360" w:lineRule="auto"/>
              <w:rPr>
                <w:rFonts w:ascii="仿宋" w:hAnsi="仿宋" w:eastAsia="仿宋" w:cs="仿宋"/>
                <w:bCs/>
                <w:color w:val="000000"/>
                <w:spacing w:val="8"/>
                <w:sz w:val="24"/>
                <w:szCs w:val="24"/>
                <w:highlight w:val="none"/>
              </w:rPr>
            </w:pPr>
            <w:r>
              <w:rPr>
                <w:rFonts w:hint="eastAsia" w:ascii="仿宋" w:hAnsi="仿宋" w:eastAsia="仿宋" w:cs="仿宋"/>
                <w:spacing w:val="8"/>
                <w:sz w:val="24"/>
                <w:szCs w:val="24"/>
                <w:highlight w:val="none"/>
                <w:u w:val="single" w:color="231F20"/>
              </w:rPr>
              <w:t>　　　　　　　　　　　　　　　　　</w:t>
            </w:r>
            <w:r>
              <w:rPr>
                <w:rFonts w:hint="eastAsia" w:ascii="仿宋" w:hAnsi="仿宋" w:eastAsia="仿宋" w:cs="仿宋"/>
                <w:spacing w:val="8"/>
                <w:sz w:val="24"/>
                <w:szCs w:val="24"/>
                <w:highlight w:val="none"/>
              </w:rPr>
              <w:t>（单位公章）</w:t>
            </w:r>
          </w:p>
        </w:tc>
      </w:tr>
      <w:tr w14:paraId="155D5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50" w:type="dxa"/>
            <w:tcBorders>
              <w:top w:val="nil"/>
              <w:left w:val="nil"/>
              <w:bottom w:val="nil"/>
              <w:right w:val="nil"/>
            </w:tcBorders>
            <w:shd w:val="clear" w:color="auto" w:fill="FFFFFF"/>
          </w:tcPr>
          <w:p w14:paraId="514658A1">
            <w:pPr>
              <w:pStyle w:val="4"/>
              <w:widowControl/>
              <w:tabs>
                <w:tab w:val="left" w:pos="854"/>
              </w:tabs>
              <w:kinsoku w:val="0"/>
              <w:autoSpaceDE w:val="0"/>
              <w:autoSpaceDN w:val="0"/>
              <w:spacing w:before="156" w:beforeLines="50" w:line="360" w:lineRule="auto"/>
              <w:rPr>
                <w:rFonts w:ascii="仿宋" w:hAnsi="仿宋" w:eastAsia="仿宋" w:cs="仿宋"/>
                <w:bCs/>
                <w:spacing w:val="8"/>
                <w:sz w:val="24"/>
                <w:szCs w:val="24"/>
                <w:highlight w:val="none"/>
              </w:rPr>
            </w:pPr>
            <w:r>
              <w:rPr>
                <w:rFonts w:hint="eastAsia" w:ascii="仿宋" w:hAnsi="仿宋" w:eastAsia="仿宋" w:cs="仿宋"/>
                <w:spacing w:val="8"/>
                <w:sz w:val="24"/>
                <w:szCs w:val="24"/>
                <w:highlight w:val="none"/>
                <w:u w:val="single" w:color="231F20"/>
              </w:rPr>
              <w:t>2025</w:t>
            </w:r>
            <w:r>
              <w:rPr>
                <w:rFonts w:hint="eastAsia" w:ascii="仿宋" w:hAnsi="仿宋" w:eastAsia="仿宋" w:cs="仿宋"/>
                <w:spacing w:val="8"/>
                <w:sz w:val="24"/>
                <w:szCs w:val="24"/>
                <w:highlight w:val="none"/>
              </w:rPr>
              <w:t>年</w:t>
            </w:r>
            <w:r>
              <w:rPr>
                <w:rFonts w:hint="eastAsia" w:ascii="仿宋" w:hAnsi="仿宋" w:eastAsia="仿宋" w:cs="仿宋"/>
                <w:spacing w:val="8"/>
                <w:sz w:val="24"/>
                <w:szCs w:val="24"/>
                <w:highlight w:val="none"/>
                <w:u w:val="single" w:color="231F20"/>
                <w:lang w:val="en-US" w:eastAsia="zh-CN"/>
              </w:rPr>
              <w:t>5</w:t>
            </w:r>
            <w:r>
              <w:rPr>
                <w:rFonts w:hint="eastAsia" w:ascii="仿宋" w:hAnsi="仿宋" w:eastAsia="仿宋" w:cs="仿宋"/>
                <w:spacing w:val="8"/>
                <w:sz w:val="24"/>
                <w:szCs w:val="24"/>
                <w:highlight w:val="none"/>
              </w:rPr>
              <w:t>月</w:t>
            </w:r>
            <w:r>
              <w:rPr>
                <w:rFonts w:hint="eastAsia" w:ascii="仿宋" w:hAnsi="仿宋" w:eastAsia="仿宋" w:cs="仿宋"/>
                <w:spacing w:val="8"/>
                <w:sz w:val="24"/>
                <w:szCs w:val="24"/>
                <w:highlight w:val="none"/>
                <w:u w:val="single"/>
                <w:lang w:val="en-US" w:eastAsia="zh-CN"/>
              </w:rPr>
              <w:t>1</w:t>
            </w:r>
            <w:r>
              <w:rPr>
                <w:rFonts w:hint="eastAsia" w:ascii="仿宋" w:hAnsi="仿宋" w:eastAsia="仿宋" w:cs="仿宋"/>
                <w:spacing w:val="8"/>
                <w:sz w:val="24"/>
                <w:szCs w:val="24"/>
                <w:highlight w:val="none"/>
                <w:u w:val="single"/>
              </w:rPr>
              <w:t>4</w:t>
            </w:r>
            <w:r>
              <w:rPr>
                <w:rFonts w:hint="eastAsia" w:ascii="仿宋" w:hAnsi="仿宋" w:eastAsia="仿宋" w:cs="仿宋"/>
                <w:spacing w:val="8"/>
                <w:sz w:val="24"/>
                <w:szCs w:val="24"/>
                <w:highlight w:val="none"/>
              </w:rPr>
              <w:t>日</w:t>
            </w:r>
          </w:p>
        </w:tc>
        <w:tc>
          <w:tcPr>
            <w:tcW w:w="4150" w:type="dxa"/>
            <w:tcBorders>
              <w:top w:val="nil"/>
              <w:left w:val="nil"/>
              <w:bottom w:val="nil"/>
              <w:right w:val="nil"/>
            </w:tcBorders>
            <w:shd w:val="clear" w:color="auto" w:fill="FFFFFF"/>
          </w:tcPr>
          <w:p w14:paraId="06EB3B23">
            <w:pPr>
              <w:pStyle w:val="4"/>
              <w:widowControl/>
              <w:tabs>
                <w:tab w:val="left" w:pos="854"/>
              </w:tabs>
              <w:kinsoku w:val="0"/>
              <w:autoSpaceDE w:val="0"/>
              <w:autoSpaceDN w:val="0"/>
              <w:spacing w:before="156" w:beforeLines="50" w:line="360" w:lineRule="auto"/>
              <w:rPr>
                <w:rFonts w:ascii="仿宋" w:hAnsi="仿宋" w:eastAsia="仿宋" w:cs="仿宋"/>
                <w:bCs/>
                <w:color w:val="000000"/>
                <w:spacing w:val="8"/>
                <w:sz w:val="24"/>
                <w:szCs w:val="24"/>
                <w:highlight w:val="none"/>
                <w:lang w:eastAsia="en-US"/>
              </w:rPr>
            </w:pPr>
            <w:r>
              <w:rPr>
                <w:rFonts w:hint="eastAsia" w:ascii="仿宋" w:hAnsi="仿宋" w:eastAsia="仿宋" w:cs="仿宋"/>
                <w:spacing w:val="8"/>
                <w:sz w:val="24"/>
                <w:szCs w:val="24"/>
                <w:highlight w:val="none"/>
                <w:u w:val="single" w:color="231F20"/>
              </w:rPr>
              <w:t>　　　　</w:t>
            </w:r>
            <w:r>
              <w:rPr>
                <w:rFonts w:hint="eastAsia" w:ascii="仿宋" w:hAnsi="仿宋" w:eastAsia="仿宋" w:cs="仿宋"/>
                <w:spacing w:val="8"/>
                <w:sz w:val="24"/>
                <w:szCs w:val="24"/>
                <w:highlight w:val="none"/>
              </w:rPr>
              <w:t>年</w:t>
            </w:r>
            <w:r>
              <w:rPr>
                <w:rFonts w:hint="eastAsia" w:ascii="仿宋" w:hAnsi="仿宋" w:eastAsia="仿宋" w:cs="仿宋"/>
                <w:spacing w:val="8"/>
                <w:sz w:val="24"/>
                <w:szCs w:val="24"/>
                <w:highlight w:val="none"/>
                <w:u w:val="single" w:color="231F20"/>
              </w:rPr>
              <w:t>　　</w:t>
            </w:r>
            <w:r>
              <w:rPr>
                <w:rFonts w:hint="eastAsia" w:ascii="仿宋" w:hAnsi="仿宋" w:eastAsia="仿宋" w:cs="仿宋"/>
                <w:spacing w:val="8"/>
                <w:sz w:val="24"/>
                <w:szCs w:val="24"/>
                <w:highlight w:val="none"/>
              </w:rPr>
              <w:t>月</w:t>
            </w:r>
            <w:r>
              <w:rPr>
                <w:rFonts w:hint="eastAsia" w:ascii="仿宋" w:hAnsi="仿宋" w:eastAsia="仿宋" w:cs="仿宋"/>
                <w:spacing w:val="8"/>
                <w:sz w:val="24"/>
                <w:szCs w:val="24"/>
                <w:highlight w:val="none"/>
                <w:u w:val="single" w:color="231F20"/>
              </w:rPr>
              <w:t>　　</w:t>
            </w:r>
            <w:r>
              <w:rPr>
                <w:rFonts w:hint="eastAsia" w:ascii="仿宋" w:hAnsi="仿宋" w:eastAsia="仿宋" w:cs="仿宋"/>
                <w:spacing w:val="8"/>
                <w:sz w:val="24"/>
                <w:szCs w:val="24"/>
                <w:highlight w:val="none"/>
              </w:rPr>
              <w:t>日</w:t>
            </w:r>
          </w:p>
        </w:tc>
      </w:tr>
    </w:tbl>
    <w:p w14:paraId="13E518F3">
      <w:pPr>
        <w:pStyle w:val="14"/>
        <w:spacing w:before="0" w:after="0"/>
        <w:rPr>
          <w:highlight w:val="none"/>
        </w:rPr>
      </w:pPr>
      <w:r>
        <w:rPr>
          <w:rFonts w:hint="eastAsia"/>
          <w:highlight w:val="none"/>
        </w:rPr>
        <w:t>第二章　供应商须知</w:t>
      </w:r>
    </w:p>
    <w:p w14:paraId="32AA61E7">
      <w:pPr>
        <w:pStyle w:val="15"/>
        <w:spacing w:before="0" w:after="0"/>
        <w:rPr>
          <w:b/>
          <w:bCs/>
          <w:highlight w:val="none"/>
        </w:rPr>
      </w:pPr>
      <w:r>
        <w:rPr>
          <w:rFonts w:hint="eastAsia"/>
          <w:b/>
          <w:bCs/>
          <w:highlight w:val="none"/>
        </w:rPr>
        <w:t>　　供应商须知前附表</w:t>
      </w:r>
    </w:p>
    <w:tbl>
      <w:tblPr>
        <w:tblStyle w:val="7"/>
        <w:tblW w:w="9057" w:type="dxa"/>
        <w:jc w:val="center"/>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Layout w:type="fixed"/>
        <w:tblCellMar>
          <w:top w:w="0" w:type="dxa"/>
          <w:left w:w="0" w:type="dxa"/>
          <w:bottom w:w="0" w:type="dxa"/>
          <w:right w:w="0" w:type="dxa"/>
        </w:tblCellMar>
      </w:tblPr>
      <w:tblGrid>
        <w:gridCol w:w="1110"/>
        <w:gridCol w:w="2122"/>
        <w:gridCol w:w="5825"/>
      </w:tblGrid>
      <w:tr w14:paraId="3BE3B008">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172" w:hRule="atLeast"/>
          <w:tblHeader/>
          <w:jc w:val="center"/>
        </w:trPr>
        <w:tc>
          <w:tcPr>
            <w:tcW w:w="1110" w:type="dxa"/>
            <w:tcBorders>
              <w:tl2br w:val="nil"/>
              <w:tr2bl w:val="nil"/>
            </w:tcBorders>
            <w:vAlign w:val="center"/>
          </w:tcPr>
          <w:p w14:paraId="1D6C4DE6">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条款号</w:t>
            </w:r>
          </w:p>
        </w:tc>
        <w:tc>
          <w:tcPr>
            <w:tcW w:w="2122" w:type="dxa"/>
            <w:tcBorders>
              <w:tl2br w:val="nil"/>
              <w:tr2bl w:val="nil"/>
            </w:tcBorders>
            <w:vAlign w:val="center"/>
          </w:tcPr>
          <w:p w14:paraId="4E646067">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条款内容</w:t>
            </w:r>
          </w:p>
        </w:tc>
        <w:tc>
          <w:tcPr>
            <w:tcW w:w="5825" w:type="dxa"/>
            <w:tcBorders>
              <w:tl2br w:val="nil"/>
              <w:tr2bl w:val="nil"/>
            </w:tcBorders>
            <w:vAlign w:val="center"/>
          </w:tcPr>
          <w:p w14:paraId="68B6DA58">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规则</w:t>
            </w:r>
          </w:p>
        </w:tc>
      </w:tr>
      <w:tr w14:paraId="08D64A39">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6" w:hRule="atLeast"/>
          <w:jc w:val="center"/>
        </w:trPr>
        <w:tc>
          <w:tcPr>
            <w:tcW w:w="1110" w:type="dxa"/>
            <w:tcBorders>
              <w:tl2br w:val="nil"/>
              <w:tr2bl w:val="nil"/>
            </w:tcBorders>
            <w:vAlign w:val="center"/>
          </w:tcPr>
          <w:p w14:paraId="1F51277A">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1.7.1</w:t>
            </w:r>
          </w:p>
        </w:tc>
        <w:tc>
          <w:tcPr>
            <w:tcW w:w="2122" w:type="dxa"/>
            <w:tcBorders>
              <w:tl2br w:val="nil"/>
              <w:tr2bl w:val="nil"/>
            </w:tcBorders>
            <w:vAlign w:val="center"/>
          </w:tcPr>
          <w:p w14:paraId="43824272">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踏勘现场</w:t>
            </w:r>
          </w:p>
        </w:tc>
        <w:tc>
          <w:tcPr>
            <w:tcW w:w="5825" w:type="dxa"/>
            <w:tcBorders>
              <w:tl2br w:val="nil"/>
              <w:tr2bl w:val="nil"/>
            </w:tcBorders>
            <w:vAlign w:val="center"/>
          </w:tcPr>
          <w:p w14:paraId="775E770A">
            <w:pPr>
              <w:pStyle w:val="11"/>
              <w:widowControl/>
              <w:kinsoku w:val="0"/>
              <w:autoSpaceDE w:val="0"/>
              <w:autoSpaceDN w:val="0"/>
              <w:adjustRightInd w:val="0"/>
              <w:snapToGrid w:val="0"/>
              <w:spacing w:before="156" w:beforeLines="50" w:line="360" w:lineRule="auto"/>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☑不组织　□组织</w:t>
            </w:r>
          </w:p>
          <w:p w14:paraId="6FA7CF7F">
            <w:pPr>
              <w:pStyle w:val="11"/>
              <w:widowControl/>
              <w:kinsoku w:val="0"/>
              <w:autoSpaceDE w:val="0"/>
              <w:autoSpaceDN w:val="0"/>
              <w:adjustRightInd w:val="0"/>
              <w:snapToGrid w:val="0"/>
              <w:spacing w:before="156" w:beforeLines="50" w:line="360" w:lineRule="auto"/>
              <w:ind w:firstLine="640" w:firstLineChars="250"/>
              <w:textAlignment w:val="baseline"/>
              <w:rPr>
                <w:rFonts w:ascii="仿宋" w:hAnsi="仿宋" w:eastAsia="仿宋" w:cs="仿宋"/>
                <w:snapToGrid w:val="0"/>
                <w:color w:val="000000"/>
                <w:spacing w:val="8"/>
                <w:sz w:val="24"/>
                <w:szCs w:val="24"/>
                <w:highlight w:val="none"/>
                <w:u w:val="single"/>
                <w:lang w:eastAsia="zh-CN"/>
              </w:rPr>
            </w:pPr>
            <w:r>
              <w:rPr>
                <w:rFonts w:hint="eastAsia" w:ascii="仿宋" w:hAnsi="仿宋" w:eastAsia="仿宋" w:cs="仿宋"/>
                <w:snapToGrid w:val="0"/>
                <w:color w:val="000000"/>
                <w:spacing w:val="8"/>
                <w:sz w:val="24"/>
                <w:szCs w:val="24"/>
                <w:highlight w:val="none"/>
                <w:lang w:eastAsia="zh-CN"/>
              </w:rPr>
              <w:t>踏勘时间:</w:t>
            </w:r>
            <w:r>
              <w:rPr>
                <w:rFonts w:hint="eastAsia" w:ascii="仿宋" w:hAnsi="仿宋" w:eastAsia="仿宋" w:cs="仿宋"/>
                <w:snapToGrid w:val="0"/>
                <w:color w:val="000000"/>
                <w:spacing w:val="8"/>
                <w:sz w:val="24"/>
                <w:szCs w:val="24"/>
                <w:highlight w:val="none"/>
                <w:u w:val="single"/>
                <w:lang w:eastAsia="zh-CN"/>
              </w:rPr>
              <w:t>　　　　　　</w:t>
            </w:r>
          </w:p>
          <w:p w14:paraId="3718A4C2">
            <w:pPr>
              <w:pStyle w:val="11"/>
              <w:widowControl/>
              <w:kinsoku w:val="0"/>
              <w:autoSpaceDE w:val="0"/>
              <w:autoSpaceDN w:val="0"/>
              <w:adjustRightInd w:val="0"/>
              <w:snapToGrid w:val="0"/>
              <w:spacing w:before="156" w:beforeLines="50" w:line="360" w:lineRule="auto"/>
              <w:ind w:firstLine="640" w:firstLineChars="250"/>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踏勘地点:</w:t>
            </w:r>
            <w:r>
              <w:rPr>
                <w:rFonts w:hint="eastAsia" w:ascii="仿宋" w:hAnsi="仿宋" w:eastAsia="仿宋" w:cs="仿宋"/>
                <w:snapToGrid w:val="0"/>
                <w:color w:val="000000"/>
                <w:spacing w:val="8"/>
                <w:sz w:val="24"/>
                <w:szCs w:val="24"/>
                <w:highlight w:val="none"/>
                <w:u w:val="single"/>
                <w:lang w:eastAsia="zh-CN"/>
              </w:rPr>
              <w:t>　　　　　　</w:t>
            </w:r>
          </w:p>
        </w:tc>
      </w:tr>
      <w:tr w14:paraId="01C05645">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110" w:type="dxa"/>
            <w:tcBorders>
              <w:tl2br w:val="nil"/>
              <w:tr2bl w:val="nil"/>
            </w:tcBorders>
            <w:vAlign w:val="center"/>
          </w:tcPr>
          <w:p w14:paraId="5477B453">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1.8</w:t>
            </w:r>
          </w:p>
        </w:tc>
        <w:tc>
          <w:tcPr>
            <w:tcW w:w="2122" w:type="dxa"/>
            <w:tcBorders>
              <w:tl2br w:val="nil"/>
              <w:tr2bl w:val="nil"/>
            </w:tcBorders>
            <w:vAlign w:val="center"/>
          </w:tcPr>
          <w:p w14:paraId="0435BA65">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rPr>
            </w:pPr>
            <w:r>
              <w:rPr>
                <w:rFonts w:hint="eastAsia" w:ascii="仿宋" w:hAnsi="仿宋" w:eastAsia="仿宋" w:cs="仿宋"/>
                <w:snapToGrid w:val="0"/>
                <w:color w:val="000000"/>
                <w:spacing w:val="8"/>
                <w:sz w:val="24"/>
                <w:szCs w:val="24"/>
                <w:highlight w:val="none"/>
                <w:lang w:eastAsia="zh-CN"/>
              </w:rPr>
              <w:t>谈判预备会</w:t>
            </w:r>
          </w:p>
        </w:tc>
        <w:tc>
          <w:tcPr>
            <w:tcW w:w="5825" w:type="dxa"/>
            <w:tcBorders>
              <w:tl2br w:val="nil"/>
              <w:tr2bl w:val="nil"/>
            </w:tcBorders>
            <w:vAlign w:val="center"/>
          </w:tcPr>
          <w:p w14:paraId="67CAF190">
            <w:pPr>
              <w:pStyle w:val="11"/>
              <w:widowControl/>
              <w:kinsoku w:val="0"/>
              <w:autoSpaceDE w:val="0"/>
              <w:autoSpaceDN w:val="0"/>
              <w:adjustRightInd w:val="0"/>
              <w:snapToGrid w:val="0"/>
              <w:spacing w:before="156" w:beforeLines="50" w:line="360" w:lineRule="auto"/>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☑不组织　□组织</w:t>
            </w:r>
          </w:p>
          <w:p w14:paraId="074E2A83">
            <w:pPr>
              <w:pStyle w:val="11"/>
              <w:widowControl/>
              <w:kinsoku w:val="0"/>
              <w:autoSpaceDE w:val="0"/>
              <w:autoSpaceDN w:val="0"/>
              <w:adjustRightInd w:val="0"/>
              <w:snapToGrid w:val="0"/>
              <w:spacing w:before="156" w:beforeLines="50" w:line="360" w:lineRule="auto"/>
              <w:ind w:firstLine="640" w:firstLineChars="250"/>
              <w:textAlignment w:val="baseline"/>
              <w:rPr>
                <w:rFonts w:ascii="仿宋" w:hAnsi="仿宋" w:eastAsia="仿宋" w:cs="仿宋"/>
                <w:snapToGrid w:val="0"/>
                <w:color w:val="000000"/>
                <w:spacing w:val="8"/>
                <w:sz w:val="24"/>
                <w:szCs w:val="24"/>
                <w:highlight w:val="none"/>
                <w:u w:val="single"/>
                <w:lang w:eastAsia="zh-CN"/>
              </w:rPr>
            </w:pPr>
            <w:r>
              <w:rPr>
                <w:rFonts w:hint="eastAsia" w:ascii="仿宋" w:hAnsi="仿宋" w:eastAsia="仿宋" w:cs="仿宋"/>
                <w:snapToGrid w:val="0"/>
                <w:color w:val="000000"/>
                <w:spacing w:val="8"/>
                <w:sz w:val="24"/>
                <w:szCs w:val="24"/>
                <w:highlight w:val="none"/>
                <w:lang w:eastAsia="zh-CN"/>
              </w:rPr>
              <w:t>召开时间:</w:t>
            </w:r>
            <w:r>
              <w:rPr>
                <w:rFonts w:hint="eastAsia" w:ascii="仿宋" w:hAnsi="仿宋" w:eastAsia="仿宋" w:cs="仿宋"/>
                <w:snapToGrid w:val="0"/>
                <w:color w:val="000000"/>
                <w:spacing w:val="8"/>
                <w:sz w:val="24"/>
                <w:szCs w:val="24"/>
                <w:highlight w:val="none"/>
                <w:u w:val="single"/>
                <w:lang w:eastAsia="zh-CN"/>
              </w:rPr>
              <w:t>　　　　</w:t>
            </w:r>
          </w:p>
          <w:p w14:paraId="7D50FEB1">
            <w:pPr>
              <w:pStyle w:val="11"/>
              <w:widowControl/>
              <w:kinsoku w:val="0"/>
              <w:autoSpaceDE w:val="0"/>
              <w:autoSpaceDN w:val="0"/>
              <w:adjustRightInd w:val="0"/>
              <w:snapToGrid w:val="0"/>
              <w:spacing w:before="156" w:beforeLines="50" w:line="360" w:lineRule="auto"/>
              <w:ind w:firstLine="640" w:firstLineChars="250"/>
              <w:textAlignment w:val="baseline"/>
              <w:rPr>
                <w:rFonts w:ascii="仿宋" w:hAnsi="仿宋" w:eastAsia="仿宋" w:cs="仿宋"/>
                <w:snapToGrid w:val="0"/>
                <w:color w:val="000000"/>
                <w:spacing w:val="8"/>
                <w:sz w:val="24"/>
                <w:szCs w:val="24"/>
                <w:highlight w:val="none"/>
              </w:rPr>
            </w:pPr>
            <w:r>
              <w:rPr>
                <w:rFonts w:hint="eastAsia" w:ascii="仿宋" w:hAnsi="仿宋" w:eastAsia="仿宋" w:cs="仿宋"/>
                <w:snapToGrid w:val="0"/>
                <w:color w:val="000000"/>
                <w:spacing w:val="8"/>
                <w:sz w:val="24"/>
                <w:szCs w:val="24"/>
                <w:highlight w:val="none"/>
                <w:lang w:eastAsia="zh-CN"/>
              </w:rPr>
              <w:t>召开地点:</w:t>
            </w:r>
            <w:r>
              <w:rPr>
                <w:rFonts w:hint="eastAsia" w:ascii="仿宋" w:hAnsi="仿宋" w:eastAsia="仿宋" w:cs="仿宋"/>
                <w:snapToGrid w:val="0"/>
                <w:color w:val="000000"/>
                <w:spacing w:val="8"/>
                <w:sz w:val="24"/>
                <w:szCs w:val="24"/>
                <w:highlight w:val="none"/>
                <w:u w:val="single"/>
                <w:lang w:eastAsia="zh-CN"/>
              </w:rPr>
              <w:t>　　　　</w:t>
            </w:r>
          </w:p>
        </w:tc>
      </w:tr>
      <w:tr w14:paraId="3E051EB8">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110" w:type="dxa"/>
            <w:tcBorders>
              <w:tl2br w:val="nil"/>
              <w:tr2bl w:val="nil"/>
            </w:tcBorders>
            <w:vAlign w:val="center"/>
          </w:tcPr>
          <w:p w14:paraId="4289FE70">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1.9</w:t>
            </w:r>
          </w:p>
        </w:tc>
        <w:tc>
          <w:tcPr>
            <w:tcW w:w="2122" w:type="dxa"/>
            <w:tcBorders>
              <w:tl2br w:val="nil"/>
              <w:tr2bl w:val="nil"/>
            </w:tcBorders>
            <w:vAlign w:val="center"/>
          </w:tcPr>
          <w:p w14:paraId="13EB7FE8">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rPr>
            </w:pPr>
            <w:r>
              <w:rPr>
                <w:rFonts w:hint="eastAsia" w:ascii="仿宋" w:hAnsi="仿宋" w:eastAsia="仿宋" w:cs="仿宋"/>
                <w:snapToGrid w:val="0"/>
                <w:color w:val="000000"/>
                <w:spacing w:val="8"/>
                <w:sz w:val="24"/>
                <w:szCs w:val="24"/>
                <w:highlight w:val="none"/>
                <w:lang w:eastAsia="zh-CN"/>
              </w:rPr>
              <w:t>分包</w:t>
            </w:r>
          </w:p>
        </w:tc>
        <w:tc>
          <w:tcPr>
            <w:tcW w:w="5825" w:type="dxa"/>
            <w:tcBorders>
              <w:tl2br w:val="nil"/>
              <w:tr2bl w:val="nil"/>
            </w:tcBorders>
            <w:vAlign w:val="center"/>
          </w:tcPr>
          <w:p w14:paraId="02D96C90">
            <w:pPr>
              <w:pStyle w:val="11"/>
              <w:widowControl/>
              <w:kinsoku w:val="0"/>
              <w:autoSpaceDE w:val="0"/>
              <w:autoSpaceDN w:val="0"/>
              <w:adjustRightInd w:val="0"/>
              <w:snapToGrid w:val="0"/>
              <w:spacing w:before="156" w:beforeLines="50" w:line="360" w:lineRule="auto"/>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☑不允许　□允许</w:t>
            </w:r>
          </w:p>
          <w:p w14:paraId="3FF366EC">
            <w:pPr>
              <w:pStyle w:val="11"/>
              <w:widowControl/>
              <w:kinsoku w:val="0"/>
              <w:autoSpaceDE w:val="0"/>
              <w:autoSpaceDN w:val="0"/>
              <w:adjustRightInd w:val="0"/>
              <w:snapToGrid w:val="0"/>
              <w:spacing w:before="156" w:beforeLines="50" w:line="360" w:lineRule="auto"/>
              <w:ind w:firstLine="640" w:firstLineChars="250"/>
              <w:textAlignment w:val="baseline"/>
              <w:rPr>
                <w:rFonts w:ascii="仿宋" w:hAnsi="仿宋" w:eastAsia="仿宋" w:cs="仿宋"/>
                <w:snapToGrid w:val="0"/>
                <w:color w:val="000000"/>
                <w:spacing w:val="8"/>
                <w:sz w:val="24"/>
                <w:szCs w:val="24"/>
                <w:highlight w:val="none"/>
                <w:u w:val="single"/>
                <w:lang w:eastAsia="zh-CN"/>
              </w:rPr>
            </w:pPr>
            <w:r>
              <w:rPr>
                <w:rFonts w:hint="eastAsia" w:ascii="仿宋" w:hAnsi="仿宋" w:eastAsia="仿宋" w:cs="仿宋"/>
                <w:snapToGrid w:val="0"/>
                <w:color w:val="000000"/>
                <w:spacing w:val="8"/>
                <w:sz w:val="24"/>
                <w:szCs w:val="24"/>
                <w:highlight w:val="none"/>
                <w:lang w:eastAsia="zh-CN"/>
              </w:rPr>
              <w:t>允许分包的内容:</w:t>
            </w:r>
            <w:r>
              <w:rPr>
                <w:rFonts w:hint="eastAsia" w:ascii="仿宋" w:hAnsi="仿宋" w:eastAsia="仿宋" w:cs="仿宋"/>
                <w:snapToGrid w:val="0"/>
                <w:color w:val="000000"/>
                <w:spacing w:val="8"/>
                <w:sz w:val="24"/>
                <w:szCs w:val="24"/>
                <w:highlight w:val="none"/>
                <w:u w:val="single"/>
                <w:lang w:eastAsia="zh-CN"/>
              </w:rPr>
              <w:t>　　　　</w:t>
            </w:r>
          </w:p>
          <w:p w14:paraId="05856A41">
            <w:pPr>
              <w:pStyle w:val="11"/>
              <w:widowControl/>
              <w:kinsoku w:val="0"/>
              <w:autoSpaceDE w:val="0"/>
              <w:autoSpaceDN w:val="0"/>
              <w:adjustRightInd w:val="0"/>
              <w:snapToGrid w:val="0"/>
              <w:spacing w:before="156" w:beforeLines="50" w:line="360" w:lineRule="auto"/>
              <w:ind w:firstLine="640" w:firstLineChars="250"/>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分包商应当满足的要求:</w:t>
            </w:r>
            <w:r>
              <w:rPr>
                <w:rFonts w:hint="eastAsia" w:ascii="仿宋" w:hAnsi="仿宋" w:eastAsia="仿宋" w:cs="仿宋"/>
                <w:snapToGrid w:val="0"/>
                <w:color w:val="000000"/>
                <w:spacing w:val="8"/>
                <w:sz w:val="24"/>
                <w:szCs w:val="24"/>
                <w:highlight w:val="none"/>
                <w:u w:val="single"/>
                <w:lang w:eastAsia="zh-CN"/>
              </w:rPr>
              <w:t>　　　　</w:t>
            </w:r>
          </w:p>
        </w:tc>
      </w:tr>
      <w:tr w14:paraId="1C065929">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110" w:type="dxa"/>
            <w:tcBorders>
              <w:tl2br w:val="nil"/>
              <w:tr2bl w:val="nil"/>
            </w:tcBorders>
            <w:vAlign w:val="center"/>
          </w:tcPr>
          <w:p w14:paraId="640202C3">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1.10.2</w:t>
            </w:r>
          </w:p>
        </w:tc>
        <w:tc>
          <w:tcPr>
            <w:tcW w:w="2122" w:type="dxa"/>
            <w:tcBorders>
              <w:tl2br w:val="nil"/>
              <w:tr2bl w:val="nil"/>
            </w:tcBorders>
            <w:vAlign w:val="center"/>
          </w:tcPr>
          <w:p w14:paraId="574A8912">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对非关键条款的偏差</w:t>
            </w:r>
          </w:p>
        </w:tc>
        <w:tc>
          <w:tcPr>
            <w:tcW w:w="5825" w:type="dxa"/>
            <w:tcBorders>
              <w:tl2br w:val="nil"/>
              <w:tr2bl w:val="nil"/>
            </w:tcBorders>
            <w:vAlign w:val="center"/>
          </w:tcPr>
          <w:p w14:paraId="1D5A85CB">
            <w:pPr>
              <w:pStyle w:val="11"/>
              <w:widowControl/>
              <w:kinsoku w:val="0"/>
              <w:autoSpaceDE w:val="0"/>
              <w:autoSpaceDN w:val="0"/>
              <w:adjustRightInd w:val="0"/>
              <w:snapToGrid w:val="0"/>
              <w:spacing w:before="156" w:beforeLines="50" w:line="360" w:lineRule="auto"/>
              <w:jc w:val="left"/>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允许偏差的范围：</w:t>
            </w:r>
            <w:r>
              <w:rPr>
                <w:rFonts w:hint="eastAsia" w:ascii="仿宋" w:hAnsi="仿宋" w:eastAsia="仿宋" w:cs="仿宋"/>
                <w:snapToGrid w:val="0"/>
                <w:color w:val="000000"/>
                <w:spacing w:val="8"/>
                <w:sz w:val="24"/>
                <w:szCs w:val="24"/>
                <w:highlight w:val="none"/>
                <w:u w:val="single"/>
                <w:lang w:eastAsia="zh-CN"/>
              </w:rPr>
              <w:t>　非关键条款　</w:t>
            </w:r>
          </w:p>
          <w:p w14:paraId="6FC7E354">
            <w:pPr>
              <w:pStyle w:val="11"/>
              <w:widowControl/>
              <w:kinsoku w:val="0"/>
              <w:autoSpaceDE w:val="0"/>
              <w:autoSpaceDN w:val="0"/>
              <w:adjustRightInd w:val="0"/>
              <w:snapToGrid w:val="0"/>
              <w:spacing w:before="156" w:beforeLines="50" w:line="360" w:lineRule="auto"/>
              <w:jc w:val="left"/>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允许偏差的项数：</w:t>
            </w:r>
            <w:r>
              <w:rPr>
                <w:rFonts w:hint="eastAsia" w:ascii="仿宋" w:hAnsi="仿宋" w:eastAsia="仿宋" w:cs="仿宋"/>
                <w:snapToGrid w:val="0"/>
                <w:color w:val="000000"/>
                <w:spacing w:val="8"/>
                <w:sz w:val="24"/>
                <w:szCs w:val="24"/>
                <w:highlight w:val="none"/>
                <w:u w:val="single"/>
                <w:lang w:eastAsia="zh-CN"/>
              </w:rPr>
              <w:t>　　/　　</w:t>
            </w:r>
            <w:r>
              <w:rPr>
                <w:rFonts w:hint="eastAsia" w:ascii="仿宋" w:hAnsi="仿宋" w:eastAsia="仿宋" w:cs="仿宋"/>
                <w:snapToGrid w:val="0"/>
                <w:color w:val="000000"/>
                <w:spacing w:val="8"/>
                <w:sz w:val="24"/>
                <w:szCs w:val="24"/>
                <w:highlight w:val="none"/>
                <w:lang w:eastAsia="zh-CN"/>
              </w:rPr>
              <w:t>项</w:t>
            </w:r>
          </w:p>
        </w:tc>
      </w:tr>
      <w:tr w14:paraId="1C0EB182">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110" w:type="dxa"/>
            <w:tcBorders>
              <w:tl2br w:val="nil"/>
              <w:tr2bl w:val="nil"/>
            </w:tcBorders>
            <w:vAlign w:val="center"/>
          </w:tcPr>
          <w:p w14:paraId="14359C9C">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2.1</w:t>
            </w:r>
          </w:p>
        </w:tc>
        <w:tc>
          <w:tcPr>
            <w:tcW w:w="2122" w:type="dxa"/>
            <w:tcBorders>
              <w:tl2br w:val="nil"/>
              <w:tr2bl w:val="nil"/>
            </w:tcBorders>
            <w:vAlign w:val="center"/>
          </w:tcPr>
          <w:p w14:paraId="71C6BB98">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构成采购文件的其他资料</w:t>
            </w:r>
          </w:p>
        </w:tc>
        <w:tc>
          <w:tcPr>
            <w:tcW w:w="5825" w:type="dxa"/>
            <w:tcBorders>
              <w:tl2br w:val="nil"/>
              <w:tr2bl w:val="nil"/>
            </w:tcBorders>
            <w:vAlign w:val="center"/>
          </w:tcPr>
          <w:p w14:paraId="41D7CE7F">
            <w:pPr>
              <w:pStyle w:val="11"/>
              <w:widowControl/>
              <w:kinsoku w:val="0"/>
              <w:autoSpaceDE w:val="0"/>
              <w:autoSpaceDN w:val="0"/>
              <w:adjustRightInd w:val="0"/>
              <w:snapToGrid w:val="0"/>
              <w:spacing w:before="156" w:beforeLines="50" w:line="360" w:lineRule="auto"/>
              <w:jc w:val="left"/>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资料名称：</w:t>
            </w:r>
            <w:r>
              <w:rPr>
                <w:rFonts w:hint="eastAsia" w:ascii="仿宋" w:hAnsi="仿宋" w:eastAsia="仿宋" w:cs="仿宋"/>
                <w:snapToGrid w:val="0"/>
                <w:color w:val="000000"/>
                <w:spacing w:val="8"/>
                <w:sz w:val="24"/>
                <w:szCs w:val="24"/>
                <w:highlight w:val="none"/>
                <w:u w:val="single"/>
                <w:lang w:eastAsia="zh-CN"/>
              </w:rPr>
              <w:t>　　/　　</w:t>
            </w:r>
          </w:p>
        </w:tc>
      </w:tr>
      <w:tr w14:paraId="27DED34B">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110" w:type="dxa"/>
            <w:tcBorders>
              <w:tl2br w:val="nil"/>
              <w:tr2bl w:val="nil"/>
            </w:tcBorders>
            <w:vAlign w:val="center"/>
          </w:tcPr>
          <w:p w14:paraId="3482E0DF">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2.2.1</w:t>
            </w:r>
          </w:p>
        </w:tc>
        <w:tc>
          <w:tcPr>
            <w:tcW w:w="2122" w:type="dxa"/>
            <w:tcBorders>
              <w:tl2br w:val="nil"/>
              <w:tr2bl w:val="nil"/>
            </w:tcBorders>
            <w:vAlign w:val="center"/>
          </w:tcPr>
          <w:p w14:paraId="2F153BAA">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供应商要求澄清采购文件的时间</w:t>
            </w:r>
          </w:p>
        </w:tc>
        <w:tc>
          <w:tcPr>
            <w:tcW w:w="5825" w:type="dxa"/>
            <w:tcBorders>
              <w:tl2br w:val="nil"/>
              <w:tr2bl w:val="nil"/>
            </w:tcBorders>
            <w:vAlign w:val="center"/>
          </w:tcPr>
          <w:p w14:paraId="5EDBC638">
            <w:pPr>
              <w:pStyle w:val="11"/>
              <w:widowControl/>
              <w:kinsoku w:val="0"/>
              <w:autoSpaceDE w:val="0"/>
              <w:autoSpaceDN w:val="0"/>
              <w:adjustRightInd w:val="0"/>
              <w:snapToGrid w:val="0"/>
              <w:spacing w:before="156" w:beforeLines="50" w:line="360" w:lineRule="auto"/>
              <w:jc w:val="left"/>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截止时间：</w:t>
            </w:r>
            <w:r>
              <w:rPr>
                <w:rFonts w:hint="eastAsia" w:ascii="仿宋" w:hAnsi="仿宋" w:eastAsia="仿宋" w:cs="仿宋"/>
                <w:snapToGrid w:val="0"/>
                <w:color w:val="000000"/>
                <w:spacing w:val="8"/>
                <w:sz w:val="24"/>
                <w:szCs w:val="24"/>
                <w:highlight w:val="none"/>
                <w:u w:val="single"/>
                <w:lang w:eastAsia="zh-CN"/>
              </w:rPr>
              <w:t>　　/　　</w:t>
            </w:r>
          </w:p>
        </w:tc>
      </w:tr>
      <w:tr w14:paraId="59A415D2">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110" w:type="dxa"/>
            <w:tcBorders>
              <w:tl2br w:val="nil"/>
              <w:tr2bl w:val="nil"/>
            </w:tcBorders>
            <w:vAlign w:val="center"/>
          </w:tcPr>
          <w:p w14:paraId="65C02E50">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2.2.3</w:t>
            </w:r>
          </w:p>
        </w:tc>
        <w:tc>
          <w:tcPr>
            <w:tcW w:w="2122" w:type="dxa"/>
            <w:tcBorders>
              <w:tl2br w:val="nil"/>
              <w:tr2bl w:val="nil"/>
            </w:tcBorders>
            <w:vAlign w:val="center"/>
          </w:tcPr>
          <w:p w14:paraId="5F6ED9EE">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供应商确认收到采购文件</w:t>
            </w:r>
          </w:p>
        </w:tc>
        <w:tc>
          <w:tcPr>
            <w:tcW w:w="5825" w:type="dxa"/>
            <w:tcBorders>
              <w:tl2br w:val="nil"/>
              <w:tr2bl w:val="nil"/>
            </w:tcBorders>
            <w:vAlign w:val="center"/>
          </w:tcPr>
          <w:p w14:paraId="3219AB60">
            <w:pPr>
              <w:pStyle w:val="11"/>
              <w:widowControl/>
              <w:kinsoku w:val="0"/>
              <w:autoSpaceDE w:val="0"/>
              <w:autoSpaceDN w:val="0"/>
              <w:adjustRightInd w:val="0"/>
              <w:snapToGrid w:val="0"/>
              <w:spacing w:before="156" w:beforeLines="50" w:line="360" w:lineRule="auto"/>
              <w:jc w:val="left"/>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确认的最晚时间：</w:t>
            </w:r>
            <w:r>
              <w:rPr>
                <w:rFonts w:hint="eastAsia" w:ascii="仿宋" w:hAnsi="仿宋" w:eastAsia="仿宋" w:cs="仿宋"/>
                <w:snapToGrid w:val="0"/>
                <w:color w:val="000000"/>
                <w:spacing w:val="8"/>
                <w:sz w:val="24"/>
                <w:szCs w:val="24"/>
                <w:highlight w:val="none"/>
                <w:u w:val="single"/>
                <w:lang w:eastAsia="zh-CN"/>
              </w:rPr>
              <w:t>　　/　　</w:t>
            </w:r>
          </w:p>
          <w:p w14:paraId="2E25CF60">
            <w:pPr>
              <w:pStyle w:val="11"/>
              <w:widowControl/>
              <w:kinsoku w:val="0"/>
              <w:autoSpaceDE w:val="0"/>
              <w:autoSpaceDN w:val="0"/>
              <w:adjustRightInd w:val="0"/>
              <w:snapToGrid w:val="0"/>
              <w:spacing w:before="156" w:beforeLines="50" w:line="360" w:lineRule="auto"/>
              <w:jc w:val="left"/>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确认的方式：</w:t>
            </w:r>
            <w:r>
              <w:rPr>
                <w:rFonts w:hint="eastAsia" w:ascii="仿宋" w:hAnsi="仿宋" w:eastAsia="仿宋" w:cs="仿宋"/>
                <w:snapToGrid w:val="0"/>
                <w:color w:val="000000"/>
                <w:spacing w:val="8"/>
                <w:sz w:val="24"/>
                <w:szCs w:val="24"/>
                <w:highlight w:val="none"/>
                <w:u w:val="single"/>
                <w:lang w:eastAsia="zh-CN"/>
              </w:rPr>
              <w:t>　　/　　</w:t>
            </w:r>
          </w:p>
        </w:tc>
      </w:tr>
      <w:tr w14:paraId="57281E69">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110" w:type="dxa"/>
            <w:tcBorders>
              <w:tl2br w:val="nil"/>
              <w:tr2bl w:val="nil"/>
            </w:tcBorders>
            <w:vAlign w:val="center"/>
          </w:tcPr>
          <w:p w14:paraId="693BD77C">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3.1.1</w:t>
            </w:r>
          </w:p>
        </w:tc>
        <w:tc>
          <w:tcPr>
            <w:tcW w:w="2122" w:type="dxa"/>
            <w:tcBorders>
              <w:tl2br w:val="nil"/>
              <w:tr2bl w:val="nil"/>
            </w:tcBorders>
            <w:vAlign w:val="center"/>
          </w:tcPr>
          <w:p w14:paraId="6AAFBE5F">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构成响应文件的其他资料</w:t>
            </w:r>
          </w:p>
        </w:tc>
        <w:tc>
          <w:tcPr>
            <w:tcW w:w="5825" w:type="dxa"/>
            <w:tcBorders>
              <w:tl2br w:val="nil"/>
              <w:tr2bl w:val="nil"/>
            </w:tcBorders>
            <w:vAlign w:val="center"/>
          </w:tcPr>
          <w:p w14:paraId="50FE8793">
            <w:pPr>
              <w:pStyle w:val="11"/>
              <w:widowControl/>
              <w:kinsoku w:val="0"/>
              <w:autoSpaceDE w:val="0"/>
              <w:autoSpaceDN w:val="0"/>
              <w:adjustRightInd w:val="0"/>
              <w:snapToGrid w:val="0"/>
              <w:spacing w:before="156" w:beforeLines="50" w:line="360" w:lineRule="auto"/>
              <w:jc w:val="left"/>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资料名称：</w:t>
            </w:r>
            <w:r>
              <w:rPr>
                <w:rFonts w:hint="eastAsia" w:ascii="仿宋" w:hAnsi="仿宋" w:eastAsia="仿宋" w:cs="仿宋"/>
                <w:snapToGrid w:val="0"/>
                <w:color w:val="000000"/>
                <w:spacing w:val="8"/>
                <w:sz w:val="24"/>
                <w:szCs w:val="24"/>
                <w:highlight w:val="none"/>
                <w:u w:val="single"/>
                <w:lang w:eastAsia="zh-CN"/>
              </w:rPr>
              <w:t>　　/　　</w:t>
            </w:r>
          </w:p>
        </w:tc>
      </w:tr>
      <w:tr w14:paraId="2FD67F70">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110" w:type="dxa"/>
            <w:tcBorders>
              <w:tl2br w:val="nil"/>
              <w:tr2bl w:val="nil"/>
            </w:tcBorders>
            <w:vAlign w:val="center"/>
          </w:tcPr>
          <w:p w14:paraId="139186A2">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3.2.2</w:t>
            </w:r>
          </w:p>
        </w:tc>
        <w:tc>
          <w:tcPr>
            <w:tcW w:w="2122" w:type="dxa"/>
            <w:tcBorders>
              <w:tl2br w:val="nil"/>
              <w:tr2bl w:val="nil"/>
            </w:tcBorders>
            <w:vAlign w:val="center"/>
          </w:tcPr>
          <w:p w14:paraId="0D4A4D73">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采购标的数量增减幅度</w:t>
            </w:r>
          </w:p>
        </w:tc>
        <w:tc>
          <w:tcPr>
            <w:tcW w:w="5825" w:type="dxa"/>
            <w:tcBorders>
              <w:tl2br w:val="nil"/>
              <w:tr2bl w:val="nil"/>
            </w:tcBorders>
            <w:vAlign w:val="center"/>
          </w:tcPr>
          <w:p w14:paraId="4D4D268A">
            <w:pPr>
              <w:pStyle w:val="11"/>
              <w:widowControl/>
              <w:kinsoku w:val="0"/>
              <w:autoSpaceDE w:val="0"/>
              <w:autoSpaceDN w:val="0"/>
              <w:adjustRightInd w:val="0"/>
              <w:snapToGrid w:val="0"/>
              <w:spacing w:before="156" w:beforeLines="50" w:line="360" w:lineRule="auto"/>
              <w:jc w:val="left"/>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采购标的数量增减幅度：</w:t>
            </w:r>
            <w:r>
              <w:rPr>
                <w:rFonts w:hint="eastAsia" w:ascii="仿宋" w:hAnsi="仿宋" w:eastAsia="仿宋" w:cs="仿宋"/>
                <w:snapToGrid w:val="0"/>
                <w:color w:val="000000"/>
                <w:spacing w:val="8"/>
                <w:sz w:val="24"/>
                <w:szCs w:val="24"/>
                <w:highlight w:val="none"/>
                <w:u w:val="single"/>
                <w:lang w:eastAsia="zh-CN"/>
              </w:rPr>
              <w:t>　/　</w:t>
            </w:r>
            <w:r>
              <w:rPr>
                <w:rFonts w:hint="eastAsia" w:ascii="仿宋" w:hAnsi="仿宋" w:eastAsia="仿宋" w:cs="仿宋"/>
                <w:snapToGrid w:val="0"/>
                <w:color w:val="000000"/>
                <w:spacing w:val="8"/>
                <w:sz w:val="24"/>
                <w:szCs w:val="24"/>
                <w:highlight w:val="none"/>
                <w:lang w:eastAsia="zh-CN"/>
              </w:rPr>
              <w:t>%</w:t>
            </w:r>
          </w:p>
          <w:p w14:paraId="3E27D33D">
            <w:pPr>
              <w:pStyle w:val="11"/>
              <w:widowControl/>
              <w:kinsoku w:val="0"/>
              <w:autoSpaceDE w:val="0"/>
              <w:autoSpaceDN w:val="0"/>
              <w:adjustRightInd w:val="0"/>
              <w:snapToGrid w:val="0"/>
              <w:spacing w:before="156" w:beforeLines="50" w:line="360" w:lineRule="auto"/>
              <w:jc w:val="left"/>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（注：数量增减幅度通常在10%以内。）</w:t>
            </w:r>
          </w:p>
        </w:tc>
      </w:tr>
      <w:tr w14:paraId="496A5978">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110" w:type="dxa"/>
            <w:tcBorders>
              <w:tl2br w:val="nil"/>
              <w:tr2bl w:val="nil"/>
            </w:tcBorders>
            <w:vAlign w:val="center"/>
          </w:tcPr>
          <w:p w14:paraId="3B821F8F">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3.2.3</w:t>
            </w:r>
          </w:p>
        </w:tc>
        <w:tc>
          <w:tcPr>
            <w:tcW w:w="2122" w:type="dxa"/>
            <w:tcBorders>
              <w:tl2br w:val="nil"/>
              <w:tr2bl w:val="nil"/>
            </w:tcBorders>
            <w:shd w:val="clear" w:color="auto" w:fill="auto"/>
            <w:vAlign w:val="center"/>
          </w:tcPr>
          <w:p w14:paraId="362F676F">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最高限价</w:t>
            </w:r>
          </w:p>
        </w:tc>
        <w:tc>
          <w:tcPr>
            <w:tcW w:w="5825" w:type="dxa"/>
            <w:tcBorders>
              <w:tl2br w:val="nil"/>
              <w:tr2bl w:val="nil"/>
            </w:tcBorders>
            <w:shd w:val="clear" w:color="auto" w:fill="auto"/>
            <w:vAlign w:val="center"/>
          </w:tcPr>
          <w:p w14:paraId="1118E4C4">
            <w:pPr>
              <w:pStyle w:val="11"/>
              <w:widowControl/>
              <w:kinsoku w:val="0"/>
              <w:autoSpaceDE w:val="0"/>
              <w:autoSpaceDN w:val="0"/>
              <w:adjustRightInd w:val="0"/>
              <w:snapToGrid w:val="0"/>
              <w:spacing w:before="156" w:beforeLines="50" w:line="360" w:lineRule="auto"/>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□不设置　☑设置</w:t>
            </w:r>
          </w:p>
          <w:p w14:paraId="196C5C49">
            <w:pPr>
              <w:pStyle w:val="11"/>
              <w:widowControl/>
              <w:kinsoku w:val="0"/>
              <w:autoSpaceDE w:val="0"/>
              <w:autoSpaceDN w:val="0"/>
              <w:adjustRightInd w:val="0"/>
              <w:snapToGrid w:val="0"/>
              <w:spacing w:before="156" w:beforeLines="50" w:line="360" w:lineRule="auto"/>
              <w:ind w:firstLine="640" w:firstLineChars="250"/>
              <w:textAlignment w:val="baseline"/>
              <w:rPr>
                <w:rFonts w:ascii="仿宋" w:hAnsi="仿宋" w:eastAsia="仿宋" w:cs="仿宋"/>
                <w:snapToGrid w:val="0"/>
                <w:color w:val="000000"/>
                <w:spacing w:val="8"/>
                <w:sz w:val="24"/>
                <w:szCs w:val="24"/>
                <w:highlight w:val="none"/>
                <w:lang w:eastAsia="zh-CN"/>
              </w:rPr>
            </w:pPr>
            <w:r>
              <w:rPr>
                <w:rFonts w:ascii="Segoe UI Symbol" w:hAnsi="Segoe UI Symbol" w:eastAsia="仿宋" w:cs="Segoe UI Symbol"/>
                <w:snapToGrid w:val="0"/>
                <w:spacing w:val="8"/>
                <w:sz w:val="24"/>
                <w:szCs w:val="24"/>
                <w:highlight w:val="none"/>
                <w:lang w:eastAsia="zh-CN"/>
              </w:rPr>
              <w:t>☑</w:t>
            </w:r>
            <w:r>
              <w:rPr>
                <w:rFonts w:hint="eastAsia" w:ascii="仿宋" w:hAnsi="仿宋" w:eastAsia="仿宋" w:cs="仿宋"/>
                <w:snapToGrid w:val="0"/>
                <w:spacing w:val="8"/>
                <w:sz w:val="24"/>
                <w:szCs w:val="24"/>
                <w:highlight w:val="none"/>
                <w:lang w:eastAsia="zh-CN"/>
              </w:rPr>
              <w:t>最高限价:</w:t>
            </w:r>
            <w:r>
              <w:rPr>
                <w:rFonts w:hint="eastAsia" w:ascii="仿宋" w:hAnsi="仿宋" w:eastAsia="仿宋" w:cs="仿宋"/>
                <w:snapToGrid w:val="0"/>
                <w:spacing w:val="8"/>
                <w:sz w:val="24"/>
                <w:szCs w:val="24"/>
                <w:highlight w:val="none"/>
                <w:u w:val="single"/>
                <w:lang w:eastAsia="zh-CN"/>
              </w:rPr>
              <w:t>　</w:t>
            </w:r>
            <w:r>
              <w:rPr>
                <w:rFonts w:ascii="仿宋" w:hAnsi="仿宋" w:eastAsia="仿宋" w:cs="仿宋"/>
                <w:snapToGrid w:val="0"/>
                <w:spacing w:val="8"/>
                <w:sz w:val="24"/>
                <w:szCs w:val="24"/>
                <w:highlight w:val="none"/>
                <w:u w:val="single"/>
                <w:lang w:eastAsia="zh-CN"/>
              </w:rPr>
              <w:t>2100000.00</w:t>
            </w:r>
            <w:r>
              <w:rPr>
                <w:rFonts w:hint="eastAsia" w:ascii="仿宋" w:hAnsi="仿宋" w:eastAsia="仿宋" w:cs="仿宋"/>
                <w:snapToGrid w:val="0"/>
                <w:spacing w:val="8"/>
                <w:sz w:val="24"/>
                <w:szCs w:val="24"/>
                <w:highlight w:val="none"/>
                <w:u w:val="single"/>
                <w:lang w:eastAsia="zh-CN"/>
              </w:rPr>
              <w:t>元</w:t>
            </w:r>
            <w:r>
              <w:rPr>
                <w:rFonts w:hint="eastAsia" w:ascii="仿宋" w:hAnsi="仿宋" w:eastAsia="仿宋" w:cs="仿宋"/>
                <w:snapToGrid w:val="0"/>
                <w:spacing w:val="8"/>
                <w:sz w:val="24"/>
                <w:szCs w:val="24"/>
                <w:highlight w:val="none"/>
                <w:u w:val="single"/>
                <w:lang w:eastAsia="zh-CN"/>
              </w:rPr>
              <w:t>　</w:t>
            </w:r>
          </w:p>
        </w:tc>
      </w:tr>
      <w:tr w14:paraId="761C80F5">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110" w:type="dxa"/>
            <w:tcBorders>
              <w:tl2br w:val="nil"/>
              <w:tr2bl w:val="nil"/>
            </w:tcBorders>
            <w:vAlign w:val="center"/>
          </w:tcPr>
          <w:p w14:paraId="5A89532F">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3.2.4</w:t>
            </w:r>
          </w:p>
        </w:tc>
        <w:tc>
          <w:tcPr>
            <w:tcW w:w="2122" w:type="dxa"/>
            <w:tcBorders>
              <w:tl2br w:val="nil"/>
              <w:tr2bl w:val="nil"/>
            </w:tcBorders>
            <w:shd w:val="clear" w:color="auto" w:fill="auto"/>
            <w:vAlign w:val="center"/>
          </w:tcPr>
          <w:p w14:paraId="0F46AD1A">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其他报价要求</w:t>
            </w:r>
          </w:p>
        </w:tc>
        <w:tc>
          <w:tcPr>
            <w:tcW w:w="5825" w:type="dxa"/>
            <w:tcBorders>
              <w:tl2br w:val="nil"/>
              <w:tr2bl w:val="nil"/>
            </w:tcBorders>
            <w:shd w:val="clear" w:color="auto" w:fill="auto"/>
            <w:vAlign w:val="center"/>
          </w:tcPr>
          <w:p w14:paraId="6AEEA61C">
            <w:pPr>
              <w:pStyle w:val="11"/>
              <w:widowControl/>
              <w:kinsoku w:val="0"/>
              <w:autoSpaceDE w:val="0"/>
              <w:autoSpaceDN w:val="0"/>
              <w:adjustRightInd w:val="0"/>
              <w:snapToGrid w:val="0"/>
              <w:spacing w:before="156" w:beforeLines="50" w:line="360" w:lineRule="auto"/>
              <w:textAlignment w:val="baseline"/>
              <w:rPr>
                <w:rFonts w:ascii="仿宋" w:hAnsi="仿宋" w:eastAsia="仿宋" w:cs="仿宋"/>
                <w:snapToGrid w:val="0"/>
                <w:spacing w:val="8"/>
                <w:sz w:val="24"/>
                <w:szCs w:val="24"/>
                <w:highlight w:val="none"/>
                <w:lang w:eastAsia="zh-CN"/>
              </w:rPr>
            </w:pPr>
            <w:r>
              <w:rPr>
                <w:rFonts w:hint="eastAsia" w:ascii="仿宋" w:hAnsi="仿宋" w:eastAsia="仿宋" w:cs="仿宋"/>
                <w:snapToGrid w:val="0"/>
                <w:spacing w:val="8"/>
                <w:sz w:val="24"/>
                <w:szCs w:val="24"/>
                <w:highlight w:val="none"/>
                <w:lang w:eastAsia="zh-CN"/>
              </w:rPr>
              <w:t>本次报价为</w:t>
            </w:r>
          </w:p>
        </w:tc>
      </w:tr>
      <w:tr w14:paraId="102698AF">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110" w:type="dxa"/>
            <w:tcBorders>
              <w:tl2br w:val="nil"/>
              <w:tr2bl w:val="nil"/>
            </w:tcBorders>
            <w:shd w:val="clear" w:color="auto" w:fill="auto"/>
            <w:vAlign w:val="center"/>
          </w:tcPr>
          <w:p w14:paraId="2EB96CFE">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3.3.1</w:t>
            </w:r>
          </w:p>
        </w:tc>
        <w:tc>
          <w:tcPr>
            <w:tcW w:w="2122" w:type="dxa"/>
            <w:tcBorders>
              <w:tl2br w:val="nil"/>
              <w:tr2bl w:val="nil"/>
            </w:tcBorders>
            <w:shd w:val="clear" w:color="auto" w:fill="auto"/>
            <w:vAlign w:val="center"/>
          </w:tcPr>
          <w:p w14:paraId="1900F104">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响应文件有效期</w:t>
            </w:r>
          </w:p>
        </w:tc>
        <w:tc>
          <w:tcPr>
            <w:tcW w:w="5825" w:type="dxa"/>
            <w:tcBorders>
              <w:tl2br w:val="nil"/>
              <w:tr2bl w:val="nil"/>
            </w:tcBorders>
            <w:shd w:val="clear" w:color="auto" w:fill="auto"/>
            <w:vAlign w:val="center"/>
          </w:tcPr>
          <w:p w14:paraId="1F5E9C23">
            <w:pPr>
              <w:pStyle w:val="11"/>
              <w:widowControl/>
              <w:kinsoku w:val="0"/>
              <w:autoSpaceDE w:val="0"/>
              <w:autoSpaceDN w:val="0"/>
              <w:adjustRightInd w:val="0"/>
              <w:snapToGrid w:val="0"/>
              <w:spacing w:before="156" w:beforeLines="50" w:line="360" w:lineRule="auto"/>
              <w:textAlignment w:val="baseline"/>
              <w:rPr>
                <w:rFonts w:ascii="仿宋" w:hAnsi="仿宋" w:eastAsia="仿宋" w:cs="仿宋"/>
                <w:snapToGrid w:val="0"/>
                <w:spacing w:val="8"/>
                <w:sz w:val="24"/>
                <w:szCs w:val="24"/>
                <w:highlight w:val="none"/>
                <w:lang w:eastAsia="zh-CN"/>
              </w:rPr>
            </w:pPr>
            <w:r>
              <w:rPr>
                <w:rFonts w:hint="eastAsia" w:ascii="仿宋" w:hAnsi="仿宋" w:eastAsia="仿宋" w:cs="仿宋"/>
                <w:snapToGrid w:val="0"/>
                <w:color w:val="000000"/>
                <w:spacing w:val="8"/>
                <w:sz w:val="24"/>
                <w:szCs w:val="24"/>
                <w:highlight w:val="none"/>
                <w:u w:val="single"/>
                <w:lang w:eastAsia="zh-CN"/>
              </w:rPr>
              <w:t>　30　</w:t>
            </w:r>
            <w:r>
              <w:rPr>
                <w:rFonts w:hint="eastAsia" w:ascii="仿宋" w:hAnsi="仿宋" w:eastAsia="仿宋" w:cs="仿宋"/>
                <w:snapToGrid w:val="0"/>
                <w:color w:val="000000"/>
                <w:spacing w:val="8"/>
                <w:sz w:val="24"/>
                <w:szCs w:val="24"/>
                <w:highlight w:val="none"/>
                <w:lang w:eastAsia="zh-CN"/>
              </w:rPr>
              <w:t>日历天(从响应文件递交截止日算起)</w:t>
            </w:r>
            <w:r>
              <w:rPr>
                <w:rFonts w:hint="eastAsia" w:ascii="仿宋" w:hAnsi="仿宋" w:eastAsia="仿宋" w:cs="仿宋"/>
                <w:snapToGrid w:val="0"/>
                <w:spacing w:val="8"/>
                <w:sz w:val="24"/>
                <w:szCs w:val="24"/>
                <w:highlight w:val="none"/>
                <w:lang w:eastAsia="zh-CN"/>
              </w:rPr>
              <w:t>天</w:t>
            </w:r>
          </w:p>
        </w:tc>
      </w:tr>
      <w:tr w14:paraId="3BF131BC">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110" w:type="dxa"/>
            <w:tcBorders>
              <w:tl2br w:val="nil"/>
              <w:tr2bl w:val="nil"/>
            </w:tcBorders>
            <w:vAlign w:val="center"/>
          </w:tcPr>
          <w:p w14:paraId="7AA0664F">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3.4.1</w:t>
            </w:r>
          </w:p>
        </w:tc>
        <w:tc>
          <w:tcPr>
            <w:tcW w:w="2122" w:type="dxa"/>
            <w:tcBorders>
              <w:tl2br w:val="nil"/>
              <w:tr2bl w:val="nil"/>
            </w:tcBorders>
            <w:shd w:val="clear" w:color="auto" w:fill="auto"/>
            <w:vAlign w:val="center"/>
          </w:tcPr>
          <w:p w14:paraId="7C0DE54E">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响应保证金</w:t>
            </w:r>
          </w:p>
        </w:tc>
        <w:tc>
          <w:tcPr>
            <w:tcW w:w="5825" w:type="dxa"/>
            <w:tcBorders>
              <w:tl2br w:val="nil"/>
              <w:tr2bl w:val="nil"/>
            </w:tcBorders>
            <w:shd w:val="clear" w:color="auto" w:fill="auto"/>
            <w:vAlign w:val="center"/>
          </w:tcPr>
          <w:p w14:paraId="0D18937C">
            <w:pPr>
              <w:pStyle w:val="11"/>
              <w:widowControl/>
              <w:kinsoku w:val="0"/>
              <w:autoSpaceDE w:val="0"/>
              <w:autoSpaceDN w:val="0"/>
              <w:adjustRightInd w:val="0"/>
              <w:snapToGrid w:val="0"/>
              <w:spacing w:before="156" w:beforeLines="50" w:line="360" w:lineRule="auto"/>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☑无须提交　□须提交</w:t>
            </w:r>
          </w:p>
          <w:p w14:paraId="52A27A8F">
            <w:pPr>
              <w:pStyle w:val="11"/>
              <w:widowControl/>
              <w:kinsoku w:val="0"/>
              <w:autoSpaceDE w:val="0"/>
              <w:autoSpaceDN w:val="0"/>
              <w:adjustRightInd w:val="0"/>
              <w:snapToGrid w:val="0"/>
              <w:spacing w:before="156" w:beforeLines="50" w:line="360" w:lineRule="auto"/>
              <w:ind w:firstLine="640" w:firstLineChars="250"/>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缔约保证金为</w:t>
            </w:r>
            <w:r>
              <w:rPr>
                <w:rFonts w:hint="eastAsia" w:ascii="仿宋" w:hAnsi="仿宋" w:eastAsia="仿宋" w:cs="仿宋"/>
                <w:snapToGrid w:val="0"/>
                <w:color w:val="000000"/>
                <w:spacing w:val="8"/>
                <w:sz w:val="24"/>
                <w:szCs w:val="24"/>
                <w:highlight w:val="none"/>
                <w:u w:val="single"/>
                <w:lang w:eastAsia="zh-CN"/>
              </w:rPr>
              <w:t>　　　　</w:t>
            </w:r>
            <w:r>
              <w:rPr>
                <w:rFonts w:hint="eastAsia" w:ascii="仿宋" w:hAnsi="仿宋" w:eastAsia="仿宋" w:cs="仿宋"/>
                <w:snapToGrid w:val="0"/>
                <w:color w:val="000000"/>
                <w:spacing w:val="8"/>
                <w:sz w:val="24"/>
                <w:szCs w:val="24"/>
                <w:highlight w:val="none"/>
                <w:lang w:eastAsia="zh-CN"/>
              </w:rPr>
              <w:t>元人民币</w:t>
            </w:r>
          </w:p>
          <w:p w14:paraId="4FD8A153">
            <w:pPr>
              <w:pStyle w:val="11"/>
              <w:widowControl/>
              <w:kinsoku w:val="0"/>
              <w:autoSpaceDE w:val="0"/>
              <w:autoSpaceDN w:val="0"/>
              <w:adjustRightInd w:val="0"/>
              <w:snapToGrid w:val="0"/>
              <w:spacing w:before="156" w:beforeLines="50" w:line="360" w:lineRule="auto"/>
              <w:ind w:firstLine="640" w:firstLineChars="250"/>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缔约保证金形式</w:t>
            </w:r>
            <w:r>
              <w:rPr>
                <w:rFonts w:hint="eastAsia" w:ascii="仿宋" w:hAnsi="仿宋" w:eastAsia="仿宋" w:cs="仿宋"/>
                <w:snapToGrid w:val="0"/>
                <w:color w:val="000000"/>
                <w:spacing w:val="8"/>
                <w:sz w:val="24"/>
                <w:szCs w:val="24"/>
                <w:highlight w:val="none"/>
                <w:u w:val="single"/>
                <w:lang w:eastAsia="zh-CN"/>
              </w:rPr>
              <w:t>　　　　</w:t>
            </w:r>
          </w:p>
          <w:p w14:paraId="37DDAFF5">
            <w:pPr>
              <w:pStyle w:val="11"/>
              <w:widowControl/>
              <w:kinsoku w:val="0"/>
              <w:autoSpaceDE w:val="0"/>
              <w:autoSpaceDN w:val="0"/>
              <w:adjustRightInd w:val="0"/>
              <w:snapToGrid w:val="0"/>
              <w:spacing w:before="156" w:beforeLines="50" w:line="360" w:lineRule="auto"/>
              <w:ind w:firstLine="640" w:firstLineChars="250"/>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采购人账户名称、开户银行及其账号如下：</w:t>
            </w:r>
          </w:p>
          <w:p w14:paraId="765AFB54">
            <w:pPr>
              <w:pStyle w:val="11"/>
              <w:widowControl/>
              <w:kinsoku w:val="0"/>
              <w:autoSpaceDE w:val="0"/>
              <w:autoSpaceDN w:val="0"/>
              <w:adjustRightInd w:val="0"/>
              <w:snapToGrid w:val="0"/>
              <w:spacing w:before="156" w:beforeLines="50" w:line="360" w:lineRule="auto"/>
              <w:ind w:firstLine="640" w:firstLineChars="250"/>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账户名称:</w:t>
            </w:r>
            <w:r>
              <w:rPr>
                <w:rFonts w:hint="eastAsia" w:ascii="仿宋" w:hAnsi="仿宋" w:eastAsia="仿宋" w:cs="仿宋"/>
                <w:snapToGrid w:val="0"/>
                <w:color w:val="000000"/>
                <w:spacing w:val="8"/>
                <w:sz w:val="24"/>
                <w:szCs w:val="24"/>
                <w:highlight w:val="none"/>
                <w:u w:val="single"/>
                <w:lang w:eastAsia="zh-CN"/>
              </w:rPr>
              <w:t>　　　　　　　　　　　　　　　　</w:t>
            </w:r>
          </w:p>
          <w:p w14:paraId="24863818">
            <w:pPr>
              <w:pStyle w:val="11"/>
              <w:widowControl/>
              <w:kinsoku w:val="0"/>
              <w:autoSpaceDE w:val="0"/>
              <w:autoSpaceDN w:val="0"/>
              <w:adjustRightInd w:val="0"/>
              <w:snapToGrid w:val="0"/>
              <w:spacing w:before="156" w:beforeLines="50" w:line="360" w:lineRule="auto"/>
              <w:ind w:firstLine="640" w:firstLineChars="250"/>
              <w:textAlignment w:val="baseline"/>
              <w:rPr>
                <w:rFonts w:ascii="仿宋" w:hAnsi="仿宋" w:eastAsia="仿宋" w:cs="仿宋"/>
                <w:snapToGrid w:val="0"/>
                <w:color w:val="000000"/>
                <w:spacing w:val="8"/>
                <w:sz w:val="24"/>
                <w:szCs w:val="24"/>
                <w:highlight w:val="none"/>
                <w:u w:val="single"/>
                <w:lang w:eastAsia="zh-CN"/>
              </w:rPr>
            </w:pPr>
            <w:r>
              <w:rPr>
                <w:rFonts w:hint="eastAsia" w:ascii="仿宋" w:hAnsi="仿宋" w:eastAsia="仿宋" w:cs="仿宋"/>
                <w:snapToGrid w:val="0"/>
                <w:color w:val="000000"/>
                <w:spacing w:val="8"/>
                <w:sz w:val="24"/>
                <w:szCs w:val="24"/>
                <w:highlight w:val="none"/>
                <w:lang w:eastAsia="zh-CN"/>
              </w:rPr>
              <w:t>开户银行:</w:t>
            </w:r>
            <w:r>
              <w:rPr>
                <w:rFonts w:hint="eastAsia" w:ascii="仿宋" w:hAnsi="仿宋" w:eastAsia="仿宋" w:cs="仿宋"/>
                <w:snapToGrid w:val="0"/>
                <w:color w:val="000000"/>
                <w:spacing w:val="8"/>
                <w:sz w:val="24"/>
                <w:szCs w:val="24"/>
                <w:highlight w:val="none"/>
                <w:u w:val="single"/>
                <w:lang w:eastAsia="zh-CN"/>
              </w:rPr>
              <w:t>　　　　　　　　　　　　　　　　</w:t>
            </w:r>
          </w:p>
          <w:p w14:paraId="5482A5C0">
            <w:pPr>
              <w:pStyle w:val="11"/>
              <w:widowControl/>
              <w:kinsoku w:val="0"/>
              <w:autoSpaceDE w:val="0"/>
              <w:autoSpaceDN w:val="0"/>
              <w:adjustRightInd w:val="0"/>
              <w:snapToGrid w:val="0"/>
              <w:spacing w:before="156" w:beforeLines="50" w:line="360" w:lineRule="auto"/>
              <w:ind w:firstLine="640" w:firstLineChars="250"/>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账　　号:</w:t>
            </w:r>
            <w:r>
              <w:rPr>
                <w:rFonts w:hint="eastAsia" w:ascii="仿宋" w:hAnsi="仿宋" w:eastAsia="仿宋" w:cs="仿宋"/>
                <w:snapToGrid w:val="0"/>
                <w:color w:val="000000"/>
                <w:spacing w:val="8"/>
                <w:sz w:val="24"/>
                <w:szCs w:val="24"/>
                <w:highlight w:val="none"/>
                <w:u w:val="single"/>
                <w:lang w:eastAsia="zh-CN"/>
              </w:rPr>
              <w:t>　　　　　　　　　　　　　　　　</w:t>
            </w:r>
          </w:p>
        </w:tc>
      </w:tr>
      <w:tr w14:paraId="7290BB65">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110" w:type="dxa"/>
            <w:tcBorders>
              <w:tl2br w:val="nil"/>
              <w:tr2bl w:val="nil"/>
            </w:tcBorders>
            <w:vAlign w:val="center"/>
          </w:tcPr>
          <w:p w14:paraId="33D10FD9">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3.5（1）</w:t>
            </w:r>
          </w:p>
        </w:tc>
        <w:tc>
          <w:tcPr>
            <w:tcW w:w="2122" w:type="dxa"/>
            <w:tcBorders>
              <w:tl2br w:val="nil"/>
              <w:tr2bl w:val="nil"/>
            </w:tcBorders>
            <w:shd w:val="clear" w:color="auto" w:fill="auto"/>
            <w:vAlign w:val="center"/>
          </w:tcPr>
          <w:p w14:paraId="679FDE93">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依法设立的证明材料</w:t>
            </w:r>
          </w:p>
        </w:tc>
        <w:tc>
          <w:tcPr>
            <w:tcW w:w="5825" w:type="dxa"/>
            <w:tcBorders>
              <w:tl2br w:val="nil"/>
              <w:tr2bl w:val="nil"/>
            </w:tcBorders>
            <w:shd w:val="clear" w:color="auto" w:fill="auto"/>
            <w:vAlign w:val="center"/>
          </w:tcPr>
          <w:p w14:paraId="5212C868">
            <w:pPr>
              <w:pStyle w:val="11"/>
              <w:widowControl/>
              <w:kinsoku w:val="0"/>
              <w:autoSpaceDE w:val="0"/>
              <w:autoSpaceDN w:val="0"/>
              <w:adjustRightInd w:val="0"/>
              <w:snapToGrid w:val="0"/>
              <w:spacing w:before="156" w:beforeLines="50" w:line="360" w:lineRule="auto"/>
              <w:jc w:val="left"/>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供应商应提供市场监管部门或其他行政机关颁发的可以合法开展业务的执照或证书复印件</w:t>
            </w:r>
          </w:p>
        </w:tc>
      </w:tr>
      <w:tr w14:paraId="38C92E7B">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110" w:type="dxa"/>
            <w:tcBorders>
              <w:tl2br w:val="nil"/>
              <w:tr2bl w:val="nil"/>
            </w:tcBorders>
            <w:vAlign w:val="center"/>
          </w:tcPr>
          <w:p w14:paraId="365BEA44">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3.5（2）</w:t>
            </w:r>
          </w:p>
        </w:tc>
        <w:tc>
          <w:tcPr>
            <w:tcW w:w="2122" w:type="dxa"/>
            <w:tcBorders>
              <w:tl2br w:val="nil"/>
              <w:tr2bl w:val="nil"/>
            </w:tcBorders>
            <w:vAlign w:val="center"/>
          </w:tcPr>
          <w:p w14:paraId="0870EB74">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资质要求证明材料</w:t>
            </w:r>
          </w:p>
        </w:tc>
        <w:tc>
          <w:tcPr>
            <w:tcW w:w="5825" w:type="dxa"/>
            <w:tcBorders>
              <w:tl2br w:val="nil"/>
              <w:tr2bl w:val="nil"/>
            </w:tcBorders>
            <w:vAlign w:val="center"/>
          </w:tcPr>
          <w:p w14:paraId="4FFDD7E1">
            <w:pPr>
              <w:pStyle w:val="11"/>
              <w:widowControl/>
              <w:kinsoku w:val="0"/>
              <w:autoSpaceDE w:val="0"/>
              <w:autoSpaceDN w:val="0"/>
              <w:adjustRightInd w:val="0"/>
              <w:snapToGrid w:val="0"/>
              <w:spacing w:before="156" w:beforeLines="50" w:line="360" w:lineRule="auto"/>
              <w:jc w:val="left"/>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☑不适用</w:t>
            </w:r>
          </w:p>
          <w:p w14:paraId="08CE7C61">
            <w:pPr>
              <w:pStyle w:val="11"/>
              <w:widowControl/>
              <w:kinsoku w:val="0"/>
              <w:autoSpaceDE w:val="0"/>
              <w:autoSpaceDN w:val="0"/>
              <w:adjustRightInd w:val="0"/>
              <w:snapToGrid w:val="0"/>
              <w:spacing w:before="156" w:beforeLines="50" w:line="360" w:lineRule="auto"/>
              <w:jc w:val="left"/>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□适用　供应商应提供相关资质证书的复印件，以证明供应商具有承担本项目要求的资质，资质证书包括：</w:t>
            </w:r>
          </w:p>
          <w:p w14:paraId="1DC05768">
            <w:pPr>
              <w:pStyle w:val="11"/>
              <w:widowControl/>
              <w:kinsoku w:val="0"/>
              <w:autoSpaceDE w:val="0"/>
              <w:autoSpaceDN w:val="0"/>
              <w:adjustRightInd w:val="0"/>
              <w:snapToGrid w:val="0"/>
              <w:spacing w:before="156" w:beforeLines="50" w:line="360" w:lineRule="auto"/>
              <w:ind w:firstLine="517" w:firstLineChars="202"/>
              <w:jc w:val="left"/>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□资质证书</w:t>
            </w:r>
          </w:p>
          <w:p w14:paraId="626A5799">
            <w:pPr>
              <w:pStyle w:val="11"/>
              <w:widowControl/>
              <w:kinsoku w:val="0"/>
              <w:autoSpaceDE w:val="0"/>
              <w:autoSpaceDN w:val="0"/>
              <w:adjustRightInd w:val="0"/>
              <w:snapToGrid w:val="0"/>
              <w:spacing w:before="156" w:beforeLines="50" w:line="360" w:lineRule="auto"/>
              <w:ind w:firstLine="517" w:firstLineChars="202"/>
              <w:jc w:val="left"/>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□其他资格</w:t>
            </w:r>
          </w:p>
        </w:tc>
      </w:tr>
      <w:tr w14:paraId="59A5FBC4">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110" w:type="dxa"/>
            <w:tcBorders>
              <w:tl2br w:val="nil"/>
              <w:tr2bl w:val="nil"/>
            </w:tcBorders>
            <w:shd w:val="clear" w:color="auto" w:fill="auto"/>
            <w:vAlign w:val="center"/>
          </w:tcPr>
          <w:p w14:paraId="2184EAEF">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3.5（3）</w:t>
            </w:r>
          </w:p>
        </w:tc>
        <w:tc>
          <w:tcPr>
            <w:tcW w:w="2122" w:type="dxa"/>
            <w:tcBorders>
              <w:tl2br w:val="nil"/>
              <w:tr2bl w:val="nil"/>
            </w:tcBorders>
            <w:shd w:val="clear" w:color="auto" w:fill="auto"/>
            <w:vAlign w:val="center"/>
          </w:tcPr>
          <w:p w14:paraId="46AC19EE">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财务要求证明材料</w:t>
            </w:r>
          </w:p>
        </w:tc>
        <w:tc>
          <w:tcPr>
            <w:tcW w:w="5825" w:type="dxa"/>
            <w:tcBorders>
              <w:tl2br w:val="nil"/>
              <w:tr2bl w:val="nil"/>
            </w:tcBorders>
            <w:shd w:val="clear" w:color="auto" w:fill="auto"/>
            <w:vAlign w:val="center"/>
          </w:tcPr>
          <w:p w14:paraId="09DF6F2B">
            <w:pPr>
              <w:pStyle w:val="11"/>
              <w:widowControl/>
              <w:kinsoku w:val="0"/>
              <w:autoSpaceDE w:val="0"/>
              <w:autoSpaceDN w:val="0"/>
              <w:adjustRightInd w:val="0"/>
              <w:snapToGrid w:val="0"/>
              <w:spacing w:before="156" w:beforeLines="50" w:line="360" w:lineRule="auto"/>
              <w:jc w:val="left"/>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□不适用</w:t>
            </w:r>
          </w:p>
          <w:p w14:paraId="6C517BD4">
            <w:pPr>
              <w:pStyle w:val="11"/>
              <w:widowControl/>
              <w:kinsoku w:val="0"/>
              <w:autoSpaceDE w:val="0"/>
              <w:autoSpaceDN w:val="0"/>
              <w:adjustRightInd w:val="0"/>
              <w:snapToGrid w:val="0"/>
              <w:spacing w:before="156" w:beforeLines="50" w:line="360" w:lineRule="auto"/>
              <w:jc w:val="left"/>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☑适用　供应商应提供经会计师事务所或审计机构审计的近年财务会计报表复印件，包括资产负债表、现金流量表、利润表等。近年财务会计报表年份是指：</w:t>
            </w:r>
            <w:r>
              <w:rPr>
                <w:rFonts w:hint="eastAsia" w:ascii="仿宋" w:hAnsi="仿宋" w:eastAsia="仿宋" w:cs="仿宋"/>
                <w:snapToGrid w:val="0"/>
                <w:color w:val="000000"/>
                <w:spacing w:val="8"/>
                <w:sz w:val="24"/>
                <w:szCs w:val="24"/>
                <w:highlight w:val="none"/>
                <w:u w:val="single"/>
                <w:lang w:eastAsia="zh-CN"/>
              </w:rPr>
              <w:t>　2023　</w:t>
            </w:r>
            <w:r>
              <w:rPr>
                <w:rFonts w:hint="eastAsia" w:ascii="仿宋" w:hAnsi="仿宋" w:eastAsia="仿宋" w:cs="仿宋"/>
                <w:snapToGrid w:val="0"/>
                <w:color w:val="000000"/>
                <w:spacing w:val="8"/>
                <w:sz w:val="24"/>
                <w:szCs w:val="24"/>
                <w:highlight w:val="none"/>
                <w:lang w:eastAsia="zh-CN"/>
              </w:rPr>
              <w:t>年至</w:t>
            </w:r>
            <w:r>
              <w:rPr>
                <w:rFonts w:hint="eastAsia" w:ascii="仿宋" w:hAnsi="仿宋" w:eastAsia="仿宋" w:cs="仿宋"/>
                <w:snapToGrid w:val="0"/>
                <w:color w:val="000000"/>
                <w:spacing w:val="8"/>
                <w:sz w:val="24"/>
                <w:szCs w:val="24"/>
                <w:highlight w:val="none"/>
                <w:u w:val="single"/>
                <w:lang w:eastAsia="zh-CN"/>
              </w:rPr>
              <w:t>　2025　</w:t>
            </w:r>
            <w:r>
              <w:rPr>
                <w:rFonts w:hint="eastAsia" w:ascii="仿宋" w:hAnsi="仿宋" w:eastAsia="仿宋" w:cs="仿宋"/>
                <w:snapToGrid w:val="0"/>
                <w:color w:val="000000"/>
                <w:spacing w:val="8"/>
                <w:sz w:val="24"/>
                <w:szCs w:val="24"/>
                <w:highlight w:val="none"/>
                <w:lang w:eastAsia="zh-CN"/>
              </w:rPr>
              <w:t>年；</w:t>
            </w:r>
          </w:p>
          <w:p w14:paraId="6046BFB4">
            <w:pPr>
              <w:pStyle w:val="11"/>
              <w:widowControl/>
              <w:kinsoku w:val="0"/>
              <w:autoSpaceDE w:val="0"/>
              <w:autoSpaceDN w:val="0"/>
              <w:adjustRightInd w:val="0"/>
              <w:snapToGrid w:val="0"/>
              <w:spacing w:before="156" w:beforeLines="50" w:line="360" w:lineRule="auto"/>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□适用　供应商应提供近年财务会计报表复印件，包括资产负债表、现金流量表、利润表等。近年财务会计报表年份是指：</w:t>
            </w:r>
            <w:r>
              <w:rPr>
                <w:rFonts w:hint="eastAsia" w:ascii="仿宋" w:hAnsi="仿宋" w:eastAsia="仿宋" w:cs="仿宋"/>
                <w:snapToGrid w:val="0"/>
                <w:color w:val="000000"/>
                <w:spacing w:val="8"/>
                <w:sz w:val="24"/>
                <w:szCs w:val="24"/>
                <w:highlight w:val="none"/>
                <w:u w:val="single"/>
                <w:lang w:eastAsia="zh-CN"/>
              </w:rPr>
              <w:t>　　</w:t>
            </w:r>
            <w:r>
              <w:rPr>
                <w:rFonts w:hint="eastAsia" w:ascii="仿宋" w:hAnsi="仿宋" w:eastAsia="仿宋" w:cs="仿宋"/>
                <w:snapToGrid w:val="0"/>
                <w:color w:val="000000"/>
                <w:spacing w:val="8"/>
                <w:sz w:val="24"/>
                <w:szCs w:val="24"/>
                <w:highlight w:val="none"/>
                <w:lang w:eastAsia="zh-CN"/>
              </w:rPr>
              <w:t>　　年至</w:t>
            </w:r>
            <w:r>
              <w:rPr>
                <w:rFonts w:hint="eastAsia" w:ascii="仿宋" w:hAnsi="仿宋" w:eastAsia="仿宋" w:cs="仿宋"/>
                <w:snapToGrid w:val="0"/>
                <w:color w:val="000000"/>
                <w:spacing w:val="8"/>
                <w:sz w:val="24"/>
                <w:szCs w:val="24"/>
                <w:highlight w:val="none"/>
                <w:u w:val="single"/>
                <w:lang w:eastAsia="zh-CN"/>
              </w:rPr>
              <w:t>　　</w:t>
            </w:r>
            <w:r>
              <w:rPr>
                <w:rFonts w:hint="eastAsia" w:ascii="仿宋" w:hAnsi="仿宋" w:eastAsia="仿宋" w:cs="仿宋"/>
                <w:snapToGrid w:val="0"/>
                <w:color w:val="000000"/>
                <w:spacing w:val="8"/>
                <w:sz w:val="24"/>
                <w:szCs w:val="24"/>
                <w:highlight w:val="none"/>
                <w:lang w:eastAsia="zh-CN"/>
              </w:rPr>
              <w:t>年；</w:t>
            </w:r>
          </w:p>
        </w:tc>
      </w:tr>
      <w:tr w14:paraId="29AFFE87">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914" w:hRule="atLeast"/>
          <w:jc w:val="center"/>
        </w:trPr>
        <w:tc>
          <w:tcPr>
            <w:tcW w:w="1110" w:type="dxa"/>
            <w:tcBorders>
              <w:tl2br w:val="nil"/>
              <w:tr2bl w:val="nil"/>
            </w:tcBorders>
            <w:shd w:val="clear" w:color="auto" w:fill="auto"/>
            <w:vAlign w:val="center"/>
          </w:tcPr>
          <w:p w14:paraId="2C78F2B5">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3.5（4）</w:t>
            </w:r>
          </w:p>
        </w:tc>
        <w:tc>
          <w:tcPr>
            <w:tcW w:w="2122" w:type="dxa"/>
            <w:tcBorders>
              <w:tl2br w:val="nil"/>
              <w:tr2bl w:val="nil"/>
            </w:tcBorders>
            <w:shd w:val="clear" w:color="auto" w:fill="auto"/>
            <w:vAlign w:val="center"/>
          </w:tcPr>
          <w:p w14:paraId="3E87AF24">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业绩要求证明材料</w:t>
            </w:r>
          </w:p>
        </w:tc>
        <w:tc>
          <w:tcPr>
            <w:tcW w:w="5825" w:type="dxa"/>
            <w:tcBorders>
              <w:tl2br w:val="nil"/>
              <w:tr2bl w:val="nil"/>
            </w:tcBorders>
            <w:shd w:val="clear" w:color="auto" w:fill="auto"/>
            <w:vAlign w:val="center"/>
          </w:tcPr>
          <w:p w14:paraId="256B2022">
            <w:pPr>
              <w:pStyle w:val="11"/>
              <w:widowControl/>
              <w:kinsoku w:val="0"/>
              <w:autoSpaceDE w:val="0"/>
              <w:autoSpaceDN w:val="0"/>
              <w:adjustRightInd w:val="0"/>
              <w:snapToGrid w:val="0"/>
              <w:spacing w:before="156" w:beforeLines="50" w:line="360" w:lineRule="auto"/>
              <w:jc w:val="left"/>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□不适用</w:t>
            </w:r>
          </w:p>
          <w:p w14:paraId="4AFB37D6">
            <w:pPr>
              <w:pStyle w:val="11"/>
              <w:widowControl/>
              <w:kinsoku w:val="0"/>
              <w:autoSpaceDE w:val="0"/>
              <w:autoSpaceDN w:val="0"/>
              <w:adjustRightInd w:val="0"/>
              <w:snapToGrid w:val="0"/>
              <w:spacing w:before="156" w:beforeLines="50" w:line="360" w:lineRule="auto"/>
              <w:jc w:val="left"/>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☑适用　供应商应提供近年的类似项目情况表（格式见第六章“响应文件格式”七、资格审查资料（三）近年的类似项目情况表），以证明供应商具有承担本项目要求的业绩。近年是指：</w:t>
            </w:r>
            <w:r>
              <w:rPr>
                <w:rFonts w:hint="eastAsia" w:ascii="仿宋" w:hAnsi="仿宋" w:eastAsia="仿宋" w:cs="仿宋"/>
                <w:snapToGrid w:val="0"/>
                <w:color w:val="000000"/>
                <w:spacing w:val="8"/>
                <w:sz w:val="24"/>
                <w:szCs w:val="24"/>
                <w:highlight w:val="none"/>
                <w:u w:val="single"/>
                <w:lang w:eastAsia="zh-CN"/>
              </w:rPr>
              <w:t>　202</w:t>
            </w:r>
            <w:r>
              <w:rPr>
                <w:rFonts w:ascii="仿宋" w:hAnsi="仿宋" w:eastAsia="仿宋" w:cs="仿宋"/>
                <w:snapToGrid w:val="0"/>
                <w:color w:val="000000"/>
                <w:spacing w:val="8"/>
                <w:sz w:val="24"/>
                <w:szCs w:val="24"/>
                <w:highlight w:val="none"/>
                <w:u w:val="single"/>
                <w:lang w:eastAsia="zh-CN"/>
              </w:rPr>
              <w:t>1</w:t>
            </w:r>
            <w:r>
              <w:rPr>
                <w:rFonts w:hint="eastAsia" w:ascii="仿宋" w:hAnsi="仿宋" w:eastAsia="仿宋" w:cs="仿宋"/>
                <w:snapToGrid w:val="0"/>
                <w:color w:val="000000"/>
                <w:spacing w:val="8"/>
                <w:sz w:val="24"/>
                <w:szCs w:val="24"/>
                <w:highlight w:val="none"/>
                <w:u w:val="single"/>
                <w:lang w:eastAsia="zh-CN"/>
              </w:rPr>
              <w:t>　</w:t>
            </w:r>
            <w:r>
              <w:rPr>
                <w:rFonts w:hint="eastAsia" w:ascii="仿宋" w:hAnsi="仿宋" w:eastAsia="仿宋" w:cs="仿宋"/>
                <w:snapToGrid w:val="0"/>
                <w:color w:val="000000"/>
                <w:spacing w:val="8"/>
                <w:sz w:val="24"/>
                <w:szCs w:val="24"/>
                <w:highlight w:val="none"/>
                <w:lang w:eastAsia="zh-CN"/>
              </w:rPr>
              <w:t>年至</w:t>
            </w:r>
            <w:r>
              <w:rPr>
                <w:rFonts w:hint="eastAsia" w:ascii="仿宋" w:hAnsi="仿宋" w:eastAsia="仿宋" w:cs="仿宋"/>
                <w:snapToGrid w:val="0"/>
                <w:color w:val="000000"/>
                <w:spacing w:val="8"/>
                <w:sz w:val="24"/>
                <w:szCs w:val="24"/>
                <w:highlight w:val="none"/>
                <w:u w:val="single"/>
                <w:lang w:eastAsia="zh-CN"/>
              </w:rPr>
              <w:t>　202</w:t>
            </w:r>
            <w:r>
              <w:rPr>
                <w:rFonts w:ascii="仿宋" w:hAnsi="仿宋" w:eastAsia="仿宋" w:cs="仿宋"/>
                <w:snapToGrid w:val="0"/>
                <w:color w:val="000000"/>
                <w:spacing w:val="8"/>
                <w:sz w:val="24"/>
                <w:szCs w:val="24"/>
                <w:highlight w:val="none"/>
                <w:u w:val="single"/>
                <w:lang w:eastAsia="zh-CN"/>
              </w:rPr>
              <w:t>6</w:t>
            </w:r>
            <w:r>
              <w:rPr>
                <w:rFonts w:hint="eastAsia" w:ascii="仿宋" w:hAnsi="仿宋" w:eastAsia="仿宋" w:cs="仿宋"/>
                <w:snapToGrid w:val="0"/>
                <w:color w:val="000000"/>
                <w:spacing w:val="8"/>
                <w:sz w:val="24"/>
                <w:szCs w:val="24"/>
                <w:highlight w:val="none"/>
                <w:u w:val="single"/>
                <w:lang w:eastAsia="zh-CN"/>
              </w:rPr>
              <w:t>　</w:t>
            </w:r>
            <w:r>
              <w:rPr>
                <w:rFonts w:hint="eastAsia" w:ascii="仿宋" w:hAnsi="仿宋" w:eastAsia="仿宋" w:cs="仿宋"/>
                <w:snapToGrid w:val="0"/>
                <w:color w:val="000000"/>
                <w:spacing w:val="8"/>
                <w:sz w:val="24"/>
                <w:szCs w:val="24"/>
                <w:highlight w:val="none"/>
                <w:lang w:eastAsia="zh-CN"/>
              </w:rPr>
              <w:t>年；业绩证明材料包括：</w:t>
            </w:r>
          </w:p>
          <w:p w14:paraId="7C1EC956">
            <w:pPr>
              <w:pStyle w:val="11"/>
              <w:widowControl/>
              <w:kinsoku w:val="0"/>
              <w:autoSpaceDE w:val="0"/>
              <w:autoSpaceDN w:val="0"/>
              <w:adjustRightInd w:val="0"/>
              <w:snapToGrid w:val="0"/>
              <w:spacing w:before="156" w:beforeLines="50" w:line="360" w:lineRule="auto"/>
              <w:ind w:firstLine="517" w:firstLineChars="202"/>
              <w:jc w:val="left"/>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☑合同/订单</w:t>
            </w:r>
          </w:p>
          <w:p w14:paraId="6FC2A2F4">
            <w:pPr>
              <w:pStyle w:val="11"/>
              <w:widowControl/>
              <w:kinsoku w:val="0"/>
              <w:autoSpaceDE w:val="0"/>
              <w:autoSpaceDN w:val="0"/>
              <w:adjustRightInd w:val="0"/>
              <w:snapToGrid w:val="0"/>
              <w:spacing w:before="156" w:beforeLines="50" w:line="360" w:lineRule="auto"/>
              <w:ind w:firstLine="517" w:firstLineChars="202"/>
              <w:jc w:val="left"/>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□中标通知书/成交通知书</w:t>
            </w:r>
          </w:p>
          <w:p w14:paraId="18AE2D56">
            <w:pPr>
              <w:pStyle w:val="11"/>
              <w:widowControl/>
              <w:kinsoku w:val="0"/>
              <w:autoSpaceDE w:val="0"/>
              <w:autoSpaceDN w:val="0"/>
              <w:adjustRightInd w:val="0"/>
              <w:snapToGrid w:val="0"/>
              <w:spacing w:before="156" w:beforeLines="50" w:line="360" w:lineRule="auto"/>
              <w:ind w:firstLine="517" w:firstLineChars="202"/>
              <w:jc w:val="left"/>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□竣工验收报告/验收证明</w:t>
            </w:r>
          </w:p>
          <w:p w14:paraId="6F5E8994">
            <w:pPr>
              <w:pStyle w:val="11"/>
              <w:widowControl/>
              <w:kinsoku w:val="0"/>
              <w:autoSpaceDE w:val="0"/>
              <w:autoSpaceDN w:val="0"/>
              <w:adjustRightInd w:val="0"/>
              <w:snapToGrid w:val="0"/>
              <w:spacing w:before="156" w:beforeLines="50" w:line="360" w:lineRule="auto"/>
              <w:ind w:firstLine="517" w:firstLineChars="202"/>
              <w:jc w:val="left"/>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□业主证明</w:t>
            </w:r>
          </w:p>
          <w:p w14:paraId="62BA91BF">
            <w:pPr>
              <w:pStyle w:val="11"/>
              <w:widowControl/>
              <w:kinsoku w:val="0"/>
              <w:autoSpaceDE w:val="0"/>
              <w:autoSpaceDN w:val="0"/>
              <w:adjustRightInd w:val="0"/>
              <w:snapToGrid w:val="0"/>
              <w:spacing w:before="156" w:beforeLines="50" w:line="360" w:lineRule="auto"/>
              <w:ind w:firstLine="517" w:firstLineChars="202"/>
              <w:jc w:val="left"/>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☑其他材料，客户通过认证的证书</w:t>
            </w:r>
          </w:p>
        </w:tc>
      </w:tr>
      <w:tr w14:paraId="01F41B04">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110" w:type="dxa"/>
            <w:tcBorders>
              <w:tl2br w:val="nil"/>
              <w:tr2bl w:val="nil"/>
            </w:tcBorders>
            <w:vAlign w:val="center"/>
          </w:tcPr>
          <w:p w14:paraId="602C93BE">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3.5（5）</w:t>
            </w:r>
          </w:p>
        </w:tc>
        <w:tc>
          <w:tcPr>
            <w:tcW w:w="2122" w:type="dxa"/>
            <w:tcBorders>
              <w:tl2br w:val="nil"/>
              <w:tr2bl w:val="nil"/>
            </w:tcBorders>
            <w:vAlign w:val="center"/>
          </w:tcPr>
          <w:p w14:paraId="7B37F3E6">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信誉要求证明材料</w:t>
            </w:r>
          </w:p>
        </w:tc>
        <w:tc>
          <w:tcPr>
            <w:tcW w:w="5825" w:type="dxa"/>
            <w:tcBorders>
              <w:tl2br w:val="nil"/>
              <w:tr2bl w:val="nil"/>
            </w:tcBorders>
            <w:vAlign w:val="center"/>
          </w:tcPr>
          <w:p w14:paraId="777525A3">
            <w:pPr>
              <w:pStyle w:val="11"/>
              <w:widowControl/>
              <w:kinsoku w:val="0"/>
              <w:autoSpaceDE w:val="0"/>
              <w:autoSpaceDN w:val="0"/>
              <w:adjustRightInd w:val="0"/>
              <w:snapToGrid w:val="0"/>
              <w:spacing w:before="156" w:beforeLines="50" w:line="360" w:lineRule="auto"/>
              <w:jc w:val="left"/>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☑不适用</w:t>
            </w:r>
          </w:p>
          <w:p w14:paraId="4FF68693">
            <w:pPr>
              <w:pStyle w:val="11"/>
              <w:widowControl/>
              <w:kinsoku w:val="0"/>
              <w:autoSpaceDE w:val="0"/>
              <w:autoSpaceDN w:val="0"/>
              <w:adjustRightInd w:val="0"/>
              <w:snapToGrid w:val="0"/>
              <w:spacing w:before="156" w:beforeLines="50" w:line="360" w:lineRule="auto"/>
              <w:jc w:val="left"/>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□适用　供应商应提供相关信誉情况的证明材料，包括：</w:t>
            </w:r>
          </w:p>
          <w:p w14:paraId="5185A65E">
            <w:pPr>
              <w:pStyle w:val="11"/>
              <w:widowControl/>
              <w:kinsoku w:val="0"/>
              <w:autoSpaceDE w:val="0"/>
              <w:autoSpaceDN w:val="0"/>
              <w:adjustRightInd w:val="0"/>
              <w:snapToGrid w:val="0"/>
              <w:spacing w:before="156" w:beforeLines="50" w:line="360" w:lineRule="auto"/>
              <w:ind w:firstLine="517" w:firstLineChars="202"/>
              <w:jc w:val="left"/>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□荣誉证书</w:t>
            </w:r>
          </w:p>
          <w:p w14:paraId="648B3D61">
            <w:pPr>
              <w:pStyle w:val="11"/>
              <w:widowControl/>
              <w:kinsoku w:val="0"/>
              <w:autoSpaceDE w:val="0"/>
              <w:autoSpaceDN w:val="0"/>
              <w:adjustRightInd w:val="0"/>
              <w:snapToGrid w:val="0"/>
              <w:spacing w:before="156" w:beforeLines="50" w:line="360" w:lineRule="auto"/>
              <w:ind w:firstLine="517" w:firstLineChars="202"/>
              <w:jc w:val="left"/>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□其他材料</w:t>
            </w:r>
          </w:p>
        </w:tc>
      </w:tr>
      <w:tr w14:paraId="2B3543AE">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110" w:type="dxa"/>
            <w:tcBorders>
              <w:tl2br w:val="nil"/>
              <w:tr2bl w:val="nil"/>
            </w:tcBorders>
            <w:vAlign w:val="center"/>
          </w:tcPr>
          <w:p w14:paraId="2B1614C8">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3.5（6）</w:t>
            </w:r>
          </w:p>
        </w:tc>
        <w:tc>
          <w:tcPr>
            <w:tcW w:w="2122" w:type="dxa"/>
            <w:tcBorders>
              <w:tl2br w:val="nil"/>
              <w:tr2bl w:val="nil"/>
            </w:tcBorders>
            <w:vAlign w:val="center"/>
          </w:tcPr>
          <w:p w14:paraId="5619BBD2">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承担本项目的主要人员要求证明材料</w:t>
            </w:r>
          </w:p>
        </w:tc>
        <w:tc>
          <w:tcPr>
            <w:tcW w:w="5825" w:type="dxa"/>
            <w:tcBorders>
              <w:tl2br w:val="nil"/>
              <w:tr2bl w:val="nil"/>
            </w:tcBorders>
            <w:vAlign w:val="center"/>
          </w:tcPr>
          <w:p w14:paraId="2B09DDAF">
            <w:pPr>
              <w:pStyle w:val="11"/>
              <w:widowControl/>
              <w:kinsoku w:val="0"/>
              <w:autoSpaceDE w:val="0"/>
              <w:autoSpaceDN w:val="0"/>
              <w:adjustRightInd w:val="0"/>
              <w:snapToGrid w:val="0"/>
              <w:spacing w:before="156" w:beforeLines="50" w:line="360" w:lineRule="auto"/>
              <w:jc w:val="left"/>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□不适用</w:t>
            </w:r>
          </w:p>
          <w:p w14:paraId="0C63FE02">
            <w:pPr>
              <w:pStyle w:val="11"/>
              <w:widowControl/>
              <w:kinsoku w:val="0"/>
              <w:autoSpaceDE w:val="0"/>
              <w:autoSpaceDN w:val="0"/>
              <w:adjustRightInd w:val="0"/>
              <w:snapToGrid w:val="0"/>
              <w:spacing w:before="156" w:beforeLines="50" w:line="360" w:lineRule="auto"/>
              <w:jc w:val="left"/>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☑适用　供应商应提供拟委任的主要人员汇总表和主要人员简历表（格式见第六章“响应文件格式”七、资格审查资料（四）拟委任的主要人员汇总表和（五）人员计划配置表）。供应商应填报满足第一章“谈判采购公告/谈判采购邀请书”规定</w:t>
            </w:r>
          </w:p>
          <w:p w14:paraId="72C0271A">
            <w:pPr>
              <w:pStyle w:val="11"/>
              <w:widowControl/>
              <w:kinsoku w:val="0"/>
              <w:autoSpaceDE w:val="0"/>
              <w:autoSpaceDN w:val="0"/>
              <w:adjustRightInd w:val="0"/>
              <w:snapToGrid w:val="0"/>
              <w:spacing w:before="156" w:beforeLines="50" w:line="360" w:lineRule="auto"/>
              <w:jc w:val="left"/>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的项目负责人和关键岗位人员的相关信息，要求提供证明文件：</w:t>
            </w:r>
          </w:p>
          <w:p w14:paraId="6EB50CBF">
            <w:pPr>
              <w:pStyle w:val="11"/>
              <w:widowControl/>
              <w:kinsoku w:val="0"/>
              <w:autoSpaceDE w:val="0"/>
              <w:autoSpaceDN w:val="0"/>
              <w:adjustRightInd w:val="0"/>
              <w:snapToGrid w:val="0"/>
              <w:spacing w:before="156" w:beforeLines="50" w:line="360" w:lineRule="auto"/>
              <w:ind w:firstLine="517" w:firstLineChars="202"/>
              <w:jc w:val="left"/>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□职称证书</w:t>
            </w:r>
          </w:p>
          <w:p w14:paraId="3D145B79">
            <w:pPr>
              <w:pStyle w:val="11"/>
              <w:widowControl/>
              <w:kinsoku w:val="0"/>
              <w:autoSpaceDE w:val="0"/>
              <w:autoSpaceDN w:val="0"/>
              <w:adjustRightInd w:val="0"/>
              <w:snapToGrid w:val="0"/>
              <w:spacing w:before="156" w:beforeLines="50" w:line="360" w:lineRule="auto"/>
              <w:ind w:firstLine="517" w:firstLineChars="202"/>
              <w:jc w:val="left"/>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☑执业资格证书</w:t>
            </w:r>
          </w:p>
          <w:p w14:paraId="7B729333">
            <w:pPr>
              <w:pStyle w:val="11"/>
              <w:widowControl/>
              <w:kinsoku w:val="0"/>
              <w:autoSpaceDE w:val="0"/>
              <w:autoSpaceDN w:val="0"/>
              <w:adjustRightInd w:val="0"/>
              <w:snapToGrid w:val="0"/>
              <w:spacing w:before="156" w:beforeLines="50" w:line="360" w:lineRule="auto"/>
              <w:ind w:firstLine="517" w:firstLineChars="202"/>
              <w:jc w:val="left"/>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☑社保缴费证明</w:t>
            </w:r>
          </w:p>
          <w:p w14:paraId="3C3DEEBC">
            <w:pPr>
              <w:pStyle w:val="11"/>
              <w:widowControl/>
              <w:kinsoku w:val="0"/>
              <w:autoSpaceDE w:val="0"/>
              <w:autoSpaceDN w:val="0"/>
              <w:adjustRightInd w:val="0"/>
              <w:snapToGrid w:val="0"/>
              <w:spacing w:before="156" w:beforeLines="50" w:line="360" w:lineRule="auto"/>
              <w:ind w:firstLine="517" w:firstLineChars="202"/>
              <w:jc w:val="left"/>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□业绩证明</w:t>
            </w:r>
          </w:p>
          <w:p w14:paraId="36BD0095">
            <w:pPr>
              <w:pStyle w:val="11"/>
              <w:widowControl/>
              <w:kinsoku w:val="0"/>
              <w:autoSpaceDE w:val="0"/>
              <w:autoSpaceDN w:val="0"/>
              <w:adjustRightInd w:val="0"/>
              <w:snapToGrid w:val="0"/>
              <w:spacing w:before="156" w:beforeLines="50" w:line="360" w:lineRule="auto"/>
              <w:ind w:firstLine="517" w:firstLineChars="202"/>
              <w:jc w:val="left"/>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□其他证明</w:t>
            </w:r>
          </w:p>
        </w:tc>
      </w:tr>
      <w:tr w14:paraId="5F9DA716">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110" w:type="dxa"/>
            <w:tcBorders>
              <w:tl2br w:val="nil"/>
              <w:tr2bl w:val="nil"/>
            </w:tcBorders>
            <w:shd w:val="clear" w:color="auto" w:fill="auto"/>
            <w:vAlign w:val="center"/>
          </w:tcPr>
          <w:p w14:paraId="03FE8E25">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3.5（7）</w:t>
            </w:r>
          </w:p>
        </w:tc>
        <w:tc>
          <w:tcPr>
            <w:tcW w:w="2122" w:type="dxa"/>
            <w:tcBorders>
              <w:tl2br w:val="nil"/>
              <w:tr2bl w:val="nil"/>
            </w:tcBorders>
            <w:shd w:val="clear" w:color="auto" w:fill="auto"/>
            <w:vAlign w:val="center"/>
          </w:tcPr>
          <w:p w14:paraId="7417CE5E">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其他要求的证明材料</w:t>
            </w:r>
          </w:p>
        </w:tc>
        <w:tc>
          <w:tcPr>
            <w:tcW w:w="5825" w:type="dxa"/>
            <w:tcBorders>
              <w:tl2br w:val="nil"/>
              <w:tr2bl w:val="nil"/>
            </w:tcBorders>
            <w:shd w:val="clear" w:color="auto" w:fill="auto"/>
            <w:vAlign w:val="center"/>
          </w:tcPr>
          <w:p w14:paraId="38F451D0">
            <w:pPr>
              <w:pStyle w:val="11"/>
              <w:widowControl/>
              <w:kinsoku w:val="0"/>
              <w:autoSpaceDE w:val="0"/>
              <w:autoSpaceDN w:val="0"/>
              <w:adjustRightInd w:val="0"/>
              <w:snapToGrid w:val="0"/>
              <w:spacing w:before="156" w:beforeLines="50" w:line="360" w:lineRule="auto"/>
              <w:jc w:val="left"/>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☑不适用</w:t>
            </w:r>
          </w:p>
          <w:p w14:paraId="522206C6">
            <w:pPr>
              <w:pStyle w:val="11"/>
              <w:widowControl/>
              <w:kinsoku w:val="0"/>
              <w:autoSpaceDE w:val="0"/>
              <w:autoSpaceDN w:val="0"/>
              <w:adjustRightInd w:val="0"/>
              <w:snapToGrid w:val="0"/>
              <w:spacing w:before="156" w:beforeLines="50" w:line="360" w:lineRule="auto"/>
              <w:jc w:val="left"/>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□适用　</w:t>
            </w:r>
          </w:p>
        </w:tc>
      </w:tr>
      <w:tr w14:paraId="3F0EB4ED">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110" w:type="dxa"/>
            <w:tcBorders>
              <w:tl2br w:val="nil"/>
              <w:tr2bl w:val="nil"/>
            </w:tcBorders>
            <w:shd w:val="clear" w:color="auto" w:fill="auto"/>
            <w:vAlign w:val="center"/>
          </w:tcPr>
          <w:p w14:paraId="2FED6EF0">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3.5（8）</w:t>
            </w:r>
          </w:p>
        </w:tc>
        <w:tc>
          <w:tcPr>
            <w:tcW w:w="2122" w:type="dxa"/>
            <w:tcBorders>
              <w:tl2br w:val="nil"/>
              <w:tr2bl w:val="nil"/>
            </w:tcBorders>
            <w:shd w:val="clear" w:color="auto" w:fill="auto"/>
            <w:vAlign w:val="center"/>
          </w:tcPr>
          <w:p w14:paraId="5B6A0F00">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供应商不存在第一章3.2款</w:t>
            </w:r>
          </w:p>
        </w:tc>
        <w:tc>
          <w:tcPr>
            <w:tcW w:w="5825" w:type="dxa"/>
            <w:tcBorders>
              <w:tl2br w:val="nil"/>
              <w:tr2bl w:val="nil"/>
            </w:tcBorders>
            <w:shd w:val="clear" w:color="auto" w:fill="auto"/>
            <w:vAlign w:val="center"/>
          </w:tcPr>
          <w:p w14:paraId="646B0883">
            <w:pPr>
              <w:pStyle w:val="11"/>
              <w:widowControl/>
              <w:kinsoku w:val="0"/>
              <w:autoSpaceDE w:val="0"/>
              <w:autoSpaceDN w:val="0"/>
              <w:adjustRightInd w:val="0"/>
              <w:snapToGrid w:val="0"/>
              <w:spacing w:before="156" w:beforeLines="50" w:line="360" w:lineRule="auto"/>
              <w:jc w:val="left"/>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☑不需要提供证明材料</w:t>
            </w:r>
          </w:p>
          <w:p w14:paraId="79CB3FAA">
            <w:pPr>
              <w:pStyle w:val="11"/>
              <w:widowControl/>
              <w:kinsoku w:val="0"/>
              <w:autoSpaceDE w:val="0"/>
              <w:autoSpaceDN w:val="0"/>
              <w:adjustRightInd w:val="0"/>
              <w:snapToGrid w:val="0"/>
              <w:spacing w:before="156" w:beforeLines="50" w:line="360" w:lineRule="auto"/>
              <w:jc w:val="left"/>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□需要提供证明材料</w:t>
            </w:r>
          </w:p>
        </w:tc>
      </w:tr>
      <w:tr w14:paraId="029F48AE">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110" w:type="dxa"/>
            <w:tcBorders>
              <w:tl2br w:val="nil"/>
              <w:tr2bl w:val="nil"/>
            </w:tcBorders>
            <w:shd w:val="clear" w:color="auto" w:fill="auto"/>
            <w:vAlign w:val="center"/>
          </w:tcPr>
          <w:p w14:paraId="0F2C3840">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3.5（9）</w:t>
            </w:r>
          </w:p>
        </w:tc>
        <w:tc>
          <w:tcPr>
            <w:tcW w:w="2122" w:type="dxa"/>
            <w:tcBorders>
              <w:tl2br w:val="nil"/>
              <w:tr2bl w:val="nil"/>
            </w:tcBorders>
            <w:shd w:val="clear" w:color="auto" w:fill="auto"/>
            <w:vAlign w:val="center"/>
          </w:tcPr>
          <w:p w14:paraId="52E94A7A">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联合体要求的证明材料</w:t>
            </w:r>
          </w:p>
        </w:tc>
        <w:tc>
          <w:tcPr>
            <w:tcW w:w="5825" w:type="dxa"/>
            <w:tcBorders>
              <w:tl2br w:val="nil"/>
              <w:tr2bl w:val="nil"/>
            </w:tcBorders>
            <w:shd w:val="clear" w:color="auto" w:fill="auto"/>
            <w:vAlign w:val="center"/>
          </w:tcPr>
          <w:p w14:paraId="51BF4EAA">
            <w:pPr>
              <w:pStyle w:val="11"/>
              <w:widowControl/>
              <w:kinsoku w:val="0"/>
              <w:autoSpaceDE w:val="0"/>
              <w:autoSpaceDN w:val="0"/>
              <w:adjustRightInd w:val="0"/>
              <w:snapToGrid w:val="0"/>
              <w:spacing w:before="156" w:beforeLines="50" w:line="360" w:lineRule="auto"/>
              <w:jc w:val="left"/>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☑不适用</w:t>
            </w:r>
          </w:p>
          <w:p w14:paraId="6558BBB8">
            <w:pPr>
              <w:pStyle w:val="11"/>
              <w:widowControl/>
              <w:kinsoku w:val="0"/>
              <w:autoSpaceDE w:val="0"/>
              <w:autoSpaceDN w:val="0"/>
              <w:adjustRightInd w:val="0"/>
              <w:snapToGrid w:val="0"/>
              <w:spacing w:before="156" w:beforeLines="50" w:line="360" w:lineRule="auto"/>
              <w:jc w:val="left"/>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□适用　供应商应按照采购文件提供的格式（格式见第六章“响应文件格式”三、联合体协议书）拟订联合体协议书，并提供联合体协议书的原件。联合体协议书应明确联合体各方的分工</w:t>
            </w:r>
          </w:p>
        </w:tc>
      </w:tr>
      <w:tr w14:paraId="0BADFECD">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110" w:type="dxa"/>
            <w:tcBorders>
              <w:tl2br w:val="nil"/>
              <w:tr2bl w:val="nil"/>
            </w:tcBorders>
            <w:shd w:val="clear" w:color="auto" w:fill="auto"/>
            <w:vAlign w:val="center"/>
          </w:tcPr>
          <w:p w14:paraId="3865B37E">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3.6.1</w:t>
            </w:r>
          </w:p>
        </w:tc>
        <w:tc>
          <w:tcPr>
            <w:tcW w:w="2122" w:type="dxa"/>
            <w:tcBorders>
              <w:tl2br w:val="nil"/>
              <w:tr2bl w:val="nil"/>
            </w:tcBorders>
            <w:shd w:val="clear" w:color="auto" w:fill="auto"/>
            <w:vAlign w:val="center"/>
          </w:tcPr>
          <w:p w14:paraId="035C023A">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对关键条款进行响应的证据或证明材料要求</w:t>
            </w:r>
          </w:p>
        </w:tc>
        <w:tc>
          <w:tcPr>
            <w:tcW w:w="5825" w:type="dxa"/>
            <w:tcBorders>
              <w:tl2br w:val="nil"/>
              <w:tr2bl w:val="nil"/>
            </w:tcBorders>
            <w:shd w:val="clear" w:color="auto" w:fill="auto"/>
            <w:vAlign w:val="center"/>
          </w:tcPr>
          <w:p w14:paraId="7BF1736C">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w:t>
            </w:r>
          </w:p>
        </w:tc>
      </w:tr>
      <w:tr w14:paraId="4B47C2BC">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110" w:type="dxa"/>
            <w:tcBorders>
              <w:tl2br w:val="nil"/>
              <w:tr2bl w:val="nil"/>
            </w:tcBorders>
            <w:shd w:val="clear" w:color="auto" w:fill="auto"/>
            <w:vAlign w:val="center"/>
          </w:tcPr>
          <w:p w14:paraId="5917AA69">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3.6.2</w:t>
            </w:r>
          </w:p>
        </w:tc>
        <w:tc>
          <w:tcPr>
            <w:tcW w:w="2122" w:type="dxa"/>
            <w:tcBorders>
              <w:tl2br w:val="nil"/>
              <w:tr2bl w:val="nil"/>
            </w:tcBorders>
            <w:shd w:val="clear" w:color="auto" w:fill="auto"/>
            <w:vAlign w:val="center"/>
          </w:tcPr>
          <w:p w14:paraId="1FF9C483">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响应方案数量</w:t>
            </w:r>
          </w:p>
        </w:tc>
        <w:tc>
          <w:tcPr>
            <w:tcW w:w="5825" w:type="dxa"/>
            <w:tcBorders>
              <w:tl2br w:val="nil"/>
              <w:tr2bl w:val="nil"/>
            </w:tcBorders>
            <w:shd w:val="clear" w:color="auto" w:fill="auto"/>
            <w:vAlign w:val="center"/>
          </w:tcPr>
          <w:p w14:paraId="78F97246">
            <w:pPr>
              <w:pStyle w:val="11"/>
              <w:widowControl/>
              <w:kinsoku w:val="0"/>
              <w:autoSpaceDE w:val="0"/>
              <w:autoSpaceDN w:val="0"/>
              <w:adjustRightInd w:val="0"/>
              <w:snapToGrid w:val="0"/>
              <w:spacing w:before="156" w:beforeLines="50" w:line="360" w:lineRule="auto"/>
              <w:jc w:val="left"/>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☑供应商只能提出唯一响应方案</w:t>
            </w:r>
          </w:p>
          <w:p w14:paraId="1BCC0BF8">
            <w:pPr>
              <w:pStyle w:val="11"/>
              <w:widowControl/>
              <w:kinsoku w:val="0"/>
              <w:autoSpaceDE w:val="0"/>
              <w:autoSpaceDN w:val="0"/>
              <w:adjustRightInd w:val="0"/>
              <w:snapToGrid w:val="0"/>
              <w:spacing w:before="156" w:beforeLines="50" w:line="360" w:lineRule="auto"/>
              <w:jc w:val="left"/>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□供应商可提出多个响应方案</w:t>
            </w:r>
          </w:p>
        </w:tc>
      </w:tr>
      <w:tr w14:paraId="0A5D42B0">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110" w:type="dxa"/>
            <w:tcBorders>
              <w:tl2br w:val="nil"/>
              <w:tr2bl w:val="nil"/>
            </w:tcBorders>
            <w:shd w:val="clear" w:color="auto" w:fill="auto"/>
            <w:vAlign w:val="center"/>
          </w:tcPr>
          <w:p w14:paraId="37804953">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3.7.5</w:t>
            </w:r>
          </w:p>
        </w:tc>
        <w:tc>
          <w:tcPr>
            <w:tcW w:w="2122" w:type="dxa"/>
            <w:tcBorders>
              <w:tl2br w:val="nil"/>
              <w:tr2bl w:val="nil"/>
            </w:tcBorders>
            <w:shd w:val="clear" w:color="auto" w:fill="auto"/>
            <w:vAlign w:val="center"/>
          </w:tcPr>
          <w:p w14:paraId="69D2398F">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响应文件副本份数及电子版要求</w:t>
            </w:r>
          </w:p>
        </w:tc>
        <w:tc>
          <w:tcPr>
            <w:tcW w:w="5825" w:type="dxa"/>
            <w:tcBorders>
              <w:tl2br w:val="nil"/>
              <w:tr2bl w:val="nil"/>
            </w:tcBorders>
            <w:shd w:val="clear" w:color="auto" w:fill="auto"/>
            <w:vAlign w:val="center"/>
          </w:tcPr>
          <w:p w14:paraId="2D260789">
            <w:pPr>
              <w:pStyle w:val="11"/>
              <w:widowControl/>
              <w:kinsoku w:val="0"/>
              <w:autoSpaceDE w:val="0"/>
              <w:autoSpaceDN w:val="0"/>
              <w:adjustRightInd w:val="0"/>
              <w:snapToGrid w:val="0"/>
              <w:spacing w:before="156" w:beforeLines="50" w:line="360" w:lineRule="auto"/>
              <w:jc w:val="left"/>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纸质文件正本1份，副本</w:t>
            </w:r>
            <w:r>
              <w:rPr>
                <w:rFonts w:hint="eastAsia" w:ascii="仿宋" w:hAnsi="仿宋" w:eastAsia="仿宋" w:cs="仿宋"/>
                <w:snapToGrid w:val="0"/>
                <w:color w:val="000000"/>
                <w:spacing w:val="8"/>
                <w:sz w:val="24"/>
                <w:szCs w:val="24"/>
                <w:highlight w:val="none"/>
                <w:u w:val="single"/>
                <w:lang w:eastAsia="zh-CN"/>
              </w:rPr>
              <w:t>　1　</w:t>
            </w:r>
            <w:r>
              <w:rPr>
                <w:rFonts w:hint="eastAsia" w:ascii="仿宋" w:hAnsi="仿宋" w:eastAsia="仿宋" w:cs="仿宋"/>
                <w:snapToGrid w:val="0"/>
                <w:color w:val="000000"/>
                <w:spacing w:val="8"/>
                <w:sz w:val="24"/>
                <w:szCs w:val="24"/>
                <w:highlight w:val="none"/>
                <w:lang w:eastAsia="zh-CN"/>
              </w:rPr>
              <w:t>份</w:t>
            </w:r>
          </w:p>
          <w:p w14:paraId="37290039">
            <w:pPr>
              <w:pStyle w:val="11"/>
              <w:widowControl/>
              <w:kinsoku w:val="0"/>
              <w:autoSpaceDE w:val="0"/>
              <w:autoSpaceDN w:val="0"/>
              <w:adjustRightInd w:val="0"/>
              <w:snapToGrid w:val="0"/>
              <w:spacing w:before="156" w:beforeLines="50" w:line="360" w:lineRule="auto"/>
              <w:jc w:val="left"/>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是否要求提供电子版响应文件：</w:t>
            </w:r>
          </w:p>
          <w:p w14:paraId="42E5D2C8">
            <w:pPr>
              <w:pStyle w:val="11"/>
              <w:widowControl/>
              <w:kinsoku w:val="0"/>
              <w:autoSpaceDE w:val="0"/>
              <w:autoSpaceDN w:val="0"/>
              <w:adjustRightInd w:val="0"/>
              <w:snapToGrid w:val="0"/>
              <w:spacing w:before="156" w:beforeLines="50" w:line="360" w:lineRule="auto"/>
              <w:jc w:val="left"/>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□不要求</w:t>
            </w:r>
          </w:p>
          <w:p w14:paraId="5B472B22">
            <w:pPr>
              <w:pStyle w:val="11"/>
              <w:widowControl/>
              <w:kinsoku w:val="0"/>
              <w:autoSpaceDE w:val="0"/>
              <w:autoSpaceDN w:val="0"/>
              <w:adjustRightInd w:val="0"/>
              <w:snapToGrid w:val="0"/>
              <w:spacing w:before="156" w:beforeLines="50" w:line="360" w:lineRule="auto"/>
              <w:jc w:val="left"/>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☑要求，提供电子版响应文件的形式</w:t>
            </w:r>
          </w:p>
        </w:tc>
      </w:tr>
      <w:tr w14:paraId="15A9C965">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110" w:type="dxa"/>
            <w:tcBorders>
              <w:tl2br w:val="nil"/>
              <w:tr2bl w:val="nil"/>
            </w:tcBorders>
            <w:shd w:val="clear" w:color="auto" w:fill="auto"/>
            <w:vAlign w:val="center"/>
          </w:tcPr>
          <w:p w14:paraId="38AAD45A">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3.7.6</w:t>
            </w:r>
          </w:p>
        </w:tc>
        <w:tc>
          <w:tcPr>
            <w:tcW w:w="2122" w:type="dxa"/>
            <w:tcBorders>
              <w:tl2br w:val="nil"/>
              <w:tr2bl w:val="nil"/>
            </w:tcBorders>
            <w:shd w:val="clear" w:color="auto" w:fill="auto"/>
            <w:vAlign w:val="center"/>
          </w:tcPr>
          <w:p w14:paraId="3623C502">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分册装订要求</w:t>
            </w:r>
          </w:p>
        </w:tc>
        <w:tc>
          <w:tcPr>
            <w:tcW w:w="5825" w:type="dxa"/>
            <w:tcBorders>
              <w:tl2br w:val="nil"/>
              <w:tr2bl w:val="nil"/>
            </w:tcBorders>
            <w:shd w:val="clear" w:color="auto" w:fill="auto"/>
            <w:vAlign w:val="center"/>
          </w:tcPr>
          <w:p w14:paraId="07D2128B">
            <w:pPr>
              <w:pStyle w:val="11"/>
              <w:widowControl/>
              <w:kinsoku w:val="0"/>
              <w:autoSpaceDE w:val="0"/>
              <w:autoSpaceDN w:val="0"/>
              <w:adjustRightInd w:val="0"/>
              <w:snapToGrid w:val="0"/>
              <w:spacing w:before="156" w:beforeLines="50" w:line="360" w:lineRule="auto"/>
              <w:jc w:val="left"/>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u w:val="single"/>
                <w:lang w:eastAsia="zh-CN"/>
              </w:rPr>
              <w:t>　　/　　</w:t>
            </w:r>
          </w:p>
        </w:tc>
      </w:tr>
      <w:tr w14:paraId="76BC32B2">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110" w:type="dxa"/>
            <w:tcBorders>
              <w:tl2br w:val="nil"/>
              <w:tr2bl w:val="nil"/>
            </w:tcBorders>
            <w:shd w:val="clear" w:color="auto" w:fill="auto"/>
            <w:vAlign w:val="center"/>
          </w:tcPr>
          <w:p w14:paraId="0E3F818F">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4.1.1</w:t>
            </w:r>
          </w:p>
        </w:tc>
        <w:tc>
          <w:tcPr>
            <w:tcW w:w="2122" w:type="dxa"/>
            <w:tcBorders>
              <w:tl2br w:val="nil"/>
              <w:tr2bl w:val="nil"/>
            </w:tcBorders>
            <w:shd w:val="clear" w:color="auto" w:fill="auto"/>
            <w:vAlign w:val="center"/>
          </w:tcPr>
          <w:p w14:paraId="4CF4FA74">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响应文件密封</w:t>
            </w:r>
          </w:p>
        </w:tc>
        <w:tc>
          <w:tcPr>
            <w:tcW w:w="5825" w:type="dxa"/>
            <w:tcBorders>
              <w:tl2br w:val="nil"/>
              <w:tr2bl w:val="nil"/>
            </w:tcBorders>
            <w:shd w:val="clear" w:color="auto" w:fill="auto"/>
            <w:vAlign w:val="center"/>
          </w:tcPr>
          <w:p w14:paraId="63F015E3">
            <w:pPr>
              <w:pStyle w:val="11"/>
              <w:widowControl/>
              <w:kinsoku w:val="0"/>
              <w:autoSpaceDE w:val="0"/>
              <w:autoSpaceDN w:val="0"/>
              <w:adjustRightInd w:val="0"/>
              <w:snapToGrid w:val="0"/>
              <w:spacing w:before="156" w:beforeLines="50" w:line="360" w:lineRule="auto"/>
              <w:jc w:val="left"/>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□不需要密封</w:t>
            </w:r>
          </w:p>
          <w:p w14:paraId="17951385">
            <w:pPr>
              <w:pStyle w:val="11"/>
              <w:widowControl/>
              <w:kinsoku w:val="0"/>
              <w:autoSpaceDE w:val="0"/>
              <w:autoSpaceDN w:val="0"/>
              <w:adjustRightInd w:val="0"/>
              <w:snapToGrid w:val="0"/>
              <w:spacing w:before="156" w:beforeLines="50" w:line="360" w:lineRule="auto"/>
              <w:jc w:val="left"/>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☑需要密封，密封要求：</w:t>
            </w:r>
            <w:r>
              <w:rPr>
                <w:rFonts w:hint="eastAsia" w:ascii="仿宋" w:hAnsi="仿宋" w:eastAsia="仿宋" w:cs="仿宋"/>
                <w:snapToGrid w:val="0"/>
                <w:color w:val="000000"/>
                <w:spacing w:val="8"/>
                <w:sz w:val="24"/>
                <w:szCs w:val="24"/>
                <w:highlight w:val="none"/>
                <w:u w:val="single"/>
                <w:lang w:eastAsia="zh-CN"/>
              </w:rPr>
              <w:t>　　/　　</w:t>
            </w:r>
          </w:p>
        </w:tc>
      </w:tr>
      <w:tr w14:paraId="1097D06E">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110" w:type="dxa"/>
            <w:tcBorders>
              <w:tl2br w:val="nil"/>
              <w:tr2bl w:val="nil"/>
            </w:tcBorders>
            <w:shd w:val="clear" w:color="auto" w:fill="auto"/>
            <w:vAlign w:val="center"/>
          </w:tcPr>
          <w:p w14:paraId="5F052EEA">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4.1.2</w:t>
            </w:r>
          </w:p>
        </w:tc>
        <w:tc>
          <w:tcPr>
            <w:tcW w:w="2122" w:type="dxa"/>
            <w:tcBorders>
              <w:tl2br w:val="nil"/>
              <w:tr2bl w:val="nil"/>
            </w:tcBorders>
            <w:shd w:val="clear" w:color="auto" w:fill="auto"/>
            <w:vAlign w:val="center"/>
          </w:tcPr>
          <w:p w14:paraId="0DA96E32">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封套上应载明信息</w:t>
            </w:r>
          </w:p>
        </w:tc>
        <w:tc>
          <w:tcPr>
            <w:tcW w:w="5825" w:type="dxa"/>
            <w:tcBorders>
              <w:tl2br w:val="nil"/>
              <w:tr2bl w:val="nil"/>
            </w:tcBorders>
            <w:shd w:val="clear" w:color="auto" w:fill="auto"/>
            <w:vAlign w:val="center"/>
          </w:tcPr>
          <w:p w14:paraId="0B13CAAD">
            <w:pPr>
              <w:pStyle w:val="11"/>
              <w:widowControl/>
              <w:kinsoku w:val="0"/>
              <w:autoSpaceDE w:val="0"/>
              <w:autoSpaceDN w:val="0"/>
              <w:adjustRightInd w:val="0"/>
              <w:snapToGrid w:val="0"/>
              <w:spacing w:before="156" w:beforeLines="50" w:line="360" w:lineRule="auto"/>
              <w:ind w:firstLine="517" w:firstLineChars="202"/>
              <w:jc w:val="left"/>
              <w:textAlignment w:val="baseline"/>
              <w:rPr>
                <w:rFonts w:ascii="仿宋" w:hAnsi="仿宋" w:eastAsia="仿宋" w:cs="仿宋"/>
                <w:snapToGrid w:val="0"/>
                <w:color w:val="000000"/>
                <w:spacing w:val="8"/>
                <w:sz w:val="24"/>
                <w:szCs w:val="24"/>
                <w:highlight w:val="none"/>
                <w:u w:val="single"/>
                <w:lang w:eastAsia="zh-CN"/>
              </w:rPr>
            </w:pPr>
            <w:r>
              <w:rPr>
                <w:rFonts w:hint="eastAsia" w:ascii="仿宋" w:hAnsi="仿宋" w:eastAsia="仿宋" w:cs="仿宋"/>
                <w:snapToGrid w:val="0"/>
                <w:color w:val="000000"/>
                <w:spacing w:val="8"/>
                <w:sz w:val="24"/>
                <w:szCs w:val="24"/>
                <w:highlight w:val="none"/>
                <w:lang w:eastAsia="zh-CN"/>
              </w:rPr>
              <w:t>项目名称:</w:t>
            </w:r>
            <w:r>
              <w:rPr>
                <w:rFonts w:hint="eastAsia" w:ascii="仿宋" w:hAnsi="仿宋" w:eastAsia="仿宋" w:cs="仿宋"/>
                <w:snapToGrid w:val="0"/>
                <w:color w:val="000000"/>
                <w:spacing w:val="8"/>
                <w:sz w:val="24"/>
                <w:szCs w:val="24"/>
                <w:highlight w:val="none"/>
                <w:u w:val="single"/>
                <w:lang w:eastAsia="zh-CN"/>
              </w:rPr>
              <w:t>　</w:t>
            </w:r>
            <w:r>
              <w:rPr>
                <w:rFonts w:hint="eastAsia"/>
                <w:sz w:val="24"/>
                <w:szCs w:val="24"/>
                <w:highlight w:val="none"/>
                <w:lang w:eastAsia="zh-CN"/>
              </w:rPr>
              <w:t xml:space="preserve"> </w:t>
            </w:r>
            <w:r>
              <w:rPr>
                <w:rFonts w:hint="eastAsia" w:ascii="仿宋" w:hAnsi="仿宋" w:eastAsia="仿宋" w:cs="仿宋"/>
                <w:snapToGrid w:val="0"/>
                <w:color w:val="000000"/>
                <w:spacing w:val="8"/>
                <w:sz w:val="24"/>
                <w:szCs w:val="24"/>
                <w:highlight w:val="none"/>
                <w:u w:val="single"/>
                <w:lang w:eastAsia="zh-CN"/>
              </w:rPr>
              <w:t>中机国际中设广场裙楼物业管理服务采购项目　</w:t>
            </w:r>
          </w:p>
          <w:p w14:paraId="10735094">
            <w:pPr>
              <w:pStyle w:val="11"/>
              <w:widowControl/>
              <w:kinsoku w:val="0"/>
              <w:autoSpaceDE w:val="0"/>
              <w:autoSpaceDN w:val="0"/>
              <w:adjustRightInd w:val="0"/>
              <w:snapToGrid w:val="0"/>
              <w:spacing w:before="156" w:beforeLines="50" w:line="360" w:lineRule="auto"/>
              <w:ind w:firstLine="517" w:firstLineChars="202"/>
              <w:jc w:val="left"/>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供应商名称:</w:t>
            </w:r>
            <w:r>
              <w:rPr>
                <w:rFonts w:hint="eastAsia" w:ascii="仿宋" w:hAnsi="仿宋" w:eastAsia="仿宋" w:cs="仿宋"/>
                <w:snapToGrid w:val="0"/>
                <w:color w:val="000000"/>
                <w:spacing w:val="8"/>
                <w:sz w:val="24"/>
                <w:szCs w:val="24"/>
                <w:highlight w:val="none"/>
                <w:u w:val="single"/>
                <w:lang w:eastAsia="zh-CN"/>
              </w:rPr>
              <w:t>　　　　　　</w:t>
            </w:r>
          </w:p>
          <w:p w14:paraId="3F80C636">
            <w:pPr>
              <w:pStyle w:val="11"/>
              <w:widowControl/>
              <w:kinsoku w:val="0"/>
              <w:autoSpaceDE w:val="0"/>
              <w:autoSpaceDN w:val="0"/>
              <w:adjustRightInd w:val="0"/>
              <w:snapToGrid w:val="0"/>
              <w:spacing w:before="156" w:beforeLines="50" w:line="360" w:lineRule="auto"/>
              <w:ind w:firstLine="517" w:firstLineChars="202"/>
              <w:jc w:val="left"/>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供应商地址:</w:t>
            </w:r>
            <w:r>
              <w:rPr>
                <w:rFonts w:hint="eastAsia" w:ascii="仿宋" w:hAnsi="仿宋" w:eastAsia="仿宋" w:cs="仿宋"/>
                <w:snapToGrid w:val="0"/>
                <w:color w:val="000000"/>
                <w:spacing w:val="8"/>
                <w:sz w:val="24"/>
                <w:szCs w:val="24"/>
                <w:highlight w:val="none"/>
                <w:u w:val="single"/>
                <w:lang w:eastAsia="zh-CN"/>
              </w:rPr>
              <w:t>　　　　　　</w:t>
            </w:r>
          </w:p>
          <w:p w14:paraId="03295162">
            <w:pPr>
              <w:pStyle w:val="11"/>
              <w:widowControl/>
              <w:kinsoku w:val="0"/>
              <w:autoSpaceDE w:val="0"/>
              <w:autoSpaceDN w:val="0"/>
              <w:adjustRightInd w:val="0"/>
              <w:snapToGrid w:val="0"/>
              <w:spacing w:before="156" w:beforeLines="50" w:line="360" w:lineRule="auto"/>
              <w:ind w:firstLine="517" w:firstLineChars="202"/>
              <w:jc w:val="left"/>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联系人及其联系方式:</w:t>
            </w:r>
            <w:r>
              <w:rPr>
                <w:rFonts w:hint="eastAsia" w:ascii="仿宋" w:hAnsi="仿宋" w:eastAsia="仿宋" w:cs="仿宋"/>
                <w:snapToGrid w:val="0"/>
                <w:color w:val="000000"/>
                <w:spacing w:val="8"/>
                <w:sz w:val="24"/>
                <w:szCs w:val="24"/>
                <w:highlight w:val="none"/>
                <w:u w:val="single"/>
                <w:lang w:eastAsia="zh-CN"/>
              </w:rPr>
              <w:t>　　　　</w:t>
            </w:r>
          </w:p>
        </w:tc>
      </w:tr>
      <w:tr w14:paraId="71A67F8C">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110" w:type="dxa"/>
            <w:tcBorders>
              <w:tl2br w:val="nil"/>
              <w:tr2bl w:val="nil"/>
            </w:tcBorders>
            <w:shd w:val="clear" w:color="auto" w:fill="auto"/>
            <w:vAlign w:val="center"/>
          </w:tcPr>
          <w:p w14:paraId="31B14130">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4.2.1</w:t>
            </w:r>
          </w:p>
        </w:tc>
        <w:tc>
          <w:tcPr>
            <w:tcW w:w="2122" w:type="dxa"/>
            <w:tcBorders>
              <w:tl2br w:val="nil"/>
              <w:tr2bl w:val="nil"/>
            </w:tcBorders>
            <w:shd w:val="clear" w:color="auto" w:fill="auto"/>
            <w:vAlign w:val="center"/>
          </w:tcPr>
          <w:p w14:paraId="0B7B6E72">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响应截止时间</w:t>
            </w:r>
          </w:p>
        </w:tc>
        <w:tc>
          <w:tcPr>
            <w:tcW w:w="5825" w:type="dxa"/>
            <w:tcBorders>
              <w:tl2br w:val="nil"/>
              <w:tr2bl w:val="nil"/>
            </w:tcBorders>
            <w:shd w:val="clear" w:color="auto" w:fill="auto"/>
            <w:vAlign w:val="center"/>
          </w:tcPr>
          <w:p w14:paraId="01344C26">
            <w:pPr>
              <w:pStyle w:val="11"/>
              <w:widowControl/>
              <w:kinsoku w:val="0"/>
              <w:autoSpaceDE w:val="0"/>
              <w:autoSpaceDN w:val="0"/>
              <w:adjustRightInd w:val="0"/>
              <w:snapToGrid w:val="0"/>
              <w:spacing w:before="156" w:beforeLines="50" w:line="360" w:lineRule="auto"/>
              <w:jc w:val="left"/>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☑见采购公告</w:t>
            </w:r>
          </w:p>
          <w:p w14:paraId="2126D711">
            <w:pPr>
              <w:pStyle w:val="11"/>
              <w:widowControl/>
              <w:kinsoku w:val="0"/>
              <w:autoSpaceDE w:val="0"/>
              <w:autoSpaceDN w:val="0"/>
              <w:adjustRightInd w:val="0"/>
              <w:snapToGrid w:val="0"/>
              <w:spacing w:before="156" w:beforeLines="50" w:line="360" w:lineRule="auto"/>
              <w:jc w:val="left"/>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□见采购邀请书</w:t>
            </w:r>
          </w:p>
        </w:tc>
      </w:tr>
      <w:tr w14:paraId="358C8657">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110" w:type="dxa"/>
            <w:tcBorders>
              <w:tl2br w:val="nil"/>
              <w:tr2bl w:val="nil"/>
            </w:tcBorders>
            <w:shd w:val="clear" w:color="auto" w:fill="auto"/>
            <w:vAlign w:val="center"/>
          </w:tcPr>
          <w:p w14:paraId="5FED7E39">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4.2.1</w:t>
            </w:r>
          </w:p>
        </w:tc>
        <w:tc>
          <w:tcPr>
            <w:tcW w:w="2122" w:type="dxa"/>
            <w:tcBorders>
              <w:tl2br w:val="nil"/>
              <w:tr2bl w:val="nil"/>
            </w:tcBorders>
            <w:shd w:val="clear" w:color="auto" w:fill="auto"/>
            <w:vAlign w:val="center"/>
          </w:tcPr>
          <w:p w14:paraId="6A083D7E">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响应文件递交方式和地点</w:t>
            </w:r>
          </w:p>
        </w:tc>
        <w:tc>
          <w:tcPr>
            <w:tcW w:w="5825" w:type="dxa"/>
            <w:tcBorders>
              <w:tl2br w:val="nil"/>
              <w:tr2bl w:val="nil"/>
            </w:tcBorders>
            <w:shd w:val="clear" w:color="auto" w:fill="auto"/>
            <w:vAlign w:val="center"/>
          </w:tcPr>
          <w:p w14:paraId="39AC6F05">
            <w:pPr>
              <w:pStyle w:val="11"/>
              <w:widowControl/>
              <w:kinsoku w:val="0"/>
              <w:autoSpaceDE w:val="0"/>
              <w:autoSpaceDN w:val="0"/>
              <w:adjustRightInd w:val="0"/>
              <w:snapToGrid w:val="0"/>
              <w:spacing w:before="156" w:beforeLines="50" w:line="360" w:lineRule="auto"/>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☑本项目应当在线提交电子响应文件</w:t>
            </w:r>
          </w:p>
          <w:p w14:paraId="2E3BAFCB">
            <w:pPr>
              <w:pStyle w:val="11"/>
              <w:widowControl/>
              <w:kinsoku w:val="0"/>
              <w:autoSpaceDE w:val="0"/>
              <w:autoSpaceDN w:val="0"/>
              <w:adjustRightInd w:val="0"/>
              <w:snapToGrid w:val="0"/>
              <w:spacing w:before="156" w:beforeLines="50" w:line="360" w:lineRule="auto"/>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☑本项目在线下递交纸质响应文件。</w:t>
            </w:r>
          </w:p>
          <w:p w14:paraId="065EED26">
            <w:pPr>
              <w:pStyle w:val="11"/>
              <w:widowControl/>
              <w:kinsoku w:val="0"/>
              <w:autoSpaceDE w:val="0"/>
              <w:autoSpaceDN w:val="0"/>
              <w:adjustRightInd w:val="0"/>
              <w:snapToGrid w:val="0"/>
              <w:spacing w:before="156" w:beforeLines="50" w:line="360" w:lineRule="auto"/>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响应文件送达地址:</w:t>
            </w:r>
            <w:r>
              <w:rPr>
                <w:rFonts w:hint="eastAsia" w:ascii="仿宋" w:hAnsi="仿宋" w:eastAsia="仿宋" w:cs="仿宋"/>
                <w:snapToGrid w:val="0"/>
                <w:color w:val="000000"/>
                <w:spacing w:val="8"/>
                <w:sz w:val="24"/>
                <w:szCs w:val="24"/>
                <w:highlight w:val="none"/>
                <w:u w:val="single"/>
                <w:lang w:eastAsia="zh-CN"/>
              </w:rPr>
              <w:t>　</w:t>
            </w:r>
            <w:r>
              <w:rPr>
                <w:rFonts w:hint="eastAsia" w:ascii="仿宋" w:hAnsi="仿宋" w:eastAsia="仿宋" w:cs="仿宋"/>
                <w:spacing w:val="10"/>
                <w:sz w:val="24"/>
                <w:szCs w:val="24"/>
                <w:highlight w:val="none"/>
                <w:u w:val="single"/>
                <w:lang w:eastAsia="zh-CN"/>
              </w:rPr>
              <w:t>长沙市雨花区韶山中路18号中机国际工程设计研究院有限责任公司901会议室</w:t>
            </w:r>
            <w:r>
              <w:rPr>
                <w:rFonts w:hint="eastAsia" w:ascii="仿宋" w:hAnsi="仿宋" w:eastAsia="仿宋" w:cs="仿宋"/>
                <w:snapToGrid w:val="0"/>
                <w:color w:val="000000"/>
                <w:spacing w:val="8"/>
                <w:sz w:val="24"/>
                <w:szCs w:val="24"/>
                <w:highlight w:val="none"/>
                <w:u w:val="single"/>
                <w:lang w:eastAsia="zh-CN"/>
              </w:rPr>
              <w:t>　</w:t>
            </w:r>
          </w:p>
        </w:tc>
      </w:tr>
      <w:tr w14:paraId="10AAE531">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110" w:type="dxa"/>
            <w:tcBorders>
              <w:tl2br w:val="nil"/>
              <w:tr2bl w:val="nil"/>
            </w:tcBorders>
            <w:shd w:val="clear" w:color="auto" w:fill="auto"/>
            <w:vAlign w:val="center"/>
          </w:tcPr>
          <w:p w14:paraId="1C7D2B68">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4.2.2</w:t>
            </w:r>
          </w:p>
        </w:tc>
        <w:tc>
          <w:tcPr>
            <w:tcW w:w="2122" w:type="dxa"/>
            <w:tcBorders>
              <w:tl2br w:val="nil"/>
              <w:tr2bl w:val="nil"/>
            </w:tcBorders>
            <w:shd w:val="clear" w:color="auto" w:fill="auto"/>
            <w:vAlign w:val="center"/>
          </w:tcPr>
          <w:p w14:paraId="35D13F02">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是否退还响应文件</w:t>
            </w:r>
          </w:p>
        </w:tc>
        <w:tc>
          <w:tcPr>
            <w:tcW w:w="5825" w:type="dxa"/>
            <w:tcBorders>
              <w:tl2br w:val="nil"/>
              <w:tr2bl w:val="nil"/>
            </w:tcBorders>
            <w:shd w:val="clear" w:color="auto" w:fill="auto"/>
            <w:vAlign w:val="center"/>
          </w:tcPr>
          <w:p w14:paraId="4BB25AAA">
            <w:pPr>
              <w:pStyle w:val="11"/>
              <w:widowControl/>
              <w:kinsoku w:val="0"/>
              <w:autoSpaceDE w:val="0"/>
              <w:autoSpaceDN w:val="0"/>
              <w:adjustRightInd w:val="0"/>
              <w:snapToGrid w:val="0"/>
              <w:spacing w:before="156" w:beforeLines="50" w:line="360" w:lineRule="auto"/>
              <w:jc w:val="left"/>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☑否</w:t>
            </w:r>
          </w:p>
          <w:p w14:paraId="730065ED">
            <w:pPr>
              <w:pStyle w:val="11"/>
              <w:widowControl/>
              <w:kinsoku w:val="0"/>
              <w:autoSpaceDE w:val="0"/>
              <w:autoSpaceDN w:val="0"/>
              <w:adjustRightInd w:val="0"/>
              <w:snapToGrid w:val="0"/>
              <w:spacing w:before="156" w:beforeLines="50" w:line="360" w:lineRule="auto"/>
              <w:jc w:val="left"/>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□是，退还时间：</w:t>
            </w:r>
            <w:r>
              <w:rPr>
                <w:rFonts w:hint="eastAsia" w:ascii="仿宋" w:hAnsi="仿宋" w:eastAsia="仿宋" w:cs="仿宋"/>
                <w:snapToGrid w:val="0"/>
                <w:color w:val="000000"/>
                <w:spacing w:val="8"/>
                <w:sz w:val="24"/>
                <w:szCs w:val="24"/>
                <w:highlight w:val="none"/>
                <w:u w:val="single"/>
                <w:lang w:eastAsia="zh-CN"/>
              </w:rPr>
              <w:t>　　　　</w:t>
            </w:r>
          </w:p>
        </w:tc>
      </w:tr>
      <w:tr w14:paraId="752CDB8E">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110" w:type="dxa"/>
            <w:tcBorders>
              <w:tl2br w:val="nil"/>
              <w:tr2bl w:val="nil"/>
            </w:tcBorders>
            <w:shd w:val="clear" w:color="auto" w:fill="auto"/>
            <w:vAlign w:val="center"/>
          </w:tcPr>
          <w:p w14:paraId="5BC53AAB">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4.3.3</w:t>
            </w:r>
          </w:p>
        </w:tc>
        <w:tc>
          <w:tcPr>
            <w:tcW w:w="2122" w:type="dxa"/>
            <w:tcBorders>
              <w:tl2br w:val="nil"/>
              <w:tr2bl w:val="nil"/>
            </w:tcBorders>
            <w:shd w:val="clear" w:color="auto" w:fill="auto"/>
            <w:vAlign w:val="center"/>
          </w:tcPr>
          <w:p w14:paraId="30C21179">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供应商撤回响应文件情况下退还响应保证金的时间</w:t>
            </w:r>
          </w:p>
        </w:tc>
        <w:tc>
          <w:tcPr>
            <w:tcW w:w="5825" w:type="dxa"/>
            <w:tcBorders>
              <w:tl2br w:val="nil"/>
              <w:tr2bl w:val="nil"/>
            </w:tcBorders>
            <w:shd w:val="clear" w:color="auto" w:fill="auto"/>
            <w:vAlign w:val="center"/>
          </w:tcPr>
          <w:p w14:paraId="5B911A45">
            <w:pPr>
              <w:pStyle w:val="11"/>
              <w:widowControl/>
              <w:kinsoku w:val="0"/>
              <w:autoSpaceDE w:val="0"/>
              <w:autoSpaceDN w:val="0"/>
              <w:adjustRightInd w:val="0"/>
              <w:snapToGrid w:val="0"/>
              <w:spacing w:before="156" w:beforeLines="50" w:line="360" w:lineRule="auto"/>
              <w:jc w:val="left"/>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自采购人收到供应商递交的书面通知之日起</w:t>
            </w:r>
            <w:r>
              <w:rPr>
                <w:rFonts w:hint="eastAsia" w:ascii="仿宋" w:hAnsi="仿宋" w:eastAsia="仿宋" w:cs="仿宋"/>
                <w:snapToGrid w:val="0"/>
                <w:color w:val="000000"/>
                <w:spacing w:val="8"/>
                <w:sz w:val="24"/>
                <w:szCs w:val="24"/>
                <w:highlight w:val="none"/>
                <w:u w:val="single"/>
                <w:lang w:eastAsia="zh-CN"/>
              </w:rPr>
              <w:t>　/　</w:t>
            </w:r>
            <w:r>
              <w:rPr>
                <w:rFonts w:hint="eastAsia" w:ascii="仿宋" w:hAnsi="仿宋" w:eastAsia="仿宋" w:cs="仿宋"/>
                <w:snapToGrid w:val="0"/>
                <w:color w:val="000000"/>
                <w:spacing w:val="8"/>
                <w:sz w:val="24"/>
                <w:szCs w:val="24"/>
                <w:highlight w:val="none"/>
                <w:lang w:eastAsia="zh-CN"/>
              </w:rPr>
              <w:t>天</w:t>
            </w:r>
          </w:p>
        </w:tc>
      </w:tr>
      <w:tr w14:paraId="5C2DAFFE">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110" w:type="dxa"/>
            <w:tcBorders>
              <w:tl2br w:val="nil"/>
              <w:tr2bl w:val="nil"/>
            </w:tcBorders>
            <w:vAlign w:val="center"/>
          </w:tcPr>
          <w:p w14:paraId="41737551">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5</w:t>
            </w:r>
          </w:p>
        </w:tc>
        <w:tc>
          <w:tcPr>
            <w:tcW w:w="2122" w:type="dxa"/>
            <w:tcBorders>
              <w:tl2br w:val="nil"/>
              <w:tr2bl w:val="nil"/>
            </w:tcBorders>
            <w:vAlign w:val="center"/>
          </w:tcPr>
          <w:p w14:paraId="58E01A3E">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是否公开开启响应文件</w:t>
            </w:r>
          </w:p>
        </w:tc>
        <w:tc>
          <w:tcPr>
            <w:tcW w:w="5825" w:type="dxa"/>
            <w:tcBorders>
              <w:tl2br w:val="nil"/>
              <w:tr2bl w:val="nil"/>
            </w:tcBorders>
            <w:vAlign w:val="center"/>
          </w:tcPr>
          <w:p w14:paraId="268E4364">
            <w:pPr>
              <w:pStyle w:val="11"/>
              <w:widowControl/>
              <w:kinsoku w:val="0"/>
              <w:autoSpaceDE w:val="0"/>
              <w:autoSpaceDN w:val="0"/>
              <w:adjustRightInd w:val="0"/>
              <w:snapToGrid w:val="0"/>
              <w:spacing w:before="156" w:beforeLines="50" w:line="360" w:lineRule="auto"/>
              <w:jc w:val="left"/>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☑否</w:t>
            </w:r>
          </w:p>
          <w:p w14:paraId="54741637">
            <w:pPr>
              <w:pStyle w:val="11"/>
              <w:widowControl/>
              <w:kinsoku w:val="0"/>
              <w:autoSpaceDE w:val="0"/>
              <w:autoSpaceDN w:val="0"/>
              <w:adjustRightInd w:val="0"/>
              <w:snapToGrid w:val="0"/>
              <w:spacing w:before="156" w:beforeLines="50" w:line="360" w:lineRule="auto"/>
              <w:jc w:val="left"/>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□是</w:t>
            </w:r>
          </w:p>
        </w:tc>
      </w:tr>
      <w:tr w14:paraId="69A2702A">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342" w:hRule="atLeast"/>
          <w:jc w:val="center"/>
        </w:trPr>
        <w:tc>
          <w:tcPr>
            <w:tcW w:w="1110" w:type="dxa"/>
            <w:tcBorders>
              <w:tl2br w:val="nil"/>
              <w:tr2bl w:val="nil"/>
            </w:tcBorders>
            <w:vAlign w:val="center"/>
          </w:tcPr>
          <w:p w14:paraId="3DB26CF1">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5.1</w:t>
            </w:r>
          </w:p>
        </w:tc>
        <w:tc>
          <w:tcPr>
            <w:tcW w:w="2122" w:type="dxa"/>
            <w:tcBorders>
              <w:tl2br w:val="nil"/>
              <w:tr2bl w:val="nil"/>
            </w:tcBorders>
            <w:vAlign w:val="center"/>
          </w:tcPr>
          <w:p w14:paraId="07A84D83">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rPr>
            </w:pPr>
            <w:r>
              <w:rPr>
                <w:rFonts w:hint="eastAsia" w:ascii="仿宋" w:hAnsi="仿宋" w:eastAsia="仿宋" w:cs="仿宋"/>
                <w:snapToGrid w:val="0"/>
                <w:color w:val="000000"/>
                <w:spacing w:val="8"/>
                <w:sz w:val="24"/>
                <w:szCs w:val="24"/>
                <w:highlight w:val="none"/>
              </w:rPr>
              <w:t>开启地点</w:t>
            </w:r>
          </w:p>
        </w:tc>
        <w:tc>
          <w:tcPr>
            <w:tcW w:w="5825" w:type="dxa"/>
            <w:tcBorders>
              <w:tl2br w:val="nil"/>
              <w:tr2bl w:val="nil"/>
            </w:tcBorders>
            <w:vAlign w:val="center"/>
          </w:tcPr>
          <w:p w14:paraId="3B041F02">
            <w:pPr>
              <w:pStyle w:val="11"/>
              <w:widowControl/>
              <w:kinsoku w:val="0"/>
              <w:autoSpaceDE w:val="0"/>
              <w:autoSpaceDN w:val="0"/>
              <w:adjustRightInd w:val="0"/>
              <w:snapToGrid w:val="0"/>
              <w:spacing w:before="156" w:beforeLines="50" w:line="360" w:lineRule="auto"/>
              <w:jc w:val="left"/>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u w:val="single"/>
                <w:lang w:eastAsia="zh-CN"/>
              </w:rPr>
              <w:t>　</w:t>
            </w:r>
            <w:r>
              <w:rPr>
                <w:rFonts w:hint="eastAsia" w:ascii="仿宋" w:hAnsi="仿宋" w:eastAsia="仿宋" w:cs="仿宋"/>
                <w:spacing w:val="10"/>
                <w:sz w:val="24"/>
                <w:szCs w:val="24"/>
                <w:highlight w:val="none"/>
                <w:u w:val="single"/>
                <w:lang w:eastAsia="zh-CN"/>
              </w:rPr>
              <w:t>长沙市雨花区韶山中路18号中机国际工程设计研究院有限责任公司901会议室</w:t>
            </w:r>
            <w:r>
              <w:rPr>
                <w:rFonts w:hint="eastAsia" w:ascii="仿宋" w:hAnsi="仿宋" w:eastAsia="仿宋" w:cs="仿宋"/>
                <w:snapToGrid w:val="0"/>
                <w:color w:val="000000"/>
                <w:spacing w:val="8"/>
                <w:sz w:val="24"/>
                <w:szCs w:val="24"/>
                <w:highlight w:val="none"/>
                <w:u w:val="single"/>
                <w:lang w:eastAsia="zh-CN"/>
              </w:rPr>
              <w:t>　</w:t>
            </w:r>
          </w:p>
        </w:tc>
      </w:tr>
      <w:tr w14:paraId="002D9300">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110" w:type="dxa"/>
            <w:tcBorders>
              <w:tl2br w:val="nil"/>
              <w:tr2bl w:val="nil"/>
            </w:tcBorders>
            <w:vAlign w:val="center"/>
          </w:tcPr>
          <w:p w14:paraId="1C8FAB49">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5.2</w:t>
            </w:r>
          </w:p>
        </w:tc>
        <w:tc>
          <w:tcPr>
            <w:tcW w:w="2122" w:type="dxa"/>
            <w:tcBorders>
              <w:tl2br w:val="nil"/>
              <w:tr2bl w:val="nil"/>
            </w:tcBorders>
            <w:vAlign w:val="center"/>
          </w:tcPr>
          <w:p w14:paraId="133A63DC">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rPr>
            </w:pPr>
            <w:r>
              <w:rPr>
                <w:rFonts w:hint="eastAsia" w:ascii="仿宋" w:hAnsi="仿宋" w:eastAsia="仿宋" w:cs="仿宋"/>
                <w:snapToGrid w:val="0"/>
                <w:color w:val="000000"/>
                <w:spacing w:val="8"/>
                <w:sz w:val="24"/>
                <w:szCs w:val="24"/>
                <w:highlight w:val="none"/>
              </w:rPr>
              <w:t>开启程序</w:t>
            </w:r>
          </w:p>
        </w:tc>
        <w:tc>
          <w:tcPr>
            <w:tcW w:w="5825" w:type="dxa"/>
            <w:tcBorders>
              <w:tl2br w:val="nil"/>
              <w:tr2bl w:val="nil"/>
            </w:tcBorders>
            <w:vAlign w:val="center"/>
          </w:tcPr>
          <w:p w14:paraId="4EEDC71C">
            <w:pPr>
              <w:pStyle w:val="11"/>
              <w:widowControl/>
              <w:kinsoku w:val="0"/>
              <w:autoSpaceDE w:val="0"/>
              <w:autoSpaceDN w:val="0"/>
              <w:adjustRightInd w:val="0"/>
              <w:snapToGrid w:val="0"/>
              <w:spacing w:before="156" w:beforeLines="50" w:line="360" w:lineRule="auto"/>
              <w:textAlignment w:val="baseline"/>
              <w:rPr>
                <w:rFonts w:ascii="仿宋" w:hAnsi="仿宋" w:eastAsia="仿宋" w:cs="仿宋"/>
                <w:snapToGrid w:val="0"/>
                <w:spacing w:val="8"/>
                <w:sz w:val="24"/>
                <w:szCs w:val="24"/>
                <w:highlight w:val="none"/>
                <w:lang w:eastAsia="zh-CN"/>
              </w:rPr>
            </w:pPr>
            <w:r>
              <w:rPr>
                <w:rFonts w:hint="eastAsia" w:ascii="仿宋" w:hAnsi="仿宋" w:eastAsia="仿宋" w:cs="仿宋"/>
                <w:snapToGrid w:val="0"/>
                <w:spacing w:val="8"/>
                <w:sz w:val="24"/>
                <w:szCs w:val="24"/>
                <w:highlight w:val="none"/>
                <w:lang w:eastAsia="zh-CN"/>
              </w:rPr>
              <w:t>开启顺序：</w:t>
            </w:r>
            <w:r>
              <w:rPr>
                <w:rFonts w:hint="eastAsia" w:ascii="仿宋" w:hAnsi="仿宋" w:eastAsia="仿宋" w:cs="仿宋"/>
                <w:snapToGrid w:val="0"/>
                <w:color w:val="000000"/>
                <w:spacing w:val="8"/>
                <w:sz w:val="24"/>
                <w:szCs w:val="24"/>
                <w:highlight w:val="none"/>
                <w:u w:val="single"/>
                <w:lang w:eastAsia="zh-CN"/>
              </w:rPr>
              <w:t>　　/　　</w:t>
            </w:r>
          </w:p>
        </w:tc>
      </w:tr>
      <w:tr w14:paraId="37940A28">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295" w:hRule="atLeast"/>
          <w:jc w:val="center"/>
        </w:trPr>
        <w:tc>
          <w:tcPr>
            <w:tcW w:w="1110" w:type="dxa"/>
            <w:tcBorders>
              <w:tl2br w:val="nil"/>
              <w:tr2bl w:val="nil"/>
            </w:tcBorders>
            <w:vAlign w:val="center"/>
          </w:tcPr>
          <w:p w14:paraId="47B27EB0">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rPr>
            </w:pPr>
          </w:p>
        </w:tc>
        <w:tc>
          <w:tcPr>
            <w:tcW w:w="2122" w:type="dxa"/>
            <w:tcBorders>
              <w:tl2br w:val="nil"/>
              <w:tr2bl w:val="nil"/>
            </w:tcBorders>
            <w:vAlign w:val="center"/>
          </w:tcPr>
          <w:p w14:paraId="13567C52">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rPr>
            </w:pPr>
          </w:p>
        </w:tc>
        <w:tc>
          <w:tcPr>
            <w:tcW w:w="5825" w:type="dxa"/>
            <w:tcBorders>
              <w:tl2br w:val="nil"/>
              <w:tr2bl w:val="nil"/>
            </w:tcBorders>
            <w:vAlign w:val="center"/>
          </w:tcPr>
          <w:p w14:paraId="605CB78A">
            <w:pPr>
              <w:pStyle w:val="11"/>
              <w:widowControl/>
              <w:kinsoku w:val="0"/>
              <w:autoSpaceDE w:val="0"/>
              <w:autoSpaceDN w:val="0"/>
              <w:adjustRightInd w:val="0"/>
              <w:snapToGrid w:val="0"/>
              <w:spacing w:before="156" w:beforeLines="50" w:line="360" w:lineRule="auto"/>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其他应公布的信息：</w:t>
            </w:r>
            <w:r>
              <w:rPr>
                <w:rFonts w:hint="eastAsia" w:ascii="仿宋" w:hAnsi="仿宋" w:eastAsia="仿宋" w:cs="仿宋"/>
                <w:snapToGrid w:val="0"/>
                <w:color w:val="000000"/>
                <w:spacing w:val="8"/>
                <w:sz w:val="24"/>
                <w:szCs w:val="24"/>
                <w:highlight w:val="none"/>
                <w:u w:val="single"/>
                <w:lang w:eastAsia="zh-CN"/>
              </w:rPr>
              <w:t>　　/　　</w:t>
            </w:r>
          </w:p>
        </w:tc>
      </w:tr>
      <w:tr w14:paraId="0B150001">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1191" w:hRule="atLeast"/>
          <w:jc w:val="center"/>
        </w:trPr>
        <w:tc>
          <w:tcPr>
            <w:tcW w:w="1110" w:type="dxa"/>
            <w:tcBorders>
              <w:tl2br w:val="nil"/>
              <w:tr2bl w:val="nil"/>
            </w:tcBorders>
            <w:vAlign w:val="center"/>
          </w:tcPr>
          <w:p w14:paraId="2B9CDD15">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6.3.1</w:t>
            </w:r>
          </w:p>
        </w:tc>
        <w:tc>
          <w:tcPr>
            <w:tcW w:w="2122" w:type="dxa"/>
            <w:tcBorders>
              <w:tl2br w:val="nil"/>
              <w:tr2bl w:val="nil"/>
            </w:tcBorders>
            <w:vAlign w:val="center"/>
          </w:tcPr>
          <w:p w14:paraId="31AF9103">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谈判轮次及谈判顺序</w:t>
            </w:r>
          </w:p>
        </w:tc>
        <w:tc>
          <w:tcPr>
            <w:tcW w:w="5825" w:type="dxa"/>
            <w:tcBorders>
              <w:tl2br w:val="nil"/>
              <w:tr2bl w:val="nil"/>
            </w:tcBorders>
            <w:vAlign w:val="center"/>
          </w:tcPr>
          <w:p w14:paraId="623A780D">
            <w:pPr>
              <w:pStyle w:val="11"/>
              <w:widowControl/>
              <w:kinsoku w:val="0"/>
              <w:autoSpaceDE w:val="0"/>
              <w:autoSpaceDN w:val="0"/>
              <w:adjustRightInd w:val="0"/>
              <w:snapToGrid w:val="0"/>
              <w:spacing w:before="156" w:beforeLines="50" w:line="360" w:lineRule="auto"/>
              <w:textAlignment w:val="baseline"/>
              <w:rPr>
                <w:rFonts w:ascii="仿宋" w:hAnsi="仿宋" w:eastAsia="仿宋" w:cs="仿宋"/>
                <w:snapToGrid w:val="0"/>
                <w:spacing w:val="8"/>
                <w:sz w:val="24"/>
                <w:szCs w:val="24"/>
                <w:highlight w:val="none"/>
                <w:lang w:eastAsia="zh-CN"/>
              </w:rPr>
            </w:pPr>
            <w:r>
              <w:rPr>
                <w:rFonts w:hint="eastAsia" w:ascii="仿宋" w:hAnsi="仿宋" w:eastAsia="仿宋" w:cs="仿宋"/>
                <w:snapToGrid w:val="0"/>
                <w:spacing w:val="8"/>
                <w:sz w:val="24"/>
                <w:szCs w:val="24"/>
                <w:highlight w:val="none"/>
                <w:lang w:eastAsia="zh-CN"/>
              </w:rPr>
              <w:t>谈判轮次：</w:t>
            </w:r>
          </w:p>
          <w:p w14:paraId="60AD72AE">
            <w:pPr>
              <w:pStyle w:val="11"/>
              <w:widowControl/>
              <w:kinsoku w:val="0"/>
              <w:autoSpaceDE w:val="0"/>
              <w:autoSpaceDN w:val="0"/>
              <w:adjustRightInd w:val="0"/>
              <w:snapToGrid w:val="0"/>
              <w:spacing w:before="156" w:beforeLines="50" w:line="360" w:lineRule="auto"/>
              <w:textAlignment w:val="baseline"/>
              <w:rPr>
                <w:rFonts w:ascii="仿宋" w:hAnsi="仿宋" w:eastAsia="仿宋" w:cs="仿宋"/>
                <w:snapToGrid w:val="0"/>
                <w:spacing w:val="8"/>
                <w:sz w:val="24"/>
                <w:szCs w:val="24"/>
                <w:highlight w:val="none"/>
                <w:lang w:eastAsia="zh-CN"/>
              </w:rPr>
            </w:pPr>
            <w:r>
              <w:rPr>
                <w:rFonts w:hint="eastAsia" w:ascii="仿宋" w:hAnsi="仿宋" w:eastAsia="仿宋" w:cs="仿宋"/>
                <w:snapToGrid w:val="0"/>
                <w:spacing w:val="8"/>
                <w:sz w:val="24"/>
                <w:szCs w:val="24"/>
                <w:highlight w:val="none"/>
                <w:lang w:eastAsia="zh-CN"/>
              </w:rPr>
              <w:t>☑本项目共进行</w:t>
            </w:r>
            <w:r>
              <w:rPr>
                <w:rFonts w:hint="eastAsia" w:ascii="仿宋" w:hAnsi="仿宋" w:eastAsia="仿宋" w:cs="仿宋"/>
                <w:snapToGrid w:val="0"/>
                <w:color w:val="000000"/>
                <w:spacing w:val="8"/>
                <w:sz w:val="24"/>
                <w:szCs w:val="24"/>
                <w:highlight w:val="none"/>
                <w:u w:val="single"/>
                <w:lang w:eastAsia="zh-CN"/>
              </w:rPr>
              <w:t>　2　</w:t>
            </w:r>
            <w:r>
              <w:rPr>
                <w:rFonts w:hint="eastAsia" w:ascii="仿宋" w:hAnsi="仿宋" w:eastAsia="仿宋" w:cs="仿宋"/>
                <w:snapToGrid w:val="0"/>
                <w:spacing w:val="8"/>
                <w:sz w:val="24"/>
                <w:szCs w:val="24"/>
                <w:highlight w:val="none"/>
                <w:lang w:eastAsia="zh-CN"/>
              </w:rPr>
              <w:t>轮谈判</w:t>
            </w:r>
          </w:p>
          <w:p w14:paraId="74DCEE4A">
            <w:pPr>
              <w:pStyle w:val="11"/>
              <w:widowControl/>
              <w:kinsoku w:val="0"/>
              <w:autoSpaceDE w:val="0"/>
              <w:autoSpaceDN w:val="0"/>
              <w:adjustRightInd w:val="0"/>
              <w:snapToGrid w:val="0"/>
              <w:spacing w:before="156" w:beforeLines="50" w:line="360" w:lineRule="auto"/>
              <w:textAlignment w:val="baseline"/>
              <w:rPr>
                <w:rFonts w:ascii="仿宋" w:hAnsi="仿宋" w:eastAsia="仿宋" w:cs="仿宋"/>
                <w:snapToGrid w:val="0"/>
                <w:spacing w:val="8"/>
                <w:sz w:val="24"/>
                <w:szCs w:val="24"/>
                <w:highlight w:val="none"/>
                <w:lang w:eastAsia="zh-CN"/>
              </w:rPr>
            </w:pPr>
            <w:r>
              <w:rPr>
                <w:rFonts w:hint="eastAsia" w:ascii="仿宋" w:hAnsi="仿宋" w:eastAsia="仿宋" w:cs="仿宋"/>
                <w:snapToGrid w:val="0"/>
                <w:spacing w:val="8"/>
                <w:sz w:val="24"/>
                <w:szCs w:val="24"/>
                <w:highlight w:val="none"/>
                <w:lang w:eastAsia="zh-CN"/>
              </w:rPr>
              <w:t>□谈判小组在首轮谈判前告知被邀请参加谈判的供应商谈判轮次</w:t>
            </w:r>
          </w:p>
          <w:p w14:paraId="5E2B2190">
            <w:pPr>
              <w:pStyle w:val="11"/>
              <w:widowControl/>
              <w:kinsoku w:val="0"/>
              <w:autoSpaceDE w:val="0"/>
              <w:autoSpaceDN w:val="0"/>
              <w:adjustRightInd w:val="0"/>
              <w:snapToGrid w:val="0"/>
              <w:spacing w:before="156" w:beforeLines="50" w:line="360" w:lineRule="auto"/>
              <w:textAlignment w:val="baseline"/>
              <w:rPr>
                <w:rFonts w:ascii="仿宋" w:hAnsi="仿宋" w:eastAsia="仿宋" w:cs="仿宋"/>
                <w:snapToGrid w:val="0"/>
                <w:spacing w:val="8"/>
                <w:sz w:val="24"/>
                <w:szCs w:val="24"/>
                <w:highlight w:val="none"/>
                <w:lang w:eastAsia="zh-CN"/>
              </w:rPr>
            </w:pPr>
            <w:r>
              <w:rPr>
                <w:rFonts w:hint="eastAsia" w:ascii="仿宋" w:hAnsi="仿宋" w:eastAsia="仿宋" w:cs="仿宋"/>
                <w:snapToGrid w:val="0"/>
                <w:spacing w:val="8"/>
                <w:sz w:val="24"/>
                <w:szCs w:val="24"/>
                <w:highlight w:val="none"/>
                <w:lang w:eastAsia="zh-CN"/>
              </w:rPr>
              <w:t>□本项目不事先确定谈判轮次，谈判小组根据谈判情况确定，并在最后一轮谈判前</w:t>
            </w:r>
          </w:p>
          <w:p w14:paraId="75A21F5F">
            <w:pPr>
              <w:pStyle w:val="11"/>
              <w:widowControl/>
              <w:kinsoku w:val="0"/>
              <w:autoSpaceDE w:val="0"/>
              <w:autoSpaceDN w:val="0"/>
              <w:adjustRightInd w:val="0"/>
              <w:snapToGrid w:val="0"/>
              <w:spacing w:before="156" w:beforeLines="50" w:line="360" w:lineRule="auto"/>
              <w:textAlignment w:val="baseline"/>
              <w:rPr>
                <w:rFonts w:ascii="仿宋" w:hAnsi="仿宋" w:eastAsia="仿宋" w:cs="仿宋"/>
                <w:snapToGrid w:val="0"/>
                <w:spacing w:val="8"/>
                <w:sz w:val="24"/>
                <w:szCs w:val="24"/>
                <w:highlight w:val="none"/>
                <w:lang w:eastAsia="zh-CN"/>
              </w:rPr>
            </w:pPr>
            <w:r>
              <w:rPr>
                <w:rFonts w:hint="eastAsia" w:ascii="仿宋" w:hAnsi="仿宋" w:eastAsia="仿宋" w:cs="仿宋"/>
                <w:snapToGrid w:val="0"/>
                <w:spacing w:val="8"/>
                <w:sz w:val="24"/>
                <w:szCs w:val="24"/>
                <w:highlight w:val="none"/>
                <w:lang w:eastAsia="zh-CN"/>
              </w:rPr>
              <w:t>告知供应商</w:t>
            </w:r>
          </w:p>
        </w:tc>
      </w:tr>
      <w:tr w14:paraId="4E724FB3">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1144" w:hRule="atLeast"/>
          <w:jc w:val="center"/>
        </w:trPr>
        <w:tc>
          <w:tcPr>
            <w:tcW w:w="1110" w:type="dxa"/>
            <w:tcBorders>
              <w:tl2br w:val="nil"/>
              <w:tr2bl w:val="nil"/>
            </w:tcBorders>
            <w:vAlign w:val="center"/>
          </w:tcPr>
          <w:p w14:paraId="7B210E0C">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6.3.2</w:t>
            </w:r>
          </w:p>
        </w:tc>
        <w:tc>
          <w:tcPr>
            <w:tcW w:w="2122" w:type="dxa"/>
            <w:tcBorders>
              <w:tl2br w:val="nil"/>
              <w:tr2bl w:val="nil"/>
            </w:tcBorders>
            <w:vAlign w:val="center"/>
          </w:tcPr>
          <w:p w14:paraId="6E259D13">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选择谈判供应商</w:t>
            </w:r>
          </w:p>
        </w:tc>
        <w:tc>
          <w:tcPr>
            <w:tcW w:w="5825" w:type="dxa"/>
            <w:tcBorders>
              <w:tl2br w:val="nil"/>
              <w:tr2bl w:val="nil"/>
            </w:tcBorders>
            <w:vAlign w:val="center"/>
          </w:tcPr>
          <w:p w14:paraId="4C356EC2">
            <w:pPr>
              <w:pStyle w:val="11"/>
              <w:widowControl/>
              <w:kinsoku w:val="0"/>
              <w:autoSpaceDE w:val="0"/>
              <w:autoSpaceDN w:val="0"/>
              <w:adjustRightInd w:val="0"/>
              <w:snapToGrid w:val="0"/>
              <w:spacing w:before="156" w:beforeLines="50" w:line="360" w:lineRule="auto"/>
              <w:textAlignment w:val="baseline"/>
              <w:rPr>
                <w:rFonts w:ascii="仿宋" w:hAnsi="仿宋" w:eastAsia="仿宋" w:cs="仿宋"/>
                <w:snapToGrid w:val="0"/>
                <w:spacing w:val="8"/>
                <w:sz w:val="24"/>
                <w:szCs w:val="24"/>
                <w:highlight w:val="none"/>
                <w:lang w:eastAsia="zh-CN"/>
              </w:rPr>
            </w:pPr>
            <w:r>
              <w:rPr>
                <w:rFonts w:hint="eastAsia" w:ascii="仿宋" w:hAnsi="仿宋" w:eastAsia="仿宋" w:cs="仿宋"/>
                <w:snapToGrid w:val="0"/>
                <w:spacing w:val="8"/>
                <w:sz w:val="24"/>
                <w:szCs w:val="24"/>
                <w:highlight w:val="none"/>
                <w:lang w:eastAsia="zh-CN"/>
              </w:rPr>
              <w:t>谈判顺序：</w:t>
            </w:r>
            <w:r>
              <w:rPr>
                <w:rFonts w:hint="eastAsia" w:ascii="仿宋" w:hAnsi="仿宋" w:eastAsia="仿宋" w:cs="仿宋"/>
                <w:snapToGrid w:val="0"/>
                <w:color w:val="000000"/>
                <w:spacing w:val="8"/>
                <w:sz w:val="24"/>
                <w:szCs w:val="24"/>
                <w:highlight w:val="none"/>
                <w:u w:val="single"/>
                <w:lang w:eastAsia="zh-CN"/>
              </w:rPr>
              <w:t>　　随机　　</w:t>
            </w:r>
          </w:p>
          <w:p w14:paraId="02669BFF">
            <w:pPr>
              <w:pStyle w:val="11"/>
              <w:widowControl/>
              <w:kinsoku w:val="0"/>
              <w:autoSpaceDE w:val="0"/>
              <w:autoSpaceDN w:val="0"/>
              <w:adjustRightInd w:val="0"/>
              <w:snapToGrid w:val="0"/>
              <w:spacing w:before="156" w:beforeLines="50" w:line="360" w:lineRule="auto"/>
              <w:textAlignment w:val="baseline"/>
              <w:rPr>
                <w:rFonts w:ascii="仿宋" w:hAnsi="仿宋" w:eastAsia="仿宋" w:cs="仿宋"/>
                <w:snapToGrid w:val="0"/>
                <w:spacing w:val="8"/>
                <w:sz w:val="24"/>
                <w:szCs w:val="24"/>
                <w:highlight w:val="none"/>
                <w:lang w:eastAsia="zh-CN"/>
              </w:rPr>
            </w:pPr>
            <w:r>
              <w:rPr>
                <w:rFonts w:hint="eastAsia" w:ascii="仿宋" w:hAnsi="仿宋" w:eastAsia="仿宋" w:cs="仿宋"/>
                <w:snapToGrid w:val="0"/>
                <w:spacing w:val="8"/>
                <w:sz w:val="24"/>
                <w:szCs w:val="24"/>
                <w:highlight w:val="none"/>
                <w:lang w:eastAsia="zh-CN"/>
              </w:rPr>
              <w:t>预定参加谈判的供应商数量：</w:t>
            </w:r>
            <w:r>
              <w:rPr>
                <w:rFonts w:hint="eastAsia" w:ascii="仿宋" w:hAnsi="仿宋" w:eastAsia="仿宋" w:cs="仿宋"/>
                <w:snapToGrid w:val="0"/>
                <w:color w:val="000000"/>
                <w:spacing w:val="8"/>
                <w:sz w:val="24"/>
                <w:szCs w:val="24"/>
                <w:highlight w:val="none"/>
                <w:u w:val="single"/>
                <w:lang w:eastAsia="zh-CN"/>
              </w:rPr>
              <w:t>　/　</w:t>
            </w:r>
          </w:p>
          <w:p w14:paraId="29333328">
            <w:pPr>
              <w:pStyle w:val="11"/>
              <w:widowControl/>
              <w:kinsoku w:val="0"/>
              <w:autoSpaceDE w:val="0"/>
              <w:autoSpaceDN w:val="0"/>
              <w:adjustRightInd w:val="0"/>
              <w:snapToGrid w:val="0"/>
              <w:spacing w:before="156" w:beforeLines="50" w:line="360" w:lineRule="auto"/>
              <w:textAlignment w:val="baseline"/>
              <w:rPr>
                <w:rFonts w:ascii="仿宋" w:hAnsi="仿宋" w:eastAsia="仿宋" w:cs="仿宋"/>
                <w:snapToGrid w:val="0"/>
                <w:spacing w:val="8"/>
                <w:sz w:val="24"/>
                <w:szCs w:val="24"/>
                <w:highlight w:val="none"/>
                <w:lang w:eastAsia="zh-CN"/>
              </w:rPr>
            </w:pPr>
            <w:r>
              <w:rPr>
                <w:rFonts w:hint="eastAsia" w:ascii="仿宋" w:hAnsi="仿宋" w:eastAsia="仿宋" w:cs="仿宋"/>
                <w:snapToGrid w:val="0"/>
                <w:spacing w:val="8"/>
                <w:sz w:val="24"/>
                <w:szCs w:val="24"/>
                <w:highlight w:val="none"/>
                <w:lang w:eastAsia="zh-CN"/>
              </w:rPr>
              <w:t>选择方法：</w:t>
            </w:r>
            <w:r>
              <w:rPr>
                <w:rFonts w:hint="eastAsia" w:ascii="仿宋" w:hAnsi="仿宋" w:eastAsia="仿宋" w:cs="仿宋"/>
                <w:snapToGrid w:val="0"/>
                <w:color w:val="000000"/>
                <w:spacing w:val="8"/>
                <w:sz w:val="24"/>
                <w:szCs w:val="24"/>
                <w:highlight w:val="none"/>
                <w:u w:val="single"/>
                <w:lang w:eastAsia="zh-CN"/>
              </w:rPr>
              <w:t>　　符合资格条件　　</w:t>
            </w:r>
          </w:p>
        </w:tc>
      </w:tr>
      <w:tr w14:paraId="3308A407">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463" w:hRule="atLeast"/>
          <w:jc w:val="center"/>
        </w:trPr>
        <w:tc>
          <w:tcPr>
            <w:tcW w:w="1110" w:type="dxa"/>
            <w:tcBorders>
              <w:tl2br w:val="nil"/>
              <w:tr2bl w:val="nil"/>
            </w:tcBorders>
            <w:vAlign w:val="center"/>
          </w:tcPr>
          <w:p w14:paraId="411D79CD">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6.3.4</w:t>
            </w:r>
          </w:p>
        </w:tc>
        <w:tc>
          <w:tcPr>
            <w:tcW w:w="2122" w:type="dxa"/>
            <w:tcBorders>
              <w:tl2br w:val="nil"/>
              <w:tr2bl w:val="nil"/>
            </w:tcBorders>
            <w:vAlign w:val="center"/>
          </w:tcPr>
          <w:p w14:paraId="3095DBF5">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是否允许未准时参加某一轮次谈判的供应商参加后续谈判采购活动</w:t>
            </w:r>
          </w:p>
        </w:tc>
        <w:tc>
          <w:tcPr>
            <w:tcW w:w="5825" w:type="dxa"/>
            <w:tcBorders>
              <w:tl2br w:val="nil"/>
              <w:tr2bl w:val="nil"/>
            </w:tcBorders>
            <w:vAlign w:val="center"/>
          </w:tcPr>
          <w:p w14:paraId="70F394EC">
            <w:pPr>
              <w:pStyle w:val="11"/>
              <w:widowControl/>
              <w:kinsoku w:val="0"/>
              <w:autoSpaceDE w:val="0"/>
              <w:autoSpaceDN w:val="0"/>
              <w:adjustRightInd w:val="0"/>
              <w:snapToGrid w:val="0"/>
              <w:spacing w:before="156" w:beforeLines="50" w:line="360" w:lineRule="auto"/>
              <w:textAlignment w:val="baseline"/>
              <w:rPr>
                <w:rFonts w:ascii="仿宋" w:hAnsi="仿宋" w:eastAsia="仿宋" w:cs="仿宋"/>
                <w:snapToGrid w:val="0"/>
                <w:spacing w:val="8"/>
                <w:sz w:val="24"/>
                <w:szCs w:val="24"/>
                <w:highlight w:val="none"/>
                <w:lang w:eastAsia="zh-CN"/>
              </w:rPr>
            </w:pPr>
            <w:r>
              <w:rPr>
                <w:rFonts w:hint="eastAsia" w:ascii="仿宋" w:hAnsi="仿宋" w:eastAsia="仿宋" w:cs="仿宋"/>
                <w:snapToGrid w:val="0"/>
                <w:spacing w:val="8"/>
                <w:sz w:val="24"/>
                <w:szCs w:val="24"/>
                <w:highlight w:val="none"/>
                <w:lang w:eastAsia="zh-CN"/>
              </w:rPr>
              <w:t>□允许</w:t>
            </w:r>
          </w:p>
          <w:p w14:paraId="6AEBA31F">
            <w:pPr>
              <w:pStyle w:val="11"/>
              <w:widowControl/>
              <w:kinsoku w:val="0"/>
              <w:autoSpaceDE w:val="0"/>
              <w:autoSpaceDN w:val="0"/>
              <w:adjustRightInd w:val="0"/>
              <w:snapToGrid w:val="0"/>
              <w:spacing w:before="156" w:beforeLines="50" w:line="360" w:lineRule="auto"/>
              <w:textAlignment w:val="baseline"/>
              <w:rPr>
                <w:rFonts w:ascii="仿宋" w:hAnsi="仿宋" w:eastAsia="仿宋" w:cs="仿宋"/>
                <w:snapToGrid w:val="0"/>
                <w:spacing w:val="8"/>
                <w:sz w:val="24"/>
                <w:szCs w:val="24"/>
                <w:highlight w:val="none"/>
                <w:lang w:eastAsia="zh-CN"/>
              </w:rPr>
            </w:pPr>
            <w:r>
              <w:rPr>
                <w:rFonts w:hint="eastAsia" w:ascii="仿宋" w:hAnsi="仿宋" w:eastAsia="仿宋" w:cs="仿宋"/>
                <w:snapToGrid w:val="0"/>
                <w:spacing w:val="8"/>
                <w:sz w:val="24"/>
                <w:szCs w:val="24"/>
                <w:highlight w:val="none"/>
                <w:lang w:eastAsia="zh-CN"/>
              </w:rPr>
              <w:t>☑不允许</w:t>
            </w:r>
          </w:p>
        </w:tc>
      </w:tr>
      <w:tr w14:paraId="7E00EEAB">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634" w:hRule="atLeast"/>
          <w:jc w:val="center"/>
        </w:trPr>
        <w:tc>
          <w:tcPr>
            <w:tcW w:w="1110" w:type="dxa"/>
            <w:tcBorders>
              <w:tl2br w:val="nil"/>
              <w:tr2bl w:val="nil"/>
            </w:tcBorders>
            <w:vAlign w:val="center"/>
          </w:tcPr>
          <w:p w14:paraId="56C86926">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6.6</w:t>
            </w:r>
          </w:p>
        </w:tc>
        <w:tc>
          <w:tcPr>
            <w:tcW w:w="2122" w:type="dxa"/>
            <w:tcBorders>
              <w:tl2br w:val="nil"/>
              <w:tr2bl w:val="nil"/>
            </w:tcBorders>
            <w:vAlign w:val="center"/>
          </w:tcPr>
          <w:p w14:paraId="4B95B88B">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是否公开开启最终报价</w:t>
            </w:r>
          </w:p>
        </w:tc>
        <w:tc>
          <w:tcPr>
            <w:tcW w:w="5825" w:type="dxa"/>
            <w:tcBorders>
              <w:tl2br w:val="nil"/>
              <w:tr2bl w:val="nil"/>
            </w:tcBorders>
            <w:vAlign w:val="center"/>
          </w:tcPr>
          <w:p w14:paraId="46013E47">
            <w:pPr>
              <w:pStyle w:val="11"/>
              <w:widowControl/>
              <w:kinsoku w:val="0"/>
              <w:autoSpaceDE w:val="0"/>
              <w:autoSpaceDN w:val="0"/>
              <w:adjustRightInd w:val="0"/>
              <w:snapToGrid w:val="0"/>
              <w:spacing w:before="156" w:beforeLines="50" w:line="360" w:lineRule="auto"/>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□是</w:t>
            </w:r>
          </w:p>
          <w:p w14:paraId="4255755C">
            <w:pPr>
              <w:pStyle w:val="11"/>
              <w:widowControl/>
              <w:kinsoku w:val="0"/>
              <w:autoSpaceDE w:val="0"/>
              <w:autoSpaceDN w:val="0"/>
              <w:adjustRightInd w:val="0"/>
              <w:snapToGrid w:val="0"/>
              <w:spacing w:before="156" w:beforeLines="50" w:line="360" w:lineRule="auto"/>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☑否</w:t>
            </w:r>
          </w:p>
        </w:tc>
      </w:tr>
      <w:tr w14:paraId="6712E304">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634" w:hRule="atLeast"/>
          <w:jc w:val="center"/>
        </w:trPr>
        <w:tc>
          <w:tcPr>
            <w:tcW w:w="1110" w:type="dxa"/>
            <w:tcBorders>
              <w:tl2br w:val="nil"/>
              <w:tr2bl w:val="nil"/>
            </w:tcBorders>
            <w:vAlign w:val="center"/>
          </w:tcPr>
          <w:p w14:paraId="1F7D13D1">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6.7.2</w:t>
            </w:r>
          </w:p>
        </w:tc>
        <w:tc>
          <w:tcPr>
            <w:tcW w:w="2122" w:type="dxa"/>
            <w:tcBorders>
              <w:tl2br w:val="nil"/>
              <w:tr2bl w:val="nil"/>
            </w:tcBorders>
            <w:vAlign w:val="center"/>
          </w:tcPr>
          <w:p w14:paraId="086743AE">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推荐候选成交供应商排序及数量</w:t>
            </w:r>
          </w:p>
        </w:tc>
        <w:tc>
          <w:tcPr>
            <w:tcW w:w="5825" w:type="dxa"/>
            <w:tcBorders>
              <w:tl2br w:val="nil"/>
              <w:tr2bl w:val="nil"/>
            </w:tcBorders>
            <w:vAlign w:val="center"/>
          </w:tcPr>
          <w:p w14:paraId="63A9A1FD">
            <w:pPr>
              <w:pStyle w:val="11"/>
              <w:widowControl/>
              <w:kinsoku w:val="0"/>
              <w:autoSpaceDE w:val="0"/>
              <w:autoSpaceDN w:val="0"/>
              <w:adjustRightInd w:val="0"/>
              <w:snapToGrid w:val="0"/>
              <w:spacing w:before="156" w:beforeLines="50" w:line="360" w:lineRule="auto"/>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□排序</w:t>
            </w:r>
          </w:p>
          <w:p w14:paraId="6DB2EBD1">
            <w:pPr>
              <w:pStyle w:val="11"/>
              <w:widowControl/>
              <w:kinsoku w:val="0"/>
              <w:autoSpaceDE w:val="0"/>
              <w:autoSpaceDN w:val="0"/>
              <w:adjustRightInd w:val="0"/>
              <w:snapToGrid w:val="0"/>
              <w:spacing w:before="156" w:beforeLines="50" w:line="360" w:lineRule="auto"/>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☑不排序</w:t>
            </w:r>
          </w:p>
          <w:p w14:paraId="529937DB">
            <w:pPr>
              <w:pStyle w:val="11"/>
              <w:widowControl/>
              <w:kinsoku w:val="0"/>
              <w:autoSpaceDE w:val="0"/>
              <w:autoSpaceDN w:val="0"/>
              <w:adjustRightInd w:val="0"/>
              <w:snapToGrid w:val="0"/>
              <w:spacing w:before="156" w:beforeLines="50" w:line="360" w:lineRule="auto"/>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数量：</w:t>
            </w:r>
            <w:r>
              <w:rPr>
                <w:rFonts w:hint="eastAsia" w:ascii="仿宋" w:hAnsi="仿宋" w:eastAsia="仿宋" w:cs="仿宋"/>
                <w:snapToGrid w:val="0"/>
                <w:color w:val="000000"/>
                <w:spacing w:val="8"/>
                <w:sz w:val="24"/>
                <w:szCs w:val="24"/>
                <w:highlight w:val="none"/>
                <w:u w:val="single"/>
                <w:lang w:eastAsia="zh-CN"/>
              </w:rPr>
              <w:t>　1　</w:t>
            </w:r>
          </w:p>
        </w:tc>
      </w:tr>
      <w:tr w14:paraId="33A134B4">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634" w:hRule="atLeast"/>
          <w:jc w:val="center"/>
        </w:trPr>
        <w:tc>
          <w:tcPr>
            <w:tcW w:w="1110" w:type="dxa"/>
            <w:tcBorders>
              <w:tl2br w:val="nil"/>
              <w:tr2bl w:val="nil"/>
            </w:tcBorders>
            <w:vAlign w:val="center"/>
          </w:tcPr>
          <w:p w14:paraId="2D60E96D">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7.3</w:t>
            </w:r>
          </w:p>
        </w:tc>
        <w:tc>
          <w:tcPr>
            <w:tcW w:w="2122" w:type="dxa"/>
            <w:tcBorders>
              <w:tl2br w:val="nil"/>
              <w:tr2bl w:val="nil"/>
            </w:tcBorders>
            <w:vAlign w:val="center"/>
          </w:tcPr>
          <w:p w14:paraId="106C3B6B">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rPr>
            </w:pPr>
            <w:r>
              <w:rPr>
                <w:rFonts w:hint="eastAsia" w:ascii="仿宋" w:hAnsi="仿宋" w:eastAsia="仿宋" w:cs="仿宋"/>
                <w:snapToGrid w:val="0"/>
                <w:color w:val="000000"/>
                <w:spacing w:val="8"/>
                <w:sz w:val="24"/>
                <w:szCs w:val="24"/>
                <w:highlight w:val="none"/>
              </w:rPr>
              <w:t>预成交结果公示</w:t>
            </w:r>
          </w:p>
        </w:tc>
        <w:tc>
          <w:tcPr>
            <w:tcW w:w="5825" w:type="dxa"/>
            <w:tcBorders>
              <w:tl2br w:val="nil"/>
              <w:tr2bl w:val="nil"/>
            </w:tcBorders>
            <w:vAlign w:val="center"/>
          </w:tcPr>
          <w:p w14:paraId="2F516756">
            <w:pPr>
              <w:pStyle w:val="11"/>
              <w:widowControl/>
              <w:kinsoku w:val="0"/>
              <w:autoSpaceDE w:val="0"/>
              <w:autoSpaceDN w:val="0"/>
              <w:adjustRightInd w:val="0"/>
              <w:snapToGrid w:val="0"/>
              <w:spacing w:before="156" w:beforeLines="50" w:line="360" w:lineRule="auto"/>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公示媒介：</w:t>
            </w:r>
            <w:r>
              <w:rPr>
                <w:rFonts w:hint="eastAsia" w:ascii="仿宋" w:hAnsi="仿宋" w:eastAsia="仿宋" w:cs="仿宋"/>
                <w:snapToGrid w:val="0"/>
                <w:color w:val="000000"/>
                <w:spacing w:val="8"/>
                <w:sz w:val="24"/>
                <w:szCs w:val="24"/>
                <w:highlight w:val="none"/>
                <w:u w:val="single"/>
                <w:lang w:eastAsia="zh-CN"/>
              </w:rPr>
              <w:t>　中机国际电子采购交易平台　</w:t>
            </w:r>
          </w:p>
          <w:p w14:paraId="2AE7A40B">
            <w:pPr>
              <w:pStyle w:val="11"/>
              <w:widowControl/>
              <w:kinsoku w:val="0"/>
              <w:autoSpaceDE w:val="0"/>
              <w:autoSpaceDN w:val="0"/>
              <w:adjustRightInd w:val="0"/>
              <w:snapToGrid w:val="0"/>
              <w:spacing w:before="156" w:beforeLines="50" w:line="360" w:lineRule="auto"/>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公示期限：</w:t>
            </w:r>
            <w:r>
              <w:rPr>
                <w:rFonts w:hint="eastAsia" w:ascii="仿宋" w:hAnsi="仿宋" w:eastAsia="仿宋" w:cs="仿宋"/>
                <w:snapToGrid w:val="0"/>
                <w:color w:val="000000"/>
                <w:spacing w:val="8"/>
                <w:sz w:val="24"/>
                <w:szCs w:val="24"/>
                <w:highlight w:val="none"/>
                <w:u w:val="single"/>
                <w:lang w:eastAsia="zh-CN"/>
              </w:rPr>
              <w:t>　3天　</w:t>
            </w:r>
          </w:p>
          <w:p w14:paraId="25E6F984">
            <w:pPr>
              <w:pStyle w:val="11"/>
              <w:widowControl/>
              <w:kinsoku w:val="0"/>
              <w:autoSpaceDE w:val="0"/>
              <w:autoSpaceDN w:val="0"/>
              <w:adjustRightInd w:val="0"/>
              <w:snapToGrid w:val="0"/>
              <w:spacing w:before="156" w:beforeLines="50" w:line="360" w:lineRule="auto"/>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其他应公示的内容：</w:t>
            </w:r>
            <w:r>
              <w:rPr>
                <w:rFonts w:hint="eastAsia" w:ascii="仿宋" w:hAnsi="仿宋" w:eastAsia="仿宋" w:cs="仿宋"/>
                <w:snapToGrid w:val="0"/>
                <w:color w:val="000000"/>
                <w:spacing w:val="8"/>
                <w:sz w:val="24"/>
                <w:szCs w:val="24"/>
                <w:highlight w:val="none"/>
                <w:u w:val="single"/>
                <w:lang w:eastAsia="zh-CN"/>
              </w:rPr>
              <w:t>　　/　　</w:t>
            </w:r>
          </w:p>
        </w:tc>
      </w:tr>
      <w:tr w14:paraId="414AAC45">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634" w:hRule="atLeast"/>
          <w:jc w:val="center"/>
        </w:trPr>
        <w:tc>
          <w:tcPr>
            <w:tcW w:w="1110" w:type="dxa"/>
            <w:tcBorders>
              <w:tl2br w:val="nil"/>
              <w:tr2bl w:val="nil"/>
            </w:tcBorders>
            <w:vAlign w:val="center"/>
          </w:tcPr>
          <w:p w14:paraId="77A0EC94">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7.5</w:t>
            </w:r>
          </w:p>
        </w:tc>
        <w:tc>
          <w:tcPr>
            <w:tcW w:w="2122" w:type="dxa"/>
            <w:tcBorders>
              <w:tl2br w:val="nil"/>
              <w:tr2bl w:val="nil"/>
            </w:tcBorders>
            <w:shd w:val="clear" w:color="auto" w:fill="auto"/>
            <w:vAlign w:val="center"/>
          </w:tcPr>
          <w:p w14:paraId="374310F7">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发布</w:t>
            </w:r>
            <w:r>
              <w:rPr>
                <w:rFonts w:hint="eastAsia" w:ascii="仿宋" w:hAnsi="仿宋" w:eastAsia="仿宋" w:cs="仿宋"/>
                <w:snapToGrid w:val="0"/>
                <w:color w:val="000000"/>
                <w:spacing w:val="8"/>
                <w:sz w:val="24"/>
                <w:szCs w:val="24"/>
                <w:highlight w:val="none"/>
              </w:rPr>
              <w:t>成交</w:t>
            </w:r>
            <w:r>
              <w:rPr>
                <w:rFonts w:hint="eastAsia" w:ascii="仿宋" w:hAnsi="仿宋" w:eastAsia="仿宋" w:cs="仿宋"/>
                <w:snapToGrid w:val="0"/>
                <w:color w:val="000000"/>
                <w:spacing w:val="8"/>
                <w:sz w:val="24"/>
                <w:szCs w:val="24"/>
                <w:highlight w:val="none"/>
                <w:lang w:eastAsia="zh-CN"/>
              </w:rPr>
              <w:t>公告</w:t>
            </w:r>
          </w:p>
        </w:tc>
        <w:tc>
          <w:tcPr>
            <w:tcW w:w="5825" w:type="dxa"/>
            <w:tcBorders>
              <w:tl2br w:val="nil"/>
              <w:tr2bl w:val="nil"/>
            </w:tcBorders>
            <w:shd w:val="clear" w:color="auto" w:fill="auto"/>
            <w:vAlign w:val="center"/>
          </w:tcPr>
          <w:p w14:paraId="7E60BE0F">
            <w:pPr>
              <w:pStyle w:val="11"/>
              <w:widowControl/>
              <w:kinsoku w:val="0"/>
              <w:autoSpaceDE w:val="0"/>
              <w:autoSpaceDN w:val="0"/>
              <w:adjustRightInd w:val="0"/>
              <w:snapToGrid w:val="0"/>
              <w:spacing w:before="156" w:beforeLines="50" w:line="360" w:lineRule="auto"/>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公告媒介：</w:t>
            </w:r>
            <w:r>
              <w:rPr>
                <w:rFonts w:hint="eastAsia" w:ascii="仿宋" w:hAnsi="仿宋" w:eastAsia="仿宋" w:cs="仿宋"/>
                <w:snapToGrid w:val="0"/>
                <w:color w:val="000000"/>
                <w:spacing w:val="8"/>
                <w:sz w:val="24"/>
                <w:szCs w:val="24"/>
                <w:highlight w:val="none"/>
                <w:u w:val="single"/>
                <w:lang w:eastAsia="zh-CN"/>
              </w:rPr>
              <w:t>　中机国际电子采购交易平台　</w:t>
            </w:r>
          </w:p>
          <w:p w14:paraId="78DD757E">
            <w:pPr>
              <w:pStyle w:val="11"/>
              <w:widowControl/>
              <w:kinsoku w:val="0"/>
              <w:autoSpaceDE w:val="0"/>
              <w:autoSpaceDN w:val="0"/>
              <w:adjustRightInd w:val="0"/>
              <w:snapToGrid w:val="0"/>
              <w:spacing w:before="156" w:beforeLines="50" w:line="360" w:lineRule="auto"/>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其他应公告的内容：</w:t>
            </w:r>
            <w:r>
              <w:rPr>
                <w:rFonts w:hint="eastAsia" w:ascii="仿宋" w:hAnsi="仿宋" w:eastAsia="仿宋" w:cs="仿宋"/>
                <w:snapToGrid w:val="0"/>
                <w:color w:val="000000"/>
                <w:spacing w:val="8"/>
                <w:sz w:val="24"/>
                <w:szCs w:val="24"/>
                <w:highlight w:val="none"/>
                <w:u w:val="single"/>
                <w:lang w:eastAsia="zh-CN"/>
              </w:rPr>
              <w:t>　　/　　</w:t>
            </w:r>
          </w:p>
        </w:tc>
      </w:tr>
      <w:tr w14:paraId="3CAAEA4F">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110" w:type="dxa"/>
            <w:tcBorders>
              <w:tl2br w:val="nil"/>
              <w:tr2bl w:val="nil"/>
            </w:tcBorders>
            <w:vAlign w:val="center"/>
          </w:tcPr>
          <w:p w14:paraId="6380353A">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7.6</w:t>
            </w:r>
          </w:p>
        </w:tc>
        <w:tc>
          <w:tcPr>
            <w:tcW w:w="2122" w:type="dxa"/>
            <w:tcBorders>
              <w:tl2br w:val="nil"/>
              <w:tr2bl w:val="nil"/>
            </w:tcBorders>
            <w:shd w:val="clear" w:color="auto" w:fill="auto"/>
            <w:vAlign w:val="center"/>
          </w:tcPr>
          <w:p w14:paraId="36CC9899">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rPr>
            </w:pPr>
            <w:r>
              <w:rPr>
                <w:rFonts w:hint="eastAsia" w:ascii="仿宋" w:hAnsi="仿宋" w:eastAsia="仿宋" w:cs="仿宋"/>
                <w:snapToGrid w:val="0"/>
                <w:color w:val="000000"/>
                <w:spacing w:val="8"/>
                <w:sz w:val="24"/>
                <w:szCs w:val="24"/>
                <w:highlight w:val="none"/>
                <w:lang w:eastAsia="zh-CN"/>
              </w:rPr>
              <w:t>履约担保</w:t>
            </w:r>
          </w:p>
        </w:tc>
        <w:tc>
          <w:tcPr>
            <w:tcW w:w="5825" w:type="dxa"/>
            <w:tcBorders>
              <w:tl2br w:val="nil"/>
              <w:tr2bl w:val="nil"/>
            </w:tcBorders>
            <w:shd w:val="clear" w:color="auto" w:fill="auto"/>
          </w:tcPr>
          <w:p w14:paraId="08539E56">
            <w:pPr>
              <w:pStyle w:val="11"/>
              <w:widowControl/>
              <w:kinsoku w:val="0"/>
              <w:autoSpaceDE w:val="0"/>
              <w:autoSpaceDN w:val="0"/>
              <w:adjustRightInd w:val="0"/>
              <w:snapToGrid w:val="0"/>
              <w:spacing w:before="156" w:beforeLines="50" w:line="360" w:lineRule="auto"/>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☑无须递交　□须递交</w:t>
            </w:r>
          </w:p>
          <w:p w14:paraId="384E5294">
            <w:pPr>
              <w:pStyle w:val="11"/>
              <w:widowControl/>
              <w:kinsoku w:val="0"/>
              <w:autoSpaceDE w:val="0"/>
              <w:autoSpaceDN w:val="0"/>
              <w:adjustRightInd w:val="0"/>
              <w:snapToGrid w:val="0"/>
              <w:spacing w:before="156" w:beforeLines="50" w:line="360" w:lineRule="auto"/>
              <w:ind w:firstLine="517" w:firstLineChars="202"/>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履约担保金额:</w:t>
            </w:r>
            <w:r>
              <w:rPr>
                <w:rFonts w:hint="eastAsia" w:ascii="仿宋" w:hAnsi="仿宋" w:eastAsia="仿宋" w:cs="仿宋"/>
                <w:snapToGrid w:val="0"/>
                <w:color w:val="000000"/>
                <w:spacing w:val="8"/>
                <w:sz w:val="24"/>
                <w:szCs w:val="24"/>
                <w:highlight w:val="none"/>
                <w:u w:val="single"/>
                <w:lang w:eastAsia="zh-CN"/>
              </w:rPr>
              <w:t>　　　　</w:t>
            </w:r>
          </w:p>
          <w:p w14:paraId="10F41341">
            <w:pPr>
              <w:pStyle w:val="11"/>
              <w:widowControl/>
              <w:kinsoku w:val="0"/>
              <w:autoSpaceDE w:val="0"/>
              <w:autoSpaceDN w:val="0"/>
              <w:adjustRightInd w:val="0"/>
              <w:snapToGrid w:val="0"/>
              <w:spacing w:before="156" w:beforeLines="50" w:line="360" w:lineRule="auto"/>
              <w:ind w:firstLine="517" w:firstLineChars="202"/>
              <w:textAlignment w:val="baseline"/>
              <w:rPr>
                <w:rFonts w:ascii="仿宋" w:hAnsi="仿宋" w:eastAsia="仿宋" w:cs="仿宋"/>
                <w:snapToGrid w:val="0"/>
                <w:color w:val="000000"/>
                <w:spacing w:val="8"/>
                <w:sz w:val="24"/>
                <w:szCs w:val="24"/>
                <w:highlight w:val="none"/>
                <w:u w:val="single"/>
                <w:lang w:eastAsia="zh-CN"/>
              </w:rPr>
            </w:pPr>
            <w:r>
              <w:rPr>
                <w:rFonts w:hint="eastAsia" w:ascii="仿宋" w:hAnsi="仿宋" w:eastAsia="仿宋" w:cs="仿宋"/>
                <w:snapToGrid w:val="0"/>
                <w:color w:val="000000"/>
                <w:spacing w:val="8"/>
                <w:sz w:val="24"/>
                <w:szCs w:val="24"/>
                <w:highlight w:val="none"/>
                <w:lang w:eastAsia="zh-CN"/>
              </w:rPr>
              <w:t>履约担保形式:</w:t>
            </w:r>
            <w:r>
              <w:rPr>
                <w:rFonts w:hint="eastAsia" w:ascii="仿宋" w:hAnsi="仿宋" w:eastAsia="仿宋" w:cs="仿宋"/>
                <w:snapToGrid w:val="0"/>
                <w:color w:val="000000"/>
                <w:spacing w:val="8"/>
                <w:sz w:val="24"/>
                <w:szCs w:val="24"/>
                <w:highlight w:val="none"/>
                <w:u w:val="single"/>
                <w:lang w:eastAsia="zh-CN"/>
              </w:rPr>
              <w:t>　　　　</w:t>
            </w:r>
          </w:p>
          <w:p w14:paraId="6323F596">
            <w:pPr>
              <w:pStyle w:val="11"/>
              <w:widowControl/>
              <w:kinsoku w:val="0"/>
              <w:autoSpaceDE w:val="0"/>
              <w:autoSpaceDN w:val="0"/>
              <w:adjustRightInd w:val="0"/>
              <w:snapToGrid w:val="0"/>
              <w:spacing w:before="156" w:beforeLines="50" w:line="360" w:lineRule="auto"/>
              <w:ind w:firstLine="517" w:firstLineChars="202"/>
              <w:textAlignment w:val="baseline"/>
              <w:rPr>
                <w:rFonts w:ascii="仿宋" w:hAnsi="仿宋" w:eastAsia="仿宋" w:cs="仿宋"/>
                <w:snapToGrid w:val="0"/>
                <w:color w:val="000000"/>
                <w:spacing w:val="8"/>
                <w:sz w:val="24"/>
                <w:szCs w:val="24"/>
                <w:highlight w:val="none"/>
                <w:u w:val="single"/>
                <w:lang w:eastAsia="zh-CN"/>
              </w:rPr>
            </w:pPr>
            <w:r>
              <w:rPr>
                <w:rFonts w:hint="eastAsia" w:ascii="仿宋" w:hAnsi="仿宋" w:eastAsia="仿宋" w:cs="仿宋"/>
                <w:snapToGrid w:val="0"/>
                <w:color w:val="000000"/>
                <w:spacing w:val="8"/>
                <w:sz w:val="24"/>
                <w:szCs w:val="24"/>
                <w:highlight w:val="none"/>
                <w:lang w:eastAsia="zh-CN"/>
              </w:rPr>
              <w:t>履约担保有效期：</w:t>
            </w:r>
            <w:r>
              <w:rPr>
                <w:rFonts w:hint="eastAsia" w:ascii="仿宋" w:hAnsi="仿宋" w:eastAsia="仿宋" w:cs="仿宋"/>
                <w:snapToGrid w:val="0"/>
                <w:color w:val="000000"/>
                <w:spacing w:val="8"/>
                <w:sz w:val="24"/>
                <w:szCs w:val="24"/>
                <w:highlight w:val="none"/>
                <w:u w:val="single"/>
                <w:lang w:eastAsia="zh-CN"/>
              </w:rPr>
              <w:t>　　　　</w:t>
            </w:r>
          </w:p>
          <w:p w14:paraId="4FD80481">
            <w:pPr>
              <w:pStyle w:val="11"/>
              <w:widowControl/>
              <w:kinsoku w:val="0"/>
              <w:autoSpaceDE w:val="0"/>
              <w:autoSpaceDN w:val="0"/>
              <w:adjustRightInd w:val="0"/>
              <w:snapToGrid w:val="0"/>
              <w:spacing w:before="156" w:beforeLines="50" w:line="360" w:lineRule="auto"/>
              <w:ind w:firstLine="517" w:firstLineChars="202"/>
              <w:textAlignment w:val="baseline"/>
              <w:rPr>
                <w:rFonts w:ascii="仿宋" w:hAnsi="仿宋" w:eastAsia="仿宋" w:cs="仿宋"/>
                <w:snapToGrid w:val="0"/>
                <w:color w:val="000000"/>
                <w:spacing w:val="8"/>
                <w:sz w:val="24"/>
                <w:szCs w:val="24"/>
                <w:highlight w:val="none"/>
                <w:u w:val="single"/>
                <w:lang w:eastAsia="zh-CN"/>
              </w:rPr>
            </w:pPr>
            <w:r>
              <w:rPr>
                <w:rFonts w:hint="eastAsia" w:ascii="仿宋" w:hAnsi="仿宋" w:eastAsia="仿宋" w:cs="仿宋"/>
                <w:snapToGrid w:val="0"/>
                <w:color w:val="000000"/>
                <w:spacing w:val="8"/>
                <w:sz w:val="24"/>
                <w:szCs w:val="24"/>
                <w:highlight w:val="none"/>
                <w:lang w:eastAsia="zh-CN"/>
              </w:rPr>
              <w:t>递交时间:</w:t>
            </w:r>
            <w:r>
              <w:rPr>
                <w:rFonts w:hint="eastAsia" w:ascii="仿宋" w:hAnsi="仿宋" w:eastAsia="仿宋" w:cs="仿宋"/>
                <w:snapToGrid w:val="0"/>
                <w:color w:val="000000"/>
                <w:spacing w:val="8"/>
                <w:sz w:val="24"/>
                <w:szCs w:val="24"/>
                <w:highlight w:val="none"/>
                <w:u w:val="single"/>
                <w:lang w:eastAsia="zh-CN"/>
              </w:rPr>
              <w:t>　　　　</w:t>
            </w:r>
          </w:p>
          <w:p w14:paraId="67584654">
            <w:pPr>
              <w:pStyle w:val="11"/>
              <w:widowControl/>
              <w:kinsoku w:val="0"/>
              <w:autoSpaceDE w:val="0"/>
              <w:autoSpaceDN w:val="0"/>
              <w:adjustRightInd w:val="0"/>
              <w:snapToGrid w:val="0"/>
              <w:spacing w:before="156" w:beforeLines="50" w:line="360" w:lineRule="auto"/>
              <w:ind w:firstLine="517" w:firstLineChars="202"/>
              <w:textAlignment w:val="baseline"/>
              <w:rPr>
                <w:rFonts w:ascii="仿宋" w:hAnsi="仿宋" w:eastAsia="仿宋" w:cs="仿宋"/>
                <w:snapToGrid w:val="0"/>
                <w:color w:val="000000"/>
                <w:spacing w:val="8"/>
                <w:sz w:val="24"/>
                <w:szCs w:val="24"/>
                <w:highlight w:val="none"/>
                <w:u w:val="single"/>
                <w:lang w:eastAsia="zh-CN"/>
              </w:rPr>
            </w:pPr>
            <w:r>
              <w:rPr>
                <w:rFonts w:hint="eastAsia" w:ascii="仿宋" w:hAnsi="仿宋" w:eastAsia="仿宋" w:cs="仿宋"/>
                <w:snapToGrid w:val="0"/>
                <w:color w:val="000000"/>
                <w:spacing w:val="8"/>
                <w:sz w:val="24"/>
                <w:szCs w:val="24"/>
                <w:highlight w:val="none"/>
                <w:lang w:eastAsia="zh-CN"/>
              </w:rPr>
              <w:t>其他要求：</w:t>
            </w:r>
            <w:r>
              <w:rPr>
                <w:rFonts w:hint="eastAsia" w:ascii="仿宋" w:hAnsi="仿宋" w:eastAsia="仿宋" w:cs="仿宋"/>
                <w:snapToGrid w:val="0"/>
                <w:color w:val="000000"/>
                <w:spacing w:val="8"/>
                <w:sz w:val="24"/>
                <w:szCs w:val="24"/>
                <w:highlight w:val="none"/>
                <w:u w:val="single"/>
                <w:lang w:eastAsia="zh-CN"/>
              </w:rPr>
              <w:t>　　　　</w:t>
            </w:r>
          </w:p>
        </w:tc>
      </w:tr>
      <w:tr w14:paraId="0F9D59C4">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110" w:type="dxa"/>
            <w:tcBorders>
              <w:tl2br w:val="nil"/>
              <w:tr2bl w:val="nil"/>
            </w:tcBorders>
            <w:vAlign w:val="center"/>
          </w:tcPr>
          <w:p w14:paraId="5A773EB1">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8.1</w:t>
            </w:r>
          </w:p>
        </w:tc>
        <w:tc>
          <w:tcPr>
            <w:tcW w:w="2122" w:type="dxa"/>
            <w:tcBorders>
              <w:tl2br w:val="nil"/>
              <w:tr2bl w:val="nil"/>
            </w:tcBorders>
            <w:vAlign w:val="center"/>
          </w:tcPr>
          <w:p w14:paraId="3597C852">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异议渠道</w:t>
            </w:r>
          </w:p>
        </w:tc>
        <w:tc>
          <w:tcPr>
            <w:tcW w:w="5825" w:type="dxa"/>
            <w:tcBorders>
              <w:tl2br w:val="nil"/>
              <w:tr2bl w:val="nil"/>
            </w:tcBorders>
            <w:vAlign w:val="center"/>
          </w:tcPr>
          <w:p w14:paraId="4E84C128">
            <w:pPr>
              <w:pStyle w:val="11"/>
              <w:widowControl/>
              <w:kinsoku w:val="0"/>
              <w:autoSpaceDE w:val="0"/>
              <w:autoSpaceDN w:val="0"/>
              <w:adjustRightInd w:val="0"/>
              <w:snapToGrid w:val="0"/>
              <w:spacing w:before="156" w:beforeLines="50" w:line="360" w:lineRule="auto"/>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联系人：</w:t>
            </w:r>
            <w:r>
              <w:rPr>
                <w:rFonts w:hint="eastAsia" w:ascii="仿宋" w:hAnsi="仿宋" w:eastAsia="仿宋" w:cs="仿宋"/>
                <w:snapToGrid w:val="0"/>
                <w:color w:val="000000"/>
                <w:spacing w:val="8"/>
                <w:sz w:val="24"/>
                <w:szCs w:val="24"/>
                <w:highlight w:val="none"/>
                <w:u w:val="single"/>
                <w:lang w:eastAsia="zh-CN"/>
              </w:rPr>
              <w:t>　招标行政监督　</w:t>
            </w:r>
          </w:p>
          <w:p w14:paraId="21A0B8E7">
            <w:pPr>
              <w:pStyle w:val="11"/>
              <w:widowControl/>
              <w:kinsoku w:val="0"/>
              <w:autoSpaceDE w:val="0"/>
              <w:autoSpaceDN w:val="0"/>
              <w:adjustRightInd w:val="0"/>
              <w:snapToGrid w:val="0"/>
              <w:spacing w:before="156" w:beforeLines="50" w:line="360" w:lineRule="auto"/>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联系电话：</w:t>
            </w:r>
            <w:r>
              <w:rPr>
                <w:rFonts w:hint="eastAsia" w:ascii="仿宋" w:hAnsi="仿宋" w:eastAsia="仿宋" w:cs="仿宋"/>
                <w:snapToGrid w:val="0"/>
                <w:color w:val="000000"/>
                <w:spacing w:val="8"/>
                <w:sz w:val="24"/>
                <w:szCs w:val="24"/>
                <w:highlight w:val="none"/>
                <w:u w:val="single"/>
                <w:lang w:eastAsia="zh-CN"/>
              </w:rPr>
              <w:t>　0731-85383501　</w:t>
            </w:r>
          </w:p>
          <w:p w14:paraId="6DABF392">
            <w:pPr>
              <w:pStyle w:val="11"/>
              <w:widowControl/>
              <w:kinsoku w:val="0"/>
              <w:autoSpaceDE w:val="0"/>
              <w:autoSpaceDN w:val="0"/>
              <w:adjustRightInd w:val="0"/>
              <w:snapToGrid w:val="0"/>
              <w:spacing w:before="156" w:beforeLines="50" w:line="360" w:lineRule="auto"/>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通信地址：</w:t>
            </w:r>
            <w:r>
              <w:rPr>
                <w:rFonts w:hint="eastAsia" w:ascii="仿宋" w:hAnsi="仿宋" w:eastAsia="仿宋" w:cs="仿宋"/>
                <w:snapToGrid w:val="0"/>
                <w:color w:val="000000"/>
                <w:spacing w:val="8"/>
                <w:sz w:val="24"/>
                <w:szCs w:val="24"/>
                <w:highlight w:val="none"/>
                <w:u w:val="single"/>
                <w:lang w:eastAsia="zh-CN"/>
              </w:rPr>
              <w:t>　　/　　</w:t>
            </w:r>
          </w:p>
        </w:tc>
      </w:tr>
      <w:tr w14:paraId="67E299A9">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342" w:hRule="atLeast"/>
          <w:jc w:val="center"/>
        </w:trPr>
        <w:tc>
          <w:tcPr>
            <w:tcW w:w="1110" w:type="dxa"/>
            <w:tcBorders>
              <w:tl2br w:val="nil"/>
              <w:tr2bl w:val="nil"/>
            </w:tcBorders>
            <w:vAlign w:val="center"/>
          </w:tcPr>
          <w:p w14:paraId="67F09FAE">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8.2</w:t>
            </w:r>
          </w:p>
        </w:tc>
        <w:tc>
          <w:tcPr>
            <w:tcW w:w="2122" w:type="dxa"/>
            <w:tcBorders>
              <w:tl2br w:val="nil"/>
              <w:tr2bl w:val="nil"/>
            </w:tcBorders>
            <w:vAlign w:val="center"/>
          </w:tcPr>
          <w:p w14:paraId="0D47D4C2">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可以调解异议争议的行业组织</w:t>
            </w:r>
          </w:p>
        </w:tc>
        <w:tc>
          <w:tcPr>
            <w:tcW w:w="5825" w:type="dxa"/>
            <w:tcBorders>
              <w:tl2br w:val="nil"/>
              <w:tr2bl w:val="nil"/>
            </w:tcBorders>
            <w:vAlign w:val="center"/>
          </w:tcPr>
          <w:p w14:paraId="71D0B5EF">
            <w:pPr>
              <w:pStyle w:val="11"/>
              <w:widowControl/>
              <w:kinsoku w:val="0"/>
              <w:autoSpaceDE w:val="0"/>
              <w:autoSpaceDN w:val="0"/>
              <w:adjustRightInd w:val="0"/>
              <w:snapToGrid w:val="0"/>
              <w:spacing w:before="156" w:beforeLines="50" w:line="360" w:lineRule="auto"/>
              <w:jc w:val="left"/>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u w:val="single"/>
                <w:lang w:eastAsia="zh-CN"/>
              </w:rPr>
              <w:t>　　/　　</w:t>
            </w:r>
          </w:p>
        </w:tc>
      </w:tr>
      <w:tr w14:paraId="703FDFFC">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295" w:hRule="atLeast"/>
          <w:jc w:val="center"/>
        </w:trPr>
        <w:tc>
          <w:tcPr>
            <w:tcW w:w="1110" w:type="dxa"/>
            <w:tcBorders>
              <w:tl2br w:val="nil"/>
              <w:tr2bl w:val="nil"/>
            </w:tcBorders>
            <w:vAlign w:val="center"/>
          </w:tcPr>
          <w:p w14:paraId="5F64563D">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10.1</w:t>
            </w:r>
          </w:p>
        </w:tc>
        <w:tc>
          <w:tcPr>
            <w:tcW w:w="2122" w:type="dxa"/>
            <w:tcBorders>
              <w:tl2br w:val="nil"/>
              <w:tr2bl w:val="nil"/>
            </w:tcBorders>
            <w:vAlign w:val="center"/>
          </w:tcPr>
          <w:p w14:paraId="6C3D257C">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采购代理服务费</w:t>
            </w:r>
          </w:p>
        </w:tc>
        <w:tc>
          <w:tcPr>
            <w:tcW w:w="5825" w:type="dxa"/>
            <w:tcBorders>
              <w:tl2br w:val="nil"/>
              <w:tr2bl w:val="nil"/>
            </w:tcBorders>
            <w:vAlign w:val="center"/>
          </w:tcPr>
          <w:p w14:paraId="2BFC4433">
            <w:pPr>
              <w:pStyle w:val="11"/>
              <w:widowControl/>
              <w:kinsoku w:val="0"/>
              <w:autoSpaceDE w:val="0"/>
              <w:autoSpaceDN w:val="0"/>
              <w:adjustRightInd w:val="0"/>
              <w:snapToGrid w:val="0"/>
              <w:spacing w:before="156" w:beforeLines="50" w:line="360" w:lineRule="auto"/>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☑不要求承担</w:t>
            </w:r>
          </w:p>
          <w:p w14:paraId="7366DFA7">
            <w:pPr>
              <w:pStyle w:val="11"/>
              <w:widowControl/>
              <w:kinsoku w:val="0"/>
              <w:autoSpaceDE w:val="0"/>
              <w:autoSpaceDN w:val="0"/>
              <w:adjustRightInd w:val="0"/>
              <w:snapToGrid w:val="0"/>
              <w:spacing w:before="156" w:beforeLines="50" w:line="360" w:lineRule="auto"/>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□要求承担</w:t>
            </w:r>
          </w:p>
          <w:p w14:paraId="462833F0">
            <w:pPr>
              <w:pStyle w:val="11"/>
              <w:widowControl/>
              <w:kinsoku w:val="0"/>
              <w:autoSpaceDE w:val="0"/>
              <w:autoSpaceDN w:val="0"/>
              <w:adjustRightInd w:val="0"/>
              <w:snapToGrid w:val="0"/>
              <w:spacing w:before="156" w:beforeLines="50" w:line="360" w:lineRule="auto"/>
              <w:ind w:firstLine="517" w:firstLineChars="202"/>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费用标准或金额：</w:t>
            </w:r>
            <w:r>
              <w:rPr>
                <w:rFonts w:hint="eastAsia" w:ascii="仿宋" w:hAnsi="仿宋" w:eastAsia="仿宋" w:cs="仿宋"/>
                <w:snapToGrid w:val="0"/>
                <w:color w:val="000000"/>
                <w:spacing w:val="8"/>
                <w:sz w:val="24"/>
                <w:szCs w:val="24"/>
                <w:highlight w:val="none"/>
                <w:u w:val="single"/>
                <w:lang w:eastAsia="zh-CN"/>
              </w:rPr>
              <w:t>　　　　</w:t>
            </w:r>
          </w:p>
          <w:p w14:paraId="6B6D56EC">
            <w:pPr>
              <w:pStyle w:val="11"/>
              <w:widowControl/>
              <w:kinsoku w:val="0"/>
              <w:autoSpaceDE w:val="0"/>
              <w:autoSpaceDN w:val="0"/>
              <w:adjustRightInd w:val="0"/>
              <w:snapToGrid w:val="0"/>
              <w:spacing w:before="156" w:beforeLines="50" w:line="360" w:lineRule="auto"/>
              <w:ind w:firstLine="517" w:firstLineChars="202"/>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交费时间：</w:t>
            </w:r>
            <w:r>
              <w:rPr>
                <w:rFonts w:hint="eastAsia" w:ascii="仿宋" w:hAnsi="仿宋" w:eastAsia="仿宋" w:cs="仿宋"/>
                <w:snapToGrid w:val="0"/>
                <w:color w:val="000000"/>
                <w:spacing w:val="8"/>
                <w:sz w:val="24"/>
                <w:szCs w:val="24"/>
                <w:highlight w:val="none"/>
                <w:u w:val="single"/>
                <w:lang w:eastAsia="zh-CN"/>
              </w:rPr>
              <w:t>　　　　</w:t>
            </w:r>
          </w:p>
          <w:p w14:paraId="6F5937B7">
            <w:pPr>
              <w:pStyle w:val="11"/>
              <w:widowControl/>
              <w:kinsoku w:val="0"/>
              <w:autoSpaceDE w:val="0"/>
              <w:autoSpaceDN w:val="0"/>
              <w:adjustRightInd w:val="0"/>
              <w:snapToGrid w:val="0"/>
              <w:spacing w:before="156" w:beforeLines="50" w:line="360" w:lineRule="auto"/>
              <w:ind w:firstLine="517" w:firstLineChars="202"/>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交费方式：</w:t>
            </w:r>
            <w:r>
              <w:rPr>
                <w:rFonts w:hint="eastAsia" w:ascii="仿宋" w:hAnsi="仿宋" w:eastAsia="仿宋" w:cs="仿宋"/>
                <w:snapToGrid w:val="0"/>
                <w:color w:val="000000"/>
                <w:spacing w:val="8"/>
                <w:sz w:val="24"/>
                <w:szCs w:val="24"/>
                <w:highlight w:val="none"/>
                <w:u w:val="single"/>
                <w:lang w:eastAsia="zh-CN"/>
              </w:rPr>
              <w:t>　　　　</w:t>
            </w:r>
          </w:p>
        </w:tc>
      </w:tr>
      <w:tr w14:paraId="69E39133">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342" w:hRule="atLeast"/>
          <w:jc w:val="center"/>
        </w:trPr>
        <w:tc>
          <w:tcPr>
            <w:tcW w:w="1110" w:type="dxa"/>
            <w:tcBorders>
              <w:tl2br w:val="nil"/>
              <w:tr2bl w:val="nil"/>
            </w:tcBorders>
            <w:vAlign w:val="center"/>
          </w:tcPr>
          <w:p w14:paraId="6EC4612B">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10.2</w:t>
            </w:r>
          </w:p>
        </w:tc>
        <w:tc>
          <w:tcPr>
            <w:tcW w:w="2122" w:type="dxa"/>
            <w:tcBorders>
              <w:tl2br w:val="nil"/>
              <w:tr2bl w:val="nil"/>
            </w:tcBorders>
            <w:vAlign w:val="center"/>
          </w:tcPr>
          <w:p w14:paraId="348B9281">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需补充的内容</w:t>
            </w:r>
          </w:p>
        </w:tc>
        <w:tc>
          <w:tcPr>
            <w:tcW w:w="5825" w:type="dxa"/>
            <w:tcBorders>
              <w:tl2br w:val="nil"/>
              <w:tr2bl w:val="nil"/>
            </w:tcBorders>
            <w:vAlign w:val="center"/>
          </w:tcPr>
          <w:p w14:paraId="7D4A25A9">
            <w:pPr>
              <w:pStyle w:val="11"/>
              <w:widowControl/>
              <w:kinsoku w:val="0"/>
              <w:autoSpaceDE w:val="0"/>
              <w:autoSpaceDN w:val="0"/>
              <w:adjustRightInd w:val="0"/>
              <w:snapToGrid w:val="0"/>
              <w:spacing w:before="156" w:beforeLines="50" w:line="360" w:lineRule="auto"/>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u w:val="single"/>
                <w:lang w:eastAsia="zh-CN"/>
              </w:rPr>
              <w:t>　　/　　</w:t>
            </w:r>
          </w:p>
        </w:tc>
      </w:tr>
    </w:tbl>
    <w:p w14:paraId="1EAAA08B">
      <w:pPr>
        <w:pStyle w:val="15"/>
        <w:spacing w:before="0" w:after="0"/>
        <w:rPr>
          <w:b/>
          <w:bCs/>
          <w:highlight w:val="none"/>
        </w:rPr>
      </w:pPr>
      <w:r>
        <w:rPr>
          <w:rFonts w:hint="eastAsia"/>
          <w:b/>
          <w:bCs/>
          <w:highlight w:val="none"/>
        </w:rPr>
        <w:t>　　1总则</w:t>
      </w:r>
    </w:p>
    <w:p w14:paraId="723827D0">
      <w:pPr>
        <w:spacing w:line="360" w:lineRule="auto"/>
        <w:rPr>
          <w:rFonts w:ascii="仿宋" w:hAnsi="仿宋"/>
          <w:sz w:val="24"/>
          <w:szCs w:val="24"/>
          <w:highlight w:val="none"/>
        </w:rPr>
      </w:pPr>
      <w:r>
        <w:rPr>
          <w:rFonts w:hint="eastAsia" w:ascii="仿宋" w:hAnsi="仿宋"/>
          <w:sz w:val="24"/>
          <w:szCs w:val="24"/>
          <w:highlight w:val="none"/>
        </w:rPr>
        <w:t>　　1.1采购方式</w:t>
      </w:r>
    </w:p>
    <w:p w14:paraId="2E85F6B6">
      <w:pPr>
        <w:spacing w:line="360" w:lineRule="auto"/>
        <w:rPr>
          <w:rFonts w:ascii="仿宋" w:hAnsi="仿宋"/>
          <w:sz w:val="24"/>
          <w:szCs w:val="24"/>
          <w:highlight w:val="none"/>
        </w:rPr>
      </w:pPr>
      <w:r>
        <w:rPr>
          <w:rFonts w:hint="eastAsia" w:ascii="仿宋" w:hAnsi="仿宋"/>
          <w:sz w:val="24"/>
          <w:szCs w:val="24"/>
          <w:highlight w:val="none"/>
        </w:rPr>
        <w:t>　　本项目采用中国招标投标协会发布的《非招标方式采购代理服务规范》（T/CTBA　001—2019）规定的谈判采购方式。</w:t>
      </w:r>
    </w:p>
    <w:p w14:paraId="25788064">
      <w:pPr>
        <w:spacing w:line="360" w:lineRule="auto"/>
        <w:rPr>
          <w:rFonts w:ascii="仿宋" w:hAnsi="仿宋"/>
          <w:sz w:val="24"/>
          <w:szCs w:val="24"/>
          <w:highlight w:val="none"/>
        </w:rPr>
      </w:pPr>
      <w:r>
        <w:rPr>
          <w:rFonts w:hint="eastAsia" w:ascii="仿宋" w:hAnsi="仿宋"/>
          <w:sz w:val="24"/>
          <w:szCs w:val="24"/>
          <w:highlight w:val="none"/>
        </w:rPr>
        <w:t>　　谈判采购是指采购人组建谈判小组与响应采购的供应商依次分别进行一轮或多轮交流谈判并对供应商递交的响应文件进行评审，采购人根据谈判小组最终谈判结果及其评审结论，选择确定成交供应商的采购方式。</w:t>
      </w:r>
    </w:p>
    <w:p w14:paraId="661652EC">
      <w:pPr>
        <w:spacing w:line="360" w:lineRule="auto"/>
        <w:rPr>
          <w:rFonts w:ascii="仿宋" w:hAnsi="仿宋"/>
          <w:sz w:val="24"/>
          <w:szCs w:val="24"/>
          <w:highlight w:val="none"/>
        </w:rPr>
      </w:pPr>
      <w:r>
        <w:rPr>
          <w:rFonts w:hint="eastAsia" w:ascii="仿宋" w:hAnsi="仿宋"/>
          <w:sz w:val="24"/>
          <w:szCs w:val="24"/>
          <w:highlight w:val="none"/>
        </w:rPr>
        <w:t>　　1.2采购项目概况和供应商资格要求</w:t>
      </w:r>
    </w:p>
    <w:p w14:paraId="5FDEEC92">
      <w:pPr>
        <w:spacing w:line="360" w:lineRule="auto"/>
        <w:rPr>
          <w:rFonts w:ascii="仿宋" w:hAnsi="仿宋"/>
          <w:sz w:val="24"/>
          <w:szCs w:val="24"/>
          <w:highlight w:val="none"/>
        </w:rPr>
      </w:pPr>
      <w:r>
        <w:rPr>
          <w:rFonts w:hint="eastAsia" w:ascii="仿宋" w:hAnsi="仿宋"/>
          <w:sz w:val="24"/>
          <w:szCs w:val="24"/>
          <w:highlight w:val="none"/>
        </w:rPr>
        <w:t>　　采购项目概况和供应商资格要求见第一章“谈判采购公告/谈判采购邀请书”。</w:t>
      </w:r>
    </w:p>
    <w:p w14:paraId="2AD6C573">
      <w:pPr>
        <w:spacing w:line="360" w:lineRule="auto"/>
        <w:rPr>
          <w:rFonts w:ascii="仿宋" w:hAnsi="仿宋"/>
          <w:sz w:val="24"/>
          <w:szCs w:val="24"/>
          <w:highlight w:val="none"/>
        </w:rPr>
      </w:pPr>
      <w:r>
        <w:rPr>
          <w:rFonts w:hint="eastAsia" w:ascii="仿宋" w:hAnsi="仿宋"/>
          <w:sz w:val="24"/>
          <w:szCs w:val="24"/>
          <w:highlight w:val="none"/>
        </w:rPr>
        <w:t>　　1.3费用承担</w:t>
      </w:r>
    </w:p>
    <w:p w14:paraId="58755044">
      <w:pPr>
        <w:spacing w:line="360" w:lineRule="auto"/>
        <w:rPr>
          <w:rFonts w:ascii="仿宋" w:hAnsi="仿宋"/>
          <w:sz w:val="24"/>
          <w:szCs w:val="24"/>
          <w:highlight w:val="none"/>
        </w:rPr>
      </w:pPr>
      <w:r>
        <w:rPr>
          <w:rFonts w:hint="eastAsia" w:ascii="仿宋" w:hAnsi="仿宋"/>
          <w:sz w:val="24"/>
          <w:szCs w:val="24"/>
          <w:highlight w:val="none"/>
        </w:rPr>
        <w:t>　　供应商准备和参加谈判采购活动所发生的各种费用由供应商自行承担。</w:t>
      </w:r>
    </w:p>
    <w:p w14:paraId="3FEDCFBE">
      <w:pPr>
        <w:spacing w:line="360" w:lineRule="auto"/>
        <w:rPr>
          <w:rFonts w:ascii="仿宋" w:hAnsi="仿宋"/>
          <w:sz w:val="24"/>
          <w:szCs w:val="24"/>
          <w:highlight w:val="none"/>
        </w:rPr>
      </w:pPr>
      <w:r>
        <w:rPr>
          <w:rFonts w:hint="eastAsia" w:ascii="仿宋" w:hAnsi="仿宋"/>
          <w:sz w:val="24"/>
          <w:szCs w:val="24"/>
          <w:highlight w:val="none"/>
        </w:rPr>
        <w:t>　　1.4保密</w:t>
      </w:r>
    </w:p>
    <w:p w14:paraId="6DC01A35">
      <w:pPr>
        <w:spacing w:line="360" w:lineRule="auto"/>
        <w:rPr>
          <w:rFonts w:ascii="仿宋" w:hAnsi="仿宋"/>
          <w:sz w:val="24"/>
          <w:szCs w:val="24"/>
          <w:highlight w:val="none"/>
        </w:rPr>
      </w:pPr>
      <w:r>
        <w:rPr>
          <w:rFonts w:hint="eastAsia" w:ascii="仿宋" w:hAnsi="仿宋"/>
          <w:sz w:val="24"/>
          <w:szCs w:val="24"/>
          <w:highlight w:val="none"/>
        </w:rPr>
        <w:t>　　参加谈判采购活动的各方应对采购文件和响应文件中的商业和技术等秘密保密，否则应承担相应的法律责任。</w:t>
      </w:r>
    </w:p>
    <w:p w14:paraId="37D548B5">
      <w:pPr>
        <w:spacing w:line="360" w:lineRule="auto"/>
        <w:rPr>
          <w:rFonts w:ascii="仿宋" w:hAnsi="仿宋"/>
          <w:sz w:val="24"/>
          <w:szCs w:val="24"/>
          <w:highlight w:val="none"/>
        </w:rPr>
      </w:pPr>
      <w:r>
        <w:rPr>
          <w:rFonts w:hint="eastAsia" w:ascii="仿宋" w:hAnsi="仿宋"/>
          <w:sz w:val="24"/>
          <w:szCs w:val="24"/>
          <w:highlight w:val="none"/>
        </w:rPr>
        <w:t>　　1.5语言文字</w:t>
      </w:r>
    </w:p>
    <w:p w14:paraId="77D35D68">
      <w:pPr>
        <w:spacing w:line="360" w:lineRule="auto"/>
        <w:rPr>
          <w:rFonts w:ascii="仿宋" w:hAnsi="仿宋"/>
          <w:sz w:val="24"/>
          <w:szCs w:val="24"/>
          <w:highlight w:val="none"/>
        </w:rPr>
      </w:pPr>
      <w:r>
        <w:rPr>
          <w:rFonts w:hint="eastAsia" w:ascii="仿宋" w:hAnsi="仿宋"/>
          <w:sz w:val="24"/>
          <w:szCs w:val="24"/>
          <w:highlight w:val="none"/>
        </w:rPr>
        <w:t>　　采购文件和响应文件使用的语言文字为中文。专用术语使用外文的，应附有中文注释。</w:t>
      </w:r>
    </w:p>
    <w:p w14:paraId="2BC73023">
      <w:pPr>
        <w:spacing w:line="360" w:lineRule="auto"/>
        <w:rPr>
          <w:rFonts w:ascii="仿宋" w:hAnsi="仿宋"/>
          <w:sz w:val="24"/>
          <w:szCs w:val="24"/>
          <w:highlight w:val="none"/>
        </w:rPr>
      </w:pPr>
      <w:r>
        <w:rPr>
          <w:rFonts w:hint="eastAsia" w:ascii="仿宋" w:hAnsi="仿宋"/>
          <w:sz w:val="24"/>
          <w:szCs w:val="24"/>
          <w:highlight w:val="none"/>
        </w:rPr>
        <w:t>　　1.6计量单位</w:t>
      </w:r>
    </w:p>
    <w:p w14:paraId="5A5DB68F">
      <w:pPr>
        <w:spacing w:line="360" w:lineRule="auto"/>
        <w:rPr>
          <w:rFonts w:ascii="仿宋" w:hAnsi="仿宋"/>
          <w:sz w:val="24"/>
          <w:szCs w:val="24"/>
          <w:highlight w:val="none"/>
        </w:rPr>
      </w:pPr>
      <w:r>
        <w:rPr>
          <w:rFonts w:hint="eastAsia" w:ascii="仿宋" w:hAnsi="仿宋"/>
          <w:sz w:val="24"/>
          <w:szCs w:val="24"/>
          <w:highlight w:val="none"/>
        </w:rPr>
        <w:t>　　所有计量均采用中华人民共和国法定计量单位。</w:t>
      </w:r>
    </w:p>
    <w:p w14:paraId="5783067C">
      <w:pPr>
        <w:spacing w:line="360" w:lineRule="auto"/>
        <w:rPr>
          <w:rFonts w:ascii="仿宋" w:hAnsi="仿宋"/>
          <w:sz w:val="24"/>
          <w:szCs w:val="24"/>
          <w:highlight w:val="none"/>
        </w:rPr>
      </w:pPr>
      <w:r>
        <w:rPr>
          <w:rFonts w:hint="eastAsia" w:ascii="仿宋" w:hAnsi="仿宋"/>
          <w:sz w:val="24"/>
          <w:szCs w:val="24"/>
          <w:highlight w:val="none"/>
        </w:rPr>
        <w:t>　　1.7踏勘现场</w:t>
      </w:r>
    </w:p>
    <w:p w14:paraId="6F03B422">
      <w:pPr>
        <w:spacing w:line="360" w:lineRule="auto"/>
        <w:rPr>
          <w:rFonts w:ascii="仿宋" w:hAnsi="仿宋"/>
          <w:sz w:val="24"/>
          <w:szCs w:val="24"/>
          <w:highlight w:val="none"/>
        </w:rPr>
      </w:pPr>
      <w:r>
        <w:rPr>
          <w:rFonts w:hint="eastAsia" w:ascii="仿宋" w:hAnsi="仿宋"/>
          <w:sz w:val="24"/>
          <w:szCs w:val="24"/>
          <w:highlight w:val="none"/>
        </w:rPr>
        <w:t>　　1.7.1供应商须知前附表规定组织踏勘现场的，采购人按供应商须知前附表规定的时间、地点组织供应商踏勘项目现场。部分供应商未按时参加踏勘现场的，不影响踏勘现场的正常进行。</w:t>
      </w:r>
    </w:p>
    <w:p w14:paraId="64C3CD6C">
      <w:pPr>
        <w:spacing w:line="360" w:lineRule="auto"/>
        <w:rPr>
          <w:rFonts w:ascii="仿宋" w:hAnsi="仿宋"/>
          <w:sz w:val="24"/>
          <w:szCs w:val="24"/>
          <w:highlight w:val="none"/>
        </w:rPr>
      </w:pPr>
      <w:r>
        <w:rPr>
          <w:rFonts w:hint="eastAsia" w:ascii="仿宋" w:hAnsi="仿宋"/>
          <w:sz w:val="24"/>
          <w:szCs w:val="24"/>
          <w:highlight w:val="none"/>
        </w:rPr>
        <w:t>　　1.7.2供应商可自愿参加踏勘现场活动。除采购人的原因外，采购人对供应商参加踏勘现场中所发生的人员伤亡和财产损失不承担责任。</w:t>
      </w:r>
    </w:p>
    <w:p w14:paraId="44CAF2DD">
      <w:pPr>
        <w:spacing w:line="360" w:lineRule="auto"/>
        <w:rPr>
          <w:rFonts w:ascii="仿宋" w:hAnsi="仿宋"/>
          <w:sz w:val="24"/>
          <w:szCs w:val="24"/>
          <w:highlight w:val="none"/>
        </w:rPr>
      </w:pPr>
      <w:r>
        <w:rPr>
          <w:rFonts w:hint="eastAsia" w:ascii="仿宋" w:hAnsi="仿宋"/>
          <w:sz w:val="24"/>
          <w:szCs w:val="24"/>
          <w:highlight w:val="none"/>
        </w:rPr>
        <w:t>　　1.7.3采购人在踏勘现场中介绍的工程场地和相关的周边环境情况，仅作为供应商编制响应文件的参考，采购人不对供应商据此作出的判断和决策负责。</w:t>
      </w:r>
    </w:p>
    <w:p w14:paraId="72AB2F81">
      <w:pPr>
        <w:spacing w:line="360" w:lineRule="auto"/>
        <w:rPr>
          <w:rFonts w:ascii="仿宋" w:hAnsi="仿宋"/>
          <w:sz w:val="24"/>
          <w:szCs w:val="24"/>
          <w:highlight w:val="none"/>
        </w:rPr>
      </w:pPr>
      <w:r>
        <w:rPr>
          <w:rFonts w:hint="eastAsia" w:ascii="仿宋" w:hAnsi="仿宋"/>
          <w:sz w:val="24"/>
          <w:szCs w:val="24"/>
          <w:highlight w:val="none"/>
        </w:rPr>
        <w:t>　　1.8谈判采购预备会</w:t>
      </w:r>
    </w:p>
    <w:p w14:paraId="358AFAA0">
      <w:pPr>
        <w:spacing w:line="360" w:lineRule="auto"/>
        <w:rPr>
          <w:rFonts w:ascii="仿宋" w:hAnsi="仿宋"/>
          <w:sz w:val="24"/>
          <w:szCs w:val="24"/>
          <w:highlight w:val="none"/>
        </w:rPr>
      </w:pPr>
      <w:r>
        <w:rPr>
          <w:rFonts w:hint="eastAsia" w:ascii="仿宋" w:hAnsi="仿宋"/>
          <w:sz w:val="24"/>
          <w:szCs w:val="24"/>
          <w:highlight w:val="none"/>
        </w:rPr>
        <w:t>　　供应商须知前附表规定召开谈判采购预备会的，采购人按供应商须知前附表规定的时间和地点召开谈判采购预备会。</w:t>
      </w:r>
    </w:p>
    <w:p w14:paraId="5DE40161">
      <w:pPr>
        <w:spacing w:line="360" w:lineRule="auto"/>
        <w:rPr>
          <w:rFonts w:ascii="仿宋" w:hAnsi="仿宋"/>
          <w:sz w:val="24"/>
          <w:szCs w:val="24"/>
          <w:highlight w:val="none"/>
        </w:rPr>
      </w:pPr>
      <w:r>
        <w:rPr>
          <w:rFonts w:hint="eastAsia" w:ascii="仿宋" w:hAnsi="仿宋"/>
          <w:sz w:val="24"/>
          <w:szCs w:val="24"/>
          <w:highlight w:val="none"/>
        </w:rPr>
        <w:t>　　1.9分包</w:t>
      </w:r>
    </w:p>
    <w:p w14:paraId="0582E455">
      <w:pPr>
        <w:spacing w:line="360" w:lineRule="auto"/>
        <w:rPr>
          <w:rFonts w:ascii="仿宋" w:hAnsi="仿宋"/>
          <w:sz w:val="24"/>
          <w:szCs w:val="24"/>
          <w:highlight w:val="none"/>
        </w:rPr>
      </w:pPr>
      <w:r>
        <w:rPr>
          <w:rFonts w:hint="eastAsia" w:ascii="仿宋" w:hAnsi="仿宋"/>
          <w:sz w:val="24"/>
          <w:szCs w:val="24"/>
          <w:highlight w:val="none"/>
        </w:rPr>
        <w:t>　　供应商拟在成交后将成交项目的部分工作进行分包的，应符合供应商须知前附表的规定，并在响应文件中作出说明。</w:t>
      </w:r>
    </w:p>
    <w:p w14:paraId="1A31F675">
      <w:pPr>
        <w:spacing w:line="360" w:lineRule="auto"/>
        <w:rPr>
          <w:rFonts w:ascii="仿宋" w:hAnsi="仿宋"/>
          <w:sz w:val="24"/>
          <w:szCs w:val="24"/>
          <w:highlight w:val="none"/>
        </w:rPr>
      </w:pPr>
      <w:r>
        <w:rPr>
          <w:rFonts w:hint="eastAsia" w:ascii="仿宋" w:hAnsi="仿宋"/>
          <w:sz w:val="24"/>
          <w:szCs w:val="24"/>
          <w:highlight w:val="none"/>
        </w:rPr>
        <w:t>　　分包供应商不得将分包项目再次分包。成交供应商应当就分包项目向采购人负责，分包供应商就分包项目承担连带责任。</w:t>
      </w:r>
    </w:p>
    <w:p w14:paraId="613BD6C0">
      <w:pPr>
        <w:spacing w:line="360" w:lineRule="auto"/>
        <w:rPr>
          <w:rFonts w:ascii="仿宋" w:hAnsi="仿宋"/>
          <w:sz w:val="24"/>
          <w:szCs w:val="24"/>
          <w:highlight w:val="none"/>
        </w:rPr>
      </w:pPr>
      <w:r>
        <w:rPr>
          <w:rFonts w:hint="eastAsia" w:ascii="仿宋" w:hAnsi="仿宋"/>
          <w:sz w:val="24"/>
          <w:szCs w:val="24"/>
          <w:highlight w:val="none"/>
        </w:rPr>
        <w:t>　　1.10响应和偏差</w:t>
      </w:r>
    </w:p>
    <w:p w14:paraId="0C548D69">
      <w:pPr>
        <w:spacing w:line="360" w:lineRule="auto"/>
        <w:rPr>
          <w:rFonts w:ascii="仿宋" w:hAnsi="仿宋"/>
          <w:sz w:val="24"/>
          <w:szCs w:val="24"/>
          <w:highlight w:val="none"/>
        </w:rPr>
      </w:pPr>
      <w:r>
        <w:rPr>
          <w:rFonts w:hint="eastAsia" w:ascii="仿宋" w:hAnsi="仿宋"/>
          <w:sz w:val="24"/>
          <w:szCs w:val="24"/>
          <w:highlight w:val="none"/>
        </w:rPr>
        <w:t>　　</w:t>
      </w:r>
      <w:r>
        <w:rPr>
          <w:rFonts w:hint="eastAsia" w:ascii="仿宋" w:hAnsi="仿宋"/>
          <w:b/>
          <w:bCs/>
          <w:sz w:val="24"/>
          <w:szCs w:val="24"/>
          <w:highlight w:val="none"/>
        </w:rPr>
        <w:t>1.10.1采购需求和合同草案中的关键条款均以“*”符号标记。</w:t>
      </w:r>
      <w:r>
        <w:rPr>
          <w:rFonts w:hint="eastAsia" w:ascii="仿宋" w:hAnsi="仿宋"/>
          <w:sz w:val="24"/>
          <w:szCs w:val="24"/>
          <w:highlight w:val="none"/>
        </w:rPr>
        <w:t>响应文件应当对采购需求和合同草案中的关键条款作出满足性或更有利于采购人的响应，否则，供应商的响应文件将被视为无效。</w:t>
      </w:r>
    </w:p>
    <w:p w14:paraId="6010DCEA">
      <w:pPr>
        <w:spacing w:line="360" w:lineRule="auto"/>
        <w:rPr>
          <w:rFonts w:ascii="仿宋" w:hAnsi="仿宋"/>
          <w:sz w:val="24"/>
          <w:szCs w:val="24"/>
          <w:highlight w:val="none"/>
        </w:rPr>
      </w:pPr>
      <w:r>
        <w:rPr>
          <w:rFonts w:hint="eastAsia" w:ascii="仿宋" w:hAnsi="仿宋"/>
          <w:sz w:val="24"/>
          <w:szCs w:val="24"/>
          <w:highlight w:val="none"/>
        </w:rPr>
        <w:t>　　1.10.2供应商须知前附表规定了对非关键条款允许偏差的范围和可以偏差的项数的，如响应文件存在的偏差超出上述范围或项数，将被视为无效。</w:t>
      </w:r>
    </w:p>
    <w:p w14:paraId="701A340D">
      <w:pPr>
        <w:pStyle w:val="15"/>
        <w:spacing w:before="0" w:after="0"/>
        <w:rPr>
          <w:rFonts w:ascii="仿宋" w:hAnsi="仿宋" w:eastAsia="仿宋"/>
          <w:b/>
          <w:bCs/>
          <w:highlight w:val="none"/>
        </w:rPr>
      </w:pPr>
      <w:r>
        <w:rPr>
          <w:rFonts w:hint="eastAsia" w:ascii="仿宋" w:hAnsi="仿宋" w:eastAsia="仿宋"/>
          <w:b/>
          <w:bCs/>
          <w:highlight w:val="none"/>
        </w:rPr>
        <w:t>　　2采购文件</w:t>
      </w:r>
    </w:p>
    <w:p w14:paraId="5A9434FC">
      <w:pPr>
        <w:spacing w:line="360" w:lineRule="auto"/>
        <w:rPr>
          <w:rFonts w:ascii="仿宋" w:hAnsi="仿宋"/>
          <w:sz w:val="24"/>
          <w:szCs w:val="24"/>
          <w:highlight w:val="none"/>
        </w:rPr>
      </w:pPr>
      <w:r>
        <w:rPr>
          <w:rFonts w:hint="eastAsia" w:ascii="仿宋" w:hAnsi="仿宋"/>
          <w:sz w:val="24"/>
          <w:szCs w:val="24"/>
          <w:highlight w:val="none"/>
        </w:rPr>
        <w:t>　　2.1采购文件的组成</w:t>
      </w:r>
    </w:p>
    <w:p w14:paraId="1E6361D2">
      <w:pPr>
        <w:spacing w:line="360" w:lineRule="auto"/>
        <w:rPr>
          <w:rFonts w:ascii="仿宋" w:hAnsi="仿宋"/>
          <w:sz w:val="24"/>
          <w:szCs w:val="24"/>
          <w:highlight w:val="none"/>
        </w:rPr>
      </w:pPr>
      <w:r>
        <w:rPr>
          <w:rFonts w:hint="eastAsia" w:ascii="仿宋" w:hAnsi="仿宋"/>
          <w:sz w:val="24"/>
          <w:szCs w:val="24"/>
          <w:highlight w:val="none"/>
        </w:rPr>
        <w:t>　　本采购文件包括：</w:t>
      </w:r>
    </w:p>
    <w:p w14:paraId="0ACC6D09">
      <w:pPr>
        <w:spacing w:line="360" w:lineRule="auto"/>
        <w:rPr>
          <w:rFonts w:ascii="仿宋" w:hAnsi="仿宋"/>
          <w:sz w:val="24"/>
          <w:szCs w:val="24"/>
          <w:highlight w:val="none"/>
        </w:rPr>
      </w:pPr>
      <w:r>
        <w:rPr>
          <w:rFonts w:hint="eastAsia" w:ascii="仿宋" w:hAnsi="仿宋"/>
          <w:sz w:val="24"/>
          <w:szCs w:val="24"/>
          <w:highlight w:val="none"/>
        </w:rPr>
        <w:t>　　（1）谈判采购公告（或谈判采购邀请书）；</w:t>
      </w:r>
    </w:p>
    <w:p w14:paraId="1C56B346">
      <w:pPr>
        <w:spacing w:line="360" w:lineRule="auto"/>
        <w:rPr>
          <w:rFonts w:ascii="仿宋" w:hAnsi="仿宋"/>
          <w:sz w:val="24"/>
          <w:szCs w:val="24"/>
          <w:highlight w:val="none"/>
        </w:rPr>
      </w:pPr>
      <w:r>
        <w:rPr>
          <w:rFonts w:hint="eastAsia" w:ascii="仿宋" w:hAnsi="仿宋"/>
          <w:sz w:val="24"/>
          <w:szCs w:val="24"/>
          <w:highlight w:val="none"/>
        </w:rPr>
        <w:t>　　（2）供应商须知；</w:t>
      </w:r>
    </w:p>
    <w:p w14:paraId="16FA944F">
      <w:pPr>
        <w:spacing w:line="360" w:lineRule="auto"/>
        <w:rPr>
          <w:rFonts w:ascii="仿宋" w:hAnsi="仿宋"/>
          <w:sz w:val="24"/>
          <w:szCs w:val="24"/>
          <w:highlight w:val="none"/>
        </w:rPr>
      </w:pPr>
      <w:r>
        <w:rPr>
          <w:rFonts w:hint="eastAsia" w:ascii="仿宋" w:hAnsi="仿宋"/>
          <w:sz w:val="24"/>
          <w:szCs w:val="24"/>
          <w:highlight w:val="none"/>
        </w:rPr>
        <w:t>　　（3）评审办法；</w:t>
      </w:r>
    </w:p>
    <w:p w14:paraId="17EB4FEB">
      <w:pPr>
        <w:spacing w:line="360" w:lineRule="auto"/>
        <w:rPr>
          <w:rFonts w:ascii="仿宋" w:hAnsi="仿宋"/>
          <w:sz w:val="24"/>
          <w:szCs w:val="24"/>
          <w:highlight w:val="none"/>
        </w:rPr>
      </w:pPr>
      <w:r>
        <w:rPr>
          <w:rFonts w:hint="eastAsia" w:ascii="仿宋" w:hAnsi="仿宋"/>
          <w:sz w:val="24"/>
          <w:szCs w:val="24"/>
          <w:highlight w:val="none"/>
        </w:rPr>
        <w:t>　　（4）合同草案；</w:t>
      </w:r>
    </w:p>
    <w:p w14:paraId="3394F2B8">
      <w:pPr>
        <w:spacing w:line="360" w:lineRule="auto"/>
        <w:rPr>
          <w:rFonts w:ascii="仿宋" w:hAnsi="仿宋"/>
          <w:sz w:val="24"/>
          <w:szCs w:val="24"/>
          <w:highlight w:val="none"/>
        </w:rPr>
      </w:pPr>
      <w:r>
        <w:rPr>
          <w:rFonts w:hint="eastAsia" w:ascii="仿宋" w:hAnsi="仿宋"/>
          <w:sz w:val="24"/>
          <w:szCs w:val="24"/>
          <w:highlight w:val="none"/>
        </w:rPr>
        <w:t>　　（5）采购需求；</w:t>
      </w:r>
    </w:p>
    <w:p w14:paraId="515D7E3E">
      <w:pPr>
        <w:spacing w:line="360" w:lineRule="auto"/>
        <w:rPr>
          <w:rFonts w:ascii="仿宋" w:hAnsi="仿宋"/>
          <w:sz w:val="24"/>
          <w:szCs w:val="24"/>
          <w:highlight w:val="none"/>
        </w:rPr>
      </w:pPr>
      <w:r>
        <w:rPr>
          <w:rFonts w:hint="eastAsia" w:ascii="仿宋" w:hAnsi="仿宋"/>
          <w:sz w:val="24"/>
          <w:szCs w:val="24"/>
          <w:highlight w:val="none"/>
        </w:rPr>
        <w:t>　　（6）响应文件格式；</w:t>
      </w:r>
    </w:p>
    <w:p w14:paraId="43E910D6">
      <w:pPr>
        <w:spacing w:line="360" w:lineRule="auto"/>
        <w:rPr>
          <w:rFonts w:ascii="仿宋" w:hAnsi="仿宋"/>
          <w:sz w:val="24"/>
          <w:szCs w:val="24"/>
          <w:highlight w:val="none"/>
        </w:rPr>
      </w:pPr>
      <w:r>
        <w:rPr>
          <w:rFonts w:hint="eastAsia" w:ascii="仿宋" w:hAnsi="仿宋"/>
          <w:sz w:val="24"/>
          <w:szCs w:val="24"/>
          <w:highlight w:val="none"/>
        </w:rPr>
        <w:t>　　（7）供应商须知前附表规定的其他资料。</w:t>
      </w:r>
    </w:p>
    <w:p w14:paraId="7AA9401D">
      <w:pPr>
        <w:spacing w:line="360" w:lineRule="auto"/>
        <w:rPr>
          <w:rFonts w:ascii="仿宋" w:hAnsi="仿宋"/>
          <w:sz w:val="24"/>
          <w:szCs w:val="24"/>
          <w:highlight w:val="none"/>
        </w:rPr>
      </w:pPr>
      <w:r>
        <w:rPr>
          <w:rFonts w:hint="eastAsia" w:ascii="仿宋" w:hAnsi="仿宋"/>
          <w:sz w:val="24"/>
          <w:szCs w:val="24"/>
          <w:highlight w:val="none"/>
        </w:rPr>
        <w:t>　　采购人依照本章规定，对采购文件所作的澄清、修改，构成采购文件的组成部分。</w:t>
      </w:r>
    </w:p>
    <w:p w14:paraId="5CC97215">
      <w:pPr>
        <w:spacing w:line="360" w:lineRule="auto"/>
        <w:rPr>
          <w:rFonts w:ascii="仿宋" w:hAnsi="仿宋"/>
          <w:sz w:val="24"/>
          <w:szCs w:val="24"/>
          <w:highlight w:val="none"/>
        </w:rPr>
      </w:pPr>
      <w:r>
        <w:rPr>
          <w:rFonts w:hint="eastAsia" w:ascii="仿宋" w:hAnsi="仿宋"/>
          <w:sz w:val="24"/>
          <w:szCs w:val="24"/>
          <w:highlight w:val="none"/>
        </w:rPr>
        <w:t>　　2.2采购文件的澄清和修改</w:t>
      </w:r>
    </w:p>
    <w:p w14:paraId="4C0C4758">
      <w:pPr>
        <w:spacing w:line="360" w:lineRule="auto"/>
        <w:rPr>
          <w:rFonts w:ascii="仿宋" w:hAnsi="仿宋"/>
          <w:sz w:val="24"/>
          <w:szCs w:val="24"/>
          <w:highlight w:val="none"/>
        </w:rPr>
      </w:pPr>
      <w:r>
        <w:rPr>
          <w:rFonts w:hint="eastAsia" w:ascii="仿宋" w:hAnsi="仿宋"/>
          <w:sz w:val="24"/>
          <w:szCs w:val="24"/>
          <w:highlight w:val="none"/>
        </w:rPr>
        <w:t>　　2.2.1供应商应仔细阅读和检查采购文件的全部内容。如发现缺页或内容不全，应及时向采购人提出，以便补齐。如有疑问，应在供应商须知前附表规定的时间前，以书面形式要求采购人对采购文件予以澄清。</w:t>
      </w:r>
    </w:p>
    <w:p w14:paraId="61373D7B">
      <w:pPr>
        <w:spacing w:line="360" w:lineRule="auto"/>
        <w:rPr>
          <w:rFonts w:ascii="仿宋" w:hAnsi="仿宋"/>
          <w:sz w:val="24"/>
          <w:szCs w:val="24"/>
          <w:highlight w:val="none"/>
        </w:rPr>
      </w:pPr>
      <w:r>
        <w:rPr>
          <w:rFonts w:hint="eastAsia" w:ascii="仿宋" w:hAnsi="仿宋"/>
          <w:sz w:val="24"/>
          <w:szCs w:val="24"/>
          <w:highlight w:val="none"/>
        </w:rPr>
        <w:t>　　2.2.2采购人可根据供应商的要求或主动对采购文件进行澄清或修改。澄清或修改的内容以补充文件的形式发给所有获取采购文件的供应商。采购人可视具体情况在补充文件中通知供应商推迟递交响应文件的截止时间。</w:t>
      </w:r>
    </w:p>
    <w:p w14:paraId="152C68F5">
      <w:pPr>
        <w:spacing w:line="360" w:lineRule="auto"/>
        <w:rPr>
          <w:rFonts w:ascii="仿宋" w:hAnsi="仿宋"/>
          <w:sz w:val="24"/>
          <w:szCs w:val="24"/>
          <w:highlight w:val="none"/>
        </w:rPr>
      </w:pPr>
      <w:r>
        <w:rPr>
          <w:rFonts w:hint="eastAsia" w:ascii="仿宋" w:hAnsi="仿宋"/>
          <w:sz w:val="24"/>
          <w:szCs w:val="24"/>
          <w:highlight w:val="none"/>
        </w:rPr>
        <w:t>　　2.2.3供应商在收到补充文件后，应按供应商须知前附表规定的时间和方式通知采购人，确认已收到该补充文件。</w:t>
      </w:r>
    </w:p>
    <w:p w14:paraId="00035BDF">
      <w:pPr>
        <w:spacing w:line="360" w:lineRule="auto"/>
        <w:rPr>
          <w:rFonts w:ascii="仿宋" w:hAnsi="仿宋"/>
          <w:sz w:val="24"/>
          <w:szCs w:val="24"/>
          <w:highlight w:val="none"/>
        </w:rPr>
      </w:pPr>
      <w:r>
        <w:rPr>
          <w:rFonts w:hint="eastAsia" w:ascii="仿宋" w:hAnsi="仿宋"/>
          <w:sz w:val="24"/>
          <w:szCs w:val="24"/>
          <w:highlight w:val="none"/>
        </w:rPr>
        <w:t>　　2.2.4除非确有必要，采购人有权拒绝回复供应商在本章第2.2.1项规定的时间后提出的任何澄清要求。</w:t>
      </w:r>
    </w:p>
    <w:p w14:paraId="4064E252">
      <w:pPr>
        <w:pStyle w:val="15"/>
        <w:spacing w:before="0" w:after="0"/>
        <w:rPr>
          <w:rFonts w:ascii="仿宋" w:hAnsi="仿宋" w:eastAsia="仿宋"/>
          <w:b/>
          <w:bCs/>
          <w:highlight w:val="none"/>
        </w:rPr>
      </w:pPr>
      <w:r>
        <w:rPr>
          <w:rFonts w:hint="eastAsia" w:ascii="仿宋" w:hAnsi="仿宋" w:eastAsia="仿宋"/>
          <w:b/>
          <w:bCs/>
          <w:highlight w:val="none"/>
        </w:rPr>
        <w:t>　　3响应文件</w:t>
      </w:r>
    </w:p>
    <w:p w14:paraId="6AD82CAE">
      <w:pPr>
        <w:spacing w:line="360" w:lineRule="auto"/>
        <w:rPr>
          <w:rFonts w:ascii="仿宋" w:hAnsi="仿宋"/>
          <w:sz w:val="24"/>
          <w:szCs w:val="24"/>
          <w:highlight w:val="none"/>
        </w:rPr>
      </w:pPr>
      <w:r>
        <w:rPr>
          <w:rFonts w:hint="eastAsia" w:ascii="仿宋" w:hAnsi="仿宋"/>
          <w:sz w:val="24"/>
          <w:szCs w:val="24"/>
          <w:highlight w:val="none"/>
        </w:rPr>
        <w:t>　　3.1响应文件的组成</w:t>
      </w:r>
    </w:p>
    <w:p w14:paraId="32583673">
      <w:pPr>
        <w:spacing w:line="360" w:lineRule="auto"/>
        <w:rPr>
          <w:rFonts w:ascii="仿宋" w:hAnsi="仿宋"/>
          <w:sz w:val="24"/>
          <w:szCs w:val="24"/>
          <w:highlight w:val="none"/>
        </w:rPr>
      </w:pPr>
      <w:r>
        <w:rPr>
          <w:rFonts w:hint="eastAsia" w:ascii="仿宋" w:hAnsi="仿宋"/>
          <w:sz w:val="24"/>
          <w:szCs w:val="24"/>
          <w:highlight w:val="none"/>
        </w:rPr>
        <w:t>　　3.1.1响应文件应包括下列内容：</w:t>
      </w:r>
    </w:p>
    <w:p w14:paraId="4C2FD1ED">
      <w:pPr>
        <w:spacing w:line="360" w:lineRule="auto"/>
        <w:rPr>
          <w:rFonts w:ascii="仿宋" w:hAnsi="仿宋"/>
          <w:sz w:val="24"/>
          <w:szCs w:val="24"/>
          <w:highlight w:val="none"/>
        </w:rPr>
      </w:pPr>
      <w:r>
        <w:rPr>
          <w:rFonts w:hint="eastAsia" w:ascii="仿宋" w:hAnsi="仿宋"/>
          <w:sz w:val="24"/>
          <w:szCs w:val="24"/>
          <w:highlight w:val="none"/>
        </w:rPr>
        <w:t>　　（1）响应函；</w:t>
      </w:r>
    </w:p>
    <w:p w14:paraId="1D9A71CB">
      <w:pPr>
        <w:spacing w:line="360" w:lineRule="auto"/>
        <w:rPr>
          <w:rFonts w:ascii="仿宋" w:hAnsi="仿宋"/>
          <w:sz w:val="24"/>
          <w:szCs w:val="24"/>
          <w:highlight w:val="none"/>
        </w:rPr>
      </w:pPr>
      <w:r>
        <w:rPr>
          <w:rFonts w:hint="eastAsia" w:ascii="仿宋" w:hAnsi="仿宋"/>
          <w:sz w:val="24"/>
          <w:szCs w:val="24"/>
          <w:highlight w:val="none"/>
        </w:rPr>
        <w:t>　　（2）授权委托书（如有）；</w:t>
      </w:r>
    </w:p>
    <w:p w14:paraId="3A769796">
      <w:pPr>
        <w:spacing w:line="360" w:lineRule="auto"/>
        <w:rPr>
          <w:rFonts w:ascii="仿宋" w:hAnsi="仿宋"/>
          <w:sz w:val="24"/>
          <w:szCs w:val="24"/>
          <w:highlight w:val="none"/>
        </w:rPr>
      </w:pPr>
      <w:r>
        <w:rPr>
          <w:rFonts w:hint="eastAsia" w:ascii="仿宋" w:hAnsi="仿宋"/>
          <w:sz w:val="24"/>
          <w:szCs w:val="24"/>
          <w:highlight w:val="none"/>
        </w:rPr>
        <w:t>　　（3）联合体协议书（如有）；</w:t>
      </w:r>
    </w:p>
    <w:p w14:paraId="56ABF084">
      <w:pPr>
        <w:spacing w:line="360" w:lineRule="auto"/>
        <w:rPr>
          <w:rFonts w:ascii="仿宋" w:hAnsi="仿宋"/>
          <w:sz w:val="24"/>
          <w:szCs w:val="24"/>
          <w:highlight w:val="none"/>
        </w:rPr>
      </w:pPr>
      <w:r>
        <w:rPr>
          <w:rFonts w:hint="eastAsia" w:ascii="仿宋" w:hAnsi="仿宋"/>
          <w:sz w:val="24"/>
          <w:szCs w:val="24"/>
          <w:highlight w:val="none"/>
        </w:rPr>
        <w:t>　　（4）响应保证金（如有）；</w:t>
      </w:r>
    </w:p>
    <w:p w14:paraId="4805BF45">
      <w:pPr>
        <w:spacing w:line="360" w:lineRule="auto"/>
        <w:rPr>
          <w:rFonts w:ascii="仿宋" w:hAnsi="仿宋"/>
          <w:sz w:val="24"/>
          <w:szCs w:val="24"/>
          <w:highlight w:val="none"/>
        </w:rPr>
      </w:pPr>
      <w:r>
        <w:rPr>
          <w:rFonts w:hint="eastAsia" w:ascii="仿宋" w:hAnsi="仿宋"/>
          <w:sz w:val="24"/>
          <w:szCs w:val="24"/>
          <w:highlight w:val="none"/>
        </w:rPr>
        <w:t>　　（5）商务和技术偏差表；</w:t>
      </w:r>
    </w:p>
    <w:p w14:paraId="6687A30D">
      <w:pPr>
        <w:spacing w:line="360" w:lineRule="auto"/>
        <w:rPr>
          <w:rFonts w:ascii="仿宋" w:hAnsi="仿宋"/>
          <w:sz w:val="24"/>
          <w:szCs w:val="24"/>
          <w:highlight w:val="none"/>
        </w:rPr>
      </w:pPr>
      <w:r>
        <w:rPr>
          <w:rFonts w:hint="eastAsia" w:ascii="仿宋" w:hAnsi="仿宋"/>
          <w:sz w:val="24"/>
          <w:szCs w:val="24"/>
          <w:highlight w:val="none"/>
        </w:rPr>
        <w:t>　　（6）报价表；</w:t>
      </w:r>
    </w:p>
    <w:p w14:paraId="5E35BC4E">
      <w:pPr>
        <w:spacing w:line="360" w:lineRule="auto"/>
        <w:rPr>
          <w:rFonts w:ascii="仿宋" w:hAnsi="仿宋"/>
          <w:sz w:val="24"/>
          <w:szCs w:val="24"/>
          <w:highlight w:val="none"/>
        </w:rPr>
      </w:pPr>
      <w:r>
        <w:rPr>
          <w:rFonts w:hint="eastAsia" w:ascii="仿宋" w:hAnsi="仿宋"/>
          <w:sz w:val="24"/>
          <w:szCs w:val="24"/>
          <w:highlight w:val="none"/>
        </w:rPr>
        <w:t>　　（7）资格审查资料；</w:t>
      </w:r>
    </w:p>
    <w:p w14:paraId="065282C1">
      <w:pPr>
        <w:spacing w:line="360" w:lineRule="auto"/>
        <w:rPr>
          <w:rFonts w:ascii="仿宋" w:hAnsi="仿宋"/>
          <w:sz w:val="24"/>
          <w:szCs w:val="24"/>
          <w:highlight w:val="none"/>
        </w:rPr>
      </w:pPr>
      <w:r>
        <w:rPr>
          <w:rFonts w:hint="eastAsia" w:ascii="仿宋" w:hAnsi="仿宋"/>
          <w:sz w:val="24"/>
          <w:szCs w:val="24"/>
          <w:highlight w:val="none"/>
        </w:rPr>
        <w:t>　　（8）响应方案。</w:t>
      </w:r>
    </w:p>
    <w:p w14:paraId="06FF75AA">
      <w:pPr>
        <w:spacing w:line="360" w:lineRule="auto"/>
        <w:rPr>
          <w:rFonts w:ascii="仿宋" w:hAnsi="仿宋"/>
          <w:sz w:val="24"/>
          <w:szCs w:val="24"/>
          <w:highlight w:val="none"/>
        </w:rPr>
      </w:pPr>
      <w:r>
        <w:rPr>
          <w:rFonts w:hint="eastAsia" w:ascii="仿宋" w:hAnsi="仿宋"/>
          <w:sz w:val="24"/>
          <w:szCs w:val="24"/>
          <w:highlight w:val="none"/>
        </w:rPr>
        <w:t>　　供应商在谈判和评审过程中作出的符合采购文件要求的澄清、说明和补正，构成响应文件的组成部分。</w:t>
      </w:r>
    </w:p>
    <w:p w14:paraId="072D7EBA">
      <w:pPr>
        <w:spacing w:line="360" w:lineRule="auto"/>
        <w:rPr>
          <w:rFonts w:ascii="仿宋" w:hAnsi="仿宋"/>
          <w:sz w:val="24"/>
          <w:szCs w:val="24"/>
          <w:highlight w:val="none"/>
        </w:rPr>
      </w:pPr>
      <w:r>
        <w:rPr>
          <w:rFonts w:hint="eastAsia" w:ascii="仿宋" w:hAnsi="仿宋"/>
          <w:sz w:val="24"/>
          <w:szCs w:val="24"/>
          <w:highlight w:val="none"/>
        </w:rPr>
        <w:t>　　3.1.2供应商的法定代表人（单位负责人）亲自签署响应文件、亲自参加谈判的，响应文件不包括第3.1.1（2）目所指的授权委托书。第一章“谈判采购公告/谈判采购邀请书”规定不接受联合体的，或供应商没有组成联合体的，响应文件不包括第3.1.1（3）目所指的联合体协议书。供应商须知前附表未要求供应商递交响应保证金的，响应文件不包括第3.1.1（4）目所指的响应保证金。</w:t>
      </w:r>
    </w:p>
    <w:p w14:paraId="34D2AD76">
      <w:pPr>
        <w:spacing w:line="360" w:lineRule="auto"/>
        <w:rPr>
          <w:rFonts w:ascii="仿宋" w:hAnsi="仿宋"/>
          <w:sz w:val="24"/>
          <w:szCs w:val="24"/>
          <w:highlight w:val="none"/>
        </w:rPr>
      </w:pPr>
      <w:r>
        <w:rPr>
          <w:rFonts w:hint="eastAsia" w:ascii="仿宋" w:hAnsi="仿宋"/>
          <w:sz w:val="24"/>
          <w:szCs w:val="24"/>
          <w:highlight w:val="none"/>
        </w:rPr>
        <w:t>　　3.2报价</w:t>
      </w:r>
    </w:p>
    <w:p w14:paraId="01B6F30F">
      <w:pPr>
        <w:spacing w:line="360" w:lineRule="auto"/>
        <w:rPr>
          <w:rFonts w:ascii="仿宋" w:hAnsi="仿宋"/>
          <w:sz w:val="24"/>
          <w:szCs w:val="24"/>
          <w:highlight w:val="none"/>
        </w:rPr>
      </w:pPr>
      <w:r>
        <w:rPr>
          <w:rFonts w:hint="eastAsia" w:ascii="仿宋" w:hAnsi="仿宋"/>
          <w:sz w:val="24"/>
          <w:szCs w:val="24"/>
          <w:highlight w:val="none"/>
        </w:rPr>
        <w:t>　　3.2.1供应商应按采购文件提供的格式（见第六章“响应文件格式”）在响应函和报价表中进行报价。响应函中报价应为包含国家规定的增值税在内的含税价格，同时应列明不含税价格和增值税税额。采购人将根据项目情况，在第三章“评审办法”第3.1.1项中选择按照含税价格或不含税价格对供应商进行价格评审。</w:t>
      </w:r>
    </w:p>
    <w:p w14:paraId="044AABDF">
      <w:pPr>
        <w:spacing w:line="360" w:lineRule="auto"/>
        <w:rPr>
          <w:rFonts w:ascii="仿宋" w:hAnsi="仿宋"/>
          <w:sz w:val="24"/>
          <w:szCs w:val="24"/>
          <w:highlight w:val="none"/>
        </w:rPr>
      </w:pPr>
      <w:r>
        <w:rPr>
          <w:rFonts w:hint="eastAsia" w:ascii="仿宋" w:hAnsi="仿宋"/>
          <w:sz w:val="24"/>
          <w:szCs w:val="24"/>
          <w:highlight w:val="none"/>
        </w:rPr>
        <w:t>　　3.2.2供应商应充分了解采购项目的总体情况以及影响报价的其他要素。对于货物和服务采购项目，采购人在签署采购合同时及合同履行过程中，有权在供应商须知前附表规定的幅度内对采购标的的数量进行增加或减少。</w:t>
      </w:r>
    </w:p>
    <w:p w14:paraId="088000CC">
      <w:pPr>
        <w:spacing w:line="360" w:lineRule="auto"/>
        <w:rPr>
          <w:rFonts w:ascii="仿宋" w:hAnsi="仿宋"/>
          <w:sz w:val="24"/>
          <w:szCs w:val="24"/>
          <w:highlight w:val="none"/>
        </w:rPr>
      </w:pPr>
      <w:r>
        <w:rPr>
          <w:rFonts w:hint="eastAsia" w:ascii="仿宋" w:hAnsi="仿宋"/>
          <w:sz w:val="24"/>
          <w:szCs w:val="24"/>
          <w:highlight w:val="none"/>
        </w:rPr>
        <w:t>　　3.2.3采购人设有最高限价的，供应商的报价不得超过最高限价。最高限价或最高限价计算方法在供应商须知前附表中载明。</w:t>
      </w:r>
    </w:p>
    <w:p w14:paraId="4E067E25">
      <w:pPr>
        <w:spacing w:line="360" w:lineRule="auto"/>
        <w:rPr>
          <w:rFonts w:ascii="仿宋" w:hAnsi="仿宋"/>
          <w:sz w:val="24"/>
          <w:szCs w:val="24"/>
          <w:highlight w:val="none"/>
        </w:rPr>
      </w:pPr>
      <w:r>
        <w:rPr>
          <w:rFonts w:hint="eastAsia" w:ascii="仿宋" w:hAnsi="仿宋"/>
          <w:sz w:val="24"/>
          <w:szCs w:val="24"/>
          <w:highlight w:val="none"/>
        </w:rPr>
        <w:t>　　3.2.4报价的其他要求见供应商须知前附表。</w:t>
      </w:r>
    </w:p>
    <w:p w14:paraId="68B44C6E">
      <w:pPr>
        <w:spacing w:line="360" w:lineRule="auto"/>
        <w:rPr>
          <w:rFonts w:ascii="仿宋" w:hAnsi="仿宋"/>
          <w:sz w:val="24"/>
          <w:szCs w:val="24"/>
          <w:highlight w:val="none"/>
        </w:rPr>
      </w:pPr>
      <w:r>
        <w:rPr>
          <w:rFonts w:hint="eastAsia" w:ascii="仿宋" w:hAnsi="仿宋"/>
          <w:sz w:val="24"/>
          <w:szCs w:val="24"/>
          <w:highlight w:val="none"/>
        </w:rPr>
        <w:t>　　3.3响应文件有效期</w:t>
      </w:r>
    </w:p>
    <w:p w14:paraId="7934E539">
      <w:pPr>
        <w:spacing w:line="360" w:lineRule="auto"/>
        <w:rPr>
          <w:rFonts w:ascii="仿宋" w:hAnsi="仿宋"/>
          <w:sz w:val="24"/>
          <w:szCs w:val="24"/>
          <w:highlight w:val="none"/>
        </w:rPr>
      </w:pPr>
      <w:r>
        <w:rPr>
          <w:rFonts w:hint="eastAsia" w:ascii="仿宋" w:hAnsi="仿宋"/>
          <w:sz w:val="24"/>
          <w:szCs w:val="24"/>
          <w:highlight w:val="none"/>
        </w:rPr>
        <w:t>　　3.3.1除供应商须知前附表另有规定外，响应文件有效期应为90日，从采购文件规定的递交响应文件的截止时间开始计算。</w:t>
      </w:r>
    </w:p>
    <w:p w14:paraId="7F57ED7A">
      <w:pPr>
        <w:spacing w:line="360" w:lineRule="auto"/>
        <w:rPr>
          <w:rFonts w:ascii="仿宋" w:hAnsi="仿宋"/>
          <w:sz w:val="24"/>
          <w:szCs w:val="24"/>
          <w:highlight w:val="none"/>
        </w:rPr>
      </w:pPr>
      <w:r>
        <w:rPr>
          <w:rFonts w:hint="eastAsia" w:ascii="仿宋" w:hAnsi="仿宋"/>
          <w:sz w:val="24"/>
          <w:szCs w:val="24"/>
          <w:highlight w:val="none"/>
        </w:rPr>
        <w:t>　　3.3.2出现特殊情况需要延长响应文件有效期的，采购人以书面形式通知所有供应商延长响应文件有效期，供应商应予以书面答复。同意延长的，应相应延长其响应保证金的有效期，但不得修改其响应文件；供应商拒绝延长的，其响应文件在原有效期届满后失效，但供应商有权收回其响应保证金。</w:t>
      </w:r>
    </w:p>
    <w:p w14:paraId="1511C15F">
      <w:pPr>
        <w:spacing w:line="360" w:lineRule="auto"/>
        <w:rPr>
          <w:rFonts w:ascii="仿宋" w:hAnsi="仿宋"/>
          <w:sz w:val="24"/>
          <w:szCs w:val="24"/>
          <w:highlight w:val="none"/>
        </w:rPr>
      </w:pPr>
      <w:r>
        <w:rPr>
          <w:rFonts w:hint="eastAsia" w:ascii="仿宋" w:hAnsi="仿宋"/>
          <w:sz w:val="24"/>
          <w:szCs w:val="24"/>
          <w:highlight w:val="none"/>
        </w:rPr>
        <w:t>　　3.4响应保证金</w:t>
      </w:r>
    </w:p>
    <w:p w14:paraId="28E78B04">
      <w:pPr>
        <w:spacing w:line="360" w:lineRule="auto"/>
        <w:rPr>
          <w:rFonts w:ascii="仿宋" w:hAnsi="仿宋"/>
          <w:sz w:val="24"/>
          <w:szCs w:val="24"/>
          <w:highlight w:val="none"/>
        </w:rPr>
      </w:pPr>
      <w:r>
        <w:rPr>
          <w:rFonts w:hint="eastAsia" w:ascii="仿宋" w:hAnsi="仿宋"/>
          <w:sz w:val="24"/>
          <w:szCs w:val="24"/>
          <w:highlight w:val="none"/>
        </w:rPr>
        <w:t>　　3.4.1供应商须知前附表规定要求递交响应保证金的，供应商在递交响应文件的同时，应按供应商须知前附表规定的金额、形式和采购文件提供的格式（见第六章“响应文件</w:t>
      </w:r>
    </w:p>
    <w:p w14:paraId="4C31A747">
      <w:pPr>
        <w:spacing w:line="360" w:lineRule="auto"/>
        <w:rPr>
          <w:rFonts w:ascii="仿宋" w:hAnsi="仿宋"/>
          <w:sz w:val="24"/>
          <w:szCs w:val="24"/>
          <w:highlight w:val="none"/>
        </w:rPr>
      </w:pPr>
      <w:r>
        <w:rPr>
          <w:rFonts w:hint="eastAsia" w:ascii="仿宋" w:hAnsi="仿宋"/>
          <w:sz w:val="24"/>
          <w:szCs w:val="24"/>
          <w:highlight w:val="none"/>
        </w:rPr>
        <w:t>　　格式”四、响应保证金）递交响应保证金，并作为其响应文件的组成部分。供应商不按要求递交响应保证金的，其响应文件将被视为无效。</w:t>
      </w:r>
    </w:p>
    <w:p w14:paraId="35B2E942">
      <w:pPr>
        <w:spacing w:line="360" w:lineRule="auto"/>
        <w:rPr>
          <w:rFonts w:ascii="仿宋" w:hAnsi="仿宋"/>
          <w:sz w:val="24"/>
          <w:szCs w:val="24"/>
          <w:highlight w:val="none"/>
        </w:rPr>
      </w:pPr>
      <w:r>
        <w:rPr>
          <w:rFonts w:hint="eastAsia" w:ascii="仿宋" w:hAnsi="仿宋"/>
          <w:sz w:val="24"/>
          <w:szCs w:val="24"/>
          <w:highlight w:val="none"/>
        </w:rPr>
        <w:t>　　3.4.2除供应商须知前附表另有规定外，采购人将在发出成交通知书后5日内向除候选成交供应商外的其他供应商原额退还响应保证金，并在采购合同签订后5日内向成交供应商和未成交的其他候选成交供应商原额退还响应保证金。采用银行保函、担保机构担保函、保险机构保险单形式递交的响应保证金，经供应商同意后采购人可以不再退还。</w:t>
      </w:r>
    </w:p>
    <w:p w14:paraId="6E8E27B7">
      <w:pPr>
        <w:spacing w:line="360" w:lineRule="auto"/>
        <w:rPr>
          <w:rFonts w:ascii="仿宋" w:hAnsi="仿宋"/>
          <w:sz w:val="24"/>
          <w:szCs w:val="24"/>
          <w:highlight w:val="none"/>
        </w:rPr>
      </w:pPr>
      <w:r>
        <w:rPr>
          <w:rFonts w:hint="eastAsia" w:ascii="仿宋" w:hAnsi="仿宋"/>
          <w:sz w:val="24"/>
          <w:szCs w:val="24"/>
          <w:highlight w:val="none"/>
        </w:rPr>
        <w:t>　　3.4.3有下列情形之一的，响应保证金将不予退还：</w:t>
      </w:r>
    </w:p>
    <w:p w14:paraId="6439B8C6">
      <w:pPr>
        <w:spacing w:line="360" w:lineRule="auto"/>
        <w:rPr>
          <w:rFonts w:ascii="仿宋" w:hAnsi="仿宋"/>
          <w:sz w:val="24"/>
          <w:szCs w:val="24"/>
          <w:highlight w:val="none"/>
        </w:rPr>
      </w:pPr>
      <w:r>
        <w:rPr>
          <w:rFonts w:hint="eastAsia" w:ascii="仿宋" w:hAnsi="仿宋"/>
          <w:sz w:val="24"/>
          <w:szCs w:val="24"/>
          <w:highlight w:val="none"/>
        </w:rPr>
        <w:t>　　（1）供应商在响应文件有效期内撤销响应文件；</w:t>
      </w:r>
    </w:p>
    <w:p w14:paraId="0465F4E9">
      <w:pPr>
        <w:spacing w:line="360" w:lineRule="auto"/>
        <w:rPr>
          <w:rFonts w:ascii="仿宋" w:hAnsi="仿宋"/>
          <w:sz w:val="24"/>
          <w:szCs w:val="24"/>
          <w:highlight w:val="none"/>
        </w:rPr>
      </w:pPr>
      <w:r>
        <w:rPr>
          <w:rFonts w:hint="eastAsia" w:ascii="仿宋" w:hAnsi="仿宋"/>
          <w:sz w:val="24"/>
          <w:szCs w:val="24"/>
          <w:highlight w:val="none"/>
        </w:rPr>
        <w:t>　　（2）成交供应商在收到成交通知书后，无正当理由不与采购人订立合同，在签订合同时向采购人提出附加条件，或者不按照采购文件要求递交履约保证金；</w:t>
      </w:r>
    </w:p>
    <w:p w14:paraId="2122A183">
      <w:pPr>
        <w:spacing w:line="360" w:lineRule="auto"/>
        <w:rPr>
          <w:rFonts w:ascii="仿宋" w:hAnsi="仿宋"/>
          <w:sz w:val="24"/>
          <w:szCs w:val="24"/>
          <w:highlight w:val="none"/>
        </w:rPr>
      </w:pPr>
      <w:r>
        <w:rPr>
          <w:rFonts w:hint="eastAsia" w:ascii="仿宋" w:hAnsi="仿宋"/>
          <w:sz w:val="24"/>
          <w:szCs w:val="24"/>
          <w:highlight w:val="none"/>
        </w:rPr>
        <w:t>　　（3）发生供应商须知前附表规定的其他不予退还响应保证金的情形。</w:t>
      </w:r>
    </w:p>
    <w:p w14:paraId="400E2EBB">
      <w:pPr>
        <w:spacing w:line="360" w:lineRule="auto"/>
        <w:rPr>
          <w:rFonts w:ascii="仿宋" w:hAnsi="仿宋"/>
          <w:sz w:val="24"/>
          <w:szCs w:val="24"/>
          <w:highlight w:val="none"/>
        </w:rPr>
      </w:pPr>
      <w:r>
        <w:rPr>
          <w:rFonts w:hint="eastAsia" w:ascii="仿宋" w:hAnsi="仿宋"/>
          <w:sz w:val="24"/>
          <w:szCs w:val="24"/>
          <w:highlight w:val="none"/>
        </w:rPr>
        <w:t>　　3.5资格审查资料</w:t>
      </w:r>
    </w:p>
    <w:p w14:paraId="497D1AB4">
      <w:pPr>
        <w:spacing w:line="360" w:lineRule="auto"/>
        <w:rPr>
          <w:rFonts w:ascii="仿宋" w:hAnsi="仿宋"/>
          <w:sz w:val="24"/>
          <w:szCs w:val="24"/>
          <w:highlight w:val="none"/>
        </w:rPr>
      </w:pPr>
      <w:r>
        <w:rPr>
          <w:rFonts w:hint="eastAsia" w:ascii="仿宋" w:hAnsi="仿宋"/>
          <w:sz w:val="24"/>
          <w:szCs w:val="24"/>
          <w:highlight w:val="none"/>
        </w:rPr>
        <w:t>　　供应商应提供供应商须知前附表3.5中规定的资格审查资料，以证明其满足第一章“谈判采购公告/谈判采购邀请书”对供应商的各项资格要求。</w:t>
      </w:r>
    </w:p>
    <w:p w14:paraId="03904D4F">
      <w:pPr>
        <w:spacing w:line="360" w:lineRule="auto"/>
        <w:rPr>
          <w:rFonts w:ascii="仿宋" w:hAnsi="仿宋"/>
          <w:sz w:val="24"/>
          <w:szCs w:val="24"/>
          <w:highlight w:val="none"/>
        </w:rPr>
      </w:pPr>
      <w:r>
        <w:rPr>
          <w:rFonts w:hint="eastAsia" w:ascii="仿宋" w:hAnsi="仿宋"/>
          <w:sz w:val="24"/>
          <w:szCs w:val="24"/>
          <w:highlight w:val="none"/>
        </w:rPr>
        <w:t>　　3.6响应方案</w:t>
      </w:r>
    </w:p>
    <w:p w14:paraId="43BAB461">
      <w:pPr>
        <w:spacing w:line="360" w:lineRule="auto"/>
        <w:rPr>
          <w:rFonts w:ascii="仿宋" w:hAnsi="仿宋"/>
          <w:sz w:val="24"/>
          <w:szCs w:val="24"/>
          <w:highlight w:val="none"/>
        </w:rPr>
      </w:pPr>
      <w:r>
        <w:rPr>
          <w:rFonts w:hint="eastAsia" w:ascii="仿宋" w:hAnsi="仿宋"/>
          <w:sz w:val="24"/>
          <w:szCs w:val="24"/>
          <w:highlight w:val="none"/>
        </w:rPr>
        <w:t>　　3.6.1响应文件应当对采购文件中的实质性内容作出响应。采购需求中明确为关键条款（标记“*”）的，供应商还应按照供应商须知前附表的规定提供有关证据或证明材料。</w:t>
      </w:r>
    </w:p>
    <w:p w14:paraId="19377485">
      <w:pPr>
        <w:spacing w:line="360" w:lineRule="auto"/>
        <w:rPr>
          <w:rFonts w:ascii="仿宋" w:hAnsi="仿宋"/>
          <w:sz w:val="24"/>
          <w:szCs w:val="24"/>
          <w:highlight w:val="none"/>
        </w:rPr>
      </w:pPr>
      <w:r>
        <w:rPr>
          <w:rFonts w:hint="eastAsia" w:ascii="仿宋" w:hAnsi="仿宋"/>
          <w:sz w:val="24"/>
          <w:szCs w:val="24"/>
          <w:highlight w:val="none"/>
        </w:rPr>
        <w:t>　　3.6.2除供应商须知前附表规定供应商只能提出唯一响应方案外，供应商可在首次递交的响应文件中提出多个响应方案。供应商在最终报价前应确定一个最终方案，并针对最终方案提出最终报价。</w:t>
      </w:r>
    </w:p>
    <w:p w14:paraId="51130134">
      <w:pPr>
        <w:spacing w:line="360" w:lineRule="auto"/>
        <w:rPr>
          <w:rFonts w:ascii="仿宋" w:hAnsi="仿宋"/>
          <w:sz w:val="24"/>
          <w:szCs w:val="24"/>
          <w:highlight w:val="none"/>
        </w:rPr>
      </w:pPr>
      <w:r>
        <w:rPr>
          <w:rFonts w:hint="eastAsia" w:ascii="仿宋" w:hAnsi="仿宋"/>
          <w:sz w:val="24"/>
          <w:szCs w:val="24"/>
          <w:highlight w:val="none"/>
        </w:rPr>
        <w:t>　　3.6.3响应文件对采购文件的全部偏差，均应在响应文件的商务和技术偏差表中列明。响应文件偏差表中未列明的内容，将视为响应采购文件的要求；但如发现响应文件的其他部分与商务和技术偏差表的描述不一致或供应商的响应缺乏支持性文件，则谈判小组有权要求供应商对相关问题进行澄清，并根据澄清结果对供应商的响应文件进行评审。</w:t>
      </w:r>
    </w:p>
    <w:p w14:paraId="3D1A5226">
      <w:pPr>
        <w:spacing w:line="360" w:lineRule="auto"/>
        <w:rPr>
          <w:rFonts w:ascii="仿宋" w:hAnsi="仿宋"/>
          <w:sz w:val="24"/>
          <w:szCs w:val="24"/>
          <w:highlight w:val="none"/>
        </w:rPr>
      </w:pPr>
      <w:r>
        <w:rPr>
          <w:rFonts w:hint="eastAsia" w:ascii="仿宋" w:hAnsi="仿宋"/>
          <w:sz w:val="24"/>
          <w:szCs w:val="24"/>
          <w:highlight w:val="none"/>
        </w:rPr>
        <w:t>　　3.7响应文件的编制</w:t>
      </w:r>
    </w:p>
    <w:p w14:paraId="0A04FB01">
      <w:pPr>
        <w:spacing w:line="360" w:lineRule="auto"/>
        <w:rPr>
          <w:rFonts w:ascii="仿宋" w:hAnsi="仿宋"/>
          <w:sz w:val="24"/>
          <w:szCs w:val="24"/>
          <w:highlight w:val="none"/>
        </w:rPr>
      </w:pPr>
      <w:r>
        <w:rPr>
          <w:rFonts w:hint="eastAsia" w:ascii="仿宋" w:hAnsi="仿宋"/>
          <w:sz w:val="24"/>
          <w:szCs w:val="24"/>
          <w:highlight w:val="none"/>
        </w:rPr>
        <w:t>　　3.7.1响应文件应按第六章“响应文件格式”进行编写，如有必要，可以增加附页，作为响应文件的组成部分。</w:t>
      </w:r>
    </w:p>
    <w:p w14:paraId="1B065F2A">
      <w:pPr>
        <w:spacing w:line="360" w:lineRule="auto"/>
        <w:rPr>
          <w:rFonts w:ascii="仿宋" w:hAnsi="仿宋"/>
          <w:sz w:val="24"/>
          <w:szCs w:val="24"/>
          <w:highlight w:val="none"/>
        </w:rPr>
      </w:pPr>
      <w:r>
        <w:rPr>
          <w:rFonts w:hint="eastAsia" w:ascii="仿宋" w:hAnsi="仿宋"/>
          <w:sz w:val="24"/>
          <w:szCs w:val="24"/>
          <w:highlight w:val="none"/>
        </w:rPr>
        <w:t>　　3.7.2响应文件应用不褪色的材料书写或打印。</w:t>
      </w:r>
    </w:p>
    <w:p w14:paraId="1D9F5941">
      <w:pPr>
        <w:spacing w:line="360" w:lineRule="auto"/>
        <w:rPr>
          <w:rFonts w:ascii="仿宋" w:hAnsi="仿宋"/>
          <w:sz w:val="24"/>
          <w:szCs w:val="24"/>
          <w:highlight w:val="none"/>
        </w:rPr>
      </w:pPr>
      <w:r>
        <w:rPr>
          <w:rFonts w:hint="eastAsia" w:ascii="仿宋" w:hAnsi="仿宋"/>
          <w:sz w:val="24"/>
          <w:szCs w:val="24"/>
          <w:highlight w:val="none"/>
        </w:rPr>
        <w:t>　　响应函应由供应商的法定代表人（单位负责人）或其授权的代理人签字并加盖单位章。</w:t>
      </w:r>
    </w:p>
    <w:p w14:paraId="57886402">
      <w:pPr>
        <w:spacing w:line="360" w:lineRule="auto"/>
        <w:rPr>
          <w:rFonts w:ascii="仿宋" w:hAnsi="仿宋"/>
          <w:sz w:val="24"/>
          <w:szCs w:val="24"/>
          <w:highlight w:val="none"/>
        </w:rPr>
      </w:pPr>
      <w:r>
        <w:rPr>
          <w:rFonts w:hint="eastAsia" w:ascii="仿宋" w:hAnsi="仿宋"/>
          <w:sz w:val="24"/>
          <w:szCs w:val="24"/>
          <w:highlight w:val="none"/>
        </w:rPr>
        <w:t>　　联合体协议书（如有）应由联合体各方的法定代表人（单位负责人）或其授权的代理人签字并加盖单位章。响应函或联合体协议书（如有）由代理人签字的，应在响应文件中附授权委托书，授权委托书应由供应商或联合体各方的法定代表人（单位负责人）签字并加盖单位章。</w:t>
      </w:r>
    </w:p>
    <w:p w14:paraId="2E03291C">
      <w:pPr>
        <w:spacing w:line="360" w:lineRule="auto"/>
        <w:rPr>
          <w:rFonts w:ascii="仿宋" w:hAnsi="仿宋"/>
          <w:sz w:val="24"/>
          <w:szCs w:val="24"/>
          <w:highlight w:val="none"/>
        </w:rPr>
      </w:pPr>
      <w:r>
        <w:rPr>
          <w:rFonts w:hint="eastAsia" w:ascii="仿宋" w:hAnsi="仿宋"/>
          <w:sz w:val="24"/>
          <w:szCs w:val="24"/>
          <w:highlight w:val="none"/>
        </w:rPr>
        <w:t>　　3.7.3谈判中供应商对响应文件的澄清、说明和补正应由供应商的法定代表人（单位负责人）或其授权的代理人签字或加盖单位章。</w:t>
      </w:r>
    </w:p>
    <w:p w14:paraId="0FAA99DB">
      <w:pPr>
        <w:spacing w:line="360" w:lineRule="auto"/>
        <w:rPr>
          <w:rFonts w:ascii="仿宋" w:hAnsi="仿宋"/>
          <w:sz w:val="24"/>
          <w:szCs w:val="24"/>
          <w:highlight w:val="none"/>
        </w:rPr>
      </w:pPr>
      <w:r>
        <w:rPr>
          <w:rFonts w:hint="eastAsia" w:ascii="仿宋" w:hAnsi="仿宋"/>
          <w:sz w:val="24"/>
          <w:szCs w:val="24"/>
          <w:highlight w:val="none"/>
        </w:rPr>
        <w:t>　　3.7.4响应文件应尽量避免涂改、行间插字或删除。如果出现上述情况，改动之处应由供应商的法定代表人（单位负责人）或其授权的代理人签字或加盖单位章。</w:t>
      </w:r>
    </w:p>
    <w:p w14:paraId="189D5BAF">
      <w:pPr>
        <w:spacing w:line="360" w:lineRule="auto"/>
        <w:rPr>
          <w:rFonts w:ascii="仿宋" w:hAnsi="仿宋"/>
          <w:sz w:val="24"/>
          <w:szCs w:val="24"/>
          <w:highlight w:val="none"/>
        </w:rPr>
      </w:pPr>
      <w:r>
        <w:rPr>
          <w:rFonts w:hint="eastAsia" w:ascii="仿宋" w:hAnsi="仿宋"/>
          <w:sz w:val="24"/>
          <w:szCs w:val="24"/>
          <w:highlight w:val="none"/>
        </w:rPr>
        <w:t>　　3.7.5响应文件正本一份，副本份数见供应商须知前附表。正本和副本的封面右上角应清楚地标记“正本”或“副本”的字样。供应商应根据供应商须知前附表要求提供电子版文件。当副本和正本不一致，或电子版文件和纸质正本文件不一致时，以纸质正本文件为准。</w:t>
      </w:r>
    </w:p>
    <w:p w14:paraId="1A8718E2">
      <w:pPr>
        <w:spacing w:line="360" w:lineRule="auto"/>
        <w:rPr>
          <w:rFonts w:ascii="仿宋" w:hAnsi="仿宋"/>
          <w:sz w:val="24"/>
          <w:szCs w:val="24"/>
          <w:highlight w:val="none"/>
        </w:rPr>
      </w:pPr>
      <w:r>
        <w:rPr>
          <w:rFonts w:hint="eastAsia" w:ascii="仿宋" w:hAnsi="仿宋"/>
          <w:sz w:val="24"/>
          <w:szCs w:val="24"/>
          <w:highlight w:val="none"/>
        </w:rPr>
        <w:t>　　3.7.6响应文件的正本与副本应分别装订，并编制目录。响应文件需分册装订的，具体分册装订要求见供应商须知前附表规定。</w:t>
      </w:r>
    </w:p>
    <w:p w14:paraId="3E65099C">
      <w:pPr>
        <w:pStyle w:val="15"/>
        <w:spacing w:before="0" w:after="0"/>
        <w:rPr>
          <w:rFonts w:ascii="仿宋" w:hAnsi="仿宋" w:eastAsia="仿宋"/>
          <w:b/>
          <w:bCs/>
          <w:highlight w:val="none"/>
        </w:rPr>
      </w:pPr>
      <w:r>
        <w:rPr>
          <w:rFonts w:hint="eastAsia" w:ascii="仿宋" w:hAnsi="仿宋" w:eastAsia="仿宋"/>
          <w:b/>
          <w:bCs/>
          <w:highlight w:val="none"/>
        </w:rPr>
        <w:t>　　4响应文件的递交</w:t>
      </w:r>
    </w:p>
    <w:p w14:paraId="24518BF1">
      <w:pPr>
        <w:spacing w:line="360" w:lineRule="auto"/>
        <w:rPr>
          <w:rFonts w:ascii="仿宋" w:hAnsi="仿宋"/>
          <w:sz w:val="24"/>
          <w:szCs w:val="24"/>
          <w:highlight w:val="none"/>
        </w:rPr>
      </w:pPr>
      <w:r>
        <w:rPr>
          <w:rFonts w:hint="eastAsia" w:ascii="仿宋" w:hAnsi="仿宋"/>
          <w:sz w:val="24"/>
          <w:szCs w:val="24"/>
          <w:highlight w:val="none"/>
        </w:rPr>
        <w:t>　　4.1响应文件的包装与标记</w:t>
      </w:r>
    </w:p>
    <w:p w14:paraId="568C84AD">
      <w:pPr>
        <w:spacing w:line="360" w:lineRule="auto"/>
        <w:rPr>
          <w:rFonts w:ascii="仿宋" w:hAnsi="仿宋"/>
          <w:sz w:val="24"/>
          <w:szCs w:val="24"/>
          <w:highlight w:val="none"/>
        </w:rPr>
      </w:pPr>
      <w:r>
        <w:rPr>
          <w:rFonts w:hint="eastAsia" w:ascii="仿宋" w:hAnsi="仿宋"/>
          <w:sz w:val="24"/>
          <w:szCs w:val="24"/>
          <w:highlight w:val="none"/>
        </w:rPr>
        <w:t>　　4.1.1响应文件应妥善包装。供应商须知前附表规定响应文件应密封的，响应文件应</w:t>
      </w:r>
    </w:p>
    <w:p w14:paraId="737053FC">
      <w:pPr>
        <w:spacing w:line="360" w:lineRule="auto"/>
        <w:rPr>
          <w:rFonts w:ascii="仿宋" w:hAnsi="仿宋"/>
          <w:sz w:val="24"/>
          <w:szCs w:val="24"/>
          <w:highlight w:val="none"/>
        </w:rPr>
      </w:pPr>
      <w:r>
        <w:rPr>
          <w:rFonts w:hint="eastAsia" w:ascii="仿宋" w:hAnsi="仿宋"/>
          <w:sz w:val="24"/>
          <w:szCs w:val="24"/>
          <w:highlight w:val="none"/>
        </w:rPr>
        <w:t>　　按要求密封。</w:t>
      </w:r>
    </w:p>
    <w:p w14:paraId="7393C3AB">
      <w:pPr>
        <w:spacing w:line="360" w:lineRule="auto"/>
        <w:rPr>
          <w:rFonts w:ascii="仿宋" w:hAnsi="仿宋"/>
          <w:sz w:val="24"/>
          <w:szCs w:val="24"/>
          <w:highlight w:val="none"/>
        </w:rPr>
      </w:pPr>
      <w:r>
        <w:rPr>
          <w:rFonts w:hint="eastAsia" w:ascii="仿宋" w:hAnsi="仿宋"/>
          <w:sz w:val="24"/>
          <w:szCs w:val="24"/>
          <w:highlight w:val="none"/>
        </w:rPr>
        <w:t>　　4.1.2响应文件封套上应载明的内容见供应商须知前附表。</w:t>
      </w:r>
    </w:p>
    <w:p w14:paraId="178EA824">
      <w:pPr>
        <w:spacing w:line="360" w:lineRule="auto"/>
        <w:rPr>
          <w:rFonts w:ascii="仿宋" w:hAnsi="仿宋"/>
          <w:sz w:val="24"/>
          <w:szCs w:val="24"/>
          <w:highlight w:val="none"/>
        </w:rPr>
      </w:pPr>
      <w:r>
        <w:rPr>
          <w:rFonts w:hint="eastAsia" w:ascii="仿宋" w:hAnsi="仿宋"/>
          <w:sz w:val="24"/>
          <w:szCs w:val="24"/>
          <w:highlight w:val="none"/>
        </w:rPr>
        <w:t>　　4.2响应文件的递交</w:t>
      </w:r>
    </w:p>
    <w:p w14:paraId="502B35F7">
      <w:pPr>
        <w:spacing w:line="360" w:lineRule="auto"/>
        <w:rPr>
          <w:rFonts w:ascii="仿宋" w:hAnsi="仿宋"/>
          <w:sz w:val="24"/>
          <w:szCs w:val="24"/>
          <w:highlight w:val="none"/>
        </w:rPr>
      </w:pPr>
      <w:r>
        <w:rPr>
          <w:rFonts w:hint="eastAsia" w:ascii="仿宋" w:hAnsi="仿宋"/>
          <w:sz w:val="24"/>
          <w:szCs w:val="24"/>
          <w:highlight w:val="none"/>
        </w:rPr>
        <w:t>　　4.2.1供应商应在供应商须知前附表规定的递交响应文件的截止时间前，将响应文件</w:t>
      </w:r>
    </w:p>
    <w:p w14:paraId="49962BF8">
      <w:pPr>
        <w:spacing w:line="360" w:lineRule="auto"/>
        <w:rPr>
          <w:rFonts w:ascii="仿宋" w:hAnsi="仿宋"/>
          <w:sz w:val="24"/>
          <w:szCs w:val="24"/>
          <w:highlight w:val="none"/>
        </w:rPr>
      </w:pPr>
      <w:r>
        <w:rPr>
          <w:rFonts w:hint="eastAsia" w:ascii="仿宋" w:hAnsi="仿宋"/>
          <w:sz w:val="24"/>
          <w:szCs w:val="24"/>
          <w:highlight w:val="none"/>
        </w:rPr>
        <w:t>　　递交到供应商须知前附表规定的地点。逾期送达的或者未送达指定地点的响应文件，采购人将拒绝接收。采购人收到响应文件后，向供应商出具接收凭证。</w:t>
      </w:r>
    </w:p>
    <w:p w14:paraId="15D1507E">
      <w:pPr>
        <w:spacing w:line="360" w:lineRule="auto"/>
        <w:rPr>
          <w:rFonts w:ascii="仿宋" w:hAnsi="仿宋"/>
          <w:sz w:val="24"/>
          <w:szCs w:val="24"/>
          <w:highlight w:val="none"/>
        </w:rPr>
      </w:pPr>
      <w:r>
        <w:rPr>
          <w:rFonts w:hint="eastAsia" w:ascii="仿宋" w:hAnsi="仿宋"/>
          <w:sz w:val="24"/>
          <w:szCs w:val="24"/>
          <w:highlight w:val="none"/>
        </w:rPr>
        <w:t>　　4.2.2除供应商须知前附表另有规定外，供应商所递交的响应文件不予退还。</w:t>
      </w:r>
    </w:p>
    <w:p w14:paraId="77C0D6A3">
      <w:pPr>
        <w:spacing w:line="360" w:lineRule="auto"/>
        <w:rPr>
          <w:rFonts w:ascii="仿宋" w:hAnsi="仿宋"/>
          <w:sz w:val="24"/>
          <w:szCs w:val="24"/>
          <w:highlight w:val="none"/>
        </w:rPr>
      </w:pPr>
      <w:r>
        <w:rPr>
          <w:rFonts w:hint="eastAsia" w:ascii="仿宋" w:hAnsi="仿宋"/>
          <w:sz w:val="24"/>
          <w:szCs w:val="24"/>
          <w:highlight w:val="none"/>
        </w:rPr>
        <w:t>　　4.3响应文件的修改与撤回</w:t>
      </w:r>
    </w:p>
    <w:p w14:paraId="1DEC2EBD">
      <w:pPr>
        <w:spacing w:line="360" w:lineRule="auto"/>
        <w:rPr>
          <w:rFonts w:ascii="仿宋" w:hAnsi="仿宋"/>
          <w:sz w:val="24"/>
          <w:szCs w:val="24"/>
          <w:highlight w:val="none"/>
        </w:rPr>
      </w:pPr>
      <w:r>
        <w:rPr>
          <w:rFonts w:hint="eastAsia" w:ascii="仿宋" w:hAnsi="仿宋"/>
          <w:sz w:val="24"/>
          <w:szCs w:val="24"/>
          <w:highlight w:val="none"/>
        </w:rPr>
        <w:t>　　4.3.1在本章第4.2.1项规定的递交响应文件的截止时间前，供应商可以修改或撤回已递交的响应文件，但应以书面形式通知采购人。</w:t>
      </w:r>
    </w:p>
    <w:p w14:paraId="3DC30105">
      <w:pPr>
        <w:spacing w:line="360" w:lineRule="auto"/>
        <w:rPr>
          <w:rFonts w:ascii="仿宋" w:hAnsi="仿宋"/>
          <w:sz w:val="24"/>
          <w:szCs w:val="24"/>
          <w:highlight w:val="none"/>
        </w:rPr>
      </w:pPr>
      <w:r>
        <w:rPr>
          <w:rFonts w:hint="eastAsia" w:ascii="仿宋" w:hAnsi="仿宋"/>
          <w:sz w:val="24"/>
          <w:szCs w:val="24"/>
          <w:highlight w:val="none"/>
        </w:rPr>
        <w:t>　　4.3.2响应文件的修改文件或供应商撤回已递交响应文件的书面通知应由供应商的法</w:t>
      </w:r>
    </w:p>
    <w:p w14:paraId="40B21473">
      <w:pPr>
        <w:spacing w:line="360" w:lineRule="auto"/>
        <w:rPr>
          <w:rFonts w:ascii="仿宋" w:hAnsi="仿宋"/>
          <w:sz w:val="24"/>
          <w:szCs w:val="24"/>
          <w:highlight w:val="none"/>
        </w:rPr>
      </w:pPr>
      <w:r>
        <w:rPr>
          <w:rFonts w:hint="eastAsia" w:ascii="仿宋" w:hAnsi="仿宋"/>
          <w:sz w:val="24"/>
          <w:szCs w:val="24"/>
          <w:highlight w:val="none"/>
        </w:rPr>
        <w:t>　　定代表人（单位负责人）或其授权的代理人签字并加盖单位章。采购人收到供应商修改响应文件的书面文件后，向供应商出具接收凭证；采购人收到供应商撤回响应文件的书面通知后，退回供应商的响应文件。</w:t>
      </w:r>
    </w:p>
    <w:p w14:paraId="031D385C">
      <w:pPr>
        <w:spacing w:line="360" w:lineRule="auto"/>
        <w:rPr>
          <w:rFonts w:ascii="仿宋" w:hAnsi="仿宋"/>
          <w:sz w:val="24"/>
          <w:szCs w:val="24"/>
          <w:highlight w:val="none"/>
        </w:rPr>
      </w:pPr>
      <w:r>
        <w:rPr>
          <w:rFonts w:hint="eastAsia" w:ascii="仿宋" w:hAnsi="仿宋"/>
          <w:sz w:val="24"/>
          <w:szCs w:val="24"/>
          <w:highlight w:val="none"/>
        </w:rPr>
        <w:t>　　4.3.3除供应商须知前附表另有规定外，供应商撤回响应文件的，采购人应在5日内退还已收取的响应保证金。</w:t>
      </w:r>
    </w:p>
    <w:p w14:paraId="62934F23">
      <w:pPr>
        <w:spacing w:line="360" w:lineRule="auto"/>
        <w:rPr>
          <w:rFonts w:ascii="仿宋" w:hAnsi="仿宋"/>
          <w:sz w:val="24"/>
          <w:szCs w:val="24"/>
          <w:highlight w:val="none"/>
        </w:rPr>
      </w:pPr>
      <w:r>
        <w:rPr>
          <w:rFonts w:hint="eastAsia" w:ascii="仿宋" w:hAnsi="仿宋"/>
          <w:sz w:val="24"/>
          <w:szCs w:val="24"/>
          <w:highlight w:val="none"/>
        </w:rPr>
        <w:t>　　4.3.4修改的内容为响应文件的组成部分。响应文件的修改文件应按照本章第3条、第4条的规定进行编制、包装、标记和递交，并标明“修改”字样。</w:t>
      </w:r>
    </w:p>
    <w:p w14:paraId="3DA03547">
      <w:pPr>
        <w:pStyle w:val="15"/>
        <w:spacing w:before="0" w:after="0"/>
        <w:rPr>
          <w:rFonts w:ascii="仿宋" w:hAnsi="仿宋" w:eastAsia="仿宋"/>
          <w:b/>
          <w:bCs/>
          <w:highlight w:val="none"/>
        </w:rPr>
      </w:pPr>
      <w:r>
        <w:rPr>
          <w:rFonts w:hint="eastAsia" w:ascii="仿宋" w:hAnsi="仿宋" w:eastAsia="仿宋"/>
          <w:b/>
          <w:bCs/>
          <w:highlight w:val="none"/>
        </w:rPr>
        <w:t>　　5开启响应文件</w:t>
      </w:r>
    </w:p>
    <w:p w14:paraId="25A5D657">
      <w:pPr>
        <w:spacing w:line="360" w:lineRule="auto"/>
        <w:rPr>
          <w:rFonts w:ascii="仿宋" w:hAnsi="仿宋"/>
          <w:sz w:val="24"/>
          <w:szCs w:val="24"/>
          <w:highlight w:val="none"/>
        </w:rPr>
      </w:pPr>
      <w:r>
        <w:rPr>
          <w:rFonts w:hint="eastAsia" w:ascii="仿宋" w:hAnsi="仿宋"/>
          <w:sz w:val="24"/>
          <w:szCs w:val="24"/>
          <w:highlight w:val="none"/>
        </w:rPr>
        <w:t>　　采购人根据采购项目的市场供应情况确定是否公开开启响应文件。供应商须知前附表规定公开开启响应文件的，开启活动应按本条规定进行。</w:t>
      </w:r>
    </w:p>
    <w:p w14:paraId="0E4672F7">
      <w:pPr>
        <w:spacing w:line="360" w:lineRule="auto"/>
        <w:rPr>
          <w:rFonts w:ascii="仿宋" w:hAnsi="仿宋"/>
          <w:sz w:val="24"/>
          <w:szCs w:val="24"/>
          <w:highlight w:val="none"/>
        </w:rPr>
      </w:pPr>
      <w:r>
        <w:rPr>
          <w:rFonts w:hint="eastAsia" w:ascii="仿宋" w:hAnsi="仿宋"/>
          <w:sz w:val="24"/>
          <w:szCs w:val="24"/>
          <w:highlight w:val="none"/>
        </w:rPr>
        <w:t>　　5.1开启响应文件的时间和地点</w:t>
      </w:r>
    </w:p>
    <w:p w14:paraId="0ECF1F68">
      <w:pPr>
        <w:spacing w:line="360" w:lineRule="auto"/>
        <w:rPr>
          <w:rFonts w:ascii="仿宋" w:hAnsi="仿宋"/>
          <w:sz w:val="24"/>
          <w:szCs w:val="24"/>
          <w:highlight w:val="none"/>
        </w:rPr>
      </w:pPr>
      <w:r>
        <w:rPr>
          <w:rFonts w:hint="eastAsia" w:ascii="仿宋" w:hAnsi="仿宋"/>
          <w:sz w:val="24"/>
          <w:szCs w:val="24"/>
          <w:highlight w:val="none"/>
        </w:rPr>
        <w:t>　　采购人在本章第4.2.1项规定的递交响应文件的截止时间和供应商须知前附表规定的</w:t>
      </w:r>
    </w:p>
    <w:p w14:paraId="7F23B441">
      <w:pPr>
        <w:spacing w:line="360" w:lineRule="auto"/>
        <w:rPr>
          <w:rFonts w:ascii="仿宋" w:hAnsi="仿宋"/>
          <w:sz w:val="24"/>
          <w:szCs w:val="24"/>
          <w:highlight w:val="none"/>
        </w:rPr>
      </w:pPr>
      <w:r>
        <w:rPr>
          <w:rFonts w:hint="eastAsia" w:ascii="仿宋" w:hAnsi="仿宋"/>
          <w:sz w:val="24"/>
          <w:szCs w:val="24"/>
          <w:highlight w:val="none"/>
        </w:rPr>
        <w:t>　　地点公开开启响应文件，并邀请所有供应商的法定代表人（单位负责人）或其授权的代</w:t>
      </w:r>
    </w:p>
    <w:p w14:paraId="3F4455DC">
      <w:pPr>
        <w:spacing w:line="360" w:lineRule="auto"/>
        <w:rPr>
          <w:rFonts w:ascii="仿宋" w:hAnsi="仿宋"/>
          <w:sz w:val="24"/>
          <w:szCs w:val="24"/>
          <w:highlight w:val="none"/>
        </w:rPr>
      </w:pPr>
      <w:r>
        <w:rPr>
          <w:rFonts w:hint="eastAsia" w:ascii="仿宋" w:hAnsi="仿宋"/>
          <w:sz w:val="24"/>
          <w:szCs w:val="24"/>
          <w:highlight w:val="none"/>
        </w:rPr>
        <w:t>　　理人参加开启会议，供应商未派代表参加的，视为默认开启结果。</w:t>
      </w:r>
    </w:p>
    <w:p w14:paraId="4BC0BDA5">
      <w:pPr>
        <w:spacing w:line="360" w:lineRule="auto"/>
        <w:rPr>
          <w:rFonts w:ascii="仿宋" w:hAnsi="仿宋"/>
          <w:sz w:val="24"/>
          <w:szCs w:val="24"/>
          <w:highlight w:val="none"/>
        </w:rPr>
      </w:pPr>
      <w:r>
        <w:rPr>
          <w:rFonts w:hint="eastAsia" w:ascii="仿宋" w:hAnsi="仿宋"/>
          <w:sz w:val="24"/>
          <w:szCs w:val="24"/>
          <w:highlight w:val="none"/>
        </w:rPr>
        <w:t>　　5.2开启程序</w:t>
      </w:r>
    </w:p>
    <w:p w14:paraId="6DC7E8B6">
      <w:pPr>
        <w:spacing w:line="360" w:lineRule="auto"/>
        <w:rPr>
          <w:rFonts w:ascii="仿宋" w:hAnsi="仿宋"/>
          <w:sz w:val="24"/>
          <w:szCs w:val="24"/>
          <w:highlight w:val="none"/>
        </w:rPr>
      </w:pPr>
      <w:r>
        <w:rPr>
          <w:rFonts w:hint="eastAsia" w:ascii="仿宋" w:hAnsi="仿宋"/>
          <w:sz w:val="24"/>
          <w:szCs w:val="24"/>
          <w:highlight w:val="none"/>
        </w:rPr>
        <w:t>　　主持人按下列程序公开开启响应文件：</w:t>
      </w:r>
    </w:p>
    <w:p w14:paraId="16F8F342">
      <w:pPr>
        <w:spacing w:line="360" w:lineRule="auto"/>
        <w:rPr>
          <w:rFonts w:ascii="仿宋" w:hAnsi="仿宋"/>
          <w:sz w:val="24"/>
          <w:szCs w:val="24"/>
          <w:highlight w:val="none"/>
        </w:rPr>
      </w:pPr>
      <w:r>
        <w:rPr>
          <w:rFonts w:hint="eastAsia" w:ascii="仿宋" w:hAnsi="仿宋"/>
          <w:sz w:val="24"/>
          <w:szCs w:val="24"/>
          <w:highlight w:val="none"/>
        </w:rPr>
        <w:t>　　（1）宣布开启会议纪律；</w:t>
      </w:r>
    </w:p>
    <w:p w14:paraId="78B92C30">
      <w:pPr>
        <w:spacing w:line="360" w:lineRule="auto"/>
        <w:rPr>
          <w:rFonts w:ascii="仿宋" w:hAnsi="仿宋"/>
          <w:sz w:val="24"/>
          <w:szCs w:val="24"/>
          <w:highlight w:val="none"/>
        </w:rPr>
      </w:pPr>
      <w:r>
        <w:rPr>
          <w:rFonts w:hint="eastAsia" w:ascii="仿宋" w:hAnsi="仿宋"/>
          <w:sz w:val="24"/>
          <w:szCs w:val="24"/>
          <w:highlight w:val="none"/>
        </w:rPr>
        <w:t>　　（2）宣布参加开启会议的工作人员姓名；</w:t>
      </w:r>
    </w:p>
    <w:p w14:paraId="58BDE194">
      <w:pPr>
        <w:spacing w:line="360" w:lineRule="auto"/>
        <w:rPr>
          <w:rFonts w:ascii="仿宋" w:hAnsi="仿宋"/>
          <w:sz w:val="24"/>
          <w:szCs w:val="24"/>
          <w:highlight w:val="none"/>
        </w:rPr>
      </w:pPr>
      <w:r>
        <w:rPr>
          <w:rFonts w:hint="eastAsia" w:ascii="仿宋" w:hAnsi="仿宋"/>
          <w:sz w:val="24"/>
          <w:szCs w:val="24"/>
          <w:highlight w:val="none"/>
        </w:rPr>
        <w:t>　　（3）供应商代表检查确认响应文件的密封情况（如需要）；</w:t>
      </w:r>
    </w:p>
    <w:p w14:paraId="285CB4F3">
      <w:pPr>
        <w:spacing w:line="360" w:lineRule="auto"/>
        <w:rPr>
          <w:rFonts w:ascii="仿宋" w:hAnsi="仿宋"/>
          <w:sz w:val="24"/>
          <w:szCs w:val="24"/>
          <w:highlight w:val="none"/>
        </w:rPr>
      </w:pPr>
      <w:r>
        <w:rPr>
          <w:rFonts w:hint="eastAsia" w:ascii="仿宋" w:hAnsi="仿宋"/>
          <w:sz w:val="24"/>
          <w:szCs w:val="24"/>
          <w:highlight w:val="none"/>
        </w:rPr>
        <w:t>　　（4）按照供应商须知前附表规定的开启顺序开启响应文件，公布递交响应文件的供应商名称及供应商须知前附表规定的其他应公布的信息，并记录在案；</w:t>
      </w:r>
    </w:p>
    <w:p w14:paraId="5CFAC297">
      <w:pPr>
        <w:spacing w:line="360" w:lineRule="auto"/>
        <w:rPr>
          <w:rFonts w:ascii="仿宋" w:hAnsi="仿宋"/>
          <w:sz w:val="24"/>
          <w:szCs w:val="24"/>
          <w:highlight w:val="none"/>
        </w:rPr>
      </w:pPr>
      <w:r>
        <w:rPr>
          <w:rFonts w:hint="eastAsia" w:ascii="仿宋" w:hAnsi="仿宋"/>
          <w:sz w:val="24"/>
          <w:szCs w:val="24"/>
          <w:highlight w:val="none"/>
        </w:rPr>
        <w:t>　　（5）供应商代表及相关工作人员等在响应文件开启记录上签字确认；</w:t>
      </w:r>
    </w:p>
    <w:p w14:paraId="7224A71C">
      <w:pPr>
        <w:spacing w:line="360" w:lineRule="auto"/>
        <w:rPr>
          <w:rFonts w:ascii="仿宋" w:hAnsi="仿宋"/>
          <w:sz w:val="24"/>
          <w:szCs w:val="24"/>
          <w:highlight w:val="none"/>
        </w:rPr>
      </w:pPr>
      <w:r>
        <w:rPr>
          <w:rFonts w:hint="eastAsia" w:ascii="仿宋" w:hAnsi="仿宋"/>
          <w:sz w:val="24"/>
          <w:szCs w:val="24"/>
          <w:highlight w:val="none"/>
        </w:rPr>
        <w:t>　　（6）宣布谈判有关安排和注意事项；</w:t>
      </w:r>
    </w:p>
    <w:p w14:paraId="74A335F5">
      <w:pPr>
        <w:spacing w:line="360" w:lineRule="auto"/>
        <w:rPr>
          <w:rFonts w:ascii="仿宋" w:hAnsi="仿宋"/>
          <w:sz w:val="24"/>
          <w:szCs w:val="24"/>
          <w:highlight w:val="none"/>
        </w:rPr>
      </w:pPr>
      <w:r>
        <w:rPr>
          <w:rFonts w:hint="eastAsia" w:ascii="仿宋" w:hAnsi="仿宋"/>
          <w:sz w:val="24"/>
          <w:szCs w:val="24"/>
          <w:highlight w:val="none"/>
        </w:rPr>
        <w:t>　　（7）开启会议结束。</w:t>
      </w:r>
    </w:p>
    <w:p w14:paraId="7A684C02">
      <w:pPr>
        <w:pStyle w:val="15"/>
        <w:spacing w:before="0" w:after="0"/>
        <w:rPr>
          <w:rFonts w:ascii="仿宋" w:hAnsi="仿宋" w:eastAsia="仿宋"/>
          <w:b/>
          <w:bCs/>
          <w:highlight w:val="none"/>
        </w:rPr>
      </w:pPr>
      <w:r>
        <w:rPr>
          <w:rFonts w:hint="eastAsia" w:ascii="仿宋" w:hAnsi="仿宋" w:eastAsia="仿宋"/>
          <w:b/>
          <w:bCs/>
          <w:highlight w:val="none"/>
        </w:rPr>
        <w:t>　　6谈判和评审</w:t>
      </w:r>
    </w:p>
    <w:p w14:paraId="6A177440">
      <w:pPr>
        <w:spacing w:line="360" w:lineRule="auto"/>
        <w:rPr>
          <w:rFonts w:ascii="仿宋" w:hAnsi="仿宋"/>
          <w:sz w:val="24"/>
          <w:szCs w:val="24"/>
          <w:highlight w:val="none"/>
        </w:rPr>
      </w:pPr>
      <w:r>
        <w:rPr>
          <w:rFonts w:hint="eastAsia" w:ascii="仿宋" w:hAnsi="仿宋"/>
          <w:sz w:val="24"/>
          <w:szCs w:val="24"/>
          <w:highlight w:val="none"/>
        </w:rPr>
        <w:t>　　6.1谈判小组</w:t>
      </w:r>
    </w:p>
    <w:p w14:paraId="2FAC0D9D">
      <w:pPr>
        <w:spacing w:line="360" w:lineRule="auto"/>
        <w:rPr>
          <w:rFonts w:ascii="仿宋" w:hAnsi="仿宋"/>
          <w:sz w:val="24"/>
          <w:szCs w:val="24"/>
          <w:highlight w:val="none"/>
        </w:rPr>
      </w:pPr>
      <w:r>
        <w:rPr>
          <w:rFonts w:hint="eastAsia" w:ascii="仿宋" w:hAnsi="仿宋"/>
          <w:sz w:val="24"/>
          <w:szCs w:val="24"/>
          <w:highlight w:val="none"/>
        </w:rPr>
        <w:t>　　6.1.1采购人将组建谈判小组，由谈判小组按照本条规定的程序以及第三章“评审办法”的规定与供应商进行谈判、对响应文件进行评审和比较。</w:t>
      </w:r>
    </w:p>
    <w:p w14:paraId="40268AF7">
      <w:pPr>
        <w:spacing w:line="360" w:lineRule="auto"/>
        <w:rPr>
          <w:rFonts w:ascii="仿宋" w:hAnsi="仿宋"/>
          <w:sz w:val="24"/>
          <w:szCs w:val="24"/>
          <w:highlight w:val="none"/>
        </w:rPr>
      </w:pPr>
      <w:r>
        <w:rPr>
          <w:rFonts w:hint="eastAsia" w:ascii="仿宋" w:hAnsi="仿宋"/>
          <w:sz w:val="24"/>
          <w:szCs w:val="24"/>
          <w:highlight w:val="none"/>
        </w:rPr>
        <w:t>　　6.1.2谈判小组成员有下列情形之一的，应当回避：</w:t>
      </w:r>
    </w:p>
    <w:p w14:paraId="5ED492D3">
      <w:pPr>
        <w:spacing w:line="360" w:lineRule="auto"/>
        <w:rPr>
          <w:rFonts w:ascii="仿宋" w:hAnsi="仿宋"/>
          <w:sz w:val="24"/>
          <w:szCs w:val="24"/>
          <w:highlight w:val="none"/>
        </w:rPr>
      </w:pPr>
      <w:r>
        <w:rPr>
          <w:rFonts w:hint="eastAsia" w:ascii="仿宋" w:hAnsi="仿宋"/>
          <w:sz w:val="24"/>
          <w:szCs w:val="24"/>
          <w:highlight w:val="none"/>
        </w:rPr>
        <w:t>　　（1）供应商主要负责人或供应商主要负责人的近亲属；</w:t>
      </w:r>
    </w:p>
    <w:p w14:paraId="3F11C11E">
      <w:pPr>
        <w:spacing w:line="360" w:lineRule="auto"/>
        <w:rPr>
          <w:rFonts w:ascii="仿宋" w:hAnsi="仿宋"/>
          <w:sz w:val="24"/>
          <w:szCs w:val="24"/>
          <w:highlight w:val="none"/>
        </w:rPr>
      </w:pPr>
      <w:r>
        <w:rPr>
          <w:rFonts w:hint="eastAsia" w:ascii="仿宋" w:hAnsi="仿宋"/>
          <w:sz w:val="24"/>
          <w:szCs w:val="24"/>
          <w:highlight w:val="none"/>
        </w:rPr>
        <w:t>　　（2）与供应商有经济利益关系或其他利害关系，可能影响公正评审的。</w:t>
      </w:r>
    </w:p>
    <w:p w14:paraId="5AC71AF1">
      <w:pPr>
        <w:spacing w:line="360" w:lineRule="auto"/>
        <w:rPr>
          <w:rFonts w:ascii="仿宋" w:hAnsi="仿宋"/>
          <w:sz w:val="24"/>
          <w:szCs w:val="24"/>
          <w:highlight w:val="none"/>
        </w:rPr>
      </w:pPr>
      <w:r>
        <w:rPr>
          <w:rFonts w:hint="eastAsia" w:ascii="仿宋" w:hAnsi="仿宋"/>
          <w:sz w:val="24"/>
          <w:szCs w:val="24"/>
          <w:highlight w:val="none"/>
        </w:rPr>
        <w:t>　　6.1.3谈判小组组建后，谈判小组成员共同推选或由采购人指定谈判小组组长，谈判小组组长负责组织谈判及评审工作。</w:t>
      </w:r>
    </w:p>
    <w:p w14:paraId="16235BB1">
      <w:pPr>
        <w:spacing w:line="360" w:lineRule="auto"/>
        <w:rPr>
          <w:rFonts w:ascii="仿宋" w:hAnsi="仿宋"/>
          <w:sz w:val="24"/>
          <w:szCs w:val="24"/>
          <w:highlight w:val="none"/>
        </w:rPr>
      </w:pPr>
      <w:r>
        <w:rPr>
          <w:rFonts w:hint="eastAsia" w:ascii="仿宋" w:hAnsi="仿宋"/>
          <w:sz w:val="24"/>
          <w:szCs w:val="24"/>
          <w:highlight w:val="none"/>
        </w:rPr>
        <w:t>　　6.1.4在谈判和评审过程中，谈判小组成员对需要共同认定的事项存在争议的，将按照少数服从多数的原则作出结论。持不同意见的谈判小组成员应当在评审报告上签署不同意见及理由，否则视为同意评审报告。</w:t>
      </w:r>
    </w:p>
    <w:p w14:paraId="6833255F">
      <w:pPr>
        <w:spacing w:line="360" w:lineRule="auto"/>
        <w:rPr>
          <w:rFonts w:ascii="仿宋" w:hAnsi="仿宋"/>
          <w:sz w:val="24"/>
          <w:szCs w:val="24"/>
          <w:highlight w:val="none"/>
        </w:rPr>
      </w:pPr>
      <w:r>
        <w:rPr>
          <w:rFonts w:hint="eastAsia" w:ascii="仿宋" w:hAnsi="仿宋"/>
          <w:sz w:val="24"/>
          <w:szCs w:val="24"/>
          <w:highlight w:val="none"/>
        </w:rPr>
        <w:t>　　6.2初步评审</w:t>
      </w:r>
    </w:p>
    <w:p w14:paraId="2CFC93D4">
      <w:pPr>
        <w:spacing w:line="360" w:lineRule="auto"/>
        <w:rPr>
          <w:rFonts w:ascii="仿宋" w:hAnsi="仿宋"/>
          <w:sz w:val="24"/>
          <w:szCs w:val="24"/>
          <w:highlight w:val="none"/>
        </w:rPr>
      </w:pPr>
      <w:r>
        <w:rPr>
          <w:rFonts w:hint="eastAsia" w:ascii="仿宋" w:hAnsi="仿宋"/>
          <w:sz w:val="24"/>
          <w:szCs w:val="24"/>
          <w:highlight w:val="none"/>
        </w:rPr>
        <w:t>　　6.2.1谈判小组按照第三章“评审办法”规定的评审标准和程序对供应商递交的响应文件进行初步评审。初步评审主要对响应文件的形式、供应商的资格和响应文件的响应性进行审查，以判断响应文件的形式是否符合要求、供应商是否符合资格条件、响应文件是否实质性响应采购文件的要求。</w:t>
      </w:r>
    </w:p>
    <w:p w14:paraId="7E7C52F8">
      <w:pPr>
        <w:spacing w:line="360" w:lineRule="auto"/>
        <w:rPr>
          <w:rFonts w:ascii="仿宋" w:hAnsi="仿宋"/>
          <w:sz w:val="24"/>
          <w:szCs w:val="24"/>
          <w:highlight w:val="none"/>
        </w:rPr>
      </w:pPr>
      <w:r>
        <w:rPr>
          <w:rFonts w:hint="eastAsia" w:ascii="仿宋" w:hAnsi="仿宋"/>
          <w:sz w:val="24"/>
          <w:szCs w:val="24"/>
          <w:highlight w:val="none"/>
        </w:rPr>
        <w:t>　　6.2.2响应文件的形式或供应商资格不符合采购文件的要求、响应文件未实质性响应采购文件的要求，或响应文件中有含义不明确、同类问题表述不一致或有明显文字和计算错误的内容，谈判小组应要求供应商在规定时间内进行澄清、说明和补正。供应商澄清、说明和补正的内容应由法定代表人（单位负责人）或其授权的代理人签字或加盖单位章。澄清、说明和补正的内容作为响应文件的组成部分。</w:t>
      </w:r>
    </w:p>
    <w:p w14:paraId="5C7AE307">
      <w:pPr>
        <w:spacing w:line="360" w:lineRule="auto"/>
        <w:rPr>
          <w:rFonts w:ascii="仿宋" w:hAnsi="仿宋"/>
          <w:sz w:val="24"/>
          <w:szCs w:val="24"/>
          <w:highlight w:val="none"/>
        </w:rPr>
      </w:pPr>
      <w:r>
        <w:rPr>
          <w:rFonts w:hint="eastAsia" w:ascii="仿宋" w:hAnsi="仿宋"/>
          <w:sz w:val="24"/>
          <w:szCs w:val="24"/>
          <w:highlight w:val="none"/>
        </w:rPr>
        <w:t>　　6.2.3只有形式评审和资格评审合格且实质性响应采购文件要求的供应商才可通过初步评审。经供应商澄清、说明和补正后仍未通过初步评审的响应文件将被视为无效，谈判小组应告知有关供应商。</w:t>
      </w:r>
    </w:p>
    <w:p w14:paraId="443DA9CD">
      <w:pPr>
        <w:spacing w:line="360" w:lineRule="auto"/>
        <w:rPr>
          <w:rFonts w:ascii="仿宋" w:hAnsi="仿宋"/>
          <w:sz w:val="24"/>
          <w:szCs w:val="24"/>
          <w:highlight w:val="none"/>
        </w:rPr>
      </w:pPr>
      <w:r>
        <w:rPr>
          <w:rFonts w:hint="eastAsia" w:ascii="仿宋" w:hAnsi="仿宋"/>
          <w:sz w:val="24"/>
          <w:szCs w:val="24"/>
          <w:highlight w:val="none"/>
        </w:rPr>
        <w:t>　　6.3谈判</w:t>
      </w:r>
    </w:p>
    <w:p w14:paraId="1177D65B">
      <w:pPr>
        <w:spacing w:line="360" w:lineRule="auto"/>
        <w:rPr>
          <w:rFonts w:ascii="仿宋" w:hAnsi="仿宋"/>
          <w:sz w:val="24"/>
          <w:szCs w:val="24"/>
          <w:highlight w:val="none"/>
        </w:rPr>
      </w:pPr>
      <w:r>
        <w:rPr>
          <w:rFonts w:hint="eastAsia" w:ascii="仿宋" w:hAnsi="仿宋"/>
          <w:sz w:val="24"/>
          <w:szCs w:val="24"/>
          <w:highlight w:val="none"/>
        </w:rPr>
        <w:t>　　6.3.1谈判小组应按照供应商须知前附表规定的谈判轮次及谈判顺序与通过初步评审的供应商逐一进行谈判。</w:t>
      </w:r>
    </w:p>
    <w:p w14:paraId="52779337">
      <w:pPr>
        <w:spacing w:line="360" w:lineRule="auto"/>
        <w:rPr>
          <w:rFonts w:ascii="仿宋" w:hAnsi="仿宋"/>
          <w:sz w:val="24"/>
          <w:szCs w:val="24"/>
          <w:highlight w:val="none"/>
        </w:rPr>
      </w:pPr>
      <w:r>
        <w:rPr>
          <w:rFonts w:hint="eastAsia" w:ascii="仿宋" w:hAnsi="仿宋"/>
          <w:sz w:val="24"/>
          <w:szCs w:val="24"/>
          <w:highlight w:val="none"/>
        </w:rPr>
        <w:t>　　6.3.2通过公告方式邀请供应商且通过初步评审的供应商数量超过供应商须知前附表规定的预定参加谈判的供应商数量的，谈判小组按照供应商须知前附表规定的选择方法，从通过初步评审的供应商中选择预定数量的供应商进行谈判。未被选择的供应商不再参加后续的谈判活动，谈判小组应对其进行告知；除供应商须知前附表另有规定外，其响应保证金应在5日内原额退还。</w:t>
      </w:r>
    </w:p>
    <w:p w14:paraId="1E166E2D">
      <w:pPr>
        <w:spacing w:line="360" w:lineRule="auto"/>
        <w:rPr>
          <w:rFonts w:ascii="仿宋" w:hAnsi="仿宋"/>
          <w:sz w:val="24"/>
          <w:szCs w:val="24"/>
          <w:highlight w:val="none"/>
        </w:rPr>
      </w:pPr>
      <w:r>
        <w:rPr>
          <w:rFonts w:hint="eastAsia" w:ascii="仿宋" w:hAnsi="仿宋"/>
          <w:sz w:val="24"/>
          <w:szCs w:val="24"/>
          <w:highlight w:val="none"/>
        </w:rPr>
        <w:t>　　6.3.3谈判小组所有成员应集中与单一供应商逐一进行谈判，并给予所有参加谈判的供应商平等的谈判机会。供应商的法定代表人（单位负责人）或其授权的代理人应参加谈判。供应商的法定代表人（单位负责人）或其授权的代理人在谈判中做出的承诺构成响应文件的组成部分。</w:t>
      </w:r>
    </w:p>
    <w:p w14:paraId="4C76541B">
      <w:pPr>
        <w:spacing w:line="360" w:lineRule="auto"/>
        <w:rPr>
          <w:rFonts w:ascii="仿宋" w:hAnsi="仿宋"/>
          <w:sz w:val="24"/>
          <w:szCs w:val="24"/>
          <w:highlight w:val="none"/>
        </w:rPr>
      </w:pPr>
      <w:r>
        <w:rPr>
          <w:rFonts w:hint="eastAsia" w:ascii="仿宋" w:hAnsi="仿宋"/>
          <w:sz w:val="24"/>
          <w:szCs w:val="24"/>
          <w:highlight w:val="none"/>
        </w:rPr>
        <w:t>　　6.3.4除供应商须知前附表另有规定外，递交响应文件的供应商未准时参加某一轮次谈判的，视为其放弃参加该轮次谈判，但其仍有权参加后续谈判采购活动。</w:t>
      </w:r>
    </w:p>
    <w:p w14:paraId="37F29892">
      <w:pPr>
        <w:spacing w:line="360" w:lineRule="auto"/>
        <w:rPr>
          <w:rFonts w:ascii="仿宋" w:hAnsi="仿宋"/>
          <w:sz w:val="24"/>
          <w:szCs w:val="24"/>
          <w:highlight w:val="none"/>
        </w:rPr>
      </w:pPr>
      <w:r>
        <w:rPr>
          <w:rFonts w:hint="eastAsia" w:ascii="仿宋" w:hAnsi="仿宋"/>
          <w:sz w:val="24"/>
          <w:szCs w:val="24"/>
          <w:highlight w:val="none"/>
        </w:rPr>
        <w:t>　　6.4递交补充响应文件</w:t>
      </w:r>
    </w:p>
    <w:p w14:paraId="4DBAD41B">
      <w:pPr>
        <w:spacing w:line="360" w:lineRule="auto"/>
        <w:rPr>
          <w:rFonts w:ascii="仿宋" w:hAnsi="仿宋"/>
          <w:sz w:val="24"/>
          <w:szCs w:val="24"/>
          <w:highlight w:val="none"/>
        </w:rPr>
      </w:pPr>
      <w:r>
        <w:rPr>
          <w:rFonts w:hint="eastAsia" w:ascii="仿宋" w:hAnsi="仿宋"/>
          <w:sz w:val="24"/>
          <w:szCs w:val="24"/>
          <w:highlight w:val="none"/>
        </w:rPr>
        <w:t>　　6.4.1在谈判过程中，谈判小组可根据谈判情况修改和补充采购文件中采购需求部分的技术、服务要求以及合同草案条款等内容，但不得实质性改变评审标准或改变可能影响初步评审结果的内容。谈判小组修改和补充采购文件的，应当以书面形式将修改和补充的内容通知所有参加谈判的供应商。修改和补充的内容构成采购文件的组成部分。</w:t>
      </w:r>
    </w:p>
    <w:p w14:paraId="4E0FDCDD">
      <w:pPr>
        <w:spacing w:line="360" w:lineRule="auto"/>
        <w:rPr>
          <w:rFonts w:ascii="仿宋" w:hAnsi="仿宋"/>
          <w:sz w:val="24"/>
          <w:szCs w:val="24"/>
          <w:highlight w:val="none"/>
        </w:rPr>
      </w:pPr>
      <w:r>
        <w:rPr>
          <w:rFonts w:hint="eastAsia" w:ascii="仿宋" w:hAnsi="仿宋"/>
          <w:sz w:val="24"/>
          <w:szCs w:val="24"/>
          <w:highlight w:val="none"/>
        </w:rPr>
        <w:t>　　6.4.2谈判小组修改和补充采购文件后，应要求供应商修改和补充响应文件。供应商应按照采购文件修改和补充的内容及要求相应地对已经递交的响应文件进行修改和补充（即补充响应文件）。补充响应文件应由供应商的法定代表人（单位负责人）或其授权的代理人签字或加盖单位章，并对采购文件修改和补充的内容作出实质性的响应。补充响应文件与首次递交的响应文件共同构成供应商响应文件的组成部分，二者内容不一致的，以补充响应文件内容为准。</w:t>
      </w:r>
    </w:p>
    <w:p w14:paraId="093BC980">
      <w:pPr>
        <w:spacing w:line="360" w:lineRule="auto"/>
        <w:rPr>
          <w:rFonts w:ascii="仿宋" w:hAnsi="仿宋"/>
          <w:sz w:val="24"/>
          <w:szCs w:val="24"/>
          <w:highlight w:val="none"/>
        </w:rPr>
      </w:pPr>
      <w:r>
        <w:rPr>
          <w:rFonts w:hint="eastAsia" w:ascii="仿宋" w:hAnsi="仿宋"/>
          <w:sz w:val="24"/>
          <w:szCs w:val="24"/>
          <w:highlight w:val="none"/>
        </w:rPr>
        <w:t>　　6.4.3谈判小组审查供应商补充响应文件，对其响应性进行评审。补充响应文件实质性响应采购文件及其修改和补充内容的，谈判小组应要求供应商在规定时间内递交最终报价；补充响应文件未能实质性响应采购文件及其修改和补充内容的，该响应文件将被视为无效，谈判小组应取消供应商的谈判资格并对其进行告知。</w:t>
      </w:r>
    </w:p>
    <w:p w14:paraId="1506A160">
      <w:pPr>
        <w:spacing w:line="360" w:lineRule="auto"/>
        <w:rPr>
          <w:rFonts w:ascii="仿宋" w:hAnsi="仿宋"/>
          <w:sz w:val="24"/>
          <w:szCs w:val="24"/>
          <w:highlight w:val="none"/>
        </w:rPr>
      </w:pPr>
      <w:r>
        <w:rPr>
          <w:rFonts w:hint="eastAsia" w:ascii="仿宋" w:hAnsi="仿宋"/>
          <w:sz w:val="24"/>
          <w:szCs w:val="24"/>
          <w:highlight w:val="none"/>
        </w:rPr>
        <w:t>　　6.5递交最终报价</w:t>
      </w:r>
    </w:p>
    <w:p w14:paraId="6E413081">
      <w:pPr>
        <w:spacing w:line="360" w:lineRule="auto"/>
        <w:rPr>
          <w:rFonts w:ascii="仿宋" w:hAnsi="仿宋"/>
          <w:sz w:val="24"/>
          <w:szCs w:val="24"/>
          <w:highlight w:val="none"/>
        </w:rPr>
      </w:pPr>
      <w:r>
        <w:rPr>
          <w:rFonts w:hint="eastAsia" w:ascii="仿宋" w:hAnsi="仿宋"/>
          <w:sz w:val="24"/>
          <w:szCs w:val="24"/>
          <w:highlight w:val="none"/>
        </w:rPr>
        <w:t>　　谈判小组在谈判中未修改或补充采购文件的，谈判结束后，谈判小组将要求所有参加谈判的供应商在规定时间内递交最终报价；谈判小组修改和补充了采购文件的，谈判小组应要求按照本章第6.4款规定递交了实质性响应的补充响应文件的供应商在规定时间内递交最终报价。最终报价应由供应商的法定代表人（单位负责人）或其授权的代理人签字或加盖单位章。最终报价是供应商响应文件的组成部分。</w:t>
      </w:r>
    </w:p>
    <w:p w14:paraId="0C7467DB">
      <w:pPr>
        <w:spacing w:line="360" w:lineRule="auto"/>
        <w:rPr>
          <w:rFonts w:ascii="仿宋" w:hAnsi="仿宋"/>
          <w:sz w:val="24"/>
          <w:szCs w:val="24"/>
          <w:highlight w:val="none"/>
        </w:rPr>
      </w:pPr>
      <w:r>
        <w:rPr>
          <w:rFonts w:hint="eastAsia" w:ascii="仿宋" w:hAnsi="仿宋"/>
          <w:sz w:val="24"/>
          <w:szCs w:val="24"/>
          <w:highlight w:val="none"/>
        </w:rPr>
        <w:t>　　6.6公开开启最终报价</w:t>
      </w:r>
    </w:p>
    <w:p w14:paraId="2E671EBD">
      <w:pPr>
        <w:spacing w:line="360" w:lineRule="auto"/>
        <w:rPr>
          <w:rFonts w:ascii="仿宋" w:hAnsi="仿宋"/>
          <w:sz w:val="24"/>
          <w:szCs w:val="24"/>
          <w:highlight w:val="none"/>
        </w:rPr>
      </w:pPr>
      <w:r>
        <w:rPr>
          <w:rFonts w:hint="eastAsia" w:ascii="仿宋" w:hAnsi="仿宋"/>
          <w:sz w:val="24"/>
          <w:szCs w:val="24"/>
          <w:highlight w:val="none"/>
        </w:rPr>
        <w:t>　　供应商须知前附表规定公开开启最终报价的，采购人将在供应商递交最终报价的截止时间，公开开启并公布所有供应商的最终报价。</w:t>
      </w:r>
    </w:p>
    <w:p w14:paraId="610FE3A9">
      <w:pPr>
        <w:spacing w:line="360" w:lineRule="auto"/>
        <w:rPr>
          <w:rFonts w:ascii="仿宋" w:hAnsi="仿宋"/>
          <w:sz w:val="24"/>
          <w:szCs w:val="24"/>
          <w:highlight w:val="none"/>
        </w:rPr>
      </w:pPr>
      <w:r>
        <w:rPr>
          <w:rFonts w:hint="eastAsia" w:ascii="仿宋" w:hAnsi="仿宋"/>
          <w:sz w:val="24"/>
          <w:szCs w:val="24"/>
          <w:highlight w:val="none"/>
        </w:rPr>
        <w:t>　　6.7详细评审及推荐候选成交供应商</w:t>
      </w:r>
    </w:p>
    <w:p w14:paraId="4822C94D">
      <w:pPr>
        <w:spacing w:line="360" w:lineRule="auto"/>
        <w:rPr>
          <w:rFonts w:ascii="仿宋" w:hAnsi="仿宋"/>
          <w:sz w:val="24"/>
          <w:szCs w:val="24"/>
          <w:highlight w:val="none"/>
        </w:rPr>
      </w:pPr>
      <w:r>
        <w:rPr>
          <w:rFonts w:hint="eastAsia" w:ascii="仿宋" w:hAnsi="仿宋"/>
          <w:sz w:val="24"/>
          <w:szCs w:val="24"/>
          <w:highlight w:val="none"/>
        </w:rPr>
        <w:t>　　6.7.1谈判小组按照第三章“评审办法”规定的评审方法、评审因素、评审标准和程序对响应文件进行详细评审。第三章“评审办法”没有规定的方法、因素和标准，不作为评审依据。</w:t>
      </w:r>
    </w:p>
    <w:p w14:paraId="4D787589">
      <w:pPr>
        <w:spacing w:line="360" w:lineRule="auto"/>
        <w:rPr>
          <w:rFonts w:ascii="仿宋" w:hAnsi="仿宋"/>
          <w:sz w:val="24"/>
          <w:szCs w:val="24"/>
          <w:highlight w:val="none"/>
        </w:rPr>
      </w:pPr>
      <w:r>
        <w:rPr>
          <w:rFonts w:hint="eastAsia" w:ascii="仿宋" w:hAnsi="仿宋"/>
          <w:sz w:val="24"/>
          <w:szCs w:val="24"/>
          <w:highlight w:val="none"/>
        </w:rPr>
        <w:t>　　6.7.2评审完成后，谈判小组应当向采购人提交书面评审报告和候选成交供应商名单。谈判小组推荐候选成交供应商的排序要求及数量见供应商须知前附表。</w:t>
      </w:r>
    </w:p>
    <w:p w14:paraId="4AEB1671">
      <w:pPr>
        <w:spacing w:line="360" w:lineRule="auto"/>
        <w:rPr>
          <w:rFonts w:ascii="仿宋" w:hAnsi="仿宋"/>
          <w:sz w:val="24"/>
          <w:szCs w:val="24"/>
          <w:highlight w:val="none"/>
        </w:rPr>
      </w:pPr>
      <w:r>
        <w:rPr>
          <w:rFonts w:hint="eastAsia" w:ascii="仿宋" w:hAnsi="仿宋"/>
          <w:sz w:val="24"/>
          <w:szCs w:val="24"/>
          <w:highlight w:val="none"/>
        </w:rPr>
        <w:t>　　6.7.3所有供应商最终报价均明显不合理的，采购人将终止谈判活动。</w:t>
      </w:r>
    </w:p>
    <w:p w14:paraId="56C3D427">
      <w:pPr>
        <w:spacing w:line="360" w:lineRule="auto"/>
        <w:rPr>
          <w:rFonts w:ascii="仿宋" w:hAnsi="仿宋"/>
          <w:sz w:val="24"/>
          <w:szCs w:val="24"/>
          <w:highlight w:val="none"/>
        </w:rPr>
      </w:pPr>
      <w:r>
        <w:rPr>
          <w:rFonts w:hint="eastAsia" w:ascii="仿宋" w:hAnsi="仿宋"/>
          <w:sz w:val="24"/>
          <w:szCs w:val="24"/>
          <w:highlight w:val="none"/>
        </w:rPr>
        <w:t>　　6.8特殊情形处理</w:t>
      </w:r>
    </w:p>
    <w:p w14:paraId="12DA84A5">
      <w:pPr>
        <w:spacing w:line="360" w:lineRule="auto"/>
        <w:rPr>
          <w:rFonts w:ascii="仿宋" w:hAnsi="仿宋"/>
          <w:sz w:val="24"/>
          <w:szCs w:val="24"/>
          <w:highlight w:val="none"/>
        </w:rPr>
      </w:pPr>
      <w:r>
        <w:rPr>
          <w:rFonts w:hint="eastAsia" w:ascii="仿宋" w:hAnsi="仿宋"/>
          <w:sz w:val="24"/>
          <w:szCs w:val="24"/>
          <w:highlight w:val="none"/>
        </w:rPr>
        <w:t>　　通过初步评审的供应商或递交最终报价的供应商数量与采购文件规定的成交供应商数量相等时，采购人可根据不同的情况决定继续或终止谈判活动；通过初步评审的供应商或递交最终报价的供应商数量少于采购文件规定的成交供应商数量的，采购人将终止谈判活动。决定终止谈判活动的，采购人将向谈判小组出具停止谈判通知书。</w:t>
      </w:r>
    </w:p>
    <w:p w14:paraId="4438146A">
      <w:pPr>
        <w:pStyle w:val="15"/>
        <w:spacing w:before="0" w:after="0"/>
        <w:rPr>
          <w:rFonts w:ascii="仿宋" w:hAnsi="仿宋" w:eastAsia="仿宋"/>
          <w:b/>
          <w:bCs/>
          <w:highlight w:val="none"/>
        </w:rPr>
      </w:pPr>
      <w:r>
        <w:rPr>
          <w:rFonts w:hint="eastAsia" w:ascii="仿宋" w:hAnsi="仿宋" w:eastAsia="仿宋"/>
          <w:b/>
          <w:bCs/>
          <w:highlight w:val="none"/>
        </w:rPr>
        <w:t>　　7合同授予</w:t>
      </w:r>
    </w:p>
    <w:p w14:paraId="1D70F078">
      <w:pPr>
        <w:spacing w:line="360" w:lineRule="auto"/>
        <w:rPr>
          <w:rFonts w:ascii="仿宋" w:hAnsi="仿宋"/>
          <w:sz w:val="24"/>
          <w:szCs w:val="24"/>
          <w:highlight w:val="none"/>
        </w:rPr>
      </w:pPr>
      <w:r>
        <w:rPr>
          <w:rFonts w:hint="eastAsia" w:ascii="仿宋" w:hAnsi="仿宋"/>
          <w:sz w:val="24"/>
          <w:szCs w:val="24"/>
          <w:highlight w:val="none"/>
        </w:rPr>
        <w:t>　　7.1候选成交供应商履约能力核查</w:t>
      </w:r>
    </w:p>
    <w:p w14:paraId="59829FBC">
      <w:pPr>
        <w:spacing w:line="360" w:lineRule="auto"/>
        <w:rPr>
          <w:rFonts w:ascii="仿宋" w:hAnsi="仿宋"/>
          <w:sz w:val="24"/>
          <w:szCs w:val="24"/>
          <w:highlight w:val="none"/>
        </w:rPr>
      </w:pPr>
      <w:r>
        <w:rPr>
          <w:rFonts w:hint="eastAsia" w:ascii="仿宋" w:hAnsi="仿宋"/>
          <w:sz w:val="24"/>
          <w:szCs w:val="24"/>
          <w:highlight w:val="none"/>
        </w:rPr>
        <w:t>　　采购人可对候选成交供应商的相关证明材料原件进行核验或组织现场考察，以确认候选成交供应商的生产经营、财务等实际状况与响应文件是否一致以及是否存在其他可</w:t>
      </w:r>
    </w:p>
    <w:p w14:paraId="6546BFD2">
      <w:pPr>
        <w:spacing w:line="360" w:lineRule="auto"/>
        <w:rPr>
          <w:rFonts w:ascii="仿宋" w:hAnsi="仿宋"/>
          <w:sz w:val="24"/>
          <w:szCs w:val="24"/>
          <w:highlight w:val="none"/>
        </w:rPr>
      </w:pPr>
      <w:r>
        <w:rPr>
          <w:rFonts w:hint="eastAsia" w:ascii="仿宋" w:hAnsi="仿宋"/>
          <w:sz w:val="24"/>
          <w:szCs w:val="24"/>
          <w:highlight w:val="none"/>
        </w:rPr>
        <w:t>　　能影响供应商履约能力的情况。核查结果将作为采购人选择确定预成交供应商的依据之一。</w:t>
      </w:r>
    </w:p>
    <w:p w14:paraId="15803D5C">
      <w:pPr>
        <w:spacing w:line="360" w:lineRule="auto"/>
        <w:rPr>
          <w:rFonts w:ascii="仿宋" w:hAnsi="仿宋"/>
          <w:sz w:val="24"/>
          <w:szCs w:val="24"/>
          <w:highlight w:val="none"/>
        </w:rPr>
      </w:pPr>
      <w:r>
        <w:rPr>
          <w:rFonts w:hint="eastAsia" w:ascii="仿宋" w:hAnsi="仿宋"/>
          <w:sz w:val="24"/>
          <w:szCs w:val="24"/>
          <w:highlight w:val="none"/>
        </w:rPr>
        <w:t>　　7.2确定预成交供应商</w:t>
      </w:r>
    </w:p>
    <w:p w14:paraId="359DB690">
      <w:pPr>
        <w:spacing w:line="360" w:lineRule="auto"/>
        <w:rPr>
          <w:rFonts w:ascii="仿宋" w:hAnsi="仿宋"/>
          <w:sz w:val="24"/>
          <w:szCs w:val="24"/>
          <w:highlight w:val="none"/>
        </w:rPr>
      </w:pPr>
      <w:r>
        <w:rPr>
          <w:rFonts w:hint="eastAsia" w:ascii="仿宋" w:hAnsi="仿宋"/>
          <w:sz w:val="24"/>
          <w:szCs w:val="24"/>
          <w:highlight w:val="none"/>
        </w:rPr>
        <w:t>　　采购人将根据评审报告及核查结果（如有），对候选成交供应商综合评估后从中选择确定预成交供应商。</w:t>
      </w:r>
    </w:p>
    <w:p w14:paraId="3C2418A1">
      <w:pPr>
        <w:spacing w:line="360" w:lineRule="auto"/>
        <w:rPr>
          <w:rFonts w:ascii="仿宋" w:hAnsi="仿宋"/>
          <w:sz w:val="24"/>
          <w:szCs w:val="24"/>
          <w:highlight w:val="none"/>
        </w:rPr>
      </w:pPr>
      <w:r>
        <w:rPr>
          <w:rFonts w:hint="eastAsia" w:ascii="仿宋" w:hAnsi="仿宋"/>
          <w:sz w:val="24"/>
          <w:szCs w:val="24"/>
          <w:highlight w:val="none"/>
        </w:rPr>
        <w:t>　　7.3预成交结果公示</w:t>
      </w:r>
    </w:p>
    <w:p w14:paraId="62EB0E37">
      <w:pPr>
        <w:spacing w:line="360" w:lineRule="auto"/>
        <w:rPr>
          <w:rFonts w:ascii="仿宋" w:hAnsi="仿宋"/>
          <w:sz w:val="24"/>
          <w:szCs w:val="24"/>
          <w:highlight w:val="none"/>
        </w:rPr>
      </w:pPr>
      <w:r>
        <w:rPr>
          <w:rFonts w:hint="eastAsia" w:ascii="仿宋" w:hAnsi="仿宋"/>
          <w:sz w:val="24"/>
          <w:szCs w:val="24"/>
          <w:highlight w:val="none"/>
        </w:rPr>
        <w:t>　　预成交供应商选定后，采购人将按照供应商须知前附表规定的公示媒介和公示期限进行公示，公示信息包括如下内容：</w:t>
      </w:r>
    </w:p>
    <w:p w14:paraId="086E4844">
      <w:pPr>
        <w:spacing w:line="360" w:lineRule="auto"/>
        <w:rPr>
          <w:rFonts w:ascii="仿宋" w:hAnsi="仿宋"/>
          <w:sz w:val="24"/>
          <w:szCs w:val="24"/>
          <w:highlight w:val="none"/>
        </w:rPr>
      </w:pPr>
      <w:r>
        <w:rPr>
          <w:rFonts w:hint="eastAsia" w:ascii="仿宋" w:hAnsi="仿宋"/>
          <w:sz w:val="24"/>
          <w:szCs w:val="24"/>
          <w:highlight w:val="none"/>
        </w:rPr>
        <w:t>　　（1）所有候选成交供应商名称、响应价格及工期/交货期/服务期限；</w:t>
      </w:r>
    </w:p>
    <w:p w14:paraId="5C2AF112">
      <w:pPr>
        <w:spacing w:line="360" w:lineRule="auto"/>
        <w:rPr>
          <w:rFonts w:ascii="仿宋" w:hAnsi="仿宋"/>
          <w:sz w:val="24"/>
          <w:szCs w:val="24"/>
          <w:highlight w:val="none"/>
        </w:rPr>
      </w:pPr>
      <w:r>
        <w:rPr>
          <w:rFonts w:hint="eastAsia" w:ascii="仿宋" w:hAnsi="仿宋"/>
          <w:sz w:val="24"/>
          <w:szCs w:val="24"/>
          <w:highlight w:val="none"/>
        </w:rPr>
        <w:t>　　（2）预成交供应商名称、预成交份额（如有）及选择原因；</w:t>
      </w:r>
    </w:p>
    <w:p w14:paraId="4F1D32E6">
      <w:pPr>
        <w:spacing w:line="360" w:lineRule="auto"/>
        <w:rPr>
          <w:rFonts w:ascii="仿宋" w:hAnsi="仿宋"/>
          <w:sz w:val="24"/>
          <w:szCs w:val="24"/>
          <w:highlight w:val="none"/>
        </w:rPr>
      </w:pPr>
      <w:r>
        <w:rPr>
          <w:rFonts w:hint="eastAsia" w:ascii="仿宋" w:hAnsi="仿宋"/>
          <w:sz w:val="24"/>
          <w:szCs w:val="24"/>
          <w:highlight w:val="none"/>
        </w:rPr>
        <w:t>　　（3）供应商须知前附表规定的其他内容。</w:t>
      </w:r>
    </w:p>
    <w:p w14:paraId="2C0BA514">
      <w:pPr>
        <w:spacing w:line="360" w:lineRule="auto"/>
        <w:rPr>
          <w:rFonts w:ascii="仿宋" w:hAnsi="仿宋"/>
          <w:sz w:val="24"/>
          <w:szCs w:val="24"/>
          <w:highlight w:val="none"/>
        </w:rPr>
      </w:pPr>
      <w:r>
        <w:rPr>
          <w:rFonts w:hint="eastAsia" w:ascii="仿宋" w:hAnsi="仿宋"/>
          <w:sz w:val="24"/>
          <w:szCs w:val="24"/>
          <w:highlight w:val="none"/>
        </w:rPr>
        <w:t>　　7.4发出成交通知书</w:t>
      </w:r>
    </w:p>
    <w:p w14:paraId="10FE5748">
      <w:pPr>
        <w:spacing w:line="360" w:lineRule="auto"/>
        <w:rPr>
          <w:rFonts w:ascii="仿宋" w:hAnsi="仿宋"/>
          <w:sz w:val="24"/>
          <w:szCs w:val="24"/>
          <w:highlight w:val="none"/>
        </w:rPr>
      </w:pPr>
      <w:r>
        <w:rPr>
          <w:rFonts w:hint="eastAsia" w:ascii="仿宋" w:hAnsi="仿宋"/>
          <w:sz w:val="24"/>
          <w:szCs w:val="24"/>
          <w:highlight w:val="none"/>
        </w:rPr>
        <w:t>　　公示期结束后，在本章第3.3款规定的响应文件有效期内，采购人以书面形式向预成交供应商发出成交通知书。</w:t>
      </w:r>
    </w:p>
    <w:p w14:paraId="1F97972D">
      <w:pPr>
        <w:spacing w:line="360" w:lineRule="auto"/>
        <w:rPr>
          <w:rFonts w:ascii="仿宋" w:hAnsi="仿宋"/>
          <w:sz w:val="24"/>
          <w:szCs w:val="24"/>
          <w:highlight w:val="none"/>
        </w:rPr>
      </w:pPr>
      <w:r>
        <w:rPr>
          <w:rFonts w:hint="eastAsia" w:ascii="仿宋" w:hAnsi="仿宋"/>
          <w:sz w:val="24"/>
          <w:szCs w:val="24"/>
          <w:highlight w:val="none"/>
        </w:rPr>
        <w:t>　　7.5发布成交公告</w:t>
      </w:r>
    </w:p>
    <w:p w14:paraId="280BA637">
      <w:pPr>
        <w:spacing w:line="360" w:lineRule="auto"/>
        <w:rPr>
          <w:rFonts w:ascii="仿宋" w:hAnsi="仿宋"/>
          <w:sz w:val="24"/>
          <w:szCs w:val="24"/>
          <w:highlight w:val="none"/>
        </w:rPr>
      </w:pPr>
      <w:r>
        <w:rPr>
          <w:rFonts w:hint="eastAsia" w:ascii="仿宋" w:hAnsi="仿宋"/>
          <w:sz w:val="24"/>
          <w:szCs w:val="24"/>
          <w:highlight w:val="none"/>
        </w:rPr>
        <w:t>　　在发出成交通知书的同时，采购人将在供应商须知前附表规定的公告媒介发布成交公告，公告信息包括成交供应商名称、响应价格及工期/交货期/服务期限、成交份额（如有）及供应商须知前附表规定的其他内容。</w:t>
      </w:r>
    </w:p>
    <w:p w14:paraId="386E589D">
      <w:pPr>
        <w:spacing w:line="360" w:lineRule="auto"/>
        <w:rPr>
          <w:rFonts w:ascii="仿宋" w:hAnsi="仿宋"/>
          <w:sz w:val="24"/>
          <w:szCs w:val="24"/>
          <w:highlight w:val="none"/>
        </w:rPr>
      </w:pPr>
      <w:r>
        <w:rPr>
          <w:rFonts w:hint="eastAsia" w:ascii="仿宋" w:hAnsi="仿宋"/>
          <w:sz w:val="24"/>
          <w:szCs w:val="24"/>
          <w:highlight w:val="none"/>
        </w:rPr>
        <w:t>　　7.6履约保证金</w:t>
      </w:r>
    </w:p>
    <w:p w14:paraId="5BD7BCC7">
      <w:pPr>
        <w:spacing w:line="360" w:lineRule="auto"/>
        <w:rPr>
          <w:rFonts w:ascii="仿宋" w:hAnsi="仿宋"/>
          <w:sz w:val="24"/>
          <w:szCs w:val="24"/>
          <w:highlight w:val="none"/>
        </w:rPr>
      </w:pPr>
      <w:r>
        <w:rPr>
          <w:rFonts w:hint="eastAsia" w:ascii="仿宋" w:hAnsi="仿宋"/>
          <w:sz w:val="24"/>
          <w:szCs w:val="24"/>
          <w:highlight w:val="none"/>
        </w:rPr>
        <w:t>　　供应商须知前附表规定递交履约保证金的，成交供应商应按供应商须知前附表规定的形式、有效期限和递交时间向采购人递交履约保证金。除供应商须知前附表另有规定外，履约保证金为采购合同金额的5%。</w:t>
      </w:r>
    </w:p>
    <w:p w14:paraId="3B421EE8">
      <w:pPr>
        <w:spacing w:line="360" w:lineRule="auto"/>
        <w:rPr>
          <w:rFonts w:ascii="仿宋" w:hAnsi="仿宋"/>
          <w:sz w:val="24"/>
          <w:szCs w:val="24"/>
          <w:highlight w:val="none"/>
        </w:rPr>
      </w:pPr>
      <w:r>
        <w:rPr>
          <w:rFonts w:hint="eastAsia" w:ascii="仿宋" w:hAnsi="仿宋"/>
          <w:sz w:val="24"/>
          <w:szCs w:val="24"/>
          <w:highlight w:val="none"/>
        </w:rPr>
        <w:t>　　7.7签订合同</w:t>
      </w:r>
    </w:p>
    <w:p w14:paraId="3807D3B6">
      <w:pPr>
        <w:spacing w:line="360" w:lineRule="auto"/>
        <w:rPr>
          <w:rFonts w:ascii="仿宋" w:hAnsi="仿宋"/>
          <w:sz w:val="24"/>
          <w:szCs w:val="24"/>
          <w:highlight w:val="none"/>
        </w:rPr>
      </w:pPr>
      <w:r>
        <w:rPr>
          <w:rFonts w:hint="eastAsia" w:ascii="仿宋" w:hAnsi="仿宋"/>
          <w:sz w:val="24"/>
          <w:szCs w:val="24"/>
          <w:highlight w:val="none"/>
        </w:rPr>
        <w:t>　　7.7.1采购人和成交供应商应当在成交通知书规定的期限内，根据采购文件和成交供应商的响应文件订立书面合同。成交供应商无正当理由拒绝签订合同，在签订合同时向采购人提出附加条件，或者不按照采购文件要求递交履约保证金的，采购人取消其成交资格，其响应保证金不予退还；给采购人造成的损失超过响应保证金数额的，成交供应商还应当对超过部分予以赔偿。</w:t>
      </w:r>
    </w:p>
    <w:p w14:paraId="76C33EEC">
      <w:pPr>
        <w:spacing w:line="360" w:lineRule="auto"/>
        <w:rPr>
          <w:rFonts w:ascii="仿宋" w:hAnsi="仿宋"/>
          <w:sz w:val="24"/>
          <w:szCs w:val="24"/>
          <w:highlight w:val="none"/>
        </w:rPr>
      </w:pPr>
      <w:r>
        <w:rPr>
          <w:rFonts w:hint="eastAsia" w:ascii="仿宋" w:hAnsi="仿宋"/>
          <w:sz w:val="24"/>
          <w:szCs w:val="24"/>
          <w:highlight w:val="none"/>
        </w:rPr>
        <w:t>　　7.7.2发出成交通知书后，采购人无正当理由拒绝签订合同，或者在签订合同时向成交供应商提出附加条件的，采购人向成交供应商退还响应保证金；给成交供应商造成损失的，还应当赔偿损失。</w:t>
      </w:r>
    </w:p>
    <w:p w14:paraId="29CD1C07">
      <w:pPr>
        <w:spacing w:line="360" w:lineRule="auto"/>
        <w:rPr>
          <w:rFonts w:ascii="仿宋" w:hAnsi="仿宋"/>
          <w:sz w:val="24"/>
          <w:szCs w:val="24"/>
          <w:highlight w:val="none"/>
        </w:rPr>
      </w:pPr>
      <w:r>
        <w:rPr>
          <w:rFonts w:hint="eastAsia" w:ascii="仿宋" w:hAnsi="仿宋"/>
          <w:sz w:val="24"/>
          <w:szCs w:val="24"/>
          <w:highlight w:val="none"/>
        </w:rPr>
        <w:t>　　7.7.3联合体成交的，联合体各方应当共同与采购人签订合同，就成交项目向采购人承担连带责任。</w:t>
      </w:r>
    </w:p>
    <w:p w14:paraId="74666971">
      <w:pPr>
        <w:spacing w:line="360" w:lineRule="auto"/>
        <w:rPr>
          <w:rFonts w:ascii="仿宋" w:hAnsi="仿宋"/>
          <w:sz w:val="24"/>
          <w:szCs w:val="24"/>
          <w:highlight w:val="none"/>
        </w:rPr>
      </w:pPr>
      <w:r>
        <w:rPr>
          <w:rFonts w:hint="eastAsia" w:ascii="仿宋" w:hAnsi="仿宋"/>
          <w:sz w:val="24"/>
          <w:szCs w:val="24"/>
          <w:highlight w:val="none"/>
        </w:rPr>
        <w:t>　　7.7.4除供应商须知前附表另有规定外，按照第三章“评审办法”第3.1.4项规定对最终报价进行修正后，若修正后的最终报价小于按照第三章“评审办法”第3.1.1项规定确定的评审价格，则签订合同时以修正后的最终报价为准；若修正后的最终报价大于评审价格，则签订合同时以评审价格为准，同时按比例修正相应子目的单价或合价（采购文件不允许调整的费率和金额除外）。</w:t>
      </w:r>
    </w:p>
    <w:p w14:paraId="0F2EA045">
      <w:pPr>
        <w:spacing w:line="360" w:lineRule="auto"/>
        <w:rPr>
          <w:rFonts w:ascii="仿宋" w:hAnsi="仿宋"/>
          <w:sz w:val="24"/>
          <w:szCs w:val="24"/>
          <w:highlight w:val="none"/>
        </w:rPr>
      </w:pPr>
      <w:r>
        <w:rPr>
          <w:rFonts w:hint="eastAsia" w:ascii="仿宋" w:hAnsi="仿宋"/>
          <w:sz w:val="24"/>
          <w:szCs w:val="24"/>
          <w:highlight w:val="none"/>
        </w:rPr>
        <w:t>　　7.8特殊情形处理</w:t>
      </w:r>
    </w:p>
    <w:p w14:paraId="7FE939E0">
      <w:pPr>
        <w:spacing w:line="360" w:lineRule="auto"/>
        <w:rPr>
          <w:rFonts w:ascii="仿宋" w:hAnsi="仿宋"/>
          <w:sz w:val="24"/>
          <w:szCs w:val="24"/>
          <w:highlight w:val="none"/>
        </w:rPr>
      </w:pPr>
      <w:r>
        <w:rPr>
          <w:rFonts w:hint="eastAsia" w:ascii="仿宋" w:hAnsi="仿宋"/>
          <w:sz w:val="24"/>
          <w:szCs w:val="24"/>
          <w:highlight w:val="none"/>
        </w:rPr>
        <w:t>　　因供应商对预成交结果提出异议、成交供应商无正当理由拒绝签订合同、成交供应商在签订合同时向采购人提出附加条件或者不按照采购文件要求递交履约保证金等导致采购人变更成交结果的，采购人应按照本条规定的程序重新选择确定预成交供应商、进行公示并公告。</w:t>
      </w:r>
    </w:p>
    <w:p w14:paraId="63C4A1F9">
      <w:pPr>
        <w:pStyle w:val="15"/>
        <w:spacing w:before="0" w:after="0"/>
        <w:rPr>
          <w:rFonts w:ascii="仿宋" w:hAnsi="仿宋" w:eastAsia="仿宋"/>
          <w:b/>
          <w:bCs/>
          <w:highlight w:val="none"/>
        </w:rPr>
      </w:pPr>
      <w:r>
        <w:rPr>
          <w:rFonts w:hint="eastAsia" w:ascii="仿宋" w:hAnsi="仿宋" w:eastAsia="仿宋"/>
          <w:b/>
          <w:bCs/>
          <w:highlight w:val="none"/>
        </w:rPr>
        <w:t>　　8异议</w:t>
      </w:r>
    </w:p>
    <w:p w14:paraId="1D594A54">
      <w:pPr>
        <w:spacing w:line="360" w:lineRule="auto"/>
        <w:rPr>
          <w:rFonts w:ascii="仿宋" w:hAnsi="仿宋"/>
          <w:sz w:val="24"/>
          <w:szCs w:val="24"/>
          <w:highlight w:val="none"/>
        </w:rPr>
      </w:pPr>
      <w:r>
        <w:rPr>
          <w:rFonts w:hint="eastAsia" w:ascii="仿宋" w:hAnsi="仿宋"/>
          <w:sz w:val="24"/>
          <w:szCs w:val="24"/>
          <w:highlight w:val="none"/>
        </w:rPr>
        <w:t>　　8.1提出异议</w:t>
      </w:r>
    </w:p>
    <w:p w14:paraId="3B73BE5C">
      <w:pPr>
        <w:spacing w:line="360" w:lineRule="auto"/>
        <w:rPr>
          <w:rFonts w:ascii="仿宋" w:hAnsi="仿宋"/>
          <w:sz w:val="24"/>
          <w:szCs w:val="24"/>
          <w:highlight w:val="none"/>
        </w:rPr>
      </w:pPr>
      <w:r>
        <w:rPr>
          <w:rFonts w:hint="eastAsia" w:ascii="仿宋" w:hAnsi="仿宋"/>
          <w:sz w:val="24"/>
          <w:szCs w:val="24"/>
          <w:highlight w:val="none"/>
        </w:rPr>
        <w:t>　　供应商或者其他利害关系人可以对预成交结果提出异议。异议应在预成交结果公示期间通过供应商须知前附表规定的异议渠道提出，并递交异议函和必要的证明材料。异议函包括但不限于下列内容：</w:t>
      </w:r>
    </w:p>
    <w:p w14:paraId="3A9BE52C">
      <w:pPr>
        <w:spacing w:line="360" w:lineRule="auto"/>
        <w:rPr>
          <w:rFonts w:ascii="仿宋" w:hAnsi="仿宋"/>
          <w:sz w:val="24"/>
          <w:szCs w:val="24"/>
          <w:highlight w:val="none"/>
        </w:rPr>
      </w:pPr>
      <w:r>
        <w:rPr>
          <w:rFonts w:hint="eastAsia" w:ascii="仿宋" w:hAnsi="仿宋"/>
          <w:sz w:val="24"/>
          <w:szCs w:val="24"/>
          <w:highlight w:val="none"/>
        </w:rPr>
        <w:t>　　（1）异议人名称、地址、邮政编码、联系人及联系电话；</w:t>
      </w:r>
    </w:p>
    <w:p w14:paraId="3893F06E">
      <w:pPr>
        <w:spacing w:line="360" w:lineRule="auto"/>
        <w:rPr>
          <w:rFonts w:ascii="仿宋" w:hAnsi="仿宋"/>
          <w:sz w:val="24"/>
          <w:szCs w:val="24"/>
          <w:highlight w:val="none"/>
        </w:rPr>
      </w:pPr>
      <w:r>
        <w:rPr>
          <w:rFonts w:hint="eastAsia" w:ascii="仿宋" w:hAnsi="仿宋"/>
          <w:sz w:val="24"/>
          <w:szCs w:val="24"/>
          <w:highlight w:val="none"/>
        </w:rPr>
        <w:t>　　（2）具体、明确的异议事项、事实依据及与异议事项相关的请求。</w:t>
      </w:r>
    </w:p>
    <w:p w14:paraId="417EC09A">
      <w:pPr>
        <w:spacing w:line="360" w:lineRule="auto"/>
        <w:rPr>
          <w:rFonts w:ascii="仿宋" w:hAnsi="仿宋"/>
          <w:sz w:val="24"/>
          <w:szCs w:val="24"/>
          <w:highlight w:val="none"/>
        </w:rPr>
      </w:pPr>
      <w:r>
        <w:rPr>
          <w:rFonts w:hint="eastAsia" w:ascii="仿宋" w:hAnsi="仿宋"/>
          <w:sz w:val="24"/>
          <w:szCs w:val="24"/>
          <w:highlight w:val="none"/>
        </w:rPr>
        <w:t>　　异议函应由异议人的法定代表人（单位负责人）或其授权的代理人签字并加盖单位章。</w:t>
      </w:r>
    </w:p>
    <w:p w14:paraId="476F7204">
      <w:pPr>
        <w:spacing w:line="360" w:lineRule="auto"/>
        <w:rPr>
          <w:rFonts w:ascii="仿宋" w:hAnsi="仿宋"/>
          <w:sz w:val="24"/>
          <w:szCs w:val="24"/>
          <w:highlight w:val="none"/>
        </w:rPr>
      </w:pPr>
      <w:r>
        <w:rPr>
          <w:rFonts w:hint="eastAsia" w:ascii="仿宋" w:hAnsi="仿宋"/>
          <w:sz w:val="24"/>
          <w:szCs w:val="24"/>
          <w:highlight w:val="none"/>
        </w:rPr>
        <w:t>　　8.2异议处理</w:t>
      </w:r>
    </w:p>
    <w:p w14:paraId="0F359D21">
      <w:pPr>
        <w:spacing w:line="360" w:lineRule="auto"/>
        <w:rPr>
          <w:rFonts w:ascii="仿宋" w:hAnsi="仿宋"/>
          <w:sz w:val="24"/>
          <w:szCs w:val="24"/>
          <w:highlight w:val="none"/>
        </w:rPr>
      </w:pPr>
      <w:r>
        <w:rPr>
          <w:rFonts w:hint="eastAsia" w:ascii="仿宋" w:hAnsi="仿宋"/>
          <w:sz w:val="24"/>
          <w:szCs w:val="24"/>
          <w:highlight w:val="none"/>
        </w:rPr>
        <w:t>　　采购人将针对异议事项进行核查，经过核查，发现异议人对相关问题理解有误的，应作出解释；发现采购活动中确实存在错误或不当行为的，应及时予以改正或补救。异议人与采购人对异议事项无法达成一致的，异议人可向供应商须知前附表规定的行业组织或专业咨询机构申请调解或进行反映。采购人认为异议不成立或不影响采购结果的，可以继续进行采购活动。</w:t>
      </w:r>
    </w:p>
    <w:p w14:paraId="59B20684">
      <w:pPr>
        <w:pStyle w:val="15"/>
        <w:spacing w:before="0" w:after="0"/>
        <w:rPr>
          <w:rFonts w:ascii="仿宋" w:hAnsi="仿宋" w:eastAsia="仿宋"/>
          <w:b/>
          <w:bCs/>
          <w:highlight w:val="none"/>
        </w:rPr>
      </w:pPr>
      <w:r>
        <w:rPr>
          <w:rFonts w:hint="eastAsia" w:ascii="仿宋" w:hAnsi="仿宋" w:eastAsia="仿宋"/>
          <w:b/>
          <w:bCs/>
          <w:highlight w:val="none"/>
        </w:rPr>
        <w:t>　　9纪律要求</w:t>
      </w:r>
    </w:p>
    <w:p w14:paraId="4528D82E">
      <w:pPr>
        <w:spacing w:line="360" w:lineRule="auto"/>
        <w:rPr>
          <w:rFonts w:ascii="仿宋" w:hAnsi="仿宋"/>
          <w:sz w:val="24"/>
          <w:szCs w:val="24"/>
          <w:highlight w:val="none"/>
        </w:rPr>
      </w:pPr>
      <w:r>
        <w:rPr>
          <w:rFonts w:hint="eastAsia" w:ascii="仿宋" w:hAnsi="仿宋"/>
          <w:sz w:val="24"/>
          <w:szCs w:val="24"/>
          <w:highlight w:val="none"/>
        </w:rPr>
        <w:t>　　9.1对采购人的纪律要求</w:t>
      </w:r>
    </w:p>
    <w:p w14:paraId="53F4FF12">
      <w:pPr>
        <w:spacing w:line="360" w:lineRule="auto"/>
        <w:rPr>
          <w:rFonts w:ascii="仿宋" w:hAnsi="仿宋"/>
          <w:sz w:val="24"/>
          <w:szCs w:val="24"/>
          <w:highlight w:val="none"/>
        </w:rPr>
      </w:pPr>
      <w:r>
        <w:rPr>
          <w:rFonts w:hint="eastAsia" w:ascii="仿宋" w:hAnsi="仿宋"/>
          <w:sz w:val="24"/>
          <w:szCs w:val="24"/>
          <w:highlight w:val="none"/>
        </w:rPr>
        <w:t>　　采购人不得泄露谈判采购活动中应当保密的情况和资料，不得与供应商串通损害国家利益、社会公共利益或者他人合法权益。</w:t>
      </w:r>
    </w:p>
    <w:p w14:paraId="1A4747D0">
      <w:pPr>
        <w:spacing w:line="360" w:lineRule="auto"/>
        <w:rPr>
          <w:rFonts w:ascii="仿宋" w:hAnsi="仿宋"/>
          <w:sz w:val="24"/>
          <w:szCs w:val="24"/>
          <w:highlight w:val="none"/>
        </w:rPr>
      </w:pPr>
      <w:r>
        <w:rPr>
          <w:rFonts w:hint="eastAsia" w:ascii="仿宋" w:hAnsi="仿宋"/>
          <w:sz w:val="24"/>
          <w:szCs w:val="24"/>
          <w:highlight w:val="none"/>
        </w:rPr>
        <w:t>　　9.2对供应商的纪律要求</w:t>
      </w:r>
    </w:p>
    <w:p w14:paraId="688F6F18">
      <w:pPr>
        <w:spacing w:line="360" w:lineRule="auto"/>
        <w:rPr>
          <w:rFonts w:ascii="仿宋" w:hAnsi="仿宋"/>
          <w:sz w:val="24"/>
          <w:szCs w:val="24"/>
          <w:highlight w:val="none"/>
        </w:rPr>
      </w:pPr>
      <w:r>
        <w:rPr>
          <w:rFonts w:hint="eastAsia" w:ascii="仿宋" w:hAnsi="仿宋"/>
          <w:sz w:val="24"/>
          <w:szCs w:val="24"/>
          <w:highlight w:val="none"/>
        </w:rPr>
        <w:t>　　供应商不得相互串通或者与采购人串通，不得向采购人或者谈判小组成员行贿谋取成交，不得以他人名义参加谈判采购活动或者以其他方式弄虚作假骗取成交；供应商不得以任何方式干扰、影响评审工作。</w:t>
      </w:r>
    </w:p>
    <w:p w14:paraId="5091432E">
      <w:pPr>
        <w:spacing w:line="360" w:lineRule="auto"/>
        <w:rPr>
          <w:rFonts w:ascii="仿宋" w:hAnsi="仿宋"/>
          <w:sz w:val="24"/>
          <w:szCs w:val="24"/>
          <w:highlight w:val="none"/>
        </w:rPr>
      </w:pPr>
      <w:r>
        <w:rPr>
          <w:rFonts w:hint="eastAsia" w:ascii="仿宋" w:hAnsi="仿宋"/>
          <w:sz w:val="24"/>
          <w:szCs w:val="24"/>
          <w:highlight w:val="none"/>
        </w:rPr>
        <w:t>　　9.3对谈判小组成员的纪律要求</w:t>
      </w:r>
    </w:p>
    <w:p w14:paraId="4A8C83EF">
      <w:pPr>
        <w:spacing w:line="360" w:lineRule="auto"/>
        <w:rPr>
          <w:rFonts w:ascii="仿宋" w:hAnsi="仿宋"/>
          <w:sz w:val="24"/>
          <w:szCs w:val="24"/>
          <w:highlight w:val="none"/>
        </w:rPr>
      </w:pPr>
      <w:r>
        <w:rPr>
          <w:rFonts w:hint="eastAsia" w:ascii="仿宋" w:hAnsi="仿宋"/>
          <w:sz w:val="24"/>
          <w:szCs w:val="24"/>
          <w:highlight w:val="none"/>
        </w:rPr>
        <w:t>　　谈判小组成员不得收受他人的财物或者其他好处，不得向他人透露对响应文件的评审和比较、候选成交供应商的推荐情况以及评审有关的其他情况。在谈判活动中，谈判小组成员应当客观、公正地履行职责，遵守职业道德，不得擅离职守、影响谈判工作正常进行，不得使用第三章“评审办法”没有规定的评审因素和标准进行评审。</w:t>
      </w:r>
    </w:p>
    <w:p w14:paraId="3756F016">
      <w:pPr>
        <w:spacing w:line="360" w:lineRule="auto"/>
        <w:rPr>
          <w:rFonts w:ascii="仿宋" w:hAnsi="仿宋"/>
          <w:sz w:val="24"/>
          <w:szCs w:val="24"/>
          <w:highlight w:val="none"/>
        </w:rPr>
      </w:pPr>
      <w:r>
        <w:rPr>
          <w:rFonts w:hint="eastAsia" w:ascii="仿宋" w:hAnsi="仿宋"/>
          <w:sz w:val="24"/>
          <w:szCs w:val="24"/>
          <w:highlight w:val="none"/>
        </w:rPr>
        <w:t>　　9.4对与谈判活动有关的工作人员的纪律要求</w:t>
      </w:r>
    </w:p>
    <w:p w14:paraId="5F803B70">
      <w:pPr>
        <w:spacing w:line="360" w:lineRule="auto"/>
        <w:rPr>
          <w:rFonts w:ascii="仿宋" w:hAnsi="仿宋"/>
          <w:sz w:val="24"/>
          <w:szCs w:val="24"/>
          <w:highlight w:val="none"/>
        </w:rPr>
      </w:pPr>
      <w:r>
        <w:rPr>
          <w:rFonts w:hint="eastAsia" w:ascii="仿宋" w:hAnsi="仿宋"/>
          <w:sz w:val="24"/>
          <w:szCs w:val="24"/>
          <w:highlight w:val="none"/>
        </w:rPr>
        <w:t>　　与谈判活动有关的工作人员不得收受他人的财物或者其他好处，不得向他人透露对响应文件的评审和比较、候选成交供应商的推荐情况以及谈判有关的其他情况。在谈判活动中，与谈判活动有关的工作人员不得擅离职守，影响谈判工作正常进行。</w:t>
      </w:r>
    </w:p>
    <w:p w14:paraId="4A656C8D">
      <w:pPr>
        <w:pStyle w:val="15"/>
        <w:spacing w:before="0" w:after="0"/>
        <w:rPr>
          <w:rFonts w:ascii="仿宋" w:hAnsi="仿宋" w:eastAsia="仿宋"/>
          <w:b/>
          <w:bCs/>
          <w:highlight w:val="none"/>
        </w:rPr>
      </w:pPr>
      <w:r>
        <w:rPr>
          <w:rFonts w:hint="eastAsia" w:ascii="仿宋" w:hAnsi="仿宋" w:eastAsia="仿宋"/>
          <w:b/>
          <w:bCs/>
          <w:highlight w:val="none"/>
        </w:rPr>
        <w:t>　　10需要补充的其他内容</w:t>
      </w:r>
    </w:p>
    <w:p w14:paraId="6FFC59C4">
      <w:pPr>
        <w:spacing w:line="360" w:lineRule="auto"/>
        <w:rPr>
          <w:rFonts w:ascii="仿宋" w:hAnsi="仿宋"/>
          <w:sz w:val="24"/>
          <w:szCs w:val="24"/>
          <w:highlight w:val="none"/>
        </w:rPr>
      </w:pPr>
      <w:r>
        <w:rPr>
          <w:rFonts w:hint="eastAsia" w:ascii="仿宋" w:hAnsi="仿宋"/>
          <w:sz w:val="24"/>
          <w:szCs w:val="24"/>
          <w:highlight w:val="none"/>
        </w:rPr>
        <w:t>　　10.1采购代理服务费</w:t>
      </w:r>
    </w:p>
    <w:p w14:paraId="767511B6">
      <w:pPr>
        <w:spacing w:line="360" w:lineRule="auto"/>
        <w:rPr>
          <w:rFonts w:ascii="仿宋" w:hAnsi="仿宋"/>
          <w:sz w:val="24"/>
          <w:szCs w:val="24"/>
          <w:highlight w:val="none"/>
        </w:rPr>
      </w:pPr>
      <w:r>
        <w:rPr>
          <w:rFonts w:hint="eastAsia" w:ascii="仿宋" w:hAnsi="仿宋"/>
          <w:sz w:val="24"/>
          <w:szCs w:val="24"/>
          <w:highlight w:val="none"/>
        </w:rPr>
        <w:t>　　供应商须知前附表规定由供应商承担采购代理服务费的，供应商应按照供应商须知前附表规定的费用标准或金额、交费时间和方式向采购代理机构支付代理服务费。</w:t>
      </w:r>
    </w:p>
    <w:p w14:paraId="6F5334F7">
      <w:pPr>
        <w:spacing w:line="360" w:lineRule="auto"/>
        <w:rPr>
          <w:rFonts w:ascii="仿宋" w:hAnsi="仿宋"/>
          <w:sz w:val="24"/>
          <w:szCs w:val="24"/>
          <w:highlight w:val="none"/>
        </w:rPr>
      </w:pPr>
      <w:r>
        <w:rPr>
          <w:rFonts w:hint="eastAsia" w:ascii="仿宋" w:hAnsi="仿宋"/>
          <w:sz w:val="24"/>
          <w:szCs w:val="24"/>
          <w:highlight w:val="none"/>
        </w:rPr>
        <w:t>　　10.2其他</w:t>
      </w:r>
    </w:p>
    <w:p w14:paraId="44211724">
      <w:pPr>
        <w:spacing w:line="360" w:lineRule="auto"/>
        <w:rPr>
          <w:rFonts w:ascii="仿宋" w:hAnsi="仿宋"/>
          <w:sz w:val="24"/>
          <w:szCs w:val="24"/>
          <w:highlight w:val="none"/>
        </w:rPr>
      </w:pPr>
      <w:r>
        <w:rPr>
          <w:rFonts w:hint="eastAsia" w:ascii="仿宋" w:hAnsi="仿宋"/>
          <w:sz w:val="24"/>
          <w:szCs w:val="24"/>
          <w:highlight w:val="none"/>
        </w:rPr>
        <w:t>　　需要补充的其他内容：见供应商须知前附表。</w:t>
      </w:r>
    </w:p>
    <w:p w14:paraId="163D4A2A">
      <w:pPr>
        <w:spacing w:line="360" w:lineRule="auto"/>
        <w:rPr>
          <w:sz w:val="24"/>
          <w:szCs w:val="24"/>
          <w:highlight w:val="none"/>
        </w:rPr>
      </w:pPr>
      <w:r>
        <w:rPr>
          <w:rFonts w:hint="eastAsia"/>
          <w:sz w:val="24"/>
          <w:szCs w:val="24"/>
          <w:highlight w:val="none"/>
        </w:rPr>
        <w:br w:type="page"/>
      </w:r>
    </w:p>
    <w:p w14:paraId="6708A4D1">
      <w:pPr>
        <w:pStyle w:val="15"/>
        <w:spacing w:before="0" w:after="0"/>
        <w:rPr>
          <w:rFonts w:ascii="仿宋" w:hAnsi="仿宋"/>
          <w:highlight w:val="none"/>
        </w:rPr>
      </w:pPr>
      <w:r>
        <w:rPr>
          <w:rFonts w:hint="eastAsia" w:ascii="仿宋" w:hAnsi="仿宋"/>
          <w:highlight w:val="none"/>
        </w:rPr>
        <w:t>　</w:t>
      </w:r>
      <w:r>
        <w:rPr>
          <w:rFonts w:hint="eastAsia" w:ascii="仿宋" w:hAnsi="仿宋" w:eastAsia="仿宋"/>
          <w:b/>
          <w:bCs/>
          <w:highlight w:val="none"/>
        </w:rPr>
        <w:t>　附件1：开启记录表</w:t>
      </w:r>
    </w:p>
    <w:p w14:paraId="0306DB13">
      <w:pPr>
        <w:spacing w:line="360" w:lineRule="auto"/>
        <w:rPr>
          <w:rFonts w:ascii="仿宋" w:hAnsi="仿宋"/>
          <w:sz w:val="24"/>
          <w:szCs w:val="24"/>
          <w:highlight w:val="none"/>
        </w:rPr>
      </w:pPr>
    </w:p>
    <w:p w14:paraId="0851CC2E">
      <w:pPr>
        <w:spacing w:line="360" w:lineRule="auto"/>
        <w:jc w:val="center"/>
        <w:rPr>
          <w:rFonts w:ascii="黑体" w:hAnsi="黑体" w:eastAsia="黑体" w:cs="黑体"/>
          <w:sz w:val="24"/>
          <w:szCs w:val="24"/>
          <w:highlight w:val="none"/>
        </w:rPr>
      </w:pPr>
      <w:r>
        <w:rPr>
          <w:rFonts w:hint="eastAsia" w:ascii="黑体" w:hAnsi="黑体" w:eastAsia="黑体" w:cs="黑体"/>
          <w:sz w:val="24"/>
          <w:szCs w:val="24"/>
          <w:highlight w:val="none"/>
        </w:rPr>
        <w:t>开启记录表</w:t>
      </w:r>
    </w:p>
    <w:p w14:paraId="7A19F6C5">
      <w:pPr>
        <w:spacing w:line="360" w:lineRule="auto"/>
        <w:jc w:val="center"/>
        <w:rPr>
          <w:sz w:val="24"/>
          <w:szCs w:val="24"/>
          <w:highlight w:val="none"/>
        </w:rPr>
      </w:pPr>
      <w:r>
        <w:rPr>
          <w:rFonts w:hint="eastAsia"/>
          <w:sz w:val="24"/>
          <w:szCs w:val="24"/>
          <w:highlight w:val="none"/>
        </w:rPr>
        <w:t>开启时间：</w:t>
      </w:r>
      <w:r>
        <w:rPr>
          <w:rFonts w:hint="eastAsia"/>
          <w:sz w:val="24"/>
          <w:szCs w:val="24"/>
          <w:highlight w:val="none"/>
          <w:u w:val="single"/>
        </w:rPr>
        <w:t>　　</w:t>
      </w:r>
      <w:r>
        <w:rPr>
          <w:rFonts w:hint="eastAsia"/>
          <w:sz w:val="24"/>
          <w:szCs w:val="24"/>
          <w:highlight w:val="none"/>
        </w:rPr>
        <w:t>年</w:t>
      </w:r>
      <w:r>
        <w:rPr>
          <w:rFonts w:hint="eastAsia"/>
          <w:sz w:val="24"/>
          <w:szCs w:val="24"/>
          <w:highlight w:val="none"/>
          <w:u w:val="single"/>
        </w:rPr>
        <w:t>　　</w:t>
      </w:r>
      <w:r>
        <w:rPr>
          <w:rFonts w:hint="eastAsia"/>
          <w:sz w:val="24"/>
          <w:szCs w:val="24"/>
          <w:highlight w:val="none"/>
        </w:rPr>
        <w:t>月</w:t>
      </w:r>
      <w:r>
        <w:rPr>
          <w:rFonts w:hint="eastAsia"/>
          <w:sz w:val="24"/>
          <w:szCs w:val="24"/>
          <w:highlight w:val="none"/>
          <w:u w:val="single"/>
        </w:rPr>
        <w:t>　　</w:t>
      </w:r>
      <w:r>
        <w:rPr>
          <w:rFonts w:hint="eastAsia"/>
          <w:sz w:val="24"/>
          <w:szCs w:val="24"/>
          <w:highlight w:val="none"/>
        </w:rPr>
        <w:t>日</w:t>
      </w:r>
      <w:r>
        <w:rPr>
          <w:rFonts w:hint="eastAsia"/>
          <w:sz w:val="24"/>
          <w:szCs w:val="24"/>
          <w:highlight w:val="none"/>
          <w:u w:val="single"/>
        </w:rPr>
        <w:t>　　</w:t>
      </w:r>
      <w:r>
        <w:rPr>
          <w:rFonts w:hint="eastAsia"/>
          <w:sz w:val="24"/>
          <w:szCs w:val="24"/>
          <w:highlight w:val="none"/>
        </w:rPr>
        <w:t>时</w:t>
      </w:r>
      <w:r>
        <w:rPr>
          <w:rFonts w:hint="eastAsia"/>
          <w:sz w:val="24"/>
          <w:szCs w:val="24"/>
          <w:highlight w:val="none"/>
          <w:u w:val="single"/>
        </w:rPr>
        <w:t>　　</w:t>
      </w:r>
      <w:r>
        <w:rPr>
          <w:rFonts w:hint="eastAsia"/>
          <w:sz w:val="24"/>
          <w:szCs w:val="24"/>
          <w:highlight w:val="none"/>
        </w:rPr>
        <w:t>分</w:t>
      </w:r>
    </w:p>
    <w:tbl>
      <w:tblPr>
        <w:tblStyle w:val="8"/>
        <w:tblW w:w="8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6"/>
        <w:gridCol w:w="2277"/>
        <w:gridCol w:w="1981"/>
        <w:gridCol w:w="1896"/>
        <w:gridCol w:w="1848"/>
      </w:tblGrid>
      <w:tr w14:paraId="2EE5B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56" w:type="dxa"/>
            <w:vAlign w:val="center"/>
          </w:tcPr>
          <w:p w14:paraId="1A08AA6A">
            <w:pPr>
              <w:spacing w:line="360" w:lineRule="auto"/>
              <w:jc w:val="center"/>
              <w:rPr>
                <w:rFonts w:ascii="仿宋" w:hAnsi="仿宋"/>
                <w:sz w:val="24"/>
                <w:szCs w:val="24"/>
                <w:highlight w:val="none"/>
              </w:rPr>
            </w:pPr>
            <w:r>
              <w:rPr>
                <w:rFonts w:hint="eastAsia" w:ascii="仿宋" w:hAnsi="仿宋"/>
                <w:sz w:val="24"/>
                <w:szCs w:val="24"/>
                <w:highlight w:val="none"/>
              </w:rPr>
              <w:t>序号</w:t>
            </w:r>
          </w:p>
        </w:tc>
        <w:tc>
          <w:tcPr>
            <w:tcW w:w="2277" w:type="dxa"/>
            <w:vAlign w:val="center"/>
          </w:tcPr>
          <w:p w14:paraId="3C2BAFAE">
            <w:pPr>
              <w:spacing w:line="360" w:lineRule="auto"/>
              <w:jc w:val="center"/>
              <w:rPr>
                <w:rFonts w:ascii="仿宋" w:hAnsi="仿宋"/>
                <w:sz w:val="24"/>
                <w:szCs w:val="24"/>
                <w:highlight w:val="none"/>
              </w:rPr>
            </w:pPr>
            <w:r>
              <w:rPr>
                <w:rFonts w:hint="eastAsia" w:ascii="仿宋" w:hAnsi="仿宋"/>
                <w:sz w:val="24"/>
                <w:szCs w:val="24"/>
                <w:highlight w:val="none"/>
              </w:rPr>
              <w:t>供应商</w:t>
            </w:r>
          </w:p>
        </w:tc>
        <w:tc>
          <w:tcPr>
            <w:tcW w:w="1981" w:type="dxa"/>
            <w:vAlign w:val="center"/>
          </w:tcPr>
          <w:p w14:paraId="4CAA7CA5">
            <w:pPr>
              <w:spacing w:line="360" w:lineRule="auto"/>
              <w:jc w:val="center"/>
              <w:rPr>
                <w:rFonts w:ascii="仿宋" w:hAnsi="仿宋"/>
                <w:sz w:val="24"/>
                <w:szCs w:val="24"/>
                <w:highlight w:val="none"/>
              </w:rPr>
            </w:pPr>
            <w:r>
              <w:rPr>
                <w:rFonts w:hint="eastAsia" w:ascii="仿宋" w:hAnsi="仿宋"/>
                <w:sz w:val="24"/>
                <w:szCs w:val="24"/>
                <w:highlight w:val="none"/>
              </w:rPr>
              <w:t>文件密封情况</w:t>
            </w:r>
          </w:p>
          <w:p w14:paraId="5E980B03">
            <w:pPr>
              <w:spacing w:line="360" w:lineRule="auto"/>
              <w:jc w:val="center"/>
              <w:rPr>
                <w:rFonts w:ascii="仿宋" w:hAnsi="仿宋"/>
                <w:sz w:val="24"/>
                <w:szCs w:val="24"/>
                <w:highlight w:val="none"/>
              </w:rPr>
            </w:pPr>
            <w:r>
              <w:rPr>
                <w:rFonts w:hint="eastAsia" w:ascii="仿宋" w:hAnsi="仿宋"/>
                <w:sz w:val="24"/>
                <w:szCs w:val="24"/>
                <w:highlight w:val="none"/>
              </w:rPr>
              <w:t>（完好/破损）</w:t>
            </w:r>
          </w:p>
        </w:tc>
        <w:tc>
          <w:tcPr>
            <w:tcW w:w="1896" w:type="dxa"/>
            <w:vAlign w:val="center"/>
          </w:tcPr>
          <w:p w14:paraId="3A9A1B43">
            <w:pPr>
              <w:spacing w:line="360" w:lineRule="auto"/>
              <w:jc w:val="center"/>
              <w:rPr>
                <w:rFonts w:ascii="仿宋" w:hAnsi="仿宋"/>
                <w:sz w:val="24"/>
                <w:szCs w:val="24"/>
                <w:highlight w:val="none"/>
              </w:rPr>
            </w:pPr>
            <w:r>
              <w:rPr>
                <w:rFonts w:hint="eastAsia" w:ascii="仿宋" w:hAnsi="仿宋"/>
                <w:sz w:val="24"/>
                <w:szCs w:val="24"/>
                <w:highlight w:val="none"/>
              </w:rPr>
              <w:t>供应商代表</w:t>
            </w:r>
          </w:p>
          <w:p w14:paraId="34895A69">
            <w:pPr>
              <w:spacing w:line="360" w:lineRule="auto"/>
              <w:jc w:val="center"/>
              <w:rPr>
                <w:rFonts w:ascii="仿宋" w:hAnsi="仿宋"/>
                <w:sz w:val="24"/>
                <w:szCs w:val="24"/>
                <w:highlight w:val="none"/>
              </w:rPr>
            </w:pPr>
            <w:r>
              <w:rPr>
                <w:rFonts w:hint="eastAsia" w:ascii="仿宋" w:hAnsi="仿宋"/>
                <w:sz w:val="24"/>
                <w:szCs w:val="24"/>
                <w:highlight w:val="none"/>
              </w:rPr>
              <w:t>签名</w:t>
            </w:r>
          </w:p>
        </w:tc>
        <w:tc>
          <w:tcPr>
            <w:tcW w:w="1848" w:type="dxa"/>
            <w:vAlign w:val="center"/>
          </w:tcPr>
          <w:p w14:paraId="11434263">
            <w:pPr>
              <w:spacing w:line="360" w:lineRule="auto"/>
              <w:jc w:val="center"/>
              <w:rPr>
                <w:rFonts w:ascii="仿宋" w:hAnsi="仿宋"/>
                <w:sz w:val="24"/>
                <w:szCs w:val="24"/>
                <w:highlight w:val="none"/>
              </w:rPr>
            </w:pPr>
            <w:r>
              <w:rPr>
                <w:rFonts w:hint="eastAsia" w:ascii="仿宋" w:hAnsi="仿宋"/>
                <w:sz w:val="24"/>
                <w:szCs w:val="24"/>
                <w:highlight w:val="none"/>
              </w:rPr>
              <w:t>联系方式</w:t>
            </w:r>
          </w:p>
        </w:tc>
      </w:tr>
      <w:tr w14:paraId="66D3D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556" w:type="dxa"/>
            <w:vAlign w:val="center"/>
          </w:tcPr>
          <w:p w14:paraId="2EAB5AC2">
            <w:pPr>
              <w:spacing w:line="360" w:lineRule="auto"/>
              <w:rPr>
                <w:rFonts w:ascii="仿宋" w:hAnsi="仿宋"/>
                <w:sz w:val="24"/>
                <w:szCs w:val="24"/>
                <w:highlight w:val="none"/>
              </w:rPr>
            </w:pPr>
          </w:p>
        </w:tc>
        <w:tc>
          <w:tcPr>
            <w:tcW w:w="2277" w:type="dxa"/>
            <w:vAlign w:val="center"/>
          </w:tcPr>
          <w:p w14:paraId="3ED6FA43">
            <w:pPr>
              <w:spacing w:line="360" w:lineRule="auto"/>
              <w:rPr>
                <w:rFonts w:ascii="仿宋" w:hAnsi="仿宋"/>
                <w:sz w:val="24"/>
                <w:szCs w:val="24"/>
                <w:highlight w:val="none"/>
              </w:rPr>
            </w:pPr>
          </w:p>
        </w:tc>
        <w:tc>
          <w:tcPr>
            <w:tcW w:w="1981" w:type="dxa"/>
            <w:vAlign w:val="center"/>
          </w:tcPr>
          <w:p w14:paraId="3694FC63">
            <w:pPr>
              <w:spacing w:line="360" w:lineRule="auto"/>
              <w:rPr>
                <w:rFonts w:ascii="仿宋" w:hAnsi="仿宋"/>
                <w:sz w:val="24"/>
                <w:szCs w:val="24"/>
                <w:highlight w:val="none"/>
              </w:rPr>
            </w:pPr>
          </w:p>
        </w:tc>
        <w:tc>
          <w:tcPr>
            <w:tcW w:w="1896" w:type="dxa"/>
            <w:vAlign w:val="center"/>
          </w:tcPr>
          <w:p w14:paraId="7432CEFD">
            <w:pPr>
              <w:spacing w:line="360" w:lineRule="auto"/>
              <w:rPr>
                <w:rFonts w:ascii="仿宋" w:hAnsi="仿宋"/>
                <w:sz w:val="24"/>
                <w:szCs w:val="24"/>
                <w:highlight w:val="none"/>
              </w:rPr>
            </w:pPr>
          </w:p>
        </w:tc>
        <w:tc>
          <w:tcPr>
            <w:tcW w:w="1848" w:type="dxa"/>
            <w:vAlign w:val="center"/>
          </w:tcPr>
          <w:p w14:paraId="0F693421">
            <w:pPr>
              <w:spacing w:line="360" w:lineRule="auto"/>
              <w:rPr>
                <w:rFonts w:ascii="仿宋" w:hAnsi="仿宋"/>
                <w:sz w:val="24"/>
                <w:szCs w:val="24"/>
                <w:highlight w:val="none"/>
              </w:rPr>
            </w:pPr>
          </w:p>
        </w:tc>
      </w:tr>
      <w:tr w14:paraId="193DD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556" w:type="dxa"/>
            <w:vAlign w:val="center"/>
          </w:tcPr>
          <w:p w14:paraId="1EA9EC39">
            <w:pPr>
              <w:spacing w:line="360" w:lineRule="auto"/>
              <w:rPr>
                <w:rFonts w:ascii="仿宋" w:hAnsi="仿宋"/>
                <w:sz w:val="24"/>
                <w:szCs w:val="24"/>
                <w:highlight w:val="none"/>
              </w:rPr>
            </w:pPr>
          </w:p>
        </w:tc>
        <w:tc>
          <w:tcPr>
            <w:tcW w:w="2277" w:type="dxa"/>
            <w:vAlign w:val="center"/>
          </w:tcPr>
          <w:p w14:paraId="59D71515">
            <w:pPr>
              <w:spacing w:line="360" w:lineRule="auto"/>
              <w:rPr>
                <w:rFonts w:ascii="仿宋" w:hAnsi="仿宋"/>
                <w:sz w:val="24"/>
                <w:szCs w:val="24"/>
                <w:highlight w:val="none"/>
              </w:rPr>
            </w:pPr>
          </w:p>
        </w:tc>
        <w:tc>
          <w:tcPr>
            <w:tcW w:w="1981" w:type="dxa"/>
            <w:vAlign w:val="center"/>
          </w:tcPr>
          <w:p w14:paraId="59DF8929">
            <w:pPr>
              <w:spacing w:line="360" w:lineRule="auto"/>
              <w:rPr>
                <w:rFonts w:ascii="仿宋" w:hAnsi="仿宋"/>
                <w:sz w:val="24"/>
                <w:szCs w:val="24"/>
                <w:highlight w:val="none"/>
              </w:rPr>
            </w:pPr>
          </w:p>
        </w:tc>
        <w:tc>
          <w:tcPr>
            <w:tcW w:w="1896" w:type="dxa"/>
            <w:vAlign w:val="center"/>
          </w:tcPr>
          <w:p w14:paraId="49F6008A">
            <w:pPr>
              <w:spacing w:line="360" w:lineRule="auto"/>
              <w:rPr>
                <w:rFonts w:ascii="仿宋" w:hAnsi="仿宋"/>
                <w:sz w:val="24"/>
                <w:szCs w:val="24"/>
                <w:highlight w:val="none"/>
              </w:rPr>
            </w:pPr>
          </w:p>
        </w:tc>
        <w:tc>
          <w:tcPr>
            <w:tcW w:w="1848" w:type="dxa"/>
            <w:vAlign w:val="center"/>
          </w:tcPr>
          <w:p w14:paraId="10E87C12">
            <w:pPr>
              <w:spacing w:line="360" w:lineRule="auto"/>
              <w:rPr>
                <w:rFonts w:ascii="仿宋" w:hAnsi="仿宋"/>
                <w:sz w:val="24"/>
                <w:szCs w:val="24"/>
                <w:highlight w:val="none"/>
              </w:rPr>
            </w:pPr>
          </w:p>
        </w:tc>
      </w:tr>
      <w:tr w14:paraId="4A8E4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556" w:type="dxa"/>
            <w:vAlign w:val="center"/>
          </w:tcPr>
          <w:p w14:paraId="1BC3FA02">
            <w:pPr>
              <w:spacing w:line="360" w:lineRule="auto"/>
              <w:rPr>
                <w:rFonts w:ascii="仿宋" w:hAnsi="仿宋"/>
                <w:sz w:val="24"/>
                <w:szCs w:val="24"/>
                <w:highlight w:val="none"/>
              </w:rPr>
            </w:pPr>
          </w:p>
        </w:tc>
        <w:tc>
          <w:tcPr>
            <w:tcW w:w="2277" w:type="dxa"/>
            <w:vAlign w:val="center"/>
          </w:tcPr>
          <w:p w14:paraId="07EFFC05">
            <w:pPr>
              <w:spacing w:line="360" w:lineRule="auto"/>
              <w:rPr>
                <w:rFonts w:ascii="仿宋" w:hAnsi="仿宋"/>
                <w:sz w:val="24"/>
                <w:szCs w:val="24"/>
                <w:highlight w:val="none"/>
              </w:rPr>
            </w:pPr>
          </w:p>
        </w:tc>
        <w:tc>
          <w:tcPr>
            <w:tcW w:w="1981" w:type="dxa"/>
            <w:vAlign w:val="center"/>
          </w:tcPr>
          <w:p w14:paraId="45B2CBD6">
            <w:pPr>
              <w:spacing w:line="360" w:lineRule="auto"/>
              <w:rPr>
                <w:rFonts w:ascii="仿宋" w:hAnsi="仿宋"/>
                <w:sz w:val="24"/>
                <w:szCs w:val="24"/>
                <w:highlight w:val="none"/>
              </w:rPr>
            </w:pPr>
          </w:p>
        </w:tc>
        <w:tc>
          <w:tcPr>
            <w:tcW w:w="1896" w:type="dxa"/>
            <w:vAlign w:val="center"/>
          </w:tcPr>
          <w:p w14:paraId="6C8CEC41">
            <w:pPr>
              <w:spacing w:line="360" w:lineRule="auto"/>
              <w:rPr>
                <w:rFonts w:ascii="仿宋" w:hAnsi="仿宋"/>
                <w:sz w:val="24"/>
                <w:szCs w:val="24"/>
                <w:highlight w:val="none"/>
              </w:rPr>
            </w:pPr>
          </w:p>
        </w:tc>
        <w:tc>
          <w:tcPr>
            <w:tcW w:w="1848" w:type="dxa"/>
            <w:vAlign w:val="center"/>
          </w:tcPr>
          <w:p w14:paraId="14756385">
            <w:pPr>
              <w:spacing w:line="360" w:lineRule="auto"/>
              <w:rPr>
                <w:rFonts w:ascii="仿宋" w:hAnsi="仿宋"/>
                <w:sz w:val="24"/>
                <w:szCs w:val="24"/>
                <w:highlight w:val="none"/>
              </w:rPr>
            </w:pPr>
          </w:p>
        </w:tc>
      </w:tr>
      <w:tr w14:paraId="29DD3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556" w:type="dxa"/>
            <w:vAlign w:val="center"/>
          </w:tcPr>
          <w:p w14:paraId="76F1D7EA">
            <w:pPr>
              <w:spacing w:line="360" w:lineRule="auto"/>
              <w:rPr>
                <w:rFonts w:ascii="仿宋" w:hAnsi="仿宋"/>
                <w:sz w:val="24"/>
                <w:szCs w:val="24"/>
                <w:highlight w:val="none"/>
              </w:rPr>
            </w:pPr>
          </w:p>
        </w:tc>
        <w:tc>
          <w:tcPr>
            <w:tcW w:w="2277" w:type="dxa"/>
            <w:vAlign w:val="center"/>
          </w:tcPr>
          <w:p w14:paraId="1B6027DA">
            <w:pPr>
              <w:spacing w:line="360" w:lineRule="auto"/>
              <w:rPr>
                <w:rFonts w:ascii="仿宋" w:hAnsi="仿宋"/>
                <w:sz w:val="24"/>
                <w:szCs w:val="24"/>
                <w:highlight w:val="none"/>
              </w:rPr>
            </w:pPr>
          </w:p>
        </w:tc>
        <w:tc>
          <w:tcPr>
            <w:tcW w:w="1981" w:type="dxa"/>
            <w:vAlign w:val="center"/>
          </w:tcPr>
          <w:p w14:paraId="59D34D88">
            <w:pPr>
              <w:spacing w:line="360" w:lineRule="auto"/>
              <w:rPr>
                <w:rFonts w:ascii="仿宋" w:hAnsi="仿宋"/>
                <w:sz w:val="24"/>
                <w:szCs w:val="24"/>
                <w:highlight w:val="none"/>
              </w:rPr>
            </w:pPr>
          </w:p>
        </w:tc>
        <w:tc>
          <w:tcPr>
            <w:tcW w:w="1896" w:type="dxa"/>
            <w:vAlign w:val="center"/>
          </w:tcPr>
          <w:p w14:paraId="21BF3B7B">
            <w:pPr>
              <w:spacing w:line="360" w:lineRule="auto"/>
              <w:rPr>
                <w:rFonts w:ascii="仿宋" w:hAnsi="仿宋"/>
                <w:sz w:val="24"/>
                <w:szCs w:val="24"/>
                <w:highlight w:val="none"/>
              </w:rPr>
            </w:pPr>
          </w:p>
        </w:tc>
        <w:tc>
          <w:tcPr>
            <w:tcW w:w="1848" w:type="dxa"/>
            <w:vAlign w:val="center"/>
          </w:tcPr>
          <w:p w14:paraId="079D7487">
            <w:pPr>
              <w:spacing w:line="360" w:lineRule="auto"/>
              <w:rPr>
                <w:rFonts w:ascii="仿宋" w:hAnsi="仿宋"/>
                <w:sz w:val="24"/>
                <w:szCs w:val="24"/>
                <w:highlight w:val="none"/>
              </w:rPr>
            </w:pPr>
          </w:p>
        </w:tc>
      </w:tr>
      <w:tr w14:paraId="53982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556" w:type="dxa"/>
            <w:vAlign w:val="center"/>
          </w:tcPr>
          <w:p w14:paraId="17ED2F44">
            <w:pPr>
              <w:spacing w:line="360" w:lineRule="auto"/>
              <w:rPr>
                <w:rFonts w:ascii="仿宋" w:hAnsi="仿宋"/>
                <w:sz w:val="24"/>
                <w:szCs w:val="24"/>
                <w:highlight w:val="none"/>
              </w:rPr>
            </w:pPr>
          </w:p>
        </w:tc>
        <w:tc>
          <w:tcPr>
            <w:tcW w:w="2277" w:type="dxa"/>
            <w:vAlign w:val="center"/>
          </w:tcPr>
          <w:p w14:paraId="1E84ACEF">
            <w:pPr>
              <w:spacing w:line="360" w:lineRule="auto"/>
              <w:rPr>
                <w:rFonts w:ascii="仿宋" w:hAnsi="仿宋"/>
                <w:sz w:val="24"/>
                <w:szCs w:val="24"/>
                <w:highlight w:val="none"/>
              </w:rPr>
            </w:pPr>
          </w:p>
        </w:tc>
        <w:tc>
          <w:tcPr>
            <w:tcW w:w="1981" w:type="dxa"/>
            <w:vAlign w:val="center"/>
          </w:tcPr>
          <w:p w14:paraId="56759CD4">
            <w:pPr>
              <w:spacing w:line="360" w:lineRule="auto"/>
              <w:rPr>
                <w:rFonts w:ascii="仿宋" w:hAnsi="仿宋"/>
                <w:sz w:val="24"/>
                <w:szCs w:val="24"/>
                <w:highlight w:val="none"/>
              </w:rPr>
            </w:pPr>
          </w:p>
        </w:tc>
        <w:tc>
          <w:tcPr>
            <w:tcW w:w="1896" w:type="dxa"/>
            <w:vAlign w:val="center"/>
          </w:tcPr>
          <w:p w14:paraId="08172862">
            <w:pPr>
              <w:spacing w:line="360" w:lineRule="auto"/>
              <w:rPr>
                <w:rFonts w:ascii="仿宋" w:hAnsi="仿宋"/>
                <w:sz w:val="24"/>
                <w:szCs w:val="24"/>
                <w:highlight w:val="none"/>
              </w:rPr>
            </w:pPr>
          </w:p>
        </w:tc>
        <w:tc>
          <w:tcPr>
            <w:tcW w:w="1848" w:type="dxa"/>
            <w:vAlign w:val="center"/>
          </w:tcPr>
          <w:p w14:paraId="5B6F4886">
            <w:pPr>
              <w:spacing w:line="360" w:lineRule="auto"/>
              <w:rPr>
                <w:rFonts w:ascii="仿宋" w:hAnsi="仿宋"/>
                <w:sz w:val="24"/>
                <w:szCs w:val="24"/>
                <w:highlight w:val="none"/>
              </w:rPr>
            </w:pPr>
          </w:p>
        </w:tc>
      </w:tr>
      <w:tr w14:paraId="53A24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556" w:type="dxa"/>
            <w:vAlign w:val="center"/>
          </w:tcPr>
          <w:p w14:paraId="5451FC2E">
            <w:pPr>
              <w:spacing w:line="360" w:lineRule="auto"/>
              <w:rPr>
                <w:rFonts w:ascii="仿宋" w:hAnsi="仿宋"/>
                <w:sz w:val="24"/>
                <w:szCs w:val="24"/>
                <w:highlight w:val="none"/>
              </w:rPr>
            </w:pPr>
          </w:p>
        </w:tc>
        <w:tc>
          <w:tcPr>
            <w:tcW w:w="2277" w:type="dxa"/>
            <w:vAlign w:val="center"/>
          </w:tcPr>
          <w:p w14:paraId="70884122">
            <w:pPr>
              <w:spacing w:line="360" w:lineRule="auto"/>
              <w:rPr>
                <w:rFonts w:ascii="仿宋" w:hAnsi="仿宋"/>
                <w:sz w:val="24"/>
                <w:szCs w:val="24"/>
                <w:highlight w:val="none"/>
              </w:rPr>
            </w:pPr>
          </w:p>
        </w:tc>
        <w:tc>
          <w:tcPr>
            <w:tcW w:w="1981" w:type="dxa"/>
            <w:vAlign w:val="center"/>
          </w:tcPr>
          <w:p w14:paraId="655E4AAC">
            <w:pPr>
              <w:spacing w:line="360" w:lineRule="auto"/>
              <w:rPr>
                <w:rFonts w:ascii="仿宋" w:hAnsi="仿宋"/>
                <w:sz w:val="24"/>
                <w:szCs w:val="24"/>
                <w:highlight w:val="none"/>
              </w:rPr>
            </w:pPr>
          </w:p>
        </w:tc>
        <w:tc>
          <w:tcPr>
            <w:tcW w:w="1896" w:type="dxa"/>
            <w:vAlign w:val="center"/>
          </w:tcPr>
          <w:p w14:paraId="24C179EF">
            <w:pPr>
              <w:spacing w:line="360" w:lineRule="auto"/>
              <w:rPr>
                <w:rFonts w:ascii="仿宋" w:hAnsi="仿宋"/>
                <w:sz w:val="24"/>
                <w:szCs w:val="24"/>
                <w:highlight w:val="none"/>
              </w:rPr>
            </w:pPr>
          </w:p>
        </w:tc>
        <w:tc>
          <w:tcPr>
            <w:tcW w:w="1848" w:type="dxa"/>
            <w:vAlign w:val="center"/>
          </w:tcPr>
          <w:p w14:paraId="715BFA5C">
            <w:pPr>
              <w:spacing w:line="360" w:lineRule="auto"/>
              <w:rPr>
                <w:rFonts w:ascii="仿宋" w:hAnsi="仿宋"/>
                <w:sz w:val="24"/>
                <w:szCs w:val="24"/>
                <w:highlight w:val="none"/>
              </w:rPr>
            </w:pPr>
          </w:p>
        </w:tc>
      </w:tr>
      <w:tr w14:paraId="2863F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556" w:type="dxa"/>
            <w:vAlign w:val="center"/>
          </w:tcPr>
          <w:p w14:paraId="30338104">
            <w:pPr>
              <w:spacing w:line="360" w:lineRule="auto"/>
              <w:rPr>
                <w:rFonts w:ascii="仿宋" w:hAnsi="仿宋"/>
                <w:sz w:val="24"/>
                <w:szCs w:val="24"/>
                <w:highlight w:val="none"/>
              </w:rPr>
            </w:pPr>
          </w:p>
        </w:tc>
        <w:tc>
          <w:tcPr>
            <w:tcW w:w="2277" w:type="dxa"/>
            <w:vAlign w:val="center"/>
          </w:tcPr>
          <w:p w14:paraId="1FF183A4">
            <w:pPr>
              <w:spacing w:line="360" w:lineRule="auto"/>
              <w:rPr>
                <w:rFonts w:ascii="仿宋" w:hAnsi="仿宋"/>
                <w:sz w:val="24"/>
                <w:szCs w:val="24"/>
                <w:highlight w:val="none"/>
              </w:rPr>
            </w:pPr>
          </w:p>
        </w:tc>
        <w:tc>
          <w:tcPr>
            <w:tcW w:w="1981" w:type="dxa"/>
            <w:vAlign w:val="center"/>
          </w:tcPr>
          <w:p w14:paraId="5C8F5509">
            <w:pPr>
              <w:spacing w:line="360" w:lineRule="auto"/>
              <w:rPr>
                <w:rFonts w:ascii="仿宋" w:hAnsi="仿宋"/>
                <w:sz w:val="24"/>
                <w:szCs w:val="24"/>
                <w:highlight w:val="none"/>
              </w:rPr>
            </w:pPr>
          </w:p>
        </w:tc>
        <w:tc>
          <w:tcPr>
            <w:tcW w:w="1896" w:type="dxa"/>
            <w:vAlign w:val="center"/>
          </w:tcPr>
          <w:p w14:paraId="1D6B07C1">
            <w:pPr>
              <w:spacing w:line="360" w:lineRule="auto"/>
              <w:rPr>
                <w:rFonts w:ascii="仿宋" w:hAnsi="仿宋"/>
                <w:sz w:val="24"/>
                <w:szCs w:val="24"/>
                <w:highlight w:val="none"/>
              </w:rPr>
            </w:pPr>
          </w:p>
        </w:tc>
        <w:tc>
          <w:tcPr>
            <w:tcW w:w="1848" w:type="dxa"/>
            <w:vAlign w:val="center"/>
          </w:tcPr>
          <w:p w14:paraId="3D01D129">
            <w:pPr>
              <w:spacing w:line="360" w:lineRule="auto"/>
              <w:rPr>
                <w:rFonts w:ascii="仿宋" w:hAnsi="仿宋"/>
                <w:sz w:val="24"/>
                <w:szCs w:val="24"/>
                <w:highlight w:val="none"/>
              </w:rPr>
            </w:pPr>
          </w:p>
        </w:tc>
      </w:tr>
    </w:tbl>
    <w:p w14:paraId="5271ABD6">
      <w:pPr>
        <w:spacing w:line="360" w:lineRule="auto"/>
        <w:rPr>
          <w:sz w:val="24"/>
          <w:szCs w:val="24"/>
          <w:highlight w:val="none"/>
        </w:rPr>
      </w:pPr>
      <w:r>
        <w:rPr>
          <w:rFonts w:hint="eastAsia"/>
          <w:sz w:val="24"/>
          <w:szCs w:val="24"/>
          <w:highlight w:val="none"/>
        </w:rPr>
        <w:t>　　</w:t>
      </w:r>
    </w:p>
    <w:p w14:paraId="15C272D2">
      <w:pPr>
        <w:spacing w:line="360" w:lineRule="auto"/>
        <w:rPr>
          <w:sz w:val="24"/>
          <w:szCs w:val="24"/>
          <w:highlight w:val="none"/>
          <w:u w:val="single"/>
        </w:rPr>
      </w:pPr>
      <w:r>
        <w:rPr>
          <w:rFonts w:hint="eastAsia"/>
          <w:sz w:val="24"/>
          <w:szCs w:val="24"/>
          <w:highlight w:val="none"/>
        </w:rPr>
        <w:t>　　　　　　　　采购人代表：</w:t>
      </w:r>
      <w:r>
        <w:rPr>
          <w:rFonts w:hint="eastAsia"/>
          <w:sz w:val="24"/>
          <w:szCs w:val="24"/>
          <w:highlight w:val="none"/>
          <w:u w:val="single"/>
        </w:rPr>
        <w:t>　　　　</w:t>
      </w:r>
      <w:r>
        <w:rPr>
          <w:rFonts w:hint="eastAsia"/>
          <w:sz w:val="24"/>
          <w:szCs w:val="24"/>
          <w:highlight w:val="none"/>
        </w:rPr>
        <w:t>记录人：</w:t>
      </w:r>
      <w:r>
        <w:rPr>
          <w:rFonts w:hint="eastAsia"/>
          <w:sz w:val="24"/>
          <w:szCs w:val="24"/>
          <w:highlight w:val="none"/>
          <w:u w:val="single"/>
        </w:rPr>
        <w:t>　　　　</w:t>
      </w:r>
    </w:p>
    <w:p w14:paraId="4A6B37F6">
      <w:pPr>
        <w:spacing w:line="360" w:lineRule="auto"/>
        <w:jc w:val="right"/>
        <w:rPr>
          <w:sz w:val="24"/>
          <w:szCs w:val="24"/>
          <w:highlight w:val="none"/>
        </w:rPr>
      </w:pPr>
      <w:r>
        <w:rPr>
          <w:rFonts w:hint="eastAsia"/>
          <w:sz w:val="24"/>
          <w:szCs w:val="24"/>
          <w:highlight w:val="none"/>
        </w:rPr>
        <w:t>　　　　</w:t>
      </w:r>
      <w:r>
        <w:rPr>
          <w:rFonts w:hint="eastAsia"/>
          <w:sz w:val="24"/>
          <w:szCs w:val="24"/>
          <w:highlight w:val="none"/>
          <w:u w:val="single"/>
        </w:rPr>
        <w:t>　　</w:t>
      </w:r>
      <w:r>
        <w:rPr>
          <w:rFonts w:hint="eastAsia"/>
          <w:sz w:val="24"/>
          <w:szCs w:val="24"/>
          <w:highlight w:val="none"/>
        </w:rPr>
        <w:t>年</w:t>
      </w:r>
      <w:r>
        <w:rPr>
          <w:rFonts w:hint="eastAsia"/>
          <w:sz w:val="24"/>
          <w:szCs w:val="24"/>
          <w:highlight w:val="none"/>
          <w:u w:val="single"/>
        </w:rPr>
        <w:t>　　</w:t>
      </w:r>
      <w:r>
        <w:rPr>
          <w:rFonts w:hint="eastAsia"/>
          <w:sz w:val="24"/>
          <w:szCs w:val="24"/>
          <w:highlight w:val="none"/>
        </w:rPr>
        <w:t>月</w:t>
      </w:r>
      <w:r>
        <w:rPr>
          <w:rFonts w:hint="eastAsia"/>
          <w:sz w:val="24"/>
          <w:szCs w:val="24"/>
          <w:highlight w:val="none"/>
          <w:u w:val="single"/>
        </w:rPr>
        <w:t>　　</w:t>
      </w:r>
      <w:r>
        <w:rPr>
          <w:rFonts w:hint="eastAsia"/>
          <w:sz w:val="24"/>
          <w:szCs w:val="24"/>
          <w:highlight w:val="none"/>
        </w:rPr>
        <w:t>日</w:t>
      </w:r>
    </w:p>
    <w:p w14:paraId="44B436F9">
      <w:pPr>
        <w:spacing w:line="360" w:lineRule="auto"/>
        <w:rPr>
          <w:sz w:val="24"/>
          <w:szCs w:val="24"/>
          <w:highlight w:val="none"/>
        </w:rPr>
      </w:pPr>
      <w:r>
        <w:rPr>
          <w:rFonts w:hint="eastAsia"/>
          <w:sz w:val="24"/>
          <w:szCs w:val="24"/>
          <w:highlight w:val="none"/>
        </w:rPr>
        <w:br w:type="page"/>
      </w:r>
    </w:p>
    <w:p w14:paraId="4FA6C28C">
      <w:pPr>
        <w:pStyle w:val="15"/>
        <w:spacing w:before="0" w:after="0"/>
        <w:rPr>
          <w:rFonts w:ascii="仿宋" w:hAnsi="仿宋" w:eastAsia="仿宋"/>
          <w:b/>
          <w:bCs/>
          <w:highlight w:val="none"/>
        </w:rPr>
      </w:pPr>
      <w:r>
        <w:rPr>
          <w:rFonts w:hint="eastAsia" w:ascii="仿宋" w:hAnsi="仿宋" w:eastAsia="仿宋"/>
          <w:b/>
          <w:bCs/>
          <w:highlight w:val="none"/>
        </w:rPr>
        <w:t>　　附件2：问题澄清通知</w:t>
      </w:r>
    </w:p>
    <w:p w14:paraId="1AA66731">
      <w:pPr>
        <w:spacing w:line="360" w:lineRule="auto"/>
        <w:rPr>
          <w:rFonts w:ascii="仿宋" w:hAnsi="仿宋"/>
          <w:sz w:val="24"/>
          <w:szCs w:val="24"/>
          <w:highlight w:val="none"/>
        </w:rPr>
      </w:pPr>
    </w:p>
    <w:p w14:paraId="21766656">
      <w:pPr>
        <w:spacing w:line="360" w:lineRule="auto"/>
        <w:jc w:val="center"/>
        <w:rPr>
          <w:rFonts w:ascii="黑体" w:hAnsi="黑体" w:eastAsia="黑体" w:cs="黑体"/>
          <w:sz w:val="24"/>
          <w:szCs w:val="24"/>
          <w:highlight w:val="none"/>
        </w:rPr>
      </w:pPr>
      <w:r>
        <w:rPr>
          <w:rFonts w:hint="eastAsia" w:ascii="黑体" w:hAnsi="黑体" w:eastAsia="黑体" w:cs="黑体"/>
          <w:sz w:val="24"/>
          <w:szCs w:val="24"/>
          <w:highlight w:val="none"/>
        </w:rPr>
        <w:t>问题澄清通知</w:t>
      </w:r>
    </w:p>
    <w:p w14:paraId="30351DCA">
      <w:pPr>
        <w:spacing w:line="360" w:lineRule="auto"/>
        <w:jc w:val="center"/>
        <w:rPr>
          <w:sz w:val="24"/>
          <w:szCs w:val="24"/>
          <w:highlight w:val="none"/>
        </w:rPr>
      </w:pPr>
      <w:r>
        <w:rPr>
          <w:rFonts w:hint="eastAsia"/>
          <w:sz w:val="24"/>
          <w:szCs w:val="24"/>
          <w:highlight w:val="none"/>
        </w:rPr>
        <w:t>（编号：</w:t>
      </w:r>
      <w:r>
        <w:rPr>
          <w:rFonts w:hint="eastAsia"/>
          <w:sz w:val="24"/>
          <w:szCs w:val="24"/>
          <w:highlight w:val="none"/>
          <w:u w:val="single"/>
        </w:rPr>
        <w:t>　　　　</w:t>
      </w:r>
      <w:r>
        <w:rPr>
          <w:rFonts w:hint="eastAsia"/>
          <w:sz w:val="24"/>
          <w:szCs w:val="24"/>
          <w:highlight w:val="none"/>
        </w:rPr>
        <w:t>）</w:t>
      </w:r>
    </w:p>
    <w:p w14:paraId="27E9B42C">
      <w:pPr>
        <w:spacing w:line="360" w:lineRule="auto"/>
        <w:rPr>
          <w:rFonts w:ascii="仿宋" w:hAnsi="仿宋"/>
          <w:sz w:val="24"/>
          <w:szCs w:val="24"/>
          <w:highlight w:val="none"/>
        </w:rPr>
      </w:pPr>
      <w:r>
        <w:rPr>
          <w:rFonts w:hint="eastAsia" w:ascii="仿宋" w:hAnsi="仿宋"/>
          <w:sz w:val="24"/>
          <w:szCs w:val="24"/>
          <w:highlight w:val="none"/>
        </w:rPr>
        <w:t>　　（供应商名称）：</w:t>
      </w:r>
    </w:p>
    <w:p w14:paraId="52A6F23A">
      <w:pPr>
        <w:spacing w:line="360" w:lineRule="auto"/>
        <w:rPr>
          <w:rFonts w:ascii="仿宋" w:hAnsi="仿宋"/>
          <w:sz w:val="24"/>
          <w:szCs w:val="24"/>
          <w:highlight w:val="none"/>
        </w:rPr>
      </w:pPr>
      <w:r>
        <w:rPr>
          <w:rFonts w:hint="eastAsia" w:ascii="仿宋" w:hAnsi="仿宋"/>
          <w:sz w:val="24"/>
          <w:szCs w:val="24"/>
          <w:highlight w:val="none"/>
        </w:rPr>
        <w:t>　　谈判小组对你方的响应文件进行了仔细审查，现需你方对下列问题以书面形式予以</w:t>
      </w:r>
    </w:p>
    <w:p w14:paraId="48C74DB4">
      <w:pPr>
        <w:spacing w:line="360" w:lineRule="auto"/>
        <w:rPr>
          <w:rFonts w:ascii="仿宋" w:hAnsi="仿宋"/>
          <w:sz w:val="24"/>
          <w:szCs w:val="24"/>
          <w:highlight w:val="none"/>
        </w:rPr>
      </w:pPr>
      <w:r>
        <w:rPr>
          <w:rFonts w:hint="eastAsia" w:ascii="仿宋" w:hAnsi="仿宋"/>
          <w:sz w:val="24"/>
          <w:szCs w:val="24"/>
          <w:highlight w:val="none"/>
        </w:rPr>
        <w:t>　　澄清、说明和补正：</w:t>
      </w:r>
    </w:p>
    <w:p w14:paraId="7409B741">
      <w:pPr>
        <w:spacing w:line="360" w:lineRule="auto"/>
        <w:rPr>
          <w:rFonts w:ascii="仿宋" w:hAnsi="仿宋"/>
          <w:sz w:val="24"/>
          <w:szCs w:val="24"/>
          <w:highlight w:val="none"/>
        </w:rPr>
      </w:pPr>
      <w:r>
        <w:rPr>
          <w:rFonts w:hint="eastAsia" w:ascii="仿宋" w:hAnsi="仿宋"/>
          <w:sz w:val="24"/>
          <w:szCs w:val="24"/>
          <w:highlight w:val="none"/>
        </w:rPr>
        <w:t>　　1.</w:t>
      </w:r>
    </w:p>
    <w:p w14:paraId="7D7A62A0">
      <w:pPr>
        <w:spacing w:line="360" w:lineRule="auto"/>
        <w:rPr>
          <w:rFonts w:ascii="仿宋" w:hAnsi="仿宋"/>
          <w:sz w:val="24"/>
          <w:szCs w:val="24"/>
          <w:highlight w:val="none"/>
        </w:rPr>
      </w:pPr>
      <w:r>
        <w:rPr>
          <w:rFonts w:hint="eastAsia" w:ascii="仿宋" w:hAnsi="仿宋"/>
          <w:sz w:val="24"/>
          <w:szCs w:val="24"/>
          <w:highlight w:val="none"/>
        </w:rPr>
        <w:t>　　2.</w:t>
      </w:r>
    </w:p>
    <w:p w14:paraId="0F8CCEC7">
      <w:pPr>
        <w:spacing w:line="360" w:lineRule="auto"/>
        <w:rPr>
          <w:rFonts w:ascii="仿宋" w:hAnsi="仿宋"/>
          <w:sz w:val="24"/>
          <w:szCs w:val="24"/>
          <w:highlight w:val="none"/>
        </w:rPr>
      </w:pPr>
      <w:r>
        <w:rPr>
          <w:rFonts w:hint="eastAsia" w:ascii="仿宋" w:hAnsi="仿宋"/>
          <w:sz w:val="24"/>
          <w:szCs w:val="24"/>
          <w:highlight w:val="none"/>
        </w:rPr>
        <w:t>　　……</w:t>
      </w:r>
    </w:p>
    <w:p w14:paraId="6205BFB4">
      <w:pPr>
        <w:spacing w:line="360" w:lineRule="auto"/>
        <w:rPr>
          <w:rFonts w:ascii="仿宋" w:hAnsi="仿宋"/>
          <w:sz w:val="24"/>
          <w:szCs w:val="24"/>
          <w:highlight w:val="none"/>
        </w:rPr>
      </w:pPr>
      <w:r>
        <w:rPr>
          <w:rFonts w:hint="eastAsia" w:ascii="仿宋" w:hAnsi="仿宋"/>
          <w:sz w:val="24"/>
          <w:szCs w:val="24"/>
          <w:highlight w:val="none"/>
        </w:rPr>
        <w:t>　　请将上述问题的澄清、说明和补正于</w:t>
      </w:r>
      <w:r>
        <w:rPr>
          <w:rFonts w:hint="eastAsia" w:ascii="仿宋" w:hAnsi="仿宋"/>
          <w:sz w:val="24"/>
          <w:szCs w:val="24"/>
          <w:highlight w:val="none"/>
          <w:u w:val="single"/>
        </w:rPr>
        <w:t>　　</w:t>
      </w:r>
      <w:r>
        <w:rPr>
          <w:rFonts w:hint="eastAsia" w:ascii="仿宋" w:hAnsi="仿宋"/>
          <w:sz w:val="24"/>
          <w:szCs w:val="24"/>
          <w:highlight w:val="none"/>
        </w:rPr>
        <w:t>年</w:t>
      </w:r>
      <w:r>
        <w:rPr>
          <w:rFonts w:hint="eastAsia" w:ascii="仿宋" w:hAnsi="仿宋"/>
          <w:sz w:val="24"/>
          <w:szCs w:val="24"/>
          <w:highlight w:val="none"/>
          <w:u w:val="single"/>
        </w:rPr>
        <w:t>　　</w:t>
      </w:r>
      <w:r>
        <w:rPr>
          <w:rFonts w:hint="eastAsia" w:ascii="仿宋" w:hAnsi="仿宋"/>
          <w:sz w:val="24"/>
          <w:szCs w:val="24"/>
          <w:highlight w:val="none"/>
        </w:rPr>
        <w:t>月</w:t>
      </w:r>
      <w:r>
        <w:rPr>
          <w:rFonts w:hint="eastAsia" w:ascii="仿宋" w:hAnsi="仿宋"/>
          <w:sz w:val="24"/>
          <w:szCs w:val="24"/>
          <w:highlight w:val="none"/>
          <w:u w:val="single"/>
        </w:rPr>
        <w:t>　　</w:t>
      </w:r>
      <w:r>
        <w:rPr>
          <w:rFonts w:hint="eastAsia" w:ascii="仿宋" w:hAnsi="仿宋"/>
          <w:sz w:val="24"/>
          <w:szCs w:val="24"/>
          <w:highlight w:val="none"/>
        </w:rPr>
        <w:t>日</w:t>
      </w:r>
      <w:r>
        <w:rPr>
          <w:rFonts w:hint="eastAsia" w:ascii="仿宋" w:hAnsi="仿宋"/>
          <w:sz w:val="24"/>
          <w:szCs w:val="24"/>
          <w:highlight w:val="none"/>
          <w:u w:val="single"/>
        </w:rPr>
        <w:t>　　</w:t>
      </w:r>
      <w:r>
        <w:rPr>
          <w:rFonts w:hint="eastAsia" w:ascii="仿宋" w:hAnsi="仿宋"/>
          <w:sz w:val="24"/>
          <w:szCs w:val="24"/>
          <w:highlight w:val="none"/>
        </w:rPr>
        <w:t>时前递交至</w:t>
      </w:r>
      <w:r>
        <w:rPr>
          <w:rFonts w:hint="eastAsia" w:ascii="仿宋" w:hAnsi="仿宋"/>
          <w:sz w:val="24"/>
          <w:szCs w:val="24"/>
          <w:highlight w:val="none"/>
          <w:u w:val="single"/>
        </w:rPr>
        <w:t>　　　　　　　　　　</w:t>
      </w:r>
      <w:r>
        <w:rPr>
          <w:rFonts w:hint="eastAsia" w:ascii="仿宋" w:hAnsi="仿宋"/>
          <w:sz w:val="24"/>
          <w:szCs w:val="24"/>
          <w:highlight w:val="none"/>
        </w:rPr>
        <w:t>或发电子邮件至　　（电子邮箱地　　址）。采用电子邮件方式的，应在（详细地址）。</w:t>
      </w:r>
      <w:r>
        <w:rPr>
          <w:rFonts w:hint="eastAsia" w:ascii="仿宋" w:hAnsi="仿宋"/>
          <w:sz w:val="24"/>
          <w:szCs w:val="24"/>
          <w:highlight w:val="none"/>
          <w:u w:val="single"/>
        </w:rPr>
        <w:t>　　</w:t>
      </w:r>
      <w:r>
        <w:rPr>
          <w:rFonts w:hint="eastAsia" w:ascii="仿宋" w:hAnsi="仿宋"/>
          <w:sz w:val="24"/>
          <w:szCs w:val="24"/>
          <w:highlight w:val="none"/>
        </w:rPr>
        <w:t>年</w:t>
      </w:r>
      <w:r>
        <w:rPr>
          <w:rFonts w:hint="eastAsia" w:ascii="仿宋" w:hAnsi="仿宋"/>
          <w:sz w:val="24"/>
          <w:szCs w:val="24"/>
          <w:highlight w:val="none"/>
          <w:u w:val="single"/>
        </w:rPr>
        <w:t>　　</w:t>
      </w:r>
      <w:r>
        <w:rPr>
          <w:rFonts w:hint="eastAsia" w:ascii="仿宋" w:hAnsi="仿宋"/>
          <w:sz w:val="24"/>
          <w:szCs w:val="24"/>
          <w:highlight w:val="none"/>
        </w:rPr>
        <w:t>月</w:t>
      </w:r>
      <w:r>
        <w:rPr>
          <w:rFonts w:hint="eastAsia" w:ascii="仿宋" w:hAnsi="仿宋"/>
          <w:sz w:val="24"/>
          <w:szCs w:val="24"/>
          <w:highlight w:val="none"/>
          <w:u w:val="single"/>
        </w:rPr>
        <w:t>　　</w:t>
      </w:r>
      <w:r>
        <w:rPr>
          <w:rFonts w:hint="eastAsia" w:ascii="仿宋" w:hAnsi="仿宋"/>
          <w:sz w:val="24"/>
          <w:szCs w:val="24"/>
          <w:highlight w:val="none"/>
        </w:rPr>
        <w:t>日</w:t>
      </w:r>
      <w:r>
        <w:rPr>
          <w:rFonts w:hint="eastAsia" w:ascii="仿宋" w:hAnsi="仿宋"/>
          <w:sz w:val="24"/>
          <w:szCs w:val="24"/>
          <w:highlight w:val="none"/>
          <w:u w:val="single"/>
        </w:rPr>
        <w:t>　　</w:t>
      </w:r>
      <w:r>
        <w:rPr>
          <w:rFonts w:hint="eastAsia" w:ascii="仿宋" w:hAnsi="仿宋"/>
          <w:sz w:val="24"/>
          <w:szCs w:val="24"/>
          <w:highlight w:val="none"/>
        </w:rPr>
        <w:t>时前将原件递交至</w:t>
      </w:r>
      <w:r>
        <w:rPr>
          <w:rFonts w:hint="eastAsia" w:ascii="仿宋" w:hAnsi="仿宋"/>
          <w:sz w:val="24"/>
          <w:szCs w:val="24"/>
          <w:highlight w:val="none"/>
          <w:u w:val="single"/>
        </w:rPr>
        <w:t>　　　　　　　　　　</w:t>
      </w:r>
    </w:p>
    <w:p w14:paraId="4E9C888A">
      <w:pPr>
        <w:spacing w:line="360" w:lineRule="auto"/>
        <w:rPr>
          <w:rFonts w:ascii="仿宋" w:hAnsi="仿宋"/>
          <w:sz w:val="24"/>
          <w:szCs w:val="24"/>
          <w:highlight w:val="none"/>
          <w:u w:val="single"/>
        </w:rPr>
      </w:pPr>
      <w:r>
        <w:rPr>
          <w:rFonts w:hint="eastAsia" w:ascii="仿宋" w:hAnsi="仿宋"/>
          <w:sz w:val="24"/>
          <w:szCs w:val="24"/>
          <w:highlight w:val="none"/>
          <w:u w:val="single"/>
        </w:rPr>
        <w:t>　　　　　　　　　　</w:t>
      </w:r>
    </w:p>
    <w:p w14:paraId="7A65C06F">
      <w:pPr>
        <w:spacing w:line="360" w:lineRule="auto"/>
        <w:rPr>
          <w:sz w:val="24"/>
          <w:szCs w:val="24"/>
          <w:highlight w:val="none"/>
        </w:rPr>
      </w:pPr>
      <w:r>
        <w:rPr>
          <w:rFonts w:hint="eastAsia"/>
          <w:sz w:val="24"/>
          <w:szCs w:val="24"/>
          <w:highlight w:val="none"/>
        </w:rPr>
        <w:t>　　</w:t>
      </w:r>
    </w:p>
    <w:p w14:paraId="12C7330A">
      <w:pPr>
        <w:spacing w:line="360" w:lineRule="auto"/>
        <w:rPr>
          <w:sz w:val="24"/>
          <w:szCs w:val="24"/>
          <w:highlight w:val="none"/>
        </w:rPr>
      </w:pPr>
      <w:r>
        <w:rPr>
          <w:rFonts w:hint="eastAsia"/>
          <w:sz w:val="24"/>
          <w:szCs w:val="24"/>
          <w:highlight w:val="none"/>
        </w:rPr>
        <w:t>　　</w:t>
      </w:r>
    </w:p>
    <w:p w14:paraId="39A59289">
      <w:pPr>
        <w:spacing w:line="360" w:lineRule="auto"/>
        <w:rPr>
          <w:sz w:val="24"/>
          <w:szCs w:val="24"/>
          <w:highlight w:val="none"/>
        </w:rPr>
      </w:pPr>
      <w:r>
        <w:rPr>
          <w:rFonts w:hint="eastAsia"/>
          <w:sz w:val="24"/>
          <w:szCs w:val="24"/>
          <w:highlight w:val="none"/>
        </w:rPr>
        <w:t>　　　　　　　　　　　　谈判小组组长：　（签字）</w:t>
      </w:r>
    </w:p>
    <w:p w14:paraId="00819910">
      <w:pPr>
        <w:spacing w:line="360" w:lineRule="auto"/>
        <w:rPr>
          <w:sz w:val="24"/>
          <w:szCs w:val="24"/>
          <w:highlight w:val="none"/>
        </w:rPr>
      </w:pPr>
      <w:r>
        <w:rPr>
          <w:rFonts w:hint="eastAsia"/>
          <w:sz w:val="24"/>
          <w:szCs w:val="24"/>
          <w:highlight w:val="none"/>
        </w:rPr>
        <w:t>　　　　　　　　　　　　采购人：　　（签字或盖单位章）</w:t>
      </w:r>
    </w:p>
    <w:p w14:paraId="000E9AD5">
      <w:pPr>
        <w:spacing w:line="360" w:lineRule="auto"/>
        <w:jc w:val="right"/>
        <w:rPr>
          <w:sz w:val="24"/>
          <w:szCs w:val="24"/>
          <w:highlight w:val="none"/>
        </w:rPr>
      </w:pPr>
      <w:r>
        <w:rPr>
          <w:rFonts w:hint="eastAsia"/>
          <w:sz w:val="24"/>
          <w:szCs w:val="24"/>
          <w:highlight w:val="none"/>
          <w:u w:val="single"/>
        </w:rPr>
        <w:t>　　</w:t>
      </w:r>
      <w:r>
        <w:rPr>
          <w:rFonts w:hint="eastAsia"/>
          <w:sz w:val="24"/>
          <w:szCs w:val="24"/>
          <w:highlight w:val="none"/>
        </w:rPr>
        <w:t>年</w:t>
      </w:r>
      <w:r>
        <w:rPr>
          <w:rFonts w:hint="eastAsia"/>
          <w:sz w:val="24"/>
          <w:szCs w:val="24"/>
          <w:highlight w:val="none"/>
          <w:u w:val="single"/>
        </w:rPr>
        <w:t>　　</w:t>
      </w:r>
      <w:r>
        <w:rPr>
          <w:rFonts w:hint="eastAsia"/>
          <w:sz w:val="24"/>
          <w:szCs w:val="24"/>
          <w:highlight w:val="none"/>
        </w:rPr>
        <w:t>月</w:t>
      </w:r>
      <w:r>
        <w:rPr>
          <w:rFonts w:hint="eastAsia"/>
          <w:sz w:val="24"/>
          <w:szCs w:val="24"/>
          <w:highlight w:val="none"/>
          <w:u w:val="single"/>
        </w:rPr>
        <w:t>　　</w:t>
      </w:r>
      <w:r>
        <w:rPr>
          <w:rFonts w:hint="eastAsia"/>
          <w:sz w:val="24"/>
          <w:szCs w:val="24"/>
          <w:highlight w:val="none"/>
        </w:rPr>
        <w:t>日</w:t>
      </w:r>
    </w:p>
    <w:p w14:paraId="7108854A">
      <w:pPr>
        <w:spacing w:line="360" w:lineRule="auto"/>
        <w:rPr>
          <w:sz w:val="24"/>
          <w:szCs w:val="24"/>
          <w:highlight w:val="none"/>
        </w:rPr>
      </w:pPr>
      <w:r>
        <w:rPr>
          <w:rFonts w:hint="eastAsia"/>
          <w:sz w:val="24"/>
          <w:szCs w:val="24"/>
          <w:highlight w:val="none"/>
        </w:rPr>
        <w:br w:type="page"/>
      </w:r>
    </w:p>
    <w:p w14:paraId="6A2383A0">
      <w:pPr>
        <w:pStyle w:val="15"/>
        <w:spacing w:before="0" w:after="0"/>
        <w:rPr>
          <w:rFonts w:ascii="仿宋" w:hAnsi="仿宋" w:eastAsia="仿宋"/>
          <w:b/>
          <w:bCs/>
          <w:highlight w:val="none"/>
        </w:rPr>
      </w:pPr>
      <w:r>
        <w:rPr>
          <w:rFonts w:hint="eastAsia" w:ascii="仿宋" w:hAnsi="仿宋" w:eastAsia="仿宋"/>
          <w:b/>
          <w:bCs/>
          <w:highlight w:val="none"/>
        </w:rPr>
        <w:t>　　附件3：问题的澄清</w:t>
      </w:r>
    </w:p>
    <w:p w14:paraId="7331EB6A">
      <w:pPr>
        <w:spacing w:line="360" w:lineRule="auto"/>
        <w:rPr>
          <w:sz w:val="24"/>
          <w:szCs w:val="24"/>
          <w:highlight w:val="none"/>
        </w:rPr>
      </w:pPr>
    </w:p>
    <w:p w14:paraId="505D8841">
      <w:pPr>
        <w:spacing w:line="360" w:lineRule="auto"/>
        <w:jc w:val="center"/>
        <w:rPr>
          <w:rFonts w:ascii="黑体" w:hAnsi="黑体" w:eastAsia="黑体" w:cs="黑体"/>
          <w:sz w:val="24"/>
          <w:szCs w:val="24"/>
          <w:highlight w:val="none"/>
        </w:rPr>
      </w:pPr>
      <w:r>
        <w:rPr>
          <w:rFonts w:hint="eastAsia" w:ascii="黑体" w:hAnsi="黑体" w:eastAsia="黑体" w:cs="黑体"/>
          <w:sz w:val="24"/>
          <w:szCs w:val="24"/>
          <w:highlight w:val="none"/>
        </w:rPr>
        <w:t>问题的澄清</w:t>
      </w:r>
    </w:p>
    <w:p w14:paraId="2150D7A1">
      <w:pPr>
        <w:spacing w:line="360" w:lineRule="auto"/>
        <w:jc w:val="center"/>
        <w:rPr>
          <w:sz w:val="24"/>
          <w:szCs w:val="24"/>
          <w:highlight w:val="none"/>
        </w:rPr>
      </w:pPr>
      <w:r>
        <w:rPr>
          <w:rFonts w:hint="eastAsia"/>
          <w:sz w:val="24"/>
          <w:szCs w:val="24"/>
          <w:highlight w:val="none"/>
        </w:rPr>
        <w:t>（编号：</w:t>
      </w:r>
      <w:r>
        <w:rPr>
          <w:rFonts w:hint="eastAsia"/>
          <w:sz w:val="24"/>
          <w:szCs w:val="24"/>
          <w:highlight w:val="none"/>
          <w:u w:val="single"/>
        </w:rPr>
        <w:t>　　　　</w:t>
      </w:r>
      <w:r>
        <w:rPr>
          <w:rFonts w:hint="eastAsia"/>
          <w:sz w:val="24"/>
          <w:szCs w:val="24"/>
          <w:highlight w:val="none"/>
        </w:rPr>
        <w:t>）</w:t>
      </w:r>
    </w:p>
    <w:p w14:paraId="12649346">
      <w:pPr>
        <w:spacing w:line="360" w:lineRule="auto"/>
        <w:rPr>
          <w:rFonts w:ascii="仿宋" w:hAnsi="仿宋"/>
          <w:sz w:val="24"/>
          <w:szCs w:val="24"/>
          <w:highlight w:val="none"/>
        </w:rPr>
      </w:pPr>
      <w:r>
        <w:rPr>
          <w:rFonts w:hint="eastAsia" w:ascii="仿宋" w:hAnsi="仿宋"/>
          <w:sz w:val="24"/>
          <w:szCs w:val="24"/>
          <w:highlight w:val="none"/>
        </w:rPr>
        <w:t>谈判小组：</w:t>
      </w:r>
    </w:p>
    <w:p w14:paraId="3DE0DE55">
      <w:pPr>
        <w:spacing w:line="360" w:lineRule="auto"/>
        <w:rPr>
          <w:rFonts w:ascii="仿宋" w:hAnsi="仿宋"/>
          <w:sz w:val="24"/>
          <w:szCs w:val="24"/>
          <w:highlight w:val="none"/>
        </w:rPr>
      </w:pPr>
      <w:r>
        <w:rPr>
          <w:rFonts w:hint="eastAsia" w:ascii="仿宋" w:hAnsi="仿宋"/>
          <w:sz w:val="24"/>
          <w:szCs w:val="24"/>
          <w:highlight w:val="none"/>
        </w:rPr>
        <w:t>　　问题澄清通知（编号：</w:t>
      </w:r>
      <w:r>
        <w:rPr>
          <w:rFonts w:hint="eastAsia" w:ascii="仿宋" w:hAnsi="仿宋"/>
          <w:sz w:val="24"/>
          <w:szCs w:val="24"/>
          <w:highlight w:val="none"/>
          <w:u w:val="single"/>
        </w:rPr>
        <w:t>　　　　</w:t>
      </w:r>
      <w:r>
        <w:rPr>
          <w:rFonts w:hint="eastAsia" w:ascii="仿宋" w:hAnsi="仿宋"/>
          <w:sz w:val="24"/>
          <w:szCs w:val="24"/>
          <w:highlight w:val="none"/>
        </w:rPr>
        <w:t>）已收悉，现澄清、说明和补正如下：</w:t>
      </w:r>
    </w:p>
    <w:p w14:paraId="205C1065">
      <w:pPr>
        <w:spacing w:line="360" w:lineRule="auto"/>
        <w:rPr>
          <w:rFonts w:ascii="仿宋" w:hAnsi="仿宋"/>
          <w:sz w:val="24"/>
          <w:szCs w:val="24"/>
          <w:highlight w:val="none"/>
        </w:rPr>
      </w:pPr>
      <w:r>
        <w:rPr>
          <w:rFonts w:hint="eastAsia" w:ascii="仿宋" w:hAnsi="仿宋"/>
          <w:sz w:val="24"/>
          <w:szCs w:val="24"/>
          <w:highlight w:val="none"/>
        </w:rPr>
        <w:t>　　1.</w:t>
      </w:r>
    </w:p>
    <w:p w14:paraId="457CE957">
      <w:pPr>
        <w:spacing w:line="360" w:lineRule="auto"/>
        <w:rPr>
          <w:rFonts w:ascii="仿宋" w:hAnsi="仿宋"/>
          <w:sz w:val="24"/>
          <w:szCs w:val="24"/>
          <w:highlight w:val="none"/>
        </w:rPr>
      </w:pPr>
      <w:r>
        <w:rPr>
          <w:rFonts w:hint="eastAsia" w:ascii="仿宋" w:hAnsi="仿宋"/>
          <w:sz w:val="24"/>
          <w:szCs w:val="24"/>
          <w:highlight w:val="none"/>
        </w:rPr>
        <w:t>　　2.</w:t>
      </w:r>
    </w:p>
    <w:p w14:paraId="30720DC2">
      <w:pPr>
        <w:spacing w:line="360" w:lineRule="auto"/>
        <w:rPr>
          <w:rFonts w:ascii="仿宋" w:hAnsi="仿宋"/>
          <w:sz w:val="24"/>
          <w:szCs w:val="24"/>
          <w:highlight w:val="none"/>
        </w:rPr>
      </w:pPr>
      <w:r>
        <w:rPr>
          <w:rFonts w:hint="eastAsia" w:ascii="仿宋" w:hAnsi="仿宋"/>
          <w:sz w:val="24"/>
          <w:szCs w:val="24"/>
          <w:highlight w:val="none"/>
        </w:rPr>
        <w:t>　　……</w:t>
      </w:r>
    </w:p>
    <w:p w14:paraId="10F740FD">
      <w:pPr>
        <w:spacing w:line="360" w:lineRule="auto"/>
        <w:rPr>
          <w:rFonts w:ascii="仿宋" w:hAnsi="仿宋"/>
          <w:sz w:val="24"/>
          <w:szCs w:val="24"/>
          <w:highlight w:val="none"/>
        </w:rPr>
      </w:pPr>
      <w:r>
        <w:rPr>
          <w:rFonts w:hint="eastAsia" w:ascii="仿宋" w:hAnsi="仿宋"/>
          <w:sz w:val="24"/>
          <w:szCs w:val="24"/>
          <w:highlight w:val="none"/>
        </w:rPr>
        <w:t>　　上述问题澄清、说明和补正，构成我方响应文件的组成部分。</w:t>
      </w:r>
    </w:p>
    <w:p w14:paraId="2B17BBDE">
      <w:pPr>
        <w:spacing w:line="360" w:lineRule="auto"/>
        <w:rPr>
          <w:rFonts w:ascii="仿宋" w:hAnsi="仿宋"/>
          <w:sz w:val="24"/>
          <w:szCs w:val="24"/>
          <w:highlight w:val="none"/>
        </w:rPr>
      </w:pPr>
      <w:r>
        <w:rPr>
          <w:rFonts w:hint="eastAsia" w:ascii="仿宋" w:hAnsi="仿宋"/>
          <w:sz w:val="24"/>
          <w:szCs w:val="24"/>
          <w:highlight w:val="none"/>
        </w:rPr>
        <w:t>　　</w:t>
      </w:r>
    </w:p>
    <w:p w14:paraId="5A900245">
      <w:pPr>
        <w:spacing w:line="360" w:lineRule="auto"/>
        <w:rPr>
          <w:rFonts w:ascii="仿宋" w:hAnsi="仿宋"/>
          <w:sz w:val="24"/>
          <w:szCs w:val="24"/>
          <w:highlight w:val="none"/>
        </w:rPr>
      </w:pPr>
      <w:r>
        <w:rPr>
          <w:rFonts w:hint="eastAsia" w:ascii="仿宋" w:hAnsi="仿宋"/>
          <w:sz w:val="24"/>
          <w:szCs w:val="24"/>
          <w:highlight w:val="none"/>
        </w:rPr>
        <w:t>　　</w:t>
      </w:r>
    </w:p>
    <w:p w14:paraId="5913AC99">
      <w:pPr>
        <w:spacing w:line="360" w:lineRule="auto"/>
        <w:rPr>
          <w:rFonts w:ascii="仿宋" w:hAnsi="仿宋"/>
          <w:sz w:val="24"/>
          <w:szCs w:val="24"/>
          <w:highlight w:val="none"/>
        </w:rPr>
      </w:pPr>
      <w:r>
        <w:rPr>
          <w:rFonts w:hint="eastAsia" w:ascii="仿宋" w:hAnsi="仿宋"/>
          <w:sz w:val="24"/>
          <w:szCs w:val="24"/>
          <w:highlight w:val="none"/>
        </w:rPr>
        <w:t>　　</w:t>
      </w:r>
    </w:p>
    <w:p w14:paraId="6EF6B0EB">
      <w:pPr>
        <w:spacing w:line="360" w:lineRule="auto"/>
        <w:rPr>
          <w:rFonts w:ascii="仿宋" w:hAnsi="仿宋"/>
          <w:sz w:val="24"/>
          <w:szCs w:val="24"/>
          <w:highlight w:val="none"/>
        </w:rPr>
      </w:pPr>
      <w:r>
        <w:rPr>
          <w:rFonts w:hint="eastAsia" w:ascii="仿宋" w:hAnsi="仿宋"/>
          <w:sz w:val="24"/>
          <w:szCs w:val="24"/>
          <w:highlight w:val="none"/>
        </w:rPr>
        <w:t>　　</w:t>
      </w:r>
    </w:p>
    <w:p w14:paraId="46D15377">
      <w:pPr>
        <w:spacing w:line="360" w:lineRule="auto"/>
        <w:rPr>
          <w:rFonts w:ascii="仿宋" w:hAnsi="仿宋"/>
          <w:sz w:val="24"/>
          <w:szCs w:val="24"/>
          <w:highlight w:val="none"/>
        </w:rPr>
      </w:pPr>
      <w:r>
        <w:rPr>
          <w:rFonts w:hint="eastAsia" w:ascii="仿宋" w:hAnsi="仿宋"/>
          <w:sz w:val="24"/>
          <w:szCs w:val="24"/>
          <w:highlight w:val="none"/>
        </w:rPr>
        <w:t>　　供应商：　　（盖单位章）</w:t>
      </w:r>
    </w:p>
    <w:p w14:paraId="6172F44D">
      <w:pPr>
        <w:spacing w:line="360" w:lineRule="auto"/>
        <w:rPr>
          <w:rFonts w:ascii="仿宋" w:hAnsi="仿宋"/>
          <w:sz w:val="24"/>
          <w:szCs w:val="24"/>
          <w:highlight w:val="none"/>
        </w:rPr>
      </w:pPr>
      <w:r>
        <w:rPr>
          <w:rFonts w:hint="eastAsia" w:ascii="仿宋" w:hAnsi="仿宋"/>
          <w:sz w:val="24"/>
          <w:szCs w:val="24"/>
          <w:highlight w:val="none"/>
        </w:rPr>
        <w:t>　　法定代表人（单位负责人）或其授权的代理人：（签字）</w:t>
      </w:r>
    </w:p>
    <w:p w14:paraId="5C0B7C61">
      <w:pPr>
        <w:spacing w:line="360" w:lineRule="auto"/>
        <w:jc w:val="right"/>
        <w:rPr>
          <w:rFonts w:ascii="仿宋" w:hAnsi="仿宋"/>
          <w:sz w:val="24"/>
          <w:szCs w:val="24"/>
          <w:highlight w:val="none"/>
        </w:rPr>
      </w:pPr>
      <w:r>
        <w:rPr>
          <w:rFonts w:hint="eastAsia" w:ascii="仿宋" w:hAnsi="仿宋"/>
          <w:sz w:val="24"/>
          <w:szCs w:val="24"/>
          <w:highlight w:val="none"/>
          <w:u w:val="single"/>
        </w:rPr>
        <w:t>　　</w:t>
      </w:r>
      <w:r>
        <w:rPr>
          <w:rFonts w:hint="eastAsia" w:ascii="仿宋" w:hAnsi="仿宋"/>
          <w:sz w:val="24"/>
          <w:szCs w:val="24"/>
          <w:highlight w:val="none"/>
        </w:rPr>
        <w:t>年</w:t>
      </w:r>
      <w:r>
        <w:rPr>
          <w:rFonts w:hint="eastAsia" w:ascii="仿宋" w:hAnsi="仿宋"/>
          <w:sz w:val="24"/>
          <w:szCs w:val="24"/>
          <w:highlight w:val="none"/>
          <w:u w:val="single"/>
        </w:rPr>
        <w:t>　　</w:t>
      </w:r>
      <w:r>
        <w:rPr>
          <w:rFonts w:hint="eastAsia" w:ascii="仿宋" w:hAnsi="仿宋"/>
          <w:sz w:val="24"/>
          <w:szCs w:val="24"/>
          <w:highlight w:val="none"/>
        </w:rPr>
        <w:t>月</w:t>
      </w:r>
      <w:r>
        <w:rPr>
          <w:rFonts w:hint="eastAsia" w:ascii="仿宋" w:hAnsi="仿宋"/>
          <w:sz w:val="24"/>
          <w:szCs w:val="24"/>
          <w:highlight w:val="none"/>
          <w:u w:val="single"/>
        </w:rPr>
        <w:t>　　</w:t>
      </w:r>
      <w:r>
        <w:rPr>
          <w:rFonts w:hint="eastAsia" w:ascii="仿宋" w:hAnsi="仿宋"/>
          <w:sz w:val="24"/>
          <w:szCs w:val="24"/>
          <w:highlight w:val="none"/>
        </w:rPr>
        <w:t>日</w:t>
      </w:r>
    </w:p>
    <w:p w14:paraId="0E66AAFA">
      <w:pPr>
        <w:spacing w:line="360" w:lineRule="auto"/>
        <w:rPr>
          <w:rFonts w:ascii="仿宋" w:hAnsi="仿宋"/>
          <w:sz w:val="24"/>
          <w:szCs w:val="24"/>
          <w:highlight w:val="none"/>
        </w:rPr>
      </w:pPr>
      <w:r>
        <w:rPr>
          <w:rFonts w:hint="eastAsia" w:ascii="仿宋" w:hAnsi="仿宋"/>
          <w:sz w:val="24"/>
          <w:szCs w:val="24"/>
          <w:highlight w:val="none"/>
        </w:rPr>
        <w:br w:type="page"/>
      </w:r>
    </w:p>
    <w:p w14:paraId="19289580">
      <w:pPr>
        <w:pStyle w:val="15"/>
        <w:spacing w:before="0" w:after="0"/>
        <w:rPr>
          <w:rFonts w:ascii="仿宋" w:hAnsi="仿宋" w:eastAsia="仿宋"/>
          <w:b/>
          <w:bCs/>
          <w:highlight w:val="none"/>
        </w:rPr>
      </w:pPr>
      <w:r>
        <w:rPr>
          <w:rFonts w:hint="eastAsia" w:ascii="仿宋" w:hAnsi="仿宋" w:eastAsia="仿宋"/>
          <w:b/>
          <w:bCs/>
          <w:highlight w:val="none"/>
        </w:rPr>
        <w:t>　　附件4：成交通知书</w:t>
      </w:r>
    </w:p>
    <w:p w14:paraId="46B255EC">
      <w:pPr>
        <w:spacing w:line="360" w:lineRule="auto"/>
        <w:rPr>
          <w:sz w:val="24"/>
          <w:szCs w:val="24"/>
          <w:highlight w:val="none"/>
        </w:rPr>
      </w:pPr>
    </w:p>
    <w:p w14:paraId="6E07F21B">
      <w:pPr>
        <w:spacing w:line="360" w:lineRule="auto"/>
        <w:jc w:val="center"/>
        <w:rPr>
          <w:rFonts w:ascii="黑体" w:hAnsi="黑体" w:eastAsia="黑体" w:cs="黑体"/>
          <w:sz w:val="24"/>
          <w:szCs w:val="24"/>
          <w:highlight w:val="none"/>
        </w:rPr>
      </w:pPr>
      <w:r>
        <w:rPr>
          <w:rFonts w:hint="eastAsia" w:ascii="黑体" w:hAnsi="黑体" w:eastAsia="黑体" w:cs="黑体"/>
          <w:sz w:val="24"/>
          <w:szCs w:val="24"/>
          <w:highlight w:val="none"/>
        </w:rPr>
        <w:t>成交通知书</w:t>
      </w:r>
    </w:p>
    <w:p w14:paraId="02E20BBC">
      <w:pPr>
        <w:spacing w:line="360" w:lineRule="auto"/>
        <w:jc w:val="center"/>
        <w:rPr>
          <w:sz w:val="24"/>
          <w:szCs w:val="24"/>
          <w:highlight w:val="none"/>
        </w:rPr>
      </w:pPr>
      <w:r>
        <w:rPr>
          <w:rFonts w:hint="eastAsia"/>
          <w:sz w:val="24"/>
          <w:szCs w:val="24"/>
          <w:highlight w:val="none"/>
        </w:rPr>
        <w:t>（编号：</w:t>
      </w:r>
      <w:r>
        <w:rPr>
          <w:rFonts w:hint="eastAsia"/>
          <w:sz w:val="24"/>
          <w:szCs w:val="24"/>
          <w:highlight w:val="none"/>
          <w:u w:val="single"/>
        </w:rPr>
        <w:t>　　　　</w:t>
      </w:r>
      <w:r>
        <w:rPr>
          <w:rFonts w:hint="eastAsia"/>
          <w:sz w:val="24"/>
          <w:szCs w:val="24"/>
          <w:highlight w:val="none"/>
        </w:rPr>
        <w:t>）</w:t>
      </w:r>
    </w:p>
    <w:p w14:paraId="373BA84B">
      <w:pPr>
        <w:spacing w:line="360" w:lineRule="auto"/>
        <w:rPr>
          <w:sz w:val="24"/>
          <w:szCs w:val="24"/>
          <w:highlight w:val="none"/>
        </w:rPr>
      </w:pPr>
      <w:r>
        <w:rPr>
          <w:rFonts w:hint="eastAsia"/>
          <w:sz w:val="24"/>
          <w:szCs w:val="24"/>
          <w:highlight w:val="none"/>
        </w:rPr>
        <w:t>　　（成交供应商名称）：</w:t>
      </w:r>
    </w:p>
    <w:p w14:paraId="29A12970">
      <w:pPr>
        <w:spacing w:line="360" w:lineRule="auto"/>
        <w:rPr>
          <w:rFonts w:ascii="仿宋" w:hAnsi="仿宋"/>
          <w:sz w:val="24"/>
          <w:szCs w:val="24"/>
          <w:highlight w:val="none"/>
        </w:rPr>
      </w:pPr>
      <w:r>
        <w:rPr>
          <w:rFonts w:hint="eastAsia" w:ascii="仿宋" w:hAnsi="仿宋"/>
          <w:sz w:val="24"/>
          <w:szCs w:val="24"/>
          <w:highlight w:val="none"/>
        </w:rPr>
        <w:t>　　你方所递交的</w:t>
      </w:r>
      <w:r>
        <w:rPr>
          <w:rFonts w:hint="eastAsia" w:ascii="仿宋" w:hAnsi="仿宋"/>
          <w:sz w:val="24"/>
          <w:szCs w:val="24"/>
          <w:highlight w:val="none"/>
          <w:u w:val="single"/>
        </w:rPr>
        <w:t>　　　　　　　　</w:t>
      </w:r>
      <w:r>
        <w:rPr>
          <w:rFonts w:hint="eastAsia" w:ascii="仿宋" w:hAnsi="仿宋"/>
          <w:sz w:val="24"/>
          <w:szCs w:val="24"/>
          <w:highlight w:val="none"/>
        </w:rPr>
        <w:t>（项目名称）的响应文件已被我方接受，被确定为成交供应商。</w:t>
      </w:r>
    </w:p>
    <w:p w14:paraId="6B444EDF">
      <w:pPr>
        <w:spacing w:line="360" w:lineRule="auto"/>
        <w:rPr>
          <w:rFonts w:ascii="仿宋" w:hAnsi="仿宋"/>
          <w:sz w:val="24"/>
          <w:szCs w:val="24"/>
          <w:highlight w:val="none"/>
        </w:rPr>
      </w:pPr>
      <w:r>
        <w:rPr>
          <w:rFonts w:hint="eastAsia" w:ascii="仿宋" w:hAnsi="仿宋"/>
          <w:sz w:val="24"/>
          <w:szCs w:val="24"/>
          <w:highlight w:val="none"/>
        </w:rPr>
        <w:t>　　成交价：</w:t>
      </w:r>
      <w:r>
        <w:rPr>
          <w:rFonts w:hint="eastAsia" w:ascii="仿宋" w:hAnsi="仿宋"/>
          <w:sz w:val="24"/>
          <w:szCs w:val="24"/>
          <w:highlight w:val="none"/>
          <w:u w:val="single"/>
        </w:rPr>
        <w:t>　　　　</w:t>
      </w:r>
      <w:r>
        <w:rPr>
          <w:rFonts w:hint="eastAsia" w:ascii="仿宋" w:hAnsi="仿宋"/>
          <w:sz w:val="24"/>
          <w:szCs w:val="24"/>
          <w:highlight w:val="none"/>
        </w:rPr>
        <w:t>元</w:t>
      </w:r>
    </w:p>
    <w:p w14:paraId="374FBBE2">
      <w:pPr>
        <w:spacing w:line="360" w:lineRule="auto"/>
        <w:rPr>
          <w:rFonts w:ascii="仿宋" w:hAnsi="仿宋"/>
          <w:sz w:val="24"/>
          <w:szCs w:val="24"/>
          <w:highlight w:val="none"/>
        </w:rPr>
      </w:pPr>
      <w:r>
        <w:rPr>
          <w:rFonts w:hint="eastAsia" w:ascii="仿宋" w:hAnsi="仿宋"/>
          <w:sz w:val="24"/>
          <w:szCs w:val="24"/>
          <w:highlight w:val="none"/>
        </w:rPr>
        <w:t>　　成交份额：　　（如有）</w:t>
      </w:r>
    </w:p>
    <w:p w14:paraId="303D281F">
      <w:pPr>
        <w:spacing w:line="360" w:lineRule="auto"/>
        <w:rPr>
          <w:rFonts w:ascii="仿宋" w:hAnsi="仿宋"/>
          <w:sz w:val="24"/>
          <w:szCs w:val="24"/>
          <w:highlight w:val="none"/>
        </w:rPr>
      </w:pPr>
      <w:r>
        <w:rPr>
          <w:rFonts w:hint="eastAsia" w:ascii="仿宋" w:hAnsi="仿宋"/>
          <w:sz w:val="24"/>
          <w:szCs w:val="24"/>
          <w:highlight w:val="none"/>
        </w:rPr>
        <w:t>　　请你方在接到本通知书后的　日内到　　（指定地点）与我方签订采购合同，并按采购文件第二章“供应商须知”第7.6款规定向我方递交履约保证金。</w:t>
      </w:r>
    </w:p>
    <w:p w14:paraId="4A2CE90C">
      <w:pPr>
        <w:spacing w:line="360" w:lineRule="auto"/>
        <w:rPr>
          <w:rFonts w:ascii="仿宋" w:hAnsi="仿宋"/>
          <w:sz w:val="24"/>
          <w:szCs w:val="24"/>
          <w:highlight w:val="none"/>
        </w:rPr>
      </w:pPr>
      <w:r>
        <w:rPr>
          <w:rFonts w:hint="eastAsia" w:ascii="仿宋" w:hAnsi="仿宋"/>
          <w:sz w:val="24"/>
          <w:szCs w:val="24"/>
          <w:highlight w:val="none"/>
        </w:rPr>
        <w:t>　　特此通知。</w:t>
      </w:r>
    </w:p>
    <w:p w14:paraId="063FDC76">
      <w:pPr>
        <w:spacing w:line="360" w:lineRule="auto"/>
        <w:rPr>
          <w:rFonts w:ascii="仿宋" w:hAnsi="仿宋"/>
          <w:sz w:val="24"/>
          <w:szCs w:val="24"/>
          <w:highlight w:val="none"/>
        </w:rPr>
      </w:pPr>
      <w:r>
        <w:rPr>
          <w:rFonts w:hint="eastAsia" w:ascii="仿宋" w:hAnsi="仿宋"/>
          <w:sz w:val="24"/>
          <w:szCs w:val="24"/>
          <w:highlight w:val="none"/>
        </w:rPr>
        <w:t>　　</w:t>
      </w:r>
    </w:p>
    <w:p w14:paraId="31657A65">
      <w:pPr>
        <w:spacing w:line="360" w:lineRule="auto"/>
        <w:rPr>
          <w:rFonts w:ascii="仿宋" w:hAnsi="仿宋"/>
          <w:sz w:val="24"/>
          <w:szCs w:val="24"/>
          <w:highlight w:val="none"/>
        </w:rPr>
      </w:pPr>
      <w:r>
        <w:rPr>
          <w:rFonts w:hint="eastAsia" w:ascii="仿宋" w:hAnsi="仿宋"/>
          <w:sz w:val="24"/>
          <w:szCs w:val="24"/>
          <w:highlight w:val="none"/>
        </w:rPr>
        <w:t>　　</w:t>
      </w:r>
    </w:p>
    <w:p w14:paraId="1B8BA6D1">
      <w:pPr>
        <w:spacing w:line="360" w:lineRule="auto"/>
        <w:rPr>
          <w:rFonts w:ascii="仿宋" w:hAnsi="仿宋"/>
          <w:sz w:val="24"/>
          <w:szCs w:val="24"/>
          <w:highlight w:val="none"/>
        </w:rPr>
      </w:pPr>
      <w:r>
        <w:rPr>
          <w:rFonts w:hint="eastAsia" w:ascii="仿宋" w:hAnsi="仿宋"/>
          <w:sz w:val="24"/>
          <w:szCs w:val="24"/>
          <w:highlight w:val="none"/>
        </w:rPr>
        <w:t>　　</w:t>
      </w:r>
    </w:p>
    <w:p w14:paraId="1F225CAB">
      <w:pPr>
        <w:spacing w:line="360" w:lineRule="auto"/>
        <w:rPr>
          <w:rFonts w:ascii="仿宋" w:hAnsi="仿宋"/>
          <w:sz w:val="24"/>
          <w:szCs w:val="24"/>
          <w:highlight w:val="none"/>
        </w:rPr>
      </w:pPr>
      <w:r>
        <w:rPr>
          <w:rFonts w:hint="eastAsia" w:ascii="仿宋" w:hAnsi="仿宋"/>
          <w:sz w:val="24"/>
          <w:szCs w:val="24"/>
          <w:highlight w:val="none"/>
        </w:rPr>
        <w:t>　　　　　　　　　　　　　　采购人：　　（盖单位章）</w:t>
      </w:r>
    </w:p>
    <w:p w14:paraId="6A7DF91E">
      <w:pPr>
        <w:spacing w:line="360" w:lineRule="auto"/>
        <w:jc w:val="right"/>
        <w:rPr>
          <w:rFonts w:ascii="仿宋" w:hAnsi="仿宋"/>
          <w:sz w:val="24"/>
          <w:szCs w:val="24"/>
          <w:highlight w:val="none"/>
        </w:rPr>
      </w:pPr>
      <w:r>
        <w:rPr>
          <w:rFonts w:hint="eastAsia" w:ascii="仿宋" w:hAnsi="仿宋"/>
          <w:sz w:val="24"/>
          <w:szCs w:val="24"/>
          <w:highlight w:val="none"/>
          <w:u w:val="single"/>
        </w:rPr>
        <w:t>　　</w:t>
      </w:r>
      <w:r>
        <w:rPr>
          <w:rFonts w:hint="eastAsia" w:ascii="仿宋" w:hAnsi="仿宋"/>
          <w:sz w:val="24"/>
          <w:szCs w:val="24"/>
          <w:highlight w:val="none"/>
        </w:rPr>
        <w:t>年</w:t>
      </w:r>
      <w:r>
        <w:rPr>
          <w:rFonts w:hint="eastAsia" w:ascii="仿宋" w:hAnsi="仿宋"/>
          <w:sz w:val="24"/>
          <w:szCs w:val="24"/>
          <w:highlight w:val="none"/>
          <w:u w:val="single"/>
        </w:rPr>
        <w:t>　　</w:t>
      </w:r>
      <w:r>
        <w:rPr>
          <w:rFonts w:hint="eastAsia" w:ascii="仿宋" w:hAnsi="仿宋"/>
          <w:sz w:val="24"/>
          <w:szCs w:val="24"/>
          <w:highlight w:val="none"/>
        </w:rPr>
        <w:t>月</w:t>
      </w:r>
      <w:r>
        <w:rPr>
          <w:rFonts w:hint="eastAsia" w:ascii="仿宋" w:hAnsi="仿宋"/>
          <w:sz w:val="24"/>
          <w:szCs w:val="24"/>
          <w:highlight w:val="none"/>
          <w:u w:val="single"/>
        </w:rPr>
        <w:t>　　</w:t>
      </w:r>
      <w:r>
        <w:rPr>
          <w:rFonts w:hint="eastAsia" w:ascii="仿宋" w:hAnsi="仿宋"/>
          <w:sz w:val="24"/>
          <w:szCs w:val="24"/>
          <w:highlight w:val="none"/>
        </w:rPr>
        <w:t>日</w:t>
      </w:r>
    </w:p>
    <w:p w14:paraId="7D012CEA">
      <w:pPr>
        <w:spacing w:line="360" w:lineRule="auto"/>
        <w:rPr>
          <w:rFonts w:ascii="仿宋" w:hAnsi="仿宋"/>
          <w:sz w:val="24"/>
          <w:szCs w:val="24"/>
          <w:highlight w:val="none"/>
        </w:rPr>
      </w:pPr>
      <w:r>
        <w:rPr>
          <w:rFonts w:hint="eastAsia" w:ascii="仿宋" w:hAnsi="仿宋"/>
          <w:sz w:val="24"/>
          <w:szCs w:val="24"/>
          <w:highlight w:val="none"/>
        </w:rPr>
        <w:br w:type="page"/>
      </w:r>
    </w:p>
    <w:p w14:paraId="0EF84791">
      <w:pPr>
        <w:pStyle w:val="14"/>
        <w:spacing w:before="0" w:after="0"/>
        <w:rPr>
          <w:highlight w:val="none"/>
        </w:rPr>
      </w:pPr>
      <w:r>
        <w:rPr>
          <w:rFonts w:hint="eastAsia"/>
          <w:highlight w:val="none"/>
        </w:rPr>
        <w:t>第三章　评审办法</w:t>
      </w:r>
    </w:p>
    <w:p w14:paraId="1BE10BE2">
      <w:pPr>
        <w:pStyle w:val="15"/>
        <w:spacing w:before="0" w:after="0"/>
        <w:rPr>
          <w:rFonts w:ascii="仿宋" w:hAnsi="仿宋" w:eastAsia="仿宋"/>
          <w:b/>
          <w:bCs/>
          <w:highlight w:val="none"/>
        </w:rPr>
      </w:pPr>
      <w:r>
        <w:rPr>
          <w:rFonts w:hint="eastAsia" w:ascii="仿宋" w:hAnsi="仿宋" w:eastAsia="仿宋"/>
          <w:b/>
          <w:bCs/>
          <w:highlight w:val="none"/>
        </w:rPr>
        <w:t>评审办法前附表</w:t>
      </w:r>
    </w:p>
    <w:tbl>
      <w:tblPr>
        <w:tblStyle w:val="7"/>
        <w:tblW w:w="9927" w:type="dxa"/>
        <w:jc w:val="center"/>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Layout w:type="fixed"/>
        <w:tblCellMar>
          <w:top w:w="0" w:type="dxa"/>
          <w:left w:w="0" w:type="dxa"/>
          <w:bottom w:w="0" w:type="dxa"/>
          <w:right w:w="0" w:type="dxa"/>
        </w:tblCellMar>
      </w:tblPr>
      <w:tblGrid>
        <w:gridCol w:w="1119"/>
        <w:gridCol w:w="1382"/>
        <w:gridCol w:w="2593"/>
        <w:gridCol w:w="4833"/>
      </w:tblGrid>
      <w:tr w14:paraId="3216AD6D">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172" w:hRule="atLeast"/>
          <w:tblHeader/>
          <w:jc w:val="center"/>
        </w:trPr>
        <w:tc>
          <w:tcPr>
            <w:tcW w:w="2501" w:type="dxa"/>
            <w:gridSpan w:val="2"/>
            <w:tcBorders>
              <w:tl2br w:val="nil"/>
              <w:tr2bl w:val="nil"/>
            </w:tcBorders>
            <w:vAlign w:val="center"/>
          </w:tcPr>
          <w:p w14:paraId="77FB82CD">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条款号及名称</w:t>
            </w:r>
          </w:p>
        </w:tc>
        <w:tc>
          <w:tcPr>
            <w:tcW w:w="2593" w:type="dxa"/>
            <w:tcBorders>
              <w:tl2br w:val="nil"/>
              <w:tr2bl w:val="nil"/>
            </w:tcBorders>
            <w:vAlign w:val="center"/>
          </w:tcPr>
          <w:p w14:paraId="3189C4AD">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评审因素</w:t>
            </w:r>
          </w:p>
        </w:tc>
        <w:tc>
          <w:tcPr>
            <w:tcW w:w="4833" w:type="dxa"/>
            <w:tcBorders>
              <w:tl2br w:val="nil"/>
              <w:tr2bl w:val="nil"/>
            </w:tcBorders>
            <w:vAlign w:val="center"/>
          </w:tcPr>
          <w:p w14:paraId="4AC2934A">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评审标准</w:t>
            </w:r>
          </w:p>
        </w:tc>
      </w:tr>
      <w:tr w14:paraId="174EF83E">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6" w:hRule="atLeast"/>
          <w:jc w:val="center"/>
        </w:trPr>
        <w:tc>
          <w:tcPr>
            <w:tcW w:w="1119" w:type="dxa"/>
            <w:tcBorders>
              <w:tl2br w:val="nil"/>
              <w:tr2bl w:val="nil"/>
            </w:tcBorders>
            <w:vAlign w:val="center"/>
          </w:tcPr>
          <w:p w14:paraId="5B13130B">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1</w:t>
            </w:r>
          </w:p>
        </w:tc>
        <w:tc>
          <w:tcPr>
            <w:tcW w:w="1382" w:type="dxa"/>
            <w:tcBorders>
              <w:tl2br w:val="nil"/>
              <w:tr2bl w:val="nil"/>
            </w:tcBorders>
            <w:vAlign w:val="center"/>
          </w:tcPr>
          <w:p w14:paraId="510DFF88">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评审方法</w:t>
            </w:r>
          </w:p>
        </w:tc>
        <w:tc>
          <w:tcPr>
            <w:tcW w:w="2593" w:type="dxa"/>
            <w:tcBorders>
              <w:tl2br w:val="nil"/>
              <w:tr2bl w:val="nil"/>
            </w:tcBorders>
            <w:vAlign w:val="center"/>
          </w:tcPr>
          <w:p w14:paraId="76AB9EAB">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评审方法</w:t>
            </w:r>
          </w:p>
        </w:tc>
        <w:tc>
          <w:tcPr>
            <w:tcW w:w="4833" w:type="dxa"/>
            <w:tcBorders>
              <w:tl2br w:val="nil"/>
              <w:tr2bl w:val="nil"/>
            </w:tcBorders>
            <w:vAlign w:val="center"/>
          </w:tcPr>
          <w:p w14:paraId="1F445274">
            <w:pPr>
              <w:pStyle w:val="11"/>
              <w:widowControl/>
              <w:kinsoku w:val="0"/>
              <w:autoSpaceDE w:val="0"/>
              <w:autoSpaceDN w:val="0"/>
              <w:adjustRightInd w:val="0"/>
              <w:snapToGrid w:val="0"/>
              <w:spacing w:before="156" w:beforeLines="50" w:line="360" w:lineRule="auto"/>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□最低价法</w:t>
            </w:r>
          </w:p>
          <w:p w14:paraId="0A4231E0">
            <w:pPr>
              <w:pStyle w:val="11"/>
              <w:widowControl/>
              <w:kinsoku w:val="0"/>
              <w:autoSpaceDE w:val="0"/>
              <w:autoSpaceDN w:val="0"/>
              <w:adjustRightInd w:val="0"/>
              <w:snapToGrid w:val="0"/>
              <w:spacing w:before="156" w:beforeLines="50" w:line="360" w:lineRule="auto"/>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☑综合评分法</w:t>
            </w:r>
          </w:p>
          <w:p w14:paraId="5C847F11">
            <w:pPr>
              <w:pStyle w:val="11"/>
              <w:widowControl/>
              <w:kinsoku w:val="0"/>
              <w:autoSpaceDE w:val="0"/>
              <w:autoSpaceDN w:val="0"/>
              <w:adjustRightInd w:val="0"/>
              <w:snapToGrid w:val="0"/>
              <w:spacing w:before="156" w:beforeLines="50" w:line="360" w:lineRule="auto"/>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□投票法</w:t>
            </w:r>
          </w:p>
        </w:tc>
      </w:tr>
      <w:tr w14:paraId="049B2609">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119" w:type="dxa"/>
            <w:vMerge w:val="restart"/>
            <w:tcBorders>
              <w:tl2br w:val="nil"/>
              <w:tr2bl w:val="nil"/>
            </w:tcBorders>
            <w:vAlign w:val="center"/>
          </w:tcPr>
          <w:p w14:paraId="4920EAA9">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2.1.1</w:t>
            </w:r>
          </w:p>
        </w:tc>
        <w:tc>
          <w:tcPr>
            <w:tcW w:w="1382" w:type="dxa"/>
            <w:vMerge w:val="restart"/>
            <w:tcBorders>
              <w:tl2br w:val="nil"/>
              <w:tr2bl w:val="nil"/>
            </w:tcBorders>
            <w:vAlign w:val="center"/>
          </w:tcPr>
          <w:p w14:paraId="0455B908">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形式评审标准</w:t>
            </w:r>
          </w:p>
        </w:tc>
        <w:tc>
          <w:tcPr>
            <w:tcW w:w="2593" w:type="dxa"/>
            <w:tcBorders>
              <w:tl2br w:val="nil"/>
              <w:tr2bl w:val="nil"/>
            </w:tcBorders>
            <w:vAlign w:val="center"/>
          </w:tcPr>
          <w:p w14:paraId="5C1161C1">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供应商名称</w:t>
            </w:r>
          </w:p>
        </w:tc>
        <w:tc>
          <w:tcPr>
            <w:tcW w:w="4833" w:type="dxa"/>
            <w:tcBorders>
              <w:tl2br w:val="nil"/>
              <w:tr2bl w:val="nil"/>
            </w:tcBorders>
            <w:vAlign w:val="center"/>
          </w:tcPr>
          <w:p w14:paraId="17A0CD0F">
            <w:pPr>
              <w:pStyle w:val="11"/>
              <w:widowControl/>
              <w:kinsoku w:val="0"/>
              <w:autoSpaceDE w:val="0"/>
              <w:autoSpaceDN w:val="0"/>
              <w:adjustRightInd w:val="0"/>
              <w:snapToGrid w:val="0"/>
              <w:spacing w:before="156" w:beforeLines="50" w:line="360" w:lineRule="auto"/>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与市场监管部门或其他行政机关颁发的可以合法开展业务的执照或证书一致</w:t>
            </w:r>
          </w:p>
        </w:tc>
      </w:tr>
      <w:tr w14:paraId="04582C71">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119" w:type="dxa"/>
            <w:vMerge w:val="continue"/>
            <w:tcBorders>
              <w:tl2br w:val="nil"/>
              <w:tr2bl w:val="nil"/>
            </w:tcBorders>
            <w:vAlign w:val="center"/>
          </w:tcPr>
          <w:p w14:paraId="42C68388">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p>
        </w:tc>
        <w:tc>
          <w:tcPr>
            <w:tcW w:w="1382" w:type="dxa"/>
            <w:vMerge w:val="continue"/>
            <w:tcBorders>
              <w:tl2br w:val="nil"/>
              <w:tr2bl w:val="nil"/>
            </w:tcBorders>
            <w:vAlign w:val="center"/>
          </w:tcPr>
          <w:p w14:paraId="004D1A21">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p>
        </w:tc>
        <w:tc>
          <w:tcPr>
            <w:tcW w:w="2593" w:type="dxa"/>
            <w:tcBorders>
              <w:tl2br w:val="nil"/>
              <w:tr2bl w:val="nil"/>
            </w:tcBorders>
            <w:vAlign w:val="center"/>
          </w:tcPr>
          <w:p w14:paraId="4FA38393">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响应文件签字盖章</w:t>
            </w:r>
          </w:p>
        </w:tc>
        <w:tc>
          <w:tcPr>
            <w:tcW w:w="4833" w:type="dxa"/>
            <w:tcBorders>
              <w:tl2br w:val="nil"/>
              <w:tr2bl w:val="nil"/>
            </w:tcBorders>
            <w:vAlign w:val="center"/>
          </w:tcPr>
          <w:p w14:paraId="342F55C7">
            <w:pPr>
              <w:pStyle w:val="11"/>
              <w:widowControl/>
              <w:kinsoku w:val="0"/>
              <w:autoSpaceDE w:val="0"/>
              <w:autoSpaceDN w:val="0"/>
              <w:adjustRightInd w:val="0"/>
              <w:snapToGrid w:val="0"/>
              <w:spacing w:before="156" w:beforeLines="50" w:line="360" w:lineRule="auto"/>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符合第二章第3.7.2项及第3.7.3项的规定</w:t>
            </w:r>
          </w:p>
        </w:tc>
      </w:tr>
      <w:tr w14:paraId="55513A28">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119" w:type="dxa"/>
            <w:vMerge w:val="continue"/>
            <w:tcBorders>
              <w:tl2br w:val="nil"/>
              <w:tr2bl w:val="nil"/>
            </w:tcBorders>
            <w:vAlign w:val="center"/>
          </w:tcPr>
          <w:p w14:paraId="1A0F5A29">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p>
        </w:tc>
        <w:tc>
          <w:tcPr>
            <w:tcW w:w="1382" w:type="dxa"/>
            <w:vMerge w:val="continue"/>
            <w:tcBorders>
              <w:tl2br w:val="nil"/>
              <w:tr2bl w:val="nil"/>
            </w:tcBorders>
            <w:vAlign w:val="center"/>
          </w:tcPr>
          <w:p w14:paraId="014EF1DA">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p>
        </w:tc>
        <w:tc>
          <w:tcPr>
            <w:tcW w:w="2593" w:type="dxa"/>
            <w:tcBorders>
              <w:tl2br w:val="nil"/>
              <w:tr2bl w:val="nil"/>
            </w:tcBorders>
            <w:vAlign w:val="center"/>
          </w:tcPr>
          <w:p w14:paraId="359AEE63">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联合体协议书</w:t>
            </w:r>
          </w:p>
        </w:tc>
        <w:tc>
          <w:tcPr>
            <w:tcW w:w="4833" w:type="dxa"/>
            <w:tcBorders>
              <w:tl2br w:val="nil"/>
              <w:tr2bl w:val="nil"/>
            </w:tcBorders>
            <w:vAlign w:val="center"/>
          </w:tcPr>
          <w:p w14:paraId="2245392D">
            <w:pPr>
              <w:pStyle w:val="11"/>
              <w:widowControl/>
              <w:kinsoku w:val="0"/>
              <w:autoSpaceDE w:val="0"/>
              <w:autoSpaceDN w:val="0"/>
              <w:adjustRightInd w:val="0"/>
              <w:snapToGrid w:val="0"/>
              <w:spacing w:before="156" w:beforeLines="50" w:line="360" w:lineRule="auto"/>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递交联合体协议书，并明确联合体牵头人</w:t>
            </w:r>
          </w:p>
        </w:tc>
      </w:tr>
      <w:tr w14:paraId="3EA07CA5">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119" w:type="dxa"/>
            <w:vMerge w:val="continue"/>
            <w:tcBorders>
              <w:tl2br w:val="nil"/>
              <w:tr2bl w:val="nil"/>
            </w:tcBorders>
            <w:vAlign w:val="center"/>
          </w:tcPr>
          <w:p w14:paraId="62572546">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p>
        </w:tc>
        <w:tc>
          <w:tcPr>
            <w:tcW w:w="1382" w:type="dxa"/>
            <w:vMerge w:val="continue"/>
            <w:tcBorders>
              <w:tl2br w:val="nil"/>
              <w:tr2bl w:val="nil"/>
            </w:tcBorders>
            <w:vAlign w:val="center"/>
          </w:tcPr>
          <w:p w14:paraId="33037AE6">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p>
        </w:tc>
        <w:tc>
          <w:tcPr>
            <w:tcW w:w="2593" w:type="dxa"/>
            <w:tcBorders>
              <w:tl2br w:val="nil"/>
              <w:tr2bl w:val="nil"/>
            </w:tcBorders>
            <w:vAlign w:val="center"/>
          </w:tcPr>
          <w:p w14:paraId="027313A3">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响应函实质性内容</w:t>
            </w:r>
          </w:p>
        </w:tc>
        <w:tc>
          <w:tcPr>
            <w:tcW w:w="4833" w:type="dxa"/>
            <w:tcBorders>
              <w:tl2br w:val="nil"/>
              <w:tr2bl w:val="nil"/>
            </w:tcBorders>
            <w:vAlign w:val="center"/>
          </w:tcPr>
          <w:p w14:paraId="41E64FCE">
            <w:pPr>
              <w:pStyle w:val="11"/>
              <w:widowControl/>
              <w:kinsoku w:val="0"/>
              <w:autoSpaceDE w:val="0"/>
              <w:autoSpaceDN w:val="0"/>
              <w:adjustRightInd w:val="0"/>
              <w:snapToGrid w:val="0"/>
              <w:spacing w:before="156" w:beforeLines="50" w:line="360" w:lineRule="auto"/>
              <w:textAlignment w:val="baseline"/>
              <w:rPr>
                <w:rFonts w:ascii="仿宋" w:hAnsi="仿宋" w:eastAsia="仿宋" w:cs="仿宋"/>
                <w:snapToGrid w:val="0"/>
                <w:color w:val="000000"/>
                <w:spacing w:val="8"/>
                <w:sz w:val="24"/>
                <w:szCs w:val="24"/>
                <w:highlight w:val="none"/>
                <w:lang w:eastAsia="zh-CN"/>
              </w:rPr>
            </w:pPr>
          </w:p>
        </w:tc>
      </w:tr>
      <w:tr w14:paraId="26D40864">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119" w:type="dxa"/>
            <w:vMerge w:val="restart"/>
            <w:tcBorders>
              <w:tl2br w:val="nil"/>
              <w:tr2bl w:val="nil"/>
            </w:tcBorders>
            <w:vAlign w:val="center"/>
          </w:tcPr>
          <w:p w14:paraId="12066DF6">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2.1.2</w:t>
            </w:r>
          </w:p>
        </w:tc>
        <w:tc>
          <w:tcPr>
            <w:tcW w:w="1382" w:type="dxa"/>
            <w:vMerge w:val="restart"/>
            <w:tcBorders>
              <w:tl2br w:val="nil"/>
              <w:tr2bl w:val="nil"/>
            </w:tcBorders>
            <w:vAlign w:val="center"/>
          </w:tcPr>
          <w:p w14:paraId="643AE9C7">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资格评审标准</w:t>
            </w:r>
          </w:p>
        </w:tc>
        <w:tc>
          <w:tcPr>
            <w:tcW w:w="2593" w:type="dxa"/>
            <w:tcBorders>
              <w:tl2br w:val="nil"/>
              <w:tr2bl w:val="nil"/>
            </w:tcBorders>
            <w:vAlign w:val="center"/>
          </w:tcPr>
          <w:p w14:paraId="215555F4">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依法设立</w:t>
            </w:r>
          </w:p>
        </w:tc>
        <w:tc>
          <w:tcPr>
            <w:tcW w:w="4833" w:type="dxa"/>
            <w:tcBorders>
              <w:tl2br w:val="nil"/>
              <w:tr2bl w:val="nil"/>
            </w:tcBorders>
            <w:vAlign w:val="center"/>
          </w:tcPr>
          <w:p w14:paraId="25797E68">
            <w:pPr>
              <w:pStyle w:val="11"/>
              <w:widowControl/>
              <w:kinsoku w:val="0"/>
              <w:autoSpaceDE w:val="0"/>
              <w:autoSpaceDN w:val="0"/>
              <w:adjustRightInd w:val="0"/>
              <w:snapToGrid w:val="0"/>
              <w:spacing w:before="156" w:beforeLines="50" w:line="360" w:lineRule="auto"/>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符合第一章第3.1款及供应商须知前附表第3.5（1）款规定</w:t>
            </w:r>
          </w:p>
        </w:tc>
      </w:tr>
      <w:tr w14:paraId="69A9D7B8">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119" w:type="dxa"/>
            <w:vMerge w:val="continue"/>
            <w:tcBorders>
              <w:tl2br w:val="nil"/>
              <w:tr2bl w:val="nil"/>
            </w:tcBorders>
            <w:vAlign w:val="center"/>
          </w:tcPr>
          <w:p w14:paraId="60710518">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p>
        </w:tc>
        <w:tc>
          <w:tcPr>
            <w:tcW w:w="1382" w:type="dxa"/>
            <w:vMerge w:val="continue"/>
            <w:tcBorders>
              <w:tl2br w:val="nil"/>
              <w:tr2bl w:val="nil"/>
            </w:tcBorders>
            <w:vAlign w:val="center"/>
          </w:tcPr>
          <w:p w14:paraId="11A0CCB2">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p>
        </w:tc>
        <w:tc>
          <w:tcPr>
            <w:tcW w:w="2593" w:type="dxa"/>
            <w:tcBorders>
              <w:tl2br w:val="nil"/>
              <w:tr2bl w:val="nil"/>
            </w:tcBorders>
            <w:vAlign w:val="center"/>
          </w:tcPr>
          <w:p w14:paraId="2176641C">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资质要求</w:t>
            </w:r>
          </w:p>
        </w:tc>
        <w:tc>
          <w:tcPr>
            <w:tcW w:w="4833" w:type="dxa"/>
            <w:tcBorders>
              <w:tl2br w:val="nil"/>
              <w:tr2bl w:val="nil"/>
            </w:tcBorders>
            <w:vAlign w:val="center"/>
          </w:tcPr>
          <w:p w14:paraId="25E75158">
            <w:pPr>
              <w:pStyle w:val="11"/>
              <w:widowControl/>
              <w:kinsoku w:val="0"/>
              <w:autoSpaceDE w:val="0"/>
              <w:autoSpaceDN w:val="0"/>
              <w:adjustRightInd w:val="0"/>
              <w:snapToGrid w:val="0"/>
              <w:spacing w:before="156" w:beforeLines="50" w:line="360" w:lineRule="auto"/>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符合第一章第3.1款及供应商须知前附表第3.5（2）款规定</w:t>
            </w:r>
          </w:p>
        </w:tc>
      </w:tr>
      <w:tr w14:paraId="6E5BE825">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119" w:type="dxa"/>
            <w:vMerge w:val="continue"/>
            <w:tcBorders>
              <w:tl2br w:val="nil"/>
              <w:tr2bl w:val="nil"/>
            </w:tcBorders>
            <w:vAlign w:val="center"/>
          </w:tcPr>
          <w:p w14:paraId="3D5AD4E3">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p>
        </w:tc>
        <w:tc>
          <w:tcPr>
            <w:tcW w:w="1382" w:type="dxa"/>
            <w:vMerge w:val="continue"/>
            <w:tcBorders>
              <w:tl2br w:val="nil"/>
              <w:tr2bl w:val="nil"/>
            </w:tcBorders>
            <w:vAlign w:val="center"/>
          </w:tcPr>
          <w:p w14:paraId="07E9BA8F">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p>
        </w:tc>
        <w:tc>
          <w:tcPr>
            <w:tcW w:w="2593" w:type="dxa"/>
            <w:tcBorders>
              <w:tl2br w:val="nil"/>
              <w:tr2bl w:val="nil"/>
            </w:tcBorders>
            <w:vAlign w:val="center"/>
          </w:tcPr>
          <w:p w14:paraId="7737F8AB">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财务要求</w:t>
            </w:r>
          </w:p>
        </w:tc>
        <w:tc>
          <w:tcPr>
            <w:tcW w:w="4833" w:type="dxa"/>
            <w:tcBorders>
              <w:tl2br w:val="nil"/>
              <w:tr2bl w:val="nil"/>
            </w:tcBorders>
            <w:vAlign w:val="center"/>
          </w:tcPr>
          <w:p w14:paraId="3C7DC266">
            <w:pPr>
              <w:pStyle w:val="11"/>
              <w:widowControl/>
              <w:kinsoku w:val="0"/>
              <w:autoSpaceDE w:val="0"/>
              <w:autoSpaceDN w:val="0"/>
              <w:adjustRightInd w:val="0"/>
              <w:snapToGrid w:val="0"/>
              <w:spacing w:before="156" w:beforeLines="50" w:line="360" w:lineRule="auto"/>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符合第一章第3.1款及供应商须知前附表第3.5（3）款规定</w:t>
            </w:r>
          </w:p>
        </w:tc>
      </w:tr>
      <w:tr w14:paraId="3A98637A">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119" w:type="dxa"/>
            <w:vMerge w:val="continue"/>
            <w:tcBorders>
              <w:tl2br w:val="nil"/>
              <w:tr2bl w:val="nil"/>
            </w:tcBorders>
            <w:vAlign w:val="center"/>
          </w:tcPr>
          <w:p w14:paraId="3864BAEE">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p>
        </w:tc>
        <w:tc>
          <w:tcPr>
            <w:tcW w:w="1382" w:type="dxa"/>
            <w:vMerge w:val="continue"/>
            <w:tcBorders>
              <w:tl2br w:val="nil"/>
              <w:tr2bl w:val="nil"/>
            </w:tcBorders>
            <w:vAlign w:val="center"/>
          </w:tcPr>
          <w:p w14:paraId="2B62A47F">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p>
        </w:tc>
        <w:tc>
          <w:tcPr>
            <w:tcW w:w="2593" w:type="dxa"/>
            <w:tcBorders>
              <w:tl2br w:val="nil"/>
              <w:tr2bl w:val="nil"/>
            </w:tcBorders>
            <w:vAlign w:val="center"/>
          </w:tcPr>
          <w:p w14:paraId="081AC686">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业绩要求</w:t>
            </w:r>
          </w:p>
        </w:tc>
        <w:tc>
          <w:tcPr>
            <w:tcW w:w="4833" w:type="dxa"/>
            <w:tcBorders>
              <w:tl2br w:val="nil"/>
              <w:tr2bl w:val="nil"/>
            </w:tcBorders>
            <w:vAlign w:val="center"/>
          </w:tcPr>
          <w:p w14:paraId="4CA92845">
            <w:pPr>
              <w:pStyle w:val="11"/>
              <w:widowControl/>
              <w:kinsoku w:val="0"/>
              <w:autoSpaceDE w:val="0"/>
              <w:autoSpaceDN w:val="0"/>
              <w:adjustRightInd w:val="0"/>
              <w:snapToGrid w:val="0"/>
              <w:spacing w:before="156" w:beforeLines="50" w:line="360" w:lineRule="auto"/>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符合第一章第3.1款及供应商须知前附表第3.5（4）款规定</w:t>
            </w:r>
          </w:p>
        </w:tc>
      </w:tr>
      <w:tr w14:paraId="738BC0DB">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119" w:type="dxa"/>
            <w:vMerge w:val="continue"/>
            <w:tcBorders>
              <w:tl2br w:val="nil"/>
              <w:tr2bl w:val="nil"/>
            </w:tcBorders>
            <w:vAlign w:val="center"/>
          </w:tcPr>
          <w:p w14:paraId="024058E9">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p>
        </w:tc>
        <w:tc>
          <w:tcPr>
            <w:tcW w:w="1382" w:type="dxa"/>
            <w:vMerge w:val="continue"/>
            <w:tcBorders>
              <w:tl2br w:val="nil"/>
              <w:tr2bl w:val="nil"/>
            </w:tcBorders>
            <w:vAlign w:val="center"/>
          </w:tcPr>
          <w:p w14:paraId="4B580081">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p>
        </w:tc>
        <w:tc>
          <w:tcPr>
            <w:tcW w:w="2593" w:type="dxa"/>
            <w:tcBorders>
              <w:tl2br w:val="nil"/>
              <w:tr2bl w:val="nil"/>
            </w:tcBorders>
            <w:vAlign w:val="center"/>
          </w:tcPr>
          <w:p w14:paraId="3534E0C4">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信誉要求</w:t>
            </w:r>
          </w:p>
        </w:tc>
        <w:tc>
          <w:tcPr>
            <w:tcW w:w="4833" w:type="dxa"/>
            <w:tcBorders>
              <w:tl2br w:val="nil"/>
              <w:tr2bl w:val="nil"/>
            </w:tcBorders>
            <w:vAlign w:val="center"/>
          </w:tcPr>
          <w:p w14:paraId="0D9A34A9">
            <w:pPr>
              <w:pStyle w:val="11"/>
              <w:widowControl/>
              <w:kinsoku w:val="0"/>
              <w:autoSpaceDE w:val="0"/>
              <w:autoSpaceDN w:val="0"/>
              <w:adjustRightInd w:val="0"/>
              <w:snapToGrid w:val="0"/>
              <w:spacing w:before="156" w:beforeLines="50" w:line="360" w:lineRule="auto"/>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符合第一章第3.1款及供应商须知前附表第3.5（5）款规定</w:t>
            </w:r>
          </w:p>
        </w:tc>
      </w:tr>
      <w:tr w14:paraId="6670A587">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119" w:type="dxa"/>
            <w:vMerge w:val="continue"/>
            <w:tcBorders>
              <w:tl2br w:val="nil"/>
              <w:tr2bl w:val="nil"/>
            </w:tcBorders>
            <w:vAlign w:val="center"/>
          </w:tcPr>
          <w:p w14:paraId="10A0F118">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p>
        </w:tc>
        <w:tc>
          <w:tcPr>
            <w:tcW w:w="1382" w:type="dxa"/>
            <w:vMerge w:val="continue"/>
            <w:tcBorders>
              <w:tl2br w:val="nil"/>
              <w:tr2bl w:val="nil"/>
            </w:tcBorders>
            <w:vAlign w:val="center"/>
          </w:tcPr>
          <w:p w14:paraId="11C1C544">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p>
        </w:tc>
        <w:tc>
          <w:tcPr>
            <w:tcW w:w="2593" w:type="dxa"/>
            <w:tcBorders>
              <w:tl2br w:val="nil"/>
              <w:tr2bl w:val="nil"/>
            </w:tcBorders>
            <w:vAlign w:val="center"/>
          </w:tcPr>
          <w:p w14:paraId="555705A3">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人员要求</w:t>
            </w:r>
          </w:p>
        </w:tc>
        <w:tc>
          <w:tcPr>
            <w:tcW w:w="4833" w:type="dxa"/>
            <w:tcBorders>
              <w:tl2br w:val="nil"/>
              <w:tr2bl w:val="nil"/>
            </w:tcBorders>
            <w:vAlign w:val="center"/>
          </w:tcPr>
          <w:p w14:paraId="65A2B6D5">
            <w:pPr>
              <w:pStyle w:val="11"/>
              <w:widowControl/>
              <w:kinsoku w:val="0"/>
              <w:autoSpaceDE w:val="0"/>
              <w:autoSpaceDN w:val="0"/>
              <w:adjustRightInd w:val="0"/>
              <w:snapToGrid w:val="0"/>
              <w:spacing w:before="156" w:beforeLines="50" w:line="360" w:lineRule="auto"/>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符合第一章第3.1款及供应商须知前附表第3.5（6）款规定</w:t>
            </w:r>
          </w:p>
        </w:tc>
      </w:tr>
      <w:tr w14:paraId="3C0963B3">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119" w:type="dxa"/>
            <w:vMerge w:val="continue"/>
            <w:tcBorders>
              <w:tl2br w:val="nil"/>
              <w:tr2bl w:val="nil"/>
            </w:tcBorders>
            <w:vAlign w:val="center"/>
          </w:tcPr>
          <w:p w14:paraId="6708FE20">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p>
        </w:tc>
        <w:tc>
          <w:tcPr>
            <w:tcW w:w="1382" w:type="dxa"/>
            <w:vMerge w:val="continue"/>
            <w:tcBorders>
              <w:tl2br w:val="nil"/>
              <w:tr2bl w:val="nil"/>
            </w:tcBorders>
            <w:vAlign w:val="center"/>
          </w:tcPr>
          <w:p w14:paraId="60186FE9">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p>
        </w:tc>
        <w:tc>
          <w:tcPr>
            <w:tcW w:w="2593" w:type="dxa"/>
            <w:tcBorders>
              <w:tl2br w:val="nil"/>
              <w:tr2bl w:val="nil"/>
            </w:tcBorders>
            <w:vAlign w:val="center"/>
          </w:tcPr>
          <w:p w14:paraId="41E03CCD">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其他要求</w:t>
            </w:r>
          </w:p>
        </w:tc>
        <w:tc>
          <w:tcPr>
            <w:tcW w:w="4833" w:type="dxa"/>
            <w:tcBorders>
              <w:tl2br w:val="nil"/>
              <w:tr2bl w:val="nil"/>
            </w:tcBorders>
            <w:vAlign w:val="center"/>
          </w:tcPr>
          <w:p w14:paraId="479D5500">
            <w:pPr>
              <w:pStyle w:val="11"/>
              <w:widowControl/>
              <w:kinsoku w:val="0"/>
              <w:autoSpaceDE w:val="0"/>
              <w:autoSpaceDN w:val="0"/>
              <w:adjustRightInd w:val="0"/>
              <w:snapToGrid w:val="0"/>
              <w:spacing w:before="156" w:beforeLines="50" w:line="360" w:lineRule="auto"/>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符合第一章第3.1款及供应商须知前附表第3.5（7）款规定</w:t>
            </w:r>
          </w:p>
        </w:tc>
      </w:tr>
      <w:tr w14:paraId="3263AB93">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119" w:type="dxa"/>
            <w:vMerge w:val="continue"/>
            <w:tcBorders>
              <w:tl2br w:val="nil"/>
              <w:tr2bl w:val="nil"/>
            </w:tcBorders>
            <w:vAlign w:val="center"/>
          </w:tcPr>
          <w:p w14:paraId="66818CE3">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p>
        </w:tc>
        <w:tc>
          <w:tcPr>
            <w:tcW w:w="1382" w:type="dxa"/>
            <w:vMerge w:val="continue"/>
            <w:tcBorders>
              <w:tl2br w:val="nil"/>
              <w:tr2bl w:val="nil"/>
            </w:tcBorders>
            <w:vAlign w:val="center"/>
          </w:tcPr>
          <w:p w14:paraId="44D7EF0F">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p>
        </w:tc>
        <w:tc>
          <w:tcPr>
            <w:tcW w:w="2593" w:type="dxa"/>
            <w:tcBorders>
              <w:tl2br w:val="nil"/>
              <w:tr2bl w:val="nil"/>
            </w:tcBorders>
            <w:vAlign w:val="center"/>
          </w:tcPr>
          <w:p w14:paraId="7379C424">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不存在第一章第3.2款情形</w:t>
            </w:r>
          </w:p>
        </w:tc>
        <w:tc>
          <w:tcPr>
            <w:tcW w:w="4833" w:type="dxa"/>
            <w:tcBorders>
              <w:tl2br w:val="nil"/>
              <w:tr2bl w:val="nil"/>
            </w:tcBorders>
            <w:vAlign w:val="center"/>
          </w:tcPr>
          <w:p w14:paraId="17978798">
            <w:pPr>
              <w:pStyle w:val="11"/>
              <w:widowControl/>
              <w:kinsoku w:val="0"/>
              <w:autoSpaceDE w:val="0"/>
              <w:autoSpaceDN w:val="0"/>
              <w:adjustRightInd w:val="0"/>
              <w:snapToGrid w:val="0"/>
              <w:spacing w:before="156" w:beforeLines="50" w:line="360" w:lineRule="auto"/>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符合第一章第3.2款及供应商须知前附表第3.5（8）款规定</w:t>
            </w:r>
          </w:p>
        </w:tc>
      </w:tr>
      <w:tr w14:paraId="37638C40">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119" w:type="dxa"/>
            <w:vMerge w:val="continue"/>
            <w:tcBorders>
              <w:tl2br w:val="nil"/>
              <w:tr2bl w:val="nil"/>
            </w:tcBorders>
            <w:vAlign w:val="center"/>
          </w:tcPr>
          <w:p w14:paraId="648C8D4E">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p>
        </w:tc>
        <w:tc>
          <w:tcPr>
            <w:tcW w:w="1382" w:type="dxa"/>
            <w:vMerge w:val="continue"/>
            <w:tcBorders>
              <w:tl2br w:val="nil"/>
              <w:tr2bl w:val="nil"/>
            </w:tcBorders>
            <w:vAlign w:val="center"/>
          </w:tcPr>
          <w:p w14:paraId="4A456E79">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p>
        </w:tc>
        <w:tc>
          <w:tcPr>
            <w:tcW w:w="2593" w:type="dxa"/>
            <w:tcBorders>
              <w:tl2br w:val="nil"/>
              <w:tr2bl w:val="nil"/>
            </w:tcBorders>
            <w:vAlign w:val="center"/>
          </w:tcPr>
          <w:p w14:paraId="7D491A44">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联合体供应商</w:t>
            </w:r>
          </w:p>
        </w:tc>
        <w:tc>
          <w:tcPr>
            <w:tcW w:w="4833" w:type="dxa"/>
            <w:tcBorders>
              <w:tl2br w:val="nil"/>
              <w:tr2bl w:val="nil"/>
            </w:tcBorders>
            <w:vAlign w:val="center"/>
          </w:tcPr>
          <w:p w14:paraId="4CEC0A45">
            <w:pPr>
              <w:pStyle w:val="11"/>
              <w:widowControl/>
              <w:kinsoku w:val="0"/>
              <w:autoSpaceDE w:val="0"/>
              <w:autoSpaceDN w:val="0"/>
              <w:adjustRightInd w:val="0"/>
              <w:snapToGrid w:val="0"/>
              <w:spacing w:before="156" w:beforeLines="50" w:line="360" w:lineRule="auto"/>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符合第一章第3.3款及供应商须知前附表第3.5（9）款规定</w:t>
            </w:r>
          </w:p>
        </w:tc>
      </w:tr>
      <w:tr w14:paraId="61CFAEC2">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119" w:type="dxa"/>
            <w:vMerge w:val="restart"/>
            <w:tcBorders>
              <w:tl2br w:val="nil"/>
              <w:tr2bl w:val="nil"/>
            </w:tcBorders>
            <w:vAlign w:val="center"/>
          </w:tcPr>
          <w:p w14:paraId="2A4A5140">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2.1.3</w:t>
            </w:r>
          </w:p>
        </w:tc>
        <w:tc>
          <w:tcPr>
            <w:tcW w:w="1382" w:type="dxa"/>
            <w:vMerge w:val="restart"/>
            <w:tcBorders>
              <w:tl2br w:val="nil"/>
              <w:tr2bl w:val="nil"/>
            </w:tcBorders>
            <w:vAlign w:val="center"/>
          </w:tcPr>
          <w:p w14:paraId="33A2FFDA">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响应性评审标准</w:t>
            </w:r>
          </w:p>
        </w:tc>
        <w:tc>
          <w:tcPr>
            <w:tcW w:w="2593" w:type="dxa"/>
            <w:tcBorders>
              <w:tl2br w:val="nil"/>
              <w:tr2bl w:val="nil"/>
            </w:tcBorders>
            <w:vAlign w:val="center"/>
          </w:tcPr>
          <w:p w14:paraId="12773114">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报价</w:t>
            </w:r>
          </w:p>
        </w:tc>
        <w:tc>
          <w:tcPr>
            <w:tcW w:w="4833" w:type="dxa"/>
            <w:tcBorders>
              <w:tl2br w:val="nil"/>
              <w:tr2bl w:val="nil"/>
            </w:tcBorders>
            <w:vAlign w:val="center"/>
          </w:tcPr>
          <w:p w14:paraId="5652CF0D">
            <w:pPr>
              <w:pStyle w:val="11"/>
              <w:widowControl/>
              <w:kinsoku w:val="0"/>
              <w:autoSpaceDE w:val="0"/>
              <w:autoSpaceDN w:val="0"/>
              <w:adjustRightInd w:val="0"/>
              <w:snapToGrid w:val="0"/>
              <w:spacing w:before="156" w:beforeLines="50" w:line="360" w:lineRule="auto"/>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符合第二章第3.2款规定</w:t>
            </w:r>
          </w:p>
        </w:tc>
      </w:tr>
      <w:tr w14:paraId="77A0DD8C">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119" w:type="dxa"/>
            <w:vMerge w:val="continue"/>
            <w:tcBorders>
              <w:tl2br w:val="nil"/>
              <w:tr2bl w:val="nil"/>
            </w:tcBorders>
            <w:vAlign w:val="center"/>
          </w:tcPr>
          <w:p w14:paraId="20763EAD">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p>
        </w:tc>
        <w:tc>
          <w:tcPr>
            <w:tcW w:w="1382" w:type="dxa"/>
            <w:vMerge w:val="continue"/>
            <w:tcBorders>
              <w:tl2br w:val="nil"/>
              <w:tr2bl w:val="nil"/>
            </w:tcBorders>
            <w:vAlign w:val="center"/>
          </w:tcPr>
          <w:p w14:paraId="70C40CEA">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p>
        </w:tc>
        <w:tc>
          <w:tcPr>
            <w:tcW w:w="2593" w:type="dxa"/>
            <w:tcBorders>
              <w:tl2br w:val="nil"/>
              <w:tr2bl w:val="nil"/>
            </w:tcBorders>
            <w:vAlign w:val="center"/>
          </w:tcPr>
          <w:p w14:paraId="02017ACF">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响应文件有效期</w:t>
            </w:r>
          </w:p>
        </w:tc>
        <w:tc>
          <w:tcPr>
            <w:tcW w:w="4833" w:type="dxa"/>
            <w:tcBorders>
              <w:tl2br w:val="nil"/>
              <w:tr2bl w:val="nil"/>
            </w:tcBorders>
            <w:vAlign w:val="center"/>
          </w:tcPr>
          <w:p w14:paraId="28EA113A">
            <w:pPr>
              <w:pStyle w:val="11"/>
              <w:widowControl/>
              <w:kinsoku w:val="0"/>
              <w:autoSpaceDE w:val="0"/>
              <w:autoSpaceDN w:val="0"/>
              <w:adjustRightInd w:val="0"/>
              <w:snapToGrid w:val="0"/>
              <w:spacing w:before="156" w:beforeLines="50" w:line="360" w:lineRule="auto"/>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符合第二章第3.3.1项规定</w:t>
            </w:r>
          </w:p>
        </w:tc>
      </w:tr>
      <w:tr w14:paraId="3E43C56B">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119" w:type="dxa"/>
            <w:vMerge w:val="continue"/>
            <w:tcBorders>
              <w:tl2br w:val="nil"/>
              <w:tr2bl w:val="nil"/>
            </w:tcBorders>
            <w:vAlign w:val="center"/>
          </w:tcPr>
          <w:p w14:paraId="5C4A3609">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p>
        </w:tc>
        <w:tc>
          <w:tcPr>
            <w:tcW w:w="1382" w:type="dxa"/>
            <w:vMerge w:val="continue"/>
            <w:tcBorders>
              <w:tl2br w:val="nil"/>
              <w:tr2bl w:val="nil"/>
            </w:tcBorders>
            <w:vAlign w:val="center"/>
          </w:tcPr>
          <w:p w14:paraId="1A821E23">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p>
        </w:tc>
        <w:tc>
          <w:tcPr>
            <w:tcW w:w="2593" w:type="dxa"/>
            <w:tcBorders>
              <w:tl2br w:val="nil"/>
              <w:tr2bl w:val="nil"/>
            </w:tcBorders>
            <w:vAlign w:val="center"/>
          </w:tcPr>
          <w:p w14:paraId="302D22E7">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响应保证金</w:t>
            </w:r>
          </w:p>
        </w:tc>
        <w:tc>
          <w:tcPr>
            <w:tcW w:w="4833" w:type="dxa"/>
            <w:tcBorders>
              <w:tl2br w:val="nil"/>
              <w:tr2bl w:val="nil"/>
            </w:tcBorders>
            <w:vAlign w:val="center"/>
          </w:tcPr>
          <w:p w14:paraId="0791A277">
            <w:pPr>
              <w:pStyle w:val="11"/>
              <w:widowControl/>
              <w:kinsoku w:val="0"/>
              <w:autoSpaceDE w:val="0"/>
              <w:autoSpaceDN w:val="0"/>
              <w:adjustRightInd w:val="0"/>
              <w:snapToGrid w:val="0"/>
              <w:spacing w:before="156" w:beforeLines="50" w:line="360" w:lineRule="auto"/>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符合第二章第3.4.1项规定</w:t>
            </w:r>
          </w:p>
        </w:tc>
      </w:tr>
      <w:tr w14:paraId="2F75D530">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119" w:type="dxa"/>
            <w:vMerge w:val="continue"/>
            <w:tcBorders>
              <w:tl2br w:val="nil"/>
              <w:tr2bl w:val="nil"/>
            </w:tcBorders>
            <w:vAlign w:val="center"/>
          </w:tcPr>
          <w:p w14:paraId="12CB0929">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p>
        </w:tc>
        <w:tc>
          <w:tcPr>
            <w:tcW w:w="1382" w:type="dxa"/>
            <w:vMerge w:val="continue"/>
            <w:tcBorders>
              <w:tl2br w:val="nil"/>
              <w:tr2bl w:val="nil"/>
            </w:tcBorders>
            <w:vAlign w:val="center"/>
          </w:tcPr>
          <w:p w14:paraId="1067E175">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p>
        </w:tc>
        <w:tc>
          <w:tcPr>
            <w:tcW w:w="2593" w:type="dxa"/>
            <w:tcBorders>
              <w:tl2br w:val="nil"/>
              <w:tr2bl w:val="nil"/>
            </w:tcBorders>
            <w:vAlign w:val="center"/>
          </w:tcPr>
          <w:p w14:paraId="30992574">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响应方案</w:t>
            </w:r>
          </w:p>
        </w:tc>
        <w:tc>
          <w:tcPr>
            <w:tcW w:w="4833" w:type="dxa"/>
            <w:tcBorders>
              <w:tl2br w:val="nil"/>
              <w:tr2bl w:val="nil"/>
            </w:tcBorders>
            <w:vAlign w:val="center"/>
          </w:tcPr>
          <w:p w14:paraId="611C6478">
            <w:pPr>
              <w:pStyle w:val="11"/>
              <w:widowControl/>
              <w:kinsoku w:val="0"/>
              <w:autoSpaceDE w:val="0"/>
              <w:autoSpaceDN w:val="0"/>
              <w:adjustRightInd w:val="0"/>
              <w:snapToGrid w:val="0"/>
              <w:spacing w:before="156" w:beforeLines="50" w:line="360" w:lineRule="auto"/>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符合第二章第3.6款规定</w:t>
            </w:r>
          </w:p>
        </w:tc>
      </w:tr>
      <w:tr w14:paraId="0CE36BE2">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119" w:type="dxa"/>
            <w:vMerge w:val="continue"/>
            <w:tcBorders>
              <w:tl2br w:val="nil"/>
              <w:tr2bl w:val="nil"/>
            </w:tcBorders>
            <w:vAlign w:val="center"/>
          </w:tcPr>
          <w:p w14:paraId="73351A99">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p>
        </w:tc>
        <w:tc>
          <w:tcPr>
            <w:tcW w:w="1382" w:type="dxa"/>
            <w:vMerge w:val="continue"/>
            <w:tcBorders>
              <w:tl2br w:val="nil"/>
              <w:tr2bl w:val="nil"/>
            </w:tcBorders>
            <w:vAlign w:val="center"/>
          </w:tcPr>
          <w:p w14:paraId="63016110">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p>
        </w:tc>
        <w:tc>
          <w:tcPr>
            <w:tcW w:w="2593" w:type="dxa"/>
            <w:tcBorders>
              <w:tl2br w:val="nil"/>
              <w:tr2bl w:val="nil"/>
            </w:tcBorders>
            <w:vAlign w:val="center"/>
          </w:tcPr>
          <w:p w14:paraId="08431CB3">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质量标准</w:t>
            </w:r>
          </w:p>
        </w:tc>
        <w:tc>
          <w:tcPr>
            <w:tcW w:w="4833" w:type="dxa"/>
            <w:tcBorders>
              <w:tl2br w:val="nil"/>
              <w:tr2bl w:val="nil"/>
            </w:tcBorders>
            <w:vAlign w:val="center"/>
          </w:tcPr>
          <w:p w14:paraId="2B6035F2">
            <w:pPr>
              <w:pStyle w:val="11"/>
              <w:widowControl/>
              <w:kinsoku w:val="0"/>
              <w:autoSpaceDE w:val="0"/>
              <w:autoSpaceDN w:val="0"/>
              <w:adjustRightInd w:val="0"/>
              <w:snapToGrid w:val="0"/>
              <w:spacing w:before="156" w:beforeLines="50" w:line="360" w:lineRule="auto"/>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符合第一章第2条规定</w:t>
            </w:r>
          </w:p>
        </w:tc>
      </w:tr>
      <w:tr w14:paraId="3F6E36DC">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119" w:type="dxa"/>
            <w:vMerge w:val="continue"/>
            <w:tcBorders>
              <w:tl2br w:val="nil"/>
              <w:tr2bl w:val="nil"/>
            </w:tcBorders>
            <w:vAlign w:val="center"/>
          </w:tcPr>
          <w:p w14:paraId="60557AB0">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p>
        </w:tc>
        <w:tc>
          <w:tcPr>
            <w:tcW w:w="1382" w:type="dxa"/>
            <w:vMerge w:val="continue"/>
            <w:tcBorders>
              <w:tl2br w:val="nil"/>
              <w:tr2bl w:val="nil"/>
            </w:tcBorders>
            <w:vAlign w:val="center"/>
          </w:tcPr>
          <w:p w14:paraId="07352BB4">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p>
        </w:tc>
        <w:tc>
          <w:tcPr>
            <w:tcW w:w="2593" w:type="dxa"/>
            <w:tcBorders>
              <w:tl2br w:val="nil"/>
              <w:tr2bl w:val="nil"/>
            </w:tcBorders>
            <w:vAlign w:val="center"/>
          </w:tcPr>
          <w:p w14:paraId="4A972634">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完成期限</w:t>
            </w:r>
          </w:p>
        </w:tc>
        <w:tc>
          <w:tcPr>
            <w:tcW w:w="4833" w:type="dxa"/>
            <w:tcBorders>
              <w:tl2br w:val="nil"/>
              <w:tr2bl w:val="nil"/>
            </w:tcBorders>
            <w:vAlign w:val="center"/>
          </w:tcPr>
          <w:p w14:paraId="156941BD">
            <w:pPr>
              <w:pStyle w:val="11"/>
              <w:widowControl/>
              <w:kinsoku w:val="0"/>
              <w:autoSpaceDE w:val="0"/>
              <w:autoSpaceDN w:val="0"/>
              <w:adjustRightInd w:val="0"/>
              <w:snapToGrid w:val="0"/>
              <w:spacing w:before="156" w:beforeLines="50" w:line="360" w:lineRule="auto"/>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符合第一章第2条规定</w:t>
            </w:r>
          </w:p>
        </w:tc>
      </w:tr>
      <w:tr w14:paraId="355A8B6E">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119" w:type="dxa"/>
            <w:vMerge w:val="continue"/>
            <w:tcBorders>
              <w:tl2br w:val="nil"/>
              <w:tr2bl w:val="nil"/>
            </w:tcBorders>
            <w:vAlign w:val="center"/>
          </w:tcPr>
          <w:p w14:paraId="737307B4">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p>
        </w:tc>
        <w:tc>
          <w:tcPr>
            <w:tcW w:w="1382" w:type="dxa"/>
            <w:vMerge w:val="continue"/>
            <w:tcBorders>
              <w:tl2br w:val="nil"/>
              <w:tr2bl w:val="nil"/>
            </w:tcBorders>
            <w:vAlign w:val="center"/>
          </w:tcPr>
          <w:p w14:paraId="6D3CDAAC">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p>
        </w:tc>
        <w:tc>
          <w:tcPr>
            <w:tcW w:w="2593" w:type="dxa"/>
            <w:tcBorders>
              <w:tl2br w:val="nil"/>
              <w:tr2bl w:val="nil"/>
            </w:tcBorders>
            <w:vAlign w:val="center"/>
          </w:tcPr>
          <w:p w14:paraId="2BA60490">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合同条款</w:t>
            </w:r>
          </w:p>
        </w:tc>
        <w:tc>
          <w:tcPr>
            <w:tcW w:w="4833" w:type="dxa"/>
            <w:tcBorders>
              <w:tl2br w:val="nil"/>
              <w:tr2bl w:val="nil"/>
            </w:tcBorders>
            <w:vAlign w:val="center"/>
          </w:tcPr>
          <w:p w14:paraId="306CABAC">
            <w:pPr>
              <w:pStyle w:val="11"/>
              <w:widowControl/>
              <w:kinsoku w:val="0"/>
              <w:autoSpaceDE w:val="0"/>
              <w:autoSpaceDN w:val="0"/>
              <w:adjustRightInd w:val="0"/>
              <w:snapToGrid w:val="0"/>
              <w:spacing w:before="156" w:beforeLines="50" w:line="360" w:lineRule="auto"/>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符合第二章第1.10.1项规定</w:t>
            </w:r>
          </w:p>
        </w:tc>
      </w:tr>
      <w:tr w14:paraId="0EFF7D25">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119" w:type="dxa"/>
            <w:vMerge w:val="continue"/>
            <w:tcBorders>
              <w:tl2br w:val="nil"/>
              <w:tr2bl w:val="nil"/>
            </w:tcBorders>
            <w:vAlign w:val="center"/>
          </w:tcPr>
          <w:p w14:paraId="4019C23B">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p>
        </w:tc>
        <w:tc>
          <w:tcPr>
            <w:tcW w:w="1382" w:type="dxa"/>
            <w:vMerge w:val="continue"/>
            <w:tcBorders>
              <w:tl2br w:val="nil"/>
              <w:tr2bl w:val="nil"/>
            </w:tcBorders>
            <w:vAlign w:val="center"/>
          </w:tcPr>
          <w:p w14:paraId="2862F785">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p>
        </w:tc>
        <w:tc>
          <w:tcPr>
            <w:tcW w:w="2593" w:type="dxa"/>
            <w:tcBorders>
              <w:tl2br w:val="nil"/>
              <w:tr2bl w:val="nil"/>
            </w:tcBorders>
            <w:vAlign w:val="center"/>
          </w:tcPr>
          <w:p w14:paraId="5900679A">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对非关键条款的偏差</w:t>
            </w:r>
          </w:p>
        </w:tc>
        <w:tc>
          <w:tcPr>
            <w:tcW w:w="4833" w:type="dxa"/>
            <w:tcBorders>
              <w:tl2br w:val="nil"/>
              <w:tr2bl w:val="nil"/>
            </w:tcBorders>
            <w:vAlign w:val="center"/>
          </w:tcPr>
          <w:p w14:paraId="03A4E680">
            <w:pPr>
              <w:pStyle w:val="11"/>
              <w:widowControl/>
              <w:kinsoku w:val="0"/>
              <w:autoSpaceDE w:val="0"/>
              <w:autoSpaceDN w:val="0"/>
              <w:adjustRightInd w:val="0"/>
              <w:snapToGrid w:val="0"/>
              <w:spacing w:before="156" w:beforeLines="50" w:line="360" w:lineRule="auto"/>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偏差范围和偏差项数符合第二章第</w:t>
            </w:r>
          </w:p>
          <w:p w14:paraId="74CE0DEF">
            <w:pPr>
              <w:pStyle w:val="11"/>
              <w:widowControl/>
              <w:kinsoku w:val="0"/>
              <w:autoSpaceDE w:val="0"/>
              <w:autoSpaceDN w:val="0"/>
              <w:adjustRightInd w:val="0"/>
              <w:snapToGrid w:val="0"/>
              <w:spacing w:before="156" w:beforeLines="50" w:line="360" w:lineRule="auto"/>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1.10.2项的规定</w:t>
            </w:r>
          </w:p>
        </w:tc>
      </w:tr>
      <w:tr w14:paraId="4BD1286D">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2501" w:type="dxa"/>
            <w:gridSpan w:val="2"/>
            <w:tcBorders>
              <w:tl2br w:val="nil"/>
              <w:tr2bl w:val="nil"/>
            </w:tcBorders>
            <w:vAlign w:val="center"/>
          </w:tcPr>
          <w:p w14:paraId="1E86E75E">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3.1.1</w:t>
            </w:r>
          </w:p>
        </w:tc>
        <w:tc>
          <w:tcPr>
            <w:tcW w:w="2593" w:type="dxa"/>
            <w:tcBorders>
              <w:tl2br w:val="nil"/>
              <w:tr2bl w:val="nil"/>
            </w:tcBorders>
            <w:vAlign w:val="center"/>
          </w:tcPr>
          <w:p w14:paraId="2FDF6199">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评审价格</w:t>
            </w:r>
          </w:p>
        </w:tc>
        <w:tc>
          <w:tcPr>
            <w:tcW w:w="4833" w:type="dxa"/>
            <w:tcBorders>
              <w:tl2br w:val="nil"/>
              <w:tr2bl w:val="nil"/>
            </w:tcBorders>
            <w:vAlign w:val="center"/>
          </w:tcPr>
          <w:p w14:paraId="4D85CC36">
            <w:pPr>
              <w:pStyle w:val="11"/>
              <w:widowControl/>
              <w:kinsoku w:val="0"/>
              <w:autoSpaceDE w:val="0"/>
              <w:autoSpaceDN w:val="0"/>
              <w:adjustRightInd w:val="0"/>
              <w:snapToGrid w:val="0"/>
              <w:spacing w:before="156" w:beforeLines="50" w:line="360" w:lineRule="auto"/>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u w:val="single"/>
                <w:lang w:eastAsia="zh-CN"/>
              </w:rPr>
              <w:t>　以最终含税报价为准　</w:t>
            </w:r>
          </w:p>
        </w:tc>
      </w:tr>
    </w:tbl>
    <w:p w14:paraId="724241F6">
      <w:pPr>
        <w:spacing w:line="360" w:lineRule="auto"/>
        <w:rPr>
          <w:rFonts w:ascii="仿宋" w:hAnsi="仿宋"/>
          <w:sz w:val="24"/>
          <w:szCs w:val="24"/>
          <w:highlight w:val="none"/>
        </w:rPr>
      </w:pPr>
    </w:p>
    <w:tbl>
      <w:tblPr>
        <w:tblStyle w:val="7"/>
        <w:tblW w:w="9927" w:type="dxa"/>
        <w:jc w:val="center"/>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Layout w:type="fixed"/>
        <w:tblCellMar>
          <w:top w:w="0" w:type="dxa"/>
          <w:left w:w="0" w:type="dxa"/>
          <w:bottom w:w="0" w:type="dxa"/>
          <w:right w:w="0" w:type="dxa"/>
        </w:tblCellMar>
      </w:tblPr>
      <w:tblGrid>
        <w:gridCol w:w="1088"/>
        <w:gridCol w:w="1413"/>
        <w:gridCol w:w="2593"/>
        <w:gridCol w:w="4833"/>
      </w:tblGrid>
      <w:tr w14:paraId="60D46F3D">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tblHeader/>
          <w:jc w:val="center"/>
        </w:trPr>
        <w:tc>
          <w:tcPr>
            <w:tcW w:w="9927" w:type="dxa"/>
            <w:gridSpan w:val="4"/>
            <w:tcBorders>
              <w:top w:val="nil"/>
            </w:tcBorders>
            <w:vAlign w:val="center"/>
          </w:tcPr>
          <w:p w14:paraId="239EA06D">
            <w:pPr>
              <w:spacing w:line="360" w:lineRule="auto"/>
              <w:jc w:val="center"/>
              <w:rPr>
                <w:rFonts w:ascii="黑体" w:hAnsi="黑体" w:eastAsia="黑体" w:cs="黑体"/>
                <w:snapToGrid w:val="0"/>
                <w:color w:val="000000"/>
                <w:spacing w:val="8"/>
                <w:sz w:val="24"/>
                <w:szCs w:val="24"/>
                <w:highlight w:val="none"/>
              </w:rPr>
            </w:pPr>
            <w:r>
              <w:rPr>
                <w:rFonts w:hint="eastAsia" w:ascii="黑体" w:hAnsi="黑体" w:eastAsia="黑体" w:cs="黑体"/>
                <w:sz w:val="24"/>
                <w:szCs w:val="24"/>
                <w:highlight w:val="none"/>
              </w:rPr>
              <w:t>续表</w:t>
            </w:r>
          </w:p>
        </w:tc>
      </w:tr>
      <w:tr w14:paraId="6BABE61A">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tblHeader/>
          <w:jc w:val="center"/>
        </w:trPr>
        <w:tc>
          <w:tcPr>
            <w:tcW w:w="2501" w:type="dxa"/>
            <w:gridSpan w:val="2"/>
            <w:tcBorders>
              <w:tl2br w:val="nil"/>
              <w:tr2bl w:val="nil"/>
            </w:tcBorders>
            <w:vAlign w:val="center"/>
          </w:tcPr>
          <w:p w14:paraId="45363AF3">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条款号</w:t>
            </w:r>
          </w:p>
        </w:tc>
        <w:tc>
          <w:tcPr>
            <w:tcW w:w="2593" w:type="dxa"/>
            <w:tcBorders>
              <w:tl2br w:val="nil"/>
              <w:tr2bl w:val="nil"/>
            </w:tcBorders>
            <w:vAlign w:val="center"/>
          </w:tcPr>
          <w:p w14:paraId="50E01375">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条款内容</w:t>
            </w:r>
          </w:p>
        </w:tc>
        <w:tc>
          <w:tcPr>
            <w:tcW w:w="4833" w:type="dxa"/>
            <w:tcBorders>
              <w:tl2br w:val="nil"/>
              <w:tr2bl w:val="nil"/>
            </w:tcBorders>
            <w:vAlign w:val="center"/>
          </w:tcPr>
          <w:p w14:paraId="64CA4D8D">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编列内容</w:t>
            </w:r>
          </w:p>
        </w:tc>
      </w:tr>
      <w:tr w14:paraId="2ECDB187">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9927" w:type="dxa"/>
            <w:gridSpan w:val="4"/>
            <w:tcBorders>
              <w:tl2br w:val="nil"/>
              <w:tr2bl w:val="nil"/>
            </w:tcBorders>
            <w:vAlign w:val="center"/>
          </w:tcPr>
          <w:p w14:paraId="4754477F">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3.2综合评分和排序（综合评分法）</w:t>
            </w:r>
          </w:p>
        </w:tc>
      </w:tr>
      <w:tr w14:paraId="4C122814">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2501" w:type="dxa"/>
            <w:gridSpan w:val="2"/>
            <w:tcBorders>
              <w:tl2br w:val="nil"/>
              <w:tr2bl w:val="nil"/>
            </w:tcBorders>
            <w:vAlign w:val="center"/>
          </w:tcPr>
          <w:p w14:paraId="4C4D7E4C">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3.2.1</w:t>
            </w:r>
          </w:p>
        </w:tc>
        <w:tc>
          <w:tcPr>
            <w:tcW w:w="2593" w:type="dxa"/>
            <w:tcBorders>
              <w:tl2br w:val="nil"/>
              <w:tr2bl w:val="nil"/>
            </w:tcBorders>
            <w:vAlign w:val="center"/>
          </w:tcPr>
          <w:p w14:paraId="47B23782">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分值构成</w:t>
            </w:r>
          </w:p>
          <w:p w14:paraId="143875C9">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（总分100分）</w:t>
            </w:r>
          </w:p>
        </w:tc>
        <w:tc>
          <w:tcPr>
            <w:tcW w:w="4833" w:type="dxa"/>
            <w:tcBorders>
              <w:tl2br w:val="nil"/>
              <w:tr2bl w:val="nil"/>
            </w:tcBorders>
            <w:vAlign w:val="center"/>
          </w:tcPr>
          <w:p w14:paraId="2E9B19D6">
            <w:pPr>
              <w:pStyle w:val="11"/>
              <w:widowControl/>
              <w:kinsoku w:val="0"/>
              <w:autoSpaceDE w:val="0"/>
              <w:autoSpaceDN w:val="0"/>
              <w:adjustRightInd w:val="0"/>
              <w:snapToGrid w:val="0"/>
              <w:spacing w:before="156" w:beforeLines="50" w:line="360" w:lineRule="auto"/>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（1）商务部分：</w:t>
            </w:r>
            <w:r>
              <w:rPr>
                <w:rFonts w:hint="eastAsia" w:ascii="仿宋" w:hAnsi="仿宋" w:eastAsia="仿宋" w:cs="仿宋"/>
                <w:snapToGrid w:val="0"/>
                <w:color w:val="000000"/>
                <w:spacing w:val="8"/>
                <w:sz w:val="24"/>
                <w:szCs w:val="24"/>
                <w:highlight w:val="none"/>
                <w:u w:val="single"/>
                <w:lang w:eastAsia="zh-CN"/>
              </w:rPr>
              <w:t>　</w:t>
            </w:r>
            <w:r>
              <w:rPr>
                <w:rFonts w:ascii="仿宋" w:hAnsi="仿宋" w:eastAsia="仿宋" w:cs="仿宋"/>
                <w:snapToGrid w:val="0"/>
                <w:color w:val="000000"/>
                <w:spacing w:val="8"/>
                <w:sz w:val="24"/>
                <w:szCs w:val="24"/>
                <w:highlight w:val="none"/>
                <w:u w:val="single"/>
                <w:lang w:eastAsia="zh-CN"/>
              </w:rPr>
              <w:t>10</w:t>
            </w:r>
            <w:r>
              <w:rPr>
                <w:rFonts w:hint="eastAsia" w:ascii="仿宋" w:hAnsi="仿宋" w:eastAsia="仿宋" w:cs="仿宋"/>
                <w:snapToGrid w:val="0"/>
                <w:color w:val="000000"/>
                <w:spacing w:val="8"/>
                <w:sz w:val="24"/>
                <w:szCs w:val="24"/>
                <w:highlight w:val="none"/>
                <w:u w:val="single"/>
                <w:lang w:eastAsia="zh-CN"/>
              </w:rPr>
              <w:t>　</w:t>
            </w:r>
            <w:r>
              <w:rPr>
                <w:rFonts w:hint="eastAsia" w:ascii="仿宋" w:hAnsi="仿宋" w:eastAsia="仿宋" w:cs="仿宋"/>
                <w:snapToGrid w:val="0"/>
                <w:color w:val="000000"/>
                <w:spacing w:val="8"/>
                <w:sz w:val="24"/>
                <w:szCs w:val="24"/>
                <w:highlight w:val="none"/>
                <w:lang w:eastAsia="zh-CN"/>
              </w:rPr>
              <w:t>分</w:t>
            </w:r>
          </w:p>
          <w:p w14:paraId="01EA5388">
            <w:pPr>
              <w:pStyle w:val="11"/>
              <w:widowControl/>
              <w:kinsoku w:val="0"/>
              <w:autoSpaceDE w:val="0"/>
              <w:autoSpaceDN w:val="0"/>
              <w:adjustRightInd w:val="0"/>
              <w:snapToGrid w:val="0"/>
              <w:spacing w:before="156" w:beforeLines="50" w:line="360" w:lineRule="auto"/>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（2）技术部分：</w:t>
            </w:r>
            <w:r>
              <w:rPr>
                <w:rFonts w:hint="eastAsia" w:ascii="仿宋" w:hAnsi="仿宋" w:eastAsia="仿宋" w:cs="仿宋"/>
                <w:snapToGrid w:val="0"/>
                <w:color w:val="000000"/>
                <w:spacing w:val="8"/>
                <w:sz w:val="24"/>
                <w:szCs w:val="24"/>
                <w:highlight w:val="none"/>
                <w:u w:val="single"/>
                <w:lang w:eastAsia="zh-CN"/>
              </w:rPr>
              <w:t>　</w:t>
            </w:r>
            <w:r>
              <w:rPr>
                <w:rFonts w:ascii="仿宋" w:hAnsi="仿宋" w:eastAsia="仿宋" w:cs="仿宋"/>
                <w:snapToGrid w:val="0"/>
                <w:color w:val="000000"/>
                <w:spacing w:val="8"/>
                <w:sz w:val="24"/>
                <w:szCs w:val="24"/>
                <w:highlight w:val="none"/>
                <w:u w:val="single"/>
                <w:lang w:eastAsia="zh-CN"/>
              </w:rPr>
              <w:t>45</w:t>
            </w:r>
            <w:r>
              <w:rPr>
                <w:rFonts w:hint="eastAsia" w:ascii="仿宋" w:hAnsi="仿宋" w:eastAsia="仿宋" w:cs="仿宋"/>
                <w:snapToGrid w:val="0"/>
                <w:color w:val="000000"/>
                <w:spacing w:val="8"/>
                <w:sz w:val="24"/>
                <w:szCs w:val="24"/>
                <w:highlight w:val="none"/>
                <w:u w:val="single"/>
                <w:lang w:eastAsia="zh-CN"/>
              </w:rPr>
              <w:t>　</w:t>
            </w:r>
            <w:r>
              <w:rPr>
                <w:rFonts w:hint="eastAsia" w:ascii="仿宋" w:hAnsi="仿宋" w:eastAsia="仿宋" w:cs="仿宋"/>
                <w:snapToGrid w:val="0"/>
                <w:color w:val="000000"/>
                <w:spacing w:val="8"/>
                <w:sz w:val="24"/>
                <w:szCs w:val="24"/>
                <w:highlight w:val="none"/>
                <w:lang w:eastAsia="zh-CN"/>
              </w:rPr>
              <w:t>分</w:t>
            </w:r>
          </w:p>
          <w:p w14:paraId="7ED034FD">
            <w:pPr>
              <w:pStyle w:val="11"/>
              <w:widowControl/>
              <w:kinsoku w:val="0"/>
              <w:autoSpaceDE w:val="0"/>
              <w:autoSpaceDN w:val="0"/>
              <w:adjustRightInd w:val="0"/>
              <w:snapToGrid w:val="0"/>
              <w:spacing w:before="156" w:beforeLines="50" w:line="360" w:lineRule="auto"/>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（3）报价：</w:t>
            </w:r>
            <w:r>
              <w:rPr>
                <w:rFonts w:hint="eastAsia" w:ascii="仿宋" w:hAnsi="仿宋" w:eastAsia="仿宋" w:cs="仿宋"/>
                <w:snapToGrid w:val="0"/>
                <w:color w:val="000000"/>
                <w:spacing w:val="8"/>
                <w:sz w:val="24"/>
                <w:szCs w:val="24"/>
                <w:highlight w:val="none"/>
                <w:u w:val="single"/>
                <w:lang w:eastAsia="zh-CN"/>
              </w:rPr>
              <w:t>　</w:t>
            </w:r>
            <w:r>
              <w:rPr>
                <w:rFonts w:ascii="仿宋" w:hAnsi="仿宋" w:eastAsia="仿宋" w:cs="仿宋"/>
                <w:snapToGrid w:val="0"/>
                <w:color w:val="000000"/>
                <w:spacing w:val="8"/>
                <w:sz w:val="24"/>
                <w:szCs w:val="24"/>
                <w:highlight w:val="none"/>
                <w:u w:val="single"/>
                <w:lang w:eastAsia="zh-CN"/>
              </w:rPr>
              <w:t>45</w:t>
            </w:r>
            <w:r>
              <w:rPr>
                <w:rFonts w:hint="eastAsia" w:ascii="仿宋" w:hAnsi="仿宋" w:eastAsia="仿宋" w:cs="仿宋"/>
                <w:snapToGrid w:val="0"/>
                <w:color w:val="000000"/>
                <w:spacing w:val="8"/>
                <w:sz w:val="24"/>
                <w:szCs w:val="24"/>
                <w:highlight w:val="none"/>
                <w:u w:val="single"/>
                <w:lang w:eastAsia="zh-CN"/>
              </w:rPr>
              <w:t>　</w:t>
            </w:r>
            <w:r>
              <w:rPr>
                <w:rFonts w:hint="eastAsia" w:ascii="仿宋" w:hAnsi="仿宋" w:eastAsia="仿宋" w:cs="仿宋"/>
                <w:snapToGrid w:val="0"/>
                <w:color w:val="000000"/>
                <w:spacing w:val="8"/>
                <w:sz w:val="24"/>
                <w:szCs w:val="24"/>
                <w:highlight w:val="none"/>
                <w:lang w:eastAsia="zh-CN"/>
              </w:rPr>
              <w:t>分</w:t>
            </w:r>
          </w:p>
          <w:p w14:paraId="68950F0F">
            <w:pPr>
              <w:pStyle w:val="11"/>
              <w:widowControl/>
              <w:kinsoku w:val="0"/>
              <w:autoSpaceDE w:val="0"/>
              <w:autoSpaceDN w:val="0"/>
              <w:adjustRightInd w:val="0"/>
              <w:snapToGrid w:val="0"/>
              <w:spacing w:before="156" w:beforeLines="50" w:line="360" w:lineRule="auto"/>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（4）其他评分因素：</w:t>
            </w:r>
            <w:r>
              <w:rPr>
                <w:rFonts w:hint="eastAsia" w:ascii="仿宋" w:hAnsi="仿宋" w:eastAsia="仿宋" w:cs="仿宋"/>
                <w:snapToGrid w:val="0"/>
                <w:color w:val="000000"/>
                <w:spacing w:val="8"/>
                <w:sz w:val="24"/>
                <w:szCs w:val="24"/>
                <w:highlight w:val="none"/>
                <w:u w:val="single"/>
                <w:lang w:eastAsia="zh-CN"/>
              </w:rPr>
              <w:t>　（如有）　</w:t>
            </w:r>
            <w:r>
              <w:rPr>
                <w:rFonts w:hint="eastAsia" w:ascii="仿宋" w:hAnsi="仿宋" w:eastAsia="仿宋" w:cs="仿宋"/>
                <w:snapToGrid w:val="0"/>
                <w:color w:val="000000"/>
                <w:spacing w:val="8"/>
                <w:sz w:val="24"/>
                <w:szCs w:val="24"/>
                <w:highlight w:val="none"/>
                <w:lang w:eastAsia="zh-CN"/>
              </w:rPr>
              <w:t>分</w:t>
            </w:r>
          </w:p>
        </w:tc>
      </w:tr>
      <w:tr w14:paraId="136BFBA4">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2501" w:type="dxa"/>
            <w:gridSpan w:val="2"/>
            <w:tcBorders>
              <w:tl2br w:val="nil"/>
              <w:tr2bl w:val="nil"/>
            </w:tcBorders>
            <w:vAlign w:val="center"/>
          </w:tcPr>
          <w:p w14:paraId="7C3AE088">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3.2.2（2）</w:t>
            </w:r>
          </w:p>
        </w:tc>
        <w:tc>
          <w:tcPr>
            <w:tcW w:w="2593" w:type="dxa"/>
            <w:tcBorders>
              <w:tl2br w:val="nil"/>
              <w:tr2bl w:val="nil"/>
            </w:tcBorders>
            <w:vAlign w:val="center"/>
          </w:tcPr>
          <w:p w14:paraId="7078083C">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评审基准价计算方法</w:t>
            </w:r>
          </w:p>
        </w:tc>
        <w:tc>
          <w:tcPr>
            <w:tcW w:w="4833" w:type="dxa"/>
            <w:tcBorders>
              <w:tl2br w:val="nil"/>
              <w:tr2bl w:val="nil"/>
            </w:tcBorders>
            <w:vAlign w:val="center"/>
          </w:tcPr>
          <w:p w14:paraId="0D398B0A">
            <w:pPr>
              <w:pStyle w:val="11"/>
              <w:widowControl/>
              <w:kinsoku w:val="0"/>
              <w:autoSpaceDE w:val="0"/>
              <w:autoSpaceDN w:val="0"/>
              <w:adjustRightInd w:val="0"/>
              <w:snapToGrid w:val="0"/>
              <w:spacing w:before="156" w:beforeLines="50" w:line="360" w:lineRule="auto"/>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□方法一：平均价</w:t>
            </w:r>
          </w:p>
          <w:p w14:paraId="727E6438">
            <w:pPr>
              <w:pStyle w:val="11"/>
              <w:widowControl/>
              <w:kinsoku w:val="0"/>
              <w:autoSpaceDE w:val="0"/>
              <w:autoSpaceDN w:val="0"/>
              <w:adjustRightInd w:val="0"/>
              <w:snapToGrid w:val="0"/>
              <w:spacing w:before="156" w:beforeLines="50" w:line="360" w:lineRule="auto"/>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□方法二：评审基准价系数=</w:t>
            </w:r>
            <w:r>
              <w:rPr>
                <w:rFonts w:hint="eastAsia" w:ascii="仿宋" w:hAnsi="仿宋" w:eastAsia="仿宋" w:cs="仿宋"/>
                <w:snapToGrid w:val="0"/>
                <w:color w:val="000000"/>
                <w:spacing w:val="8"/>
                <w:sz w:val="24"/>
                <w:szCs w:val="24"/>
                <w:highlight w:val="none"/>
                <w:u w:val="single"/>
                <w:lang w:eastAsia="zh-CN"/>
              </w:rPr>
              <w:t>　　</w:t>
            </w:r>
          </w:p>
          <w:p w14:paraId="7D24CC68">
            <w:pPr>
              <w:pStyle w:val="11"/>
              <w:widowControl/>
              <w:kinsoku w:val="0"/>
              <w:autoSpaceDE w:val="0"/>
              <w:autoSpaceDN w:val="0"/>
              <w:adjustRightInd w:val="0"/>
              <w:snapToGrid w:val="0"/>
              <w:spacing w:before="156" w:beforeLines="50" w:line="360" w:lineRule="auto"/>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☑方法三：最低价</w:t>
            </w:r>
          </w:p>
          <w:p w14:paraId="0B21A485">
            <w:pPr>
              <w:pStyle w:val="11"/>
              <w:widowControl/>
              <w:kinsoku w:val="0"/>
              <w:autoSpaceDE w:val="0"/>
              <w:autoSpaceDN w:val="0"/>
              <w:adjustRightInd w:val="0"/>
              <w:snapToGrid w:val="0"/>
              <w:spacing w:before="156" w:beforeLines="50" w:line="360" w:lineRule="auto"/>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□方法四：具体方法为</w:t>
            </w:r>
            <w:r>
              <w:rPr>
                <w:rFonts w:hint="eastAsia" w:ascii="仿宋" w:hAnsi="仿宋" w:eastAsia="仿宋" w:cs="仿宋"/>
                <w:snapToGrid w:val="0"/>
                <w:color w:val="000000"/>
                <w:spacing w:val="8"/>
                <w:sz w:val="24"/>
                <w:szCs w:val="24"/>
                <w:highlight w:val="none"/>
                <w:u w:val="single"/>
                <w:lang w:eastAsia="zh-CN"/>
              </w:rPr>
              <w:t>　　　　</w:t>
            </w:r>
          </w:p>
        </w:tc>
      </w:tr>
      <w:tr w14:paraId="71F20755">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2501" w:type="dxa"/>
            <w:gridSpan w:val="2"/>
            <w:tcBorders>
              <w:tl2br w:val="nil"/>
              <w:tr2bl w:val="nil"/>
            </w:tcBorders>
            <w:vAlign w:val="center"/>
          </w:tcPr>
          <w:p w14:paraId="49575399">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条款号及名称</w:t>
            </w:r>
          </w:p>
        </w:tc>
        <w:tc>
          <w:tcPr>
            <w:tcW w:w="2593" w:type="dxa"/>
            <w:tcBorders>
              <w:tl2br w:val="nil"/>
              <w:tr2bl w:val="nil"/>
            </w:tcBorders>
            <w:vAlign w:val="center"/>
          </w:tcPr>
          <w:p w14:paraId="38199DC5">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评分因素</w:t>
            </w:r>
          </w:p>
        </w:tc>
        <w:tc>
          <w:tcPr>
            <w:tcW w:w="4833" w:type="dxa"/>
            <w:tcBorders>
              <w:tl2br w:val="nil"/>
              <w:tr2bl w:val="nil"/>
            </w:tcBorders>
            <w:vAlign w:val="center"/>
          </w:tcPr>
          <w:p w14:paraId="6F08171B">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评分标准</w:t>
            </w:r>
          </w:p>
        </w:tc>
      </w:tr>
      <w:tr w14:paraId="5B6EFCE4">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088" w:type="dxa"/>
            <w:vMerge w:val="restart"/>
            <w:tcBorders>
              <w:tl2br w:val="nil"/>
              <w:tr2bl w:val="nil"/>
            </w:tcBorders>
            <w:vAlign w:val="center"/>
          </w:tcPr>
          <w:p w14:paraId="70E3E2DF">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3.2.3（1）</w:t>
            </w:r>
          </w:p>
        </w:tc>
        <w:tc>
          <w:tcPr>
            <w:tcW w:w="1413" w:type="dxa"/>
            <w:vMerge w:val="restart"/>
            <w:tcBorders>
              <w:tl2br w:val="nil"/>
              <w:tr2bl w:val="nil"/>
            </w:tcBorders>
            <w:vAlign w:val="center"/>
          </w:tcPr>
          <w:p w14:paraId="0D3305E6">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商务评分标准</w:t>
            </w:r>
          </w:p>
        </w:tc>
        <w:tc>
          <w:tcPr>
            <w:tcW w:w="2593" w:type="dxa"/>
            <w:tcBorders>
              <w:tl2br w:val="nil"/>
              <w:tr2bl w:val="nil"/>
            </w:tcBorders>
            <w:vAlign w:val="center"/>
          </w:tcPr>
          <w:p w14:paraId="237B2F56">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企业盈利（</w:t>
            </w:r>
            <w:r>
              <w:rPr>
                <w:rFonts w:ascii="仿宋" w:hAnsi="仿宋" w:eastAsia="仿宋" w:cs="仿宋"/>
                <w:snapToGrid w:val="0"/>
                <w:color w:val="000000"/>
                <w:spacing w:val="8"/>
                <w:sz w:val="24"/>
                <w:szCs w:val="24"/>
                <w:highlight w:val="none"/>
                <w:lang w:eastAsia="zh-CN"/>
              </w:rPr>
              <w:t>15</w:t>
            </w:r>
            <w:r>
              <w:rPr>
                <w:rFonts w:hint="eastAsia" w:ascii="仿宋" w:hAnsi="仿宋" w:eastAsia="仿宋" w:cs="仿宋"/>
                <w:snapToGrid w:val="0"/>
                <w:color w:val="000000"/>
                <w:spacing w:val="8"/>
                <w:sz w:val="24"/>
                <w:szCs w:val="24"/>
                <w:highlight w:val="none"/>
                <w:lang w:eastAsia="zh-CN"/>
              </w:rPr>
              <w:t>分）</w:t>
            </w:r>
          </w:p>
        </w:tc>
        <w:tc>
          <w:tcPr>
            <w:tcW w:w="4833" w:type="dxa"/>
            <w:tcBorders>
              <w:tl2br w:val="nil"/>
              <w:tr2bl w:val="nil"/>
            </w:tcBorders>
            <w:vAlign w:val="center"/>
          </w:tcPr>
          <w:p w14:paraId="6C9B808F">
            <w:pPr>
              <w:pStyle w:val="11"/>
              <w:widowControl/>
              <w:kinsoku w:val="0"/>
              <w:autoSpaceDE w:val="0"/>
              <w:autoSpaceDN w:val="0"/>
              <w:adjustRightInd w:val="0"/>
              <w:snapToGrid w:val="0"/>
              <w:spacing w:line="360" w:lineRule="auto"/>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近三年(202</w:t>
            </w:r>
            <w:r>
              <w:rPr>
                <w:rFonts w:ascii="仿宋" w:hAnsi="仿宋" w:eastAsia="仿宋" w:cs="仿宋"/>
                <w:snapToGrid w:val="0"/>
                <w:color w:val="000000"/>
                <w:spacing w:val="8"/>
                <w:sz w:val="24"/>
                <w:szCs w:val="24"/>
                <w:highlight w:val="none"/>
                <w:lang w:eastAsia="zh-CN"/>
              </w:rPr>
              <w:t>3</w:t>
            </w:r>
            <w:r>
              <w:rPr>
                <w:rFonts w:hint="eastAsia" w:ascii="仿宋" w:hAnsi="仿宋" w:eastAsia="仿宋" w:cs="仿宋"/>
                <w:snapToGrid w:val="0"/>
                <w:color w:val="000000"/>
                <w:spacing w:val="8"/>
                <w:sz w:val="24"/>
                <w:szCs w:val="24"/>
                <w:highlight w:val="none"/>
                <w:lang w:eastAsia="zh-CN"/>
              </w:rPr>
              <w:t>年、202</w:t>
            </w:r>
            <w:r>
              <w:rPr>
                <w:rFonts w:ascii="仿宋" w:hAnsi="仿宋" w:eastAsia="仿宋" w:cs="仿宋"/>
                <w:snapToGrid w:val="0"/>
                <w:color w:val="000000"/>
                <w:spacing w:val="8"/>
                <w:sz w:val="24"/>
                <w:szCs w:val="24"/>
                <w:highlight w:val="none"/>
                <w:lang w:eastAsia="zh-CN"/>
              </w:rPr>
              <w:t>4</w:t>
            </w:r>
            <w:r>
              <w:rPr>
                <w:rFonts w:hint="eastAsia" w:ascii="仿宋" w:hAnsi="仿宋" w:eastAsia="仿宋" w:cs="仿宋"/>
                <w:snapToGrid w:val="0"/>
                <w:color w:val="000000"/>
                <w:spacing w:val="8"/>
                <w:sz w:val="24"/>
                <w:szCs w:val="24"/>
                <w:highlight w:val="none"/>
                <w:lang w:eastAsia="zh-CN"/>
              </w:rPr>
              <w:t>年、202</w:t>
            </w:r>
            <w:r>
              <w:rPr>
                <w:rFonts w:ascii="仿宋" w:hAnsi="仿宋" w:eastAsia="仿宋" w:cs="仿宋"/>
                <w:snapToGrid w:val="0"/>
                <w:color w:val="000000"/>
                <w:spacing w:val="8"/>
                <w:sz w:val="24"/>
                <w:szCs w:val="24"/>
                <w:highlight w:val="none"/>
                <w:lang w:eastAsia="zh-CN"/>
              </w:rPr>
              <w:t>5</w:t>
            </w:r>
            <w:r>
              <w:rPr>
                <w:rFonts w:hint="eastAsia" w:ascii="仿宋" w:hAnsi="仿宋" w:eastAsia="仿宋" w:cs="仿宋"/>
                <w:snapToGrid w:val="0"/>
                <w:color w:val="000000"/>
                <w:spacing w:val="8"/>
                <w:sz w:val="24"/>
                <w:szCs w:val="24"/>
                <w:highlight w:val="none"/>
                <w:lang w:eastAsia="zh-CN"/>
              </w:rPr>
              <w:t>年)盈利情况：</w:t>
            </w:r>
          </w:p>
          <w:p w14:paraId="249FE935">
            <w:pPr>
              <w:pStyle w:val="11"/>
              <w:widowControl/>
              <w:kinsoku w:val="0"/>
              <w:autoSpaceDE w:val="0"/>
              <w:autoSpaceDN w:val="0"/>
              <w:adjustRightInd w:val="0"/>
              <w:snapToGrid w:val="0"/>
              <w:spacing w:line="360" w:lineRule="auto"/>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1）三年均盈利的得</w:t>
            </w:r>
            <w:r>
              <w:rPr>
                <w:rFonts w:ascii="仿宋" w:hAnsi="仿宋" w:eastAsia="仿宋" w:cs="仿宋"/>
                <w:snapToGrid w:val="0"/>
                <w:color w:val="000000"/>
                <w:spacing w:val="8"/>
                <w:sz w:val="24"/>
                <w:szCs w:val="24"/>
                <w:highlight w:val="none"/>
                <w:lang w:eastAsia="zh-CN"/>
              </w:rPr>
              <w:t>15</w:t>
            </w:r>
            <w:r>
              <w:rPr>
                <w:rFonts w:hint="eastAsia" w:ascii="仿宋" w:hAnsi="仿宋" w:eastAsia="仿宋" w:cs="仿宋"/>
                <w:snapToGrid w:val="0"/>
                <w:color w:val="000000"/>
                <w:spacing w:val="8"/>
                <w:sz w:val="24"/>
                <w:szCs w:val="24"/>
                <w:highlight w:val="none"/>
                <w:lang w:eastAsia="zh-CN"/>
              </w:rPr>
              <w:t>分；</w:t>
            </w:r>
          </w:p>
          <w:p w14:paraId="25C26874">
            <w:pPr>
              <w:pStyle w:val="11"/>
              <w:widowControl/>
              <w:kinsoku w:val="0"/>
              <w:autoSpaceDE w:val="0"/>
              <w:autoSpaceDN w:val="0"/>
              <w:adjustRightInd w:val="0"/>
              <w:snapToGrid w:val="0"/>
              <w:spacing w:line="360" w:lineRule="auto"/>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2）其中两年均盈利的得</w:t>
            </w:r>
            <w:r>
              <w:rPr>
                <w:rFonts w:ascii="仿宋" w:hAnsi="仿宋" w:eastAsia="仿宋" w:cs="仿宋"/>
                <w:snapToGrid w:val="0"/>
                <w:color w:val="000000"/>
                <w:spacing w:val="8"/>
                <w:sz w:val="24"/>
                <w:szCs w:val="24"/>
                <w:highlight w:val="none"/>
                <w:lang w:eastAsia="zh-CN"/>
              </w:rPr>
              <w:t>10</w:t>
            </w:r>
            <w:r>
              <w:rPr>
                <w:rFonts w:hint="eastAsia" w:ascii="仿宋" w:hAnsi="仿宋" w:eastAsia="仿宋" w:cs="仿宋"/>
                <w:snapToGrid w:val="0"/>
                <w:color w:val="000000"/>
                <w:spacing w:val="8"/>
                <w:sz w:val="24"/>
                <w:szCs w:val="24"/>
                <w:highlight w:val="none"/>
                <w:lang w:eastAsia="zh-CN"/>
              </w:rPr>
              <w:t>分；</w:t>
            </w:r>
          </w:p>
          <w:p w14:paraId="2E2DE795">
            <w:pPr>
              <w:pStyle w:val="11"/>
              <w:widowControl/>
              <w:kinsoku w:val="0"/>
              <w:autoSpaceDE w:val="0"/>
              <w:autoSpaceDN w:val="0"/>
              <w:adjustRightInd w:val="0"/>
              <w:snapToGrid w:val="0"/>
              <w:spacing w:line="360" w:lineRule="auto"/>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3）其中一年均盈利的得</w:t>
            </w:r>
            <w:r>
              <w:rPr>
                <w:rFonts w:ascii="仿宋" w:hAnsi="仿宋" w:eastAsia="仿宋" w:cs="仿宋"/>
                <w:snapToGrid w:val="0"/>
                <w:color w:val="000000"/>
                <w:spacing w:val="8"/>
                <w:sz w:val="24"/>
                <w:szCs w:val="24"/>
                <w:highlight w:val="none"/>
                <w:lang w:eastAsia="zh-CN"/>
              </w:rPr>
              <w:t>5</w:t>
            </w:r>
            <w:r>
              <w:rPr>
                <w:rFonts w:hint="eastAsia" w:ascii="仿宋" w:hAnsi="仿宋" w:eastAsia="仿宋" w:cs="仿宋"/>
                <w:snapToGrid w:val="0"/>
                <w:color w:val="000000"/>
                <w:spacing w:val="8"/>
                <w:sz w:val="24"/>
                <w:szCs w:val="24"/>
                <w:highlight w:val="none"/>
                <w:lang w:eastAsia="zh-CN"/>
              </w:rPr>
              <w:t>分；</w:t>
            </w:r>
          </w:p>
          <w:p w14:paraId="60337A19">
            <w:pPr>
              <w:pStyle w:val="11"/>
              <w:widowControl/>
              <w:kinsoku w:val="0"/>
              <w:autoSpaceDE w:val="0"/>
              <w:autoSpaceDN w:val="0"/>
              <w:adjustRightInd w:val="0"/>
              <w:snapToGrid w:val="0"/>
              <w:spacing w:line="360" w:lineRule="auto"/>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4）均不盈利的得0分。</w:t>
            </w:r>
          </w:p>
        </w:tc>
      </w:tr>
      <w:tr w14:paraId="6C01C029">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088" w:type="dxa"/>
            <w:vMerge w:val="continue"/>
            <w:tcBorders>
              <w:tl2br w:val="nil"/>
              <w:tr2bl w:val="nil"/>
            </w:tcBorders>
            <w:vAlign w:val="center"/>
          </w:tcPr>
          <w:p w14:paraId="39D1E6DE">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p>
        </w:tc>
        <w:tc>
          <w:tcPr>
            <w:tcW w:w="1413" w:type="dxa"/>
            <w:vMerge w:val="continue"/>
            <w:tcBorders>
              <w:tl2br w:val="nil"/>
              <w:tr2bl w:val="nil"/>
            </w:tcBorders>
            <w:vAlign w:val="center"/>
          </w:tcPr>
          <w:p w14:paraId="6C6AAB24">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p>
        </w:tc>
        <w:tc>
          <w:tcPr>
            <w:tcW w:w="2593" w:type="dxa"/>
            <w:tcBorders>
              <w:tl2br w:val="nil"/>
              <w:tr2bl w:val="nil"/>
            </w:tcBorders>
            <w:vAlign w:val="center"/>
          </w:tcPr>
          <w:p w14:paraId="788251A0">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企业实力（1</w:t>
            </w:r>
            <w:r>
              <w:rPr>
                <w:rFonts w:ascii="仿宋" w:hAnsi="仿宋" w:eastAsia="仿宋" w:cs="仿宋"/>
                <w:snapToGrid w:val="0"/>
                <w:color w:val="000000"/>
                <w:spacing w:val="8"/>
                <w:sz w:val="24"/>
                <w:szCs w:val="24"/>
                <w:highlight w:val="none"/>
                <w:lang w:eastAsia="zh-CN"/>
              </w:rPr>
              <w:t>5</w:t>
            </w:r>
            <w:r>
              <w:rPr>
                <w:rFonts w:hint="eastAsia" w:ascii="仿宋" w:hAnsi="仿宋" w:eastAsia="仿宋" w:cs="仿宋"/>
                <w:snapToGrid w:val="0"/>
                <w:color w:val="000000"/>
                <w:spacing w:val="8"/>
                <w:sz w:val="24"/>
                <w:szCs w:val="24"/>
                <w:highlight w:val="none"/>
                <w:lang w:eastAsia="zh-CN"/>
              </w:rPr>
              <w:t>分）</w:t>
            </w:r>
          </w:p>
        </w:tc>
        <w:tc>
          <w:tcPr>
            <w:tcW w:w="4833" w:type="dxa"/>
            <w:tcBorders>
              <w:tl2br w:val="nil"/>
              <w:tr2bl w:val="nil"/>
            </w:tcBorders>
            <w:vAlign w:val="center"/>
          </w:tcPr>
          <w:p w14:paraId="67F92741">
            <w:pPr>
              <w:pStyle w:val="11"/>
              <w:widowControl/>
              <w:kinsoku w:val="0"/>
              <w:autoSpaceDE w:val="0"/>
              <w:autoSpaceDN w:val="0"/>
              <w:adjustRightInd w:val="0"/>
              <w:snapToGrid w:val="0"/>
              <w:spacing w:line="360" w:lineRule="auto"/>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投标人具有效期内的质量管理体系认证、环境管理体系认证、职业健康安全管理体系认证，每项计</w:t>
            </w:r>
            <w:r>
              <w:rPr>
                <w:rFonts w:ascii="仿宋" w:hAnsi="仿宋" w:eastAsia="仿宋" w:cs="仿宋"/>
                <w:snapToGrid w:val="0"/>
                <w:color w:val="000000"/>
                <w:spacing w:val="8"/>
                <w:sz w:val="24"/>
                <w:szCs w:val="24"/>
                <w:highlight w:val="none"/>
                <w:lang w:eastAsia="zh-CN"/>
              </w:rPr>
              <w:t>5</w:t>
            </w:r>
            <w:r>
              <w:rPr>
                <w:rFonts w:hint="eastAsia" w:ascii="仿宋" w:hAnsi="仿宋" w:eastAsia="仿宋" w:cs="仿宋"/>
                <w:snapToGrid w:val="0"/>
                <w:color w:val="000000"/>
                <w:spacing w:val="8"/>
                <w:sz w:val="24"/>
                <w:szCs w:val="24"/>
                <w:highlight w:val="none"/>
                <w:lang w:eastAsia="zh-CN"/>
              </w:rPr>
              <w:t>分。</w:t>
            </w:r>
          </w:p>
        </w:tc>
      </w:tr>
      <w:tr w14:paraId="4DAF41C0">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088" w:type="dxa"/>
            <w:vMerge w:val="continue"/>
            <w:tcBorders>
              <w:tl2br w:val="nil"/>
              <w:tr2bl w:val="nil"/>
            </w:tcBorders>
            <w:vAlign w:val="center"/>
          </w:tcPr>
          <w:p w14:paraId="4118919D">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p>
        </w:tc>
        <w:tc>
          <w:tcPr>
            <w:tcW w:w="1413" w:type="dxa"/>
            <w:vMerge w:val="continue"/>
            <w:tcBorders>
              <w:tl2br w:val="nil"/>
              <w:tr2bl w:val="nil"/>
            </w:tcBorders>
            <w:vAlign w:val="center"/>
          </w:tcPr>
          <w:p w14:paraId="66970255">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p>
        </w:tc>
        <w:tc>
          <w:tcPr>
            <w:tcW w:w="2593" w:type="dxa"/>
            <w:tcBorders>
              <w:tl2br w:val="nil"/>
              <w:tr2bl w:val="nil"/>
            </w:tcBorders>
            <w:vAlign w:val="center"/>
          </w:tcPr>
          <w:p w14:paraId="4A416FF6">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公司</w:t>
            </w:r>
            <w:r>
              <w:rPr>
                <w:rFonts w:ascii="仿宋" w:hAnsi="仿宋" w:eastAsia="仿宋" w:cs="仿宋"/>
                <w:snapToGrid w:val="0"/>
                <w:color w:val="000000"/>
                <w:spacing w:val="8"/>
                <w:sz w:val="24"/>
                <w:szCs w:val="24"/>
                <w:highlight w:val="none"/>
                <w:lang w:eastAsia="zh-CN"/>
              </w:rPr>
              <w:t>业绩</w:t>
            </w:r>
            <w:r>
              <w:rPr>
                <w:rFonts w:hint="eastAsia" w:ascii="仿宋" w:hAnsi="仿宋" w:eastAsia="仿宋" w:cs="仿宋"/>
                <w:snapToGrid w:val="0"/>
                <w:color w:val="000000"/>
                <w:spacing w:val="8"/>
                <w:sz w:val="24"/>
                <w:szCs w:val="24"/>
                <w:highlight w:val="none"/>
                <w:lang w:eastAsia="zh-CN"/>
              </w:rPr>
              <w:t>（</w:t>
            </w:r>
            <w:r>
              <w:rPr>
                <w:rFonts w:ascii="仿宋" w:hAnsi="仿宋" w:eastAsia="仿宋" w:cs="仿宋"/>
                <w:snapToGrid w:val="0"/>
                <w:color w:val="000000"/>
                <w:spacing w:val="8"/>
                <w:sz w:val="24"/>
                <w:szCs w:val="24"/>
                <w:highlight w:val="none"/>
                <w:lang w:eastAsia="zh-CN"/>
              </w:rPr>
              <w:t>20</w:t>
            </w:r>
            <w:r>
              <w:rPr>
                <w:rFonts w:hint="eastAsia" w:ascii="仿宋" w:hAnsi="仿宋" w:eastAsia="仿宋" w:cs="仿宋"/>
                <w:snapToGrid w:val="0"/>
                <w:color w:val="000000"/>
                <w:spacing w:val="8"/>
                <w:sz w:val="24"/>
                <w:szCs w:val="24"/>
                <w:highlight w:val="none"/>
                <w:lang w:eastAsia="zh-CN"/>
              </w:rPr>
              <w:t>分）</w:t>
            </w:r>
          </w:p>
        </w:tc>
        <w:tc>
          <w:tcPr>
            <w:tcW w:w="4833" w:type="dxa"/>
            <w:tcBorders>
              <w:tl2br w:val="nil"/>
              <w:tr2bl w:val="nil"/>
            </w:tcBorders>
            <w:vAlign w:val="center"/>
          </w:tcPr>
          <w:p w14:paraId="4B711E96">
            <w:pPr>
              <w:pStyle w:val="11"/>
              <w:widowControl/>
              <w:kinsoku w:val="0"/>
              <w:autoSpaceDE w:val="0"/>
              <w:autoSpaceDN w:val="0"/>
              <w:adjustRightInd w:val="0"/>
              <w:snapToGrid w:val="0"/>
              <w:spacing w:line="360" w:lineRule="auto"/>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近五年(202</w:t>
            </w:r>
            <w:r>
              <w:rPr>
                <w:rFonts w:ascii="仿宋" w:hAnsi="仿宋" w:eastAsia="仿宋" w:cs="仿宋"/>
                <w:snapToGrid w:val="0"/>
                <w:color w:val="000000"/>
                <w:spacing w:val="8"/>
                <w:sz w:val="24"/>
                <w:szCs w:val="24"/>
                <w:highlight w:val="none"/>
                <w:lang w:eastAsia="zh-CN"/>
              </w:rPr>
              <w:t>1</w:t>
            </w:r>
            <w:r>
              <w:rPr>
                <w:rFonts w:hint="eastAsia" w:ascii="仿宋" w:hAnsi="仿宋" w:eastAsia="仿宋" w:cs="仿宋"/>
                <w:snapToGrid w:val="0"/>
                <w:color w:val="000000"/>
                <w:spacing w:val="8"/>
                <w:sz w:val="24"/>
                <w:szCs w:val="24"/>
                <w:highlight w:val="none"/>
                <w:lang w:eastAsia="zh-CN"/>
              </w:rPr>
              <w:t>年</w:t>
            </w:r>
            <w:r>
              <w:rPr>
                <w:rFonts w:ascii="仿宋" w:hAnsi="仿宋" w:eastAsia="仿宋" w:cs="仿宋"/>
                <w:snapToGrid w:val="0"/>
                <w:color w:val="000000"/>
                <w:spacing w:val="8"/>
                <w:sz w:val="24"/>
                <w:szCs w:val="24"/>
                <w:highlight w:val="none"/>
                <w:lang w:eastAsia="zh-CN"/>
              </w:rPr>
              <w:t>5</w:t>
            </w:r>
            <w:r>
              <w:rPr>
                <w:rFonts w:hint="eastAsia" w:ascii="仿宋" w:hAnsi="仿宋" w:eastAsia="仿宋" w:cs="仿宋"/>
                <w:snapToGrid w:val="0"/>
                <w:color w:val="000000"/>
                <w:spacing w:val="8"/>
                <w:sz w:val="24"/>
                <w:szCs w:val="24"/>
                <w:highlight w:val="none"/>
                <w:lang w:eastAsia="zh-CN"/>
              </w:rPr>
              <w:t>月至今) 的物业管理服务项目业绩，提供1个计</w:t>
            </w:r>
            <w:r>
              <w:rPr>
                <w:rFonts w:ascii="仿宋" w:hAnsi="仿宋" w:eastAsia="仿宋" w:cs="仿宋"/>
                <w:snapToGrid w:val="0"/>
                <w:color w:val="000000"/>
                <w:spacing w:val="8"/>
                <w:sz w:val="24"/>
                <w:szCs w:val="24"/>
                <w:highlight w:val="none"/>
                <w:lang w:eastAsia="zh-CN"/>
              </w:rPr>
              <w:t>5</w:t>
            </w:r>
            <w:r>
              <w:rPr>
                <w:rFonts w:hint="eastAsia" w:ascii="仿宋" w:hAnsi="仿宋" w:eastAsia="仿宋" w:cs="仿宋"/>
                <w:snapToGrid w:val="0"/>
                <w:color w:val="000000"/>
                <w:spacing w:val="8"/>
                <w:sz w:val="24"/>
                <w:szCs w:val="24"/>
                <w:highlight w:val="none"/>
                <w:lang w:eastAsia="zh-CN"/>
              </w:rPr>
              <w:t>分，此项最多计</w:t>
            </w:r>
            <w:r>
              <w:rPr>
                <w:rFonts w:ascii="仿宋" w:hAnsi="仿宋" w:eastAsia="仿宋" w:cs="仿宋"/>
                <w:snapToGrid w:val="0"/>
                <w:color w:val="000000"/>
                <w:spacing w:val="8"/>
                <w:sz w:val="24"/>
                <w:szCs w:val="24"/>
                <w:highlight w:val="none"/>
                <w:lang w:eastAsia="zh-CN"/>
              </w:rPr>
              <w:t>20</w:t>
            </w:r>
            <w:r>
              <w:rPr>
                <w:rFonts w:hint="eastAsia" w:ascii="仿宋" w:hAnsi="仿宋" w:eastAsia="仿宋" w:cs="仿宋"/>
                <w:snapToGrid w:val="0"/>
                <w:color w:val="000000"/>
                <w:spacing w:val="8"/>
                <w:sz w:val="24"/>
                <w:szCs w:val="24"/>
                <w:highlight w:val="none"/>
                <w:lang w:eastAsia="zh-CN"/>
              </w:rPr>
              <w:t>分。类似项目指商业物业管理服务，单个业绩服务面积不少于</w:t>
            </w:r>
            <w:r>
              <w:rPr>
                <w:rFonts w:ascii="仿宋" w:hAnsi="仿宋" w:eastAsia="仿宋" w:cs="仿宋"/>
                <w:snapToGrid w:val="0"/>
                <w:color w:val="000000"/>
                <w:spacing w:val="8"/>
                <w:sz w:val="24"/>
                <w:szCs w:val="24"/>
                <w:highlight w:val="none"/>
                <w:lang w:eastAsia="zh-CN"/>
              </w:rPr>
              <w:t>1</w:t>
            </w:r>
            <w:r>
              <w:rPr>
                <w:rFonts w:hint="eastAsia" w:ascii="仿宋" w:hAnsi="仿宋" w:eastAsia="仿宋" w:cs="仿宋"/>
                <w:snapToGrid w:val="0"/>
                <w:color w:val="000000"/>
                <w:spacing w:val="8"/>
                <w:sz w:val="24"/>
                <w:szCs w:val="24"/>
                <w:highlight w:val="none"/>
                <w:lang w:eastAsia="zh-CN"/>
              </w:rPr>
              <w:t>万平。</w:t>
            </w:r>
          </w:p>
        </w:tc>
      </w:tr>
      <w:tr w14:paraId="33B75B3F">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088" w:type="dxa"/>
            <w:vMerge w:val="continue"/>
            <w:tcBorders>
              <w:tl2br w:val="nil"/>
              <w:tr2bl w:val="nil"/>
            </w:tcBorders>
            <w:vAlign w:val="center"/>
          </w:tcPr>
          <w:p w14:paraId="31BD416F">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p>
        </w:tc>
        <w:tc>
          <w:tcPr>
            <w:tcW w:w="1413" w:type="dxa"/>
            <w:vMerge w:val="continue"/>
            <w:tcBorders>
              <w:tl2br w:val="nil"/>
              <w:tr2bl w:val="nil"/>
            </w:tcBorders>
            <w:vAlign w:val="center"/>
          </w:tcPr>
          <w:p w14:paraId="448419D6">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p>
        </w:tc>
        <w:tc>
          <w:tcPr>
            <w:tcW w:w="2593" w:type="dxa"/>
            <w:tcBorders>
              <w:tl2br w:val="nil"/>
              <w:tr2bl w:val="nil"/>
            </w:tcBorders>
            <w:vAlign w:val="center"/>
          </w:tcPr>
          <w:p w14:paraId="1AE010C5">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项目</w:t>
            </w:r>
            <w:r>
              <w:rPr>
                <w:rFonts w:ascii="仿宋" w:hAnsi="仿宋" w:eastAsia="仿宋" w:cs="仿宋"/>
                <w:snapToGrid w:val="0"/>
                <w:color w:val="000000"/>
                <w:spacing w:val="8"/>
                <w:sz w:val="24"/>
                <w:szCs w:val="24"/>
                <w:highlight w:val="none"/>
                <w:lang w:eastAsia="zh-CN"/>
              </w:rPr>
              <w:t>团队</w:t>
            </w:r>
            <w:r>
              <w:rPr>
                <w:rFonts w:hint="eastAsia" w:ascii="仿宋" w:hAnsi="仿宋" w:eastAsia="仿宋" w:cs="仿宋"/>
                <w:snapToGrid w:val="0"/>
                <w:color w:val="000000"/>
                <w:spacing w:val="8"/>
                <w:sz w:val="24"/>
                <w:szCs w:val="24"/>
                <w:highlight w:val="none"/>
                <w:lang w:eastAsia="zh-CN"/>
              </w:rPr>
              <w:t>（</w:t>
            </w:r>
            <w:r>
              <w:rPr>
                <w:rFonts w:ascii="仿宋" w:hAnsi="仿宋" w:eastAsia="仿宋" w:cs="仿宋"/>
                <w:snapToGrid w:val="0"/>
                <w:color w:val="000000"/>
                <w:spacing w:val="8"/>
                <w:sz w:val="24"/>
                <w:szCs w:val="24"/>
                <w:highlight w:val="none"/>
                <w:lang w:eastAsia="zh-CN"/>
              </w:rPr>
              <w:t>50</w:t>
            </w:r>
            <w:r>
              <w:rPr>
                <w:rFonts w:hint="eastAsia" w:ascii="仿宋" w:hAnsi="仿宋" w:eastAsia="仿宋" w:cs="仿宋"/>
                <w:snapToGrid w:val="0"/>
                <w:color w:val="000000"/>
                <w:spacing w:val="8"/>
                <w:sz w:val="24"/>
                <w:szCs w:val="24"/>
                <w:highlight w:val="none"/>
                <w:lang w:eastAsia="zh-CN"/>
              </w:rPr>
              <w:t>分）</w:t>
            </w:r>
          </w:p>
        </w:tc>
        <w:tc>
          <w:tcPr>
            <w:tcW w:w="4833" w:type="dxa"/>
            <w:tcBorders>
              <w:tl2br w:val="nil"/>
              <w:tr2bl w:val="nil"/>
            </w:tcBorders>
            <w:vAlign w:val="center"/>
          </w:tcPr>
          <w:p w14:paraId="5A2F0762">
            <w:pPr>
              <w:pStyle w:val="11"/>
              <w:widowControl/>
              <w:kinsoku w:val="0"/>
              <w:autoSpaceDE w:val="0"/>
              <w:autoSpaceDN w:val="0"/>
              <w:adjustRightInd w:val="0"/>
              <w:snapToGrid w:val="0"/>
              <w:spacing w:line="360" w:lineRule="auto"/>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1）拟投入本项目的项目负责人具有政府单位颁发的全国物业管理企业经理证书计</w:t>
            </w:r>
            <w:r>
              <w:rPr>
                <w:rFonts w:ascii="仿宋" w:hAnsi="仿宋" w:eastAsia="仿宋" w:cs="仿宋"/>
                <w:snapToGrid w:val="0"/>
                <w:color w:val="000000"/>
                <w:spacing w:val="8"/>
                <w:sz w:val="24"/>
                <w:szCs w:val="24"/>
                <w:highlight w:val="none"/>
                <w:lang w:eastAsia="zh-CN"/>
              </w:rPr>
              <w:t>10</w:t>
            </w:r>
            <w:r>
              <w:rPr>
                <w:rFonts w:hint="eastAsia" w:ascii="仿宋" w:hAnsi="仿宋" w:eastAsia="仿宋" w:cs="仿宋"/>
                <w:snapToGrid w:val="0"/>
                <w:color w:val="000000"/>
                <w:spacing w:val="8"/>
                <w:sz w:val="24"/>
                <w:szCs w:val="24"/>
                <w:highlight w:val="none"/>
                <w:lang w:eastAsia="zh-CN"/>
              </w:rPr>
              <w:t>分。</w:t>
            </w:r>
          </w:p>
          <w:p w14:paraId="1DAD9849">
            <w:pPr>
              <w:pStyle w:val="11"/>
              <w:widowControl/>
              <w:kinsoku w:val="0"/>
              <w:autoSpaceDE w:val="0"/>
              <w:autoSpaceDN w:val="0"/>
              <w:adjustRightInd w:val="0"/>
              <w:snapToGrid w:val="0"/>
              <w:spacing w:line="360" w:lineRule="auto"/>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2）拟投入本项目的工程</w:t>
            </w:r>
            <w:r>
              <w:rPr>
                <w:rFonts w:ascii="仿宋" w:hAnsi="仿宋" w:eastAsia="仿宋" w:cs="仿宋"/>
                <w:snapToGrid w:val="0"/>
                <w:color w:val="000000"/>
                <w:spacing w:val="8"/>
                <w:sz w:val="24"/>
                <w:szCs w:val="24"/>
                <w:highlight w:val="none"/>
                <w:lang w:eastAsia="zh-CN"/>
              </w:rPr>
              <w:t>人员</w:t>
            </w:r>
            <w:r>
              <w:rPr>
                <w:rFonts w:hint="eastAsia" w:ascii="仿宋" w:hAnsi="仿宋" w:eastAsia="仿宋" w:cs="仿宋"/>
                <w:snapToGrid w:val="0"/>
                <w:color w:val="000000"/>
                <w:spacing w:val="8"/>
                <w:sz w:val="24"/>
                <w:szCs w:val="24"/>
                <w:highlight w:val="none"/>
                <w:lang w:eastAsia="zh-CN"/>
              </w:rPr>
              <w:t>具有政府单位颁发的特种作业操作证（高压电工作业）计</w:t>
            </w:r>
            <w:r>
              <w:rPr>
                <w:rFonts w:ascii="仿宋" w:hAnsi="仿宋" w:eastAsia="仿宋" w:cs="仿宋"/>
                <w:snapToGrid w:val="0"/>
                <w:color w:val="000000"/>
                <w:spacing w:val="8"/>
                <w:sz w:val="24"/>
                <w:szCs w:val="24"/>
                <w:highlight w:val="none"/>
                <w:lang w:eastAsia="zh-CN"/>
              </w:rPr>
              <w:t>5</w:t>
            </w:r>
            <w:r>
              <w:rPr>
                <w:rFonts w:hint="eastAsia" w:ascii="仿宋" w:hAnsi="仿宋" w:eastAsia="仿宋" w:cs="仿宋"/>
                <w:snapToGrid w:val="0"/>
                <w:color w:val="000000"/>
                <w:spacing w:val="8"/>
                <w:sz w:val="24"/>
                <w:szCs w:val="24"/>
                <w:highlight w:val="none"/>
                <w:lang w:eastAsia="zh-CN"/>
              </w:rPr>
              <w:t>分，最多</w:t>
            </w:r>
            <w:r>
              <w:rPr>
                <w:rFonts w:ascii="仿宋" w:hAnsi="仿宋" w:eastAsia="仿宋" w:cs="仿宋"/>
                <w:snapToGrid w:val="0"/>
                <w:color w:val="000000"/>
                <w:spacing w:val="8"/>
                <w:sz w:val="24"/>
                <w:szCs w:val="24"/>
                <w:highlight w:val="none"/>
                <w:lang w:eastAsia="zh-CN"/>
              </w:rPr>
              <w:t>25</w:t>
            </w:r>
            <w:r>
              <w:rPr>
                <w:rFonts w:hint="eastAsia" w:ascii="仿宋" w:hAnsi="仿宋" w:eastAsia="仿宋" w:cs="仿宋"/>
                <w:snapToGrid w:val="0"/>
                <w:color w:val="000000"/>
                <w:spacing w:val="8"/>
                <w:sz w:val="24"/>
                <w:szCs w:val="24"/>
                <w:highlight w:val="none"/>
                <w:lang w:eastAsia="zh-CN"/>
              </w:rPr>
              <w:t>分</w:t>
            </w:r>
            <w:r>
              <w:rPr>
                <w:rFonts w:ascii="仿宋" w:hAnsi="仿宋" w:eastAsia="仿宋" w:cs="仿宋"/>
                <w:snapToGrid w:val="0"/>
                <w:color w:val="000000"/>
                <w:spacing w:val="8"/>
                <w:sz w:val="24"/>
                <w:szCs w:val="24"/>
                <w:highlight w:val="none"/>
                <w:lang w:eastAsia="zh-CN"/>
              </w:rPr>
              <w:t>。</w:t>
            </w:r>
          </w:p>
          <w:p w14:paraId="76A9F5A2">
            <w:pPr>
              <w:pStyle w:val="11"/>
              <w:widowControl/>
              <w:kinsoku w:val="0"/>
              <w:autoSpaceDE w:val="0"/>
              <w:autoSpaceDN w:val="0"/>
              <w:adjustRightInd w:val="0"/>
              <w:snapToGrid w:val="0"/>
              <w:spacing w:line="360" w:lineRule="auto"/>
              <w:textAlignment w:val="baseline"/>
              <w:rPr>
                <w:rFonts w:ascii="仿宋" w:hAnsi="仿宋" w:eastAsia="仿宋" w:cs="仿宋"/>
                <w:snapToGrid w:val="0"/>
                <w:color w:val="000000"/>
                <w:spacing w:val="8"/>
                <w:sz w:val="24"/>
                <w:szCs w:val="24"/>
                <w:highlight w:val="none"/>
                <w:lang w:eastAsia="zh-CN"/>
              </w:rPr>
            </w:pPr>
            <w:r>
              <w:rPr>
                <w:rFonts w:ascii="仿宋" w:hAnsi="仿宋" w:eastAsia="仿宋" w:cs="仿宋"/>
                <w:snapToGrid w:val="0"/>
                <w:color w:val="000000"/>
                <w:spacing w:val="8"/>
                <w:sz w:val="24"/>
                <w:szCs w:val="24"/>
                <w:highlight w:val="none"/>
                <w:lang w:eastAsia="zh-CN"/>
              </w:rPr>
              <w:t>3</w:t>
            </w:r>
            <w:r>
              <w:rPr>
                <w:rFonts w:hint="eastAsia" w:ascii="仿宋" w:hAnsi="仿宋" w:eastAsia="仿宋" w:cs="仿宋"/>
                <w:snapToGrid w:val="0"/>
                <w:color w:val="000000"/>
                <w:spacing w:val="8"/>
                <w:sz w:val="24"/>
                <w:szCs w:val="24"/>
                <w:highlight w:val="none"/>
                <w:lang w:eastAsia="zh-CN"/>
              </w:rPr>
              <w:t>）拟投入本项目的人员具有政府</w:t>
            </w:r>
            <w:r>
              <w:rPr>
                <w:rFonts w:ascii="仿宋" w:hAnsi="仿宋" w:eastAsia="仿宋" w:cs="仿宋"/>
                <w:snapToGrid w:val="0"/>
                <w:color w:val="000000"/>
                <w:spacing w:val="8"/>
                <w:sz w:val="24"/>
                <w:szCs w:val="24"/>
                <w:highlight w:val="none"/>
                <w:lang w:eastAsia="zh-CN"/>
              </w:rPr>
              <w:t>单位</w:t>
            </w:r>
            <w:r>
              <w:rPr>
                <w:rFonts w:hint="eastAsia" w:ascii="仿宋" w:hAnsi="仿宋" w:eastAsia="仿宋" w:cs="仿宋"/>
                <w:snapToGrid w:val="0"/>
                <w:color w:val="000000"/>
                <w:spacing w:val="8"/>
                <w:sz w:val="24"/>
                <w:szCs w:val="24"/>
                <w:highlight w:val="none"/>
                <w:lang w:eastAsia="zh-CN"/>
              </w:rPr>
              <w:t>颁发的消防设施操作员（中级或高级）职业资格证书计</w:t>
            </w:r>
            <w:r>
              <w:rPr>
                <w:rFonts w:ascii="仿宋" w:hAnsi="仿宋" w:eastAsia="仿宋" w:cs="仿宋"/>
                <w:snapToGrid w:val="0"/>
                <w:color w:val="000000"/>
                <w:spacing w:val="8"/>
                <w:sz w:val="24"/>
                <w:szCs w:val="24"/>
                <w:highlight w:val="none"/>
                <w:lang w:eastAsia="zh-CN"/>
              </w:rPr>
              <w:t>5</w:t>
            </w:r>
            <w:r>
              <w:rPr>
                <w:rFonts w:hint="eastAsia" w:ascii="仿宋" w:hAnsi="仿宋" w:eastAsia="仿宋" w:cs="仿宋"/>
                <w:snapToGrid w:val="0"/>
                <w:color w:val="000000"/>
                <w:spacing w:val="8"/>
                <w:sz w:val="24"/>
                <w:szCs w:val="24"/>
                <w:highlight w:val="none"/>
                <w:lang w:eastAsia="zh-CN"/>
              </w:rPr>
              <w:t>分，最多</w:t>
            </w:r>
            <w:r>
              <w:rPr>
                <w:rFonts w:ascii="仿宋" w:hAnsi="仿宋" w:eastAsia="仿宋" w:cs="仿宋"/>
                <w:snapToGrid w:val="0"/>
                <w:color w:val="000000"/>
                <w:spacing w:val="8"/>
                <w:sz w:val="24"/>
                <w:szCs w:val="24"/>
                <w:highlight w:val="none"/>
                <w:lang w:eastAsia="zh-CN"/>
              </w:rPr>
              <w:t>15</w:t>
            </w:r>
            <w:r>
              <w:rPr>
                <w:rFonts w:hint="eastAsia" w:ascii="仿宋" w:hAnsi="仿宋" w:eastAsia="仿宋" w:cs="仿宋"/>
                <w:snapToGrid w:val="0"/>
                <w:color w:val="000000"/>
                <w:spacing w:val="8"/>
                <w:sz w:val="24"/>
                <w:szCs w:val="24"/>
                <w:highlight w:val="none"/>
                <w:lang w:eastAsia="zh-CN"/>
              </w:rPr>
              <w:t>分。</w:t>
            </w:r>
          </w:p>
          <w:p w14:paraId="20F009DE">
            <w:pPr>
              <w:pStyle w:val="11"/>
              <w:widowControl/>
              <w:kinsoku w:val="0"/>
              <w:autoSpaceDE w:val="0"/>
              <w:autoSpaceDN w:val="0"/>
              <w:adjustRightInd w:val="0"/>
              <w:snapToGrid w:val="0"/>
              <w:spacing w:line="360" w:lineRule="auto"/>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*以上人员需提供相关证明材料和投标人为其缴纳开标前连续3个月社保的证明材料复印件加盖投标人公章。</w:t>
            </w:r>
          </w:p>
        </w:tc>
      </w:tr>
      <w:tr w14:paraId="525CDA6B">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088" w:type="dxa"/>
            <w:vMerge w:val="restart"/>
            <w:tcBorders>
              <w:tl2br w:val="nil"/>
              <w:tr2bl w:val="nil"/>
            </w:tcBorders>
            <w:vAlign w:val="center"/>
          </w:tcPr>
          <w:p w14:paraId="568E872E">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3.2.3（2）</w:t>
            </w:r>
          </w:p>
        </w:tc>
        <w:tc>
          <w:tcPr>
            <w:tcW w:w="1413" w:type="dxa"/>
            <w:vMerge w:val="restart"/>
            <w:tcBorders>
              <w:tl2br w:val="nil"/>
              <w:tr2bl w:val="nil"/>
            </w:tcBorders>
            <w:vAlign w:val="center"/>
          </w:tcPr>
          <w:p w14:paraId="6D02204D">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技术评分标准</w:t>
            </w:r>
          </w:p>
        </w:tc>
        <w:tc>
          <w:tcPr>
            <w:tcW w:w="2593" w:type="dxa"/>
            <w:tcBorders>
              <w:tl2br w:val="nil"/>
              <w:tr2bl w:val="nil"/>
            </w:tcBorders>
            <w:vAlign w:val="center"/>
          </w:tcPr>
          <w:p w14:paraId="01D6EFED">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整体服务方案（</w:t>
            </w:r>
            <w:r>
              <w:rPr>
                <w:rFonts w:ascii="仿宋" w:hAnsi="仿宋" w:eastAsia="仿宋" w:cs="仿宋"/>
                <w:snapToGrid w:val="0"/>
                <w:color w:val="000000"/>
                <w:spacing w:val="8"/>
                <w:sz w:val="24"/>
                <w:szCs w:val="24"/>
                <w:highlight w:val="none"/>
                <w:lang w:eastAsia="zh-CN"/>
              </w:rPr>
              <w:t>1</w:t>
            </w:r>
            <w:r>
              <w:rPr>
                <w:rFonts w:hint="eastAsia" w:ascii="仿宋" w:hAnsi="仿宋" w:eastAsia="仿宋" w:cs="仿宋"/>
                <w:snapToGrid w:val="0"/>
                <w:color w:val="000000"/>
                <w:spacing w:val="8"/>
                <w:sz w:val="24"/>
                <w:szCs w:val="24"/>
                <w:highlight w:val="none"/>
                <w:lang w:eastAsia="zh-CN"/>
              </w:rPr>
              <w:t>5分）</w:t>
            </w:r>
          </w:p>
        </w:tc>
        <w:tc>
          <w:tcPr>
            <w:tcW w:w="4833" w:type="dxa"/>
            <w:tcBorders>
              <w:tl2br w:val="nil"/>
              <w:tr2bl w:val="nil"/>
            </w:tcBorders>
            <w:vAlign w:val="center"/>
          </w:tcPr>
          <w:p w14:paraId="497A963F">
            <w:pPr>
              <w:pStyle w:val="11"/>
              <w:widowControl/>
              <w:kinsoku w:val="0"/>
              <w:autoSpaceDE w:val="0"/>
              <w:autoSpaceDN w:val="0"/>
              <w:adjustRightInd w:val="0"/>
              <w:snapToGrid w:val="0"/>
              <w:spacing w:line="360" w:lineRule="auto"/>
              <w:jc w:val="left"/>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根据本项目服务内容、参数及要求提供整体服务方案，包含但不限于以下内容：</w:t>
            </w:r>
          </w:p>
          <w:p w14:paraId="7C724019">
            <w:pPr>
              <w:pStyle w:val="11"/>
              <w:widowControl/>
              <w:kinsoku w:val="0"/>
              <w:autoSpaceDE w:val="0"/>
              <w:autoSpaceDN w:val="0"/>
              <w:adjustRightInd w:val="0"/>
              <w:snapToGrid w:val="0"/>
              <w:spacing w:line="360" w:lineRule="auto"/>
              <w:jc w:val="left"/>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1）本项目实际情况和特点分析；</w:t>
            </w:r>
          </w:p>
          <w:p w14:paraId="3B1C899C">
            <w:pPr>
              <w:pStyle w:val="11"/>
              <w:widowControl/>
              <w:kinsoku w:val="0"/>
              <w:autoSpaceDE w:val="0"/>
              <w:autoSpaceDN w:val="0"/>
              <w:adjustRightInd w:val="0"/>
              <w:snapToGrid w:val="0"/>
              <w:spacing w:line="360" w:lineRule="auto"/>
              <w:jc w:val="left"/>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2）全方位管理定位设想；</w:t>
            </w:r>
          </w:p>
          <w:p w14:paraId="08D9BD1F">
            <w:pPr>
              <w:pStyle w:val="11"/>
              <w:widowControl/>
              <w:kinsoku w:val="0"/>
              <w:autoSpaceDE w:val="0"/>
              <w:autoSpaceDN w:val="0"/>
              <w:adjustRightInd w:val="0"/>
              <w:snapToGrid w:val="0"/>
              <w:spacing w:line="360" w:lineRule="auto"/>
              <w:jc w:val="left"/>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3）管理运作模式和措施；</w:t>
            </w:r>
          </w:p>
          <w:p w14:paraId="69BF679D">
            <w:pPr>
              <w:pStyle w:val="11"/>
              <w:widowControl/>
              <w:kinsoku w:val="0"/>
              <w:autoSpaceDE w:val="0"/>
              <w:autoSpaceDN w:val="0"/>
              <w:adjustRightInd w:val="0"/>
              <w:snapToGrid w:val="0"/>
              <w:spacing w:line="360" w:lineRule="auto"/>
              <w:jc w:val="left"/>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4）保障机制等。</w:t>
            </w:r>
          </w:p>
          <w:p w14:paraId="617EF523">
            <w:pPr>
              <w:pStyle w:val="11"/>
              <w:widowControl/>
              <w:kinsoku w:val="0"/>
              <w:autoSpaceDE w:val="0"/>
              <w:autoSpaceDN w:val="0"/>
              <w:adjustRightInd w:val="0"/>
              <w:snapToGrid w:val="0"/>
              <w:spacing w:line="360" w:lineRule="auto"/>
              <w:jc w:val="left"/>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方案及措施完善、科学合理，实用性、操作性强、针对性强的，计</w:t>
            </w:r>
            <w:r>
              <w:rPr>
                <w:rFonts w:ascii="仿宋" w:hAnsi="仿宋" w:eastAsia="仿宋" w:cs="仿宋"/>
                <w:snapToGrid w:val="0"/>
                <w:color w:val="000000"/>
                <w:spacing w:val="8"/>
                <w:sz w:val="24"/>
                <w:szCs w:val="24"/>
                <w:highlight w:val="none"/>
                <w:lang w:eastAsia="zh-CN"/>
              </w:rPr>
              <w:t>15-10</w:t>
            </w:r>
            <w:r>
              <w:rPr>
                <w:rFonts w:hint="eastAsia" w:ascii="仿宋" w:hAnsi="仿宋" w:eastAsia="仿宋" w:cs="仿宋"/>
                <w:snapToGrid w:val="0"/>
                <w:color w:val="000000"/>
                <w:spacing w:val="8"/>
                <w:sz w:val="24"/>
                <w:szCs w:val="24"/>
                <w:highlight w:val="none"/>
                <w:lang w:eastAsia="zh-CN"/>
              </w:rPr>
              <w:t>分；方案及措施较详细、较合理，实用性、操作性、针对性一般的，计</w:t>
            </w:r>
            <w:r>
              <w:rPr>
                <w:rFonts w:ascii="仿宋" w:hAnsi="仿宋" w:eastAsia="仿宋" w:cs="仿宋"/>
                <w:snapToGrid w:val="0"/>
                <w:color w:val="000000"/>
                <w:spacing w:val="8"/>
                <w:sz w:val="24"/>
                <w:szCs w:val="24"/>
                <w:highlight w:val="none"/>
                <w:lang w:eastAsia="zh-CN"/>
              </w:rPr>
              <w:t>10-5</w:t>
            </w:r>
            <w:r>
              <w:rPr>
                <w:rFonts w:hint="eastAsia" w:ascii="仿宋" w:hAnsi="仿宋" w:eastAsia="仿宋" w:cs="仿宋"/>
                <w:snapToGrid w:val="0"/>
                <w:color w:val="000000"/>
                <w:spacing w:val="8"/>
                <w:sz w:val="24"/>
                <w:szCs w:val="24"/>
                <w:highlight w:val="none"/>
                <w:lang w:eastAsia="zh-CN"/>
              </w:rPr>
              <w:t>分；方案及措施差的，计</w:t>
            </w:r>
            <w:r>
              <w:rPr>
                <w:rFonts w:ascii="仿宋" w:hAnsi="仿宋" w:eastAsia="仿宋" w:cs="仿宋"/>
                <w:snapToGrid w:val="0"/>
                <w:color w:val="000000"/>
                <w:spacing w:val="8"/>
                <w:sz w:val="24"/>
                <w:szCs w:val="24"/>
                <w:highlight w:val="none"/>
                <w:lang w:eastAsia="zh-CN"/>
              </w:rPr>
              <w:t>5-0</w:t>
            </w:r>
            <w:r>
              <w:rPr>
                <w:rFonts w:hint="eastAsia" w:ascii="仿宋" w:hAnsi="仿宋" w:eastAsia="仿宋" w:cs="仿宋"/>
                <w:snapToGrid w:val="0"/>
                <w:color w:val="000000"/>
                <w:spacing w:val="8"/>
                <w:sz w:val="24"/>
                <w:szCs w:val="24"/>
                <w:highlight w:val="none"/>
                <w:lang w:eastAsia="zh-CN"/>
              </w:rPr>
              <w:t>分。</w:t>
            </w:r>
          </w:p>
        </w:tc>
      </w:tr>
      <w:tr w14:paraId="2F99D9DE">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088" w:type="dxa"/>
            <w:vMerge w:val="continue"/>
            <w:tcBorders>
              <w:tl2br w:val="nil"/>
              <w:tr2bl w:val="nil"/>
            </w:tcBorders>
            <w:vAlign w:val="center"/>
          </w:tcPr>
          <w:p w14:paraId="3FB9DBCA">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p>
        </w:tc>
        <w:tc>
          <w:tcPr>
            <w:tcW w:w="1413" w:type="dxa"/>
            <w:vMerge w:val="continue"/>
            <w:tcBorders>
              <w:tl2br w:val="nil"/>
              <w:tr2bl w:val="nil"/>
            </w:tcBorders>
            <w:vAlign w:val="center"/>
          </w:tcPr>
          <w:p w14:paraId="400A5117">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p>
        </w:tc>
        <w:tc>
          <w:tcPr>
            <w:tcW w:w="2593" w:type="dxa"/>
            <w:tcBorders>
              <w:tl2br w:val="nil"/>
              <w:tr2bl w:val="nil"/>
            </w:tcBorders>
            <w:vAlign w:val="center"/>
          </w:tcPr>
          <w:p w14:paraId="62FBA22B">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人员配备、管理</w:t>
            </w:r>
            <w:r>
              <w:rPr>
                <w:rFonts w:ascii="仿宋" w:hAnsi="仿宋" w:eastAsia="仿宋" w:cs="仿宋"/>
                <w:snapToGrid w:val="0"/>
                <w:color w:val="000000"/>
                <w:spacing w:val="8"/>
                <w:sz w:val="24"/>
                <w:szCs w:val="24"/>
                <w:highlight w:val="none"/>
                <w:lang w:eastAsia="zh-CN"/>
              </w:rPr>
              <w:t>、</w:t>
            </w:r>
            <w:r>
              <w:rPr>
                <w:rFonts w:hint="eastAsia" w:ascii="仿宋" w:hAnsi="仿宋" w:eastAsia="仿宋" w:cs="仿宋"/>
                <w:snapToGrid w:val="0"/>
                <w:color w:val="000000"/>
                <w:spacing w:val="8"/>
                <w:sz w:val="24"/>
                <w:szCs w:val="24"/>
                <w:highlight w:val="none"/>
                <w:lang w:eastAsia="zh-CN"/>
              </w:rPr>
              <w:t>培训方案（</w:t>
            </w:r>
            <w:r>
              <w:rPr>
                <w:rFonts w:ascii="仿宋" w:hAnsi="仿宋" w:eastAsia="仿宋" w:cs="仿宋"/>
                <w:snapToGrid w:val="0"/>
                <w:color w:val="000000"/>
                <w:spacing w:val="8"/>
                <w:sz w:val="24"/>
                <w:szCs w:val="24"/>
                <w:highlight w:val="none"/>
                <w:lang w:eastAsia="zh-CN"/>
              </w:rPr>
              <w:t>10</w:t>
            </w:r>
            <w:r>
              <w:rPr>
                <w:rFonts w:hint="eastAsia" w:ascii="仿宋" w:hAnsi="仿宋" w:eastAsia="仿宋" w:cs="仿宋"/>
                <w:snapToGrid w:val="0"/>
                <w:color w:val="000000"/>
                <w:spacing w:val="8"/>
                <w:sz w:val="24"/>
                <w:szCs w:val="24"/>
                <w:highlight w:val="none"/>
                <w:lang w:eastAsia="zh-CN"/>
              </w:rPr>
              <w:t>分）</w:t>
            </w:r>
          </w:p>
        </w:tc>
        <w:tc>
          <w:tcPr>
            <w:tcW w:w="4833" w:type="dxa"/>
            <w:tcBorders>
              <w:tl2br w:val="nil"/>
              <w:tr2bl w:val="nil"/>
            </w:tcBorders>
            <w:vAlign w:val="center"/>
          </w:tcPr>
          <w:p w14:paraId="3C2C2C7A">
            <w:pPr>
              <w:pStyle w:val="11"/>
              <w:widowControl/>
              <w:kinsoku w:val="0"/>
              <w:autoSpaceDE w:val="0"/>
              <w:autoSpaceDN w:val="0"/>
              <w:adjustRightInd w:val="0"/>
              <w:snapToGrid w:val="0"/>
              <w:spacing w:line="360" w:lineRule="auto"/>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根据本项目服务内容、参数及要求提供人员配备、</w:t>
            </w:r>
            <w:r>
              <w:rPr>
                <w:rFonts w:ascii="仿宋" w:hAnsi="仿宋" w:eastAsia="仿宋" w:cs="仿宋"/>
                <w:snapToGrid w:val="0"/>
                <w:color w:val="000000"/>
                <w:spacing w:val="8"/>
                <w:sz w:val="24"/>
                <w:szCs w:val="24"/>
                <w:highlight w:val="none"/>
                <w:lang w:eastAsia="zh-CN"/>
              </w:rPr>
              <w:t>管理</w:t>
            </w:r>
            <w:r>
              <w:rPr>
                <w:rFonts w:hint="eastAsia" w:ascii="仿宋" w:hAnsi="仿宋" w:eastAsia="仿宋" w:cs="仿宋"/>
                <w:snapToGrid w:val="0"/>
                <w:color w:val="000000"/>
                <w:spacing w:val="8"/>
                <w:sz w:val="24"/>
                <w:szCs w:val="24"/>
                <w:highlight w:val="none"/>
                <w:lang w:eastAsia="zh-CN"/>
              </w:rPr>
              <w:t>、培训方案，包含但不限于以下内容：</w:t>
            </w:r>
          </w:p>
          <w:p w14:paraId="6E14DDD5">
            <w:pPr>
              <w:pStyle w:val="11"/>
              <w:widowControl/>
              <w:kinsoku w:val="0"/>
              <w:autoSpaceDE w:val="0"/>
              <w:autoSpaceDN w:val="0"/>
              <w:adjustRightInd w:val="0"/>
              <w:snapToGrid w:val="0"/>
              <w:spacing w:line="360" w:lineRule="auto"/>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1）基层工作人员（保洁员、安防人员等）人力资源配置及岗位行为规范；</w:t>
            </w:r>
          </w:p>
          <w:p w14:paraId="4B60E55D">
            <w:pPr>
              <w:pStyle w:val="11"/>
              <w:widowControl/>
              <w:kinsoku w:val="0"/>
              <w:autoSpaceDE w:val="0"/>
              <w:autoSpaceDN w:val="0"/>
              <w:adjustRightInd w:val="0"/>
              <w:snapToGrid w:val="0"/>
              <w:spacing w:line="360" w:lineRule="auto"/>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2）人力资源培训计划及实施方案；</w:t>
            </w:r>
          </w:p>
          <w:p w14:paraId="031C4E26">
            <w:pPr>
              <w:pStyle w:val="11"/>
              <w:widowControl/>
              <w:kinsoku w:val="0"/>
              <w:autoSpaceDE w:val="0"/>
              <w:autoSpaceDN w:val="0"/>
              <w:adjustRightInd w:val="0"/>
              <w:snapToGrid w:val="0"/>
              <w:spacing w:line="360" w:lineRule="auto"/>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3）人力资源绩效考核体系；</w:t>
            </w:r>
          </w:p>
          <w:p w14:paraId="3405E217">
            <w:pPr>
              <w:pStyle w:val="11"/>
              <w:widowControl/>
              <w:kinsoku w:val="0"/>
              <w:autoSpaceDE w:val="0"/>
              <w:autoSpaceDN w:val="0"/>
              <w:adjustRightInd w:val="0"/>
              <w:snapToGrid w:val="0"/>
              <w:spacing w:line="360" w:lineRule="auto"/>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4）重点岗位障措施及应急措施等。</w:t>
            </w:r>
          </w:p>
          <w:p w14:paraId="6BB6BBB2">
            <w:pPr>
              <w:pStyle w:val="11"/>
              <w:widowControl/>
              <w:kinsoku w:val="0"/>
              <w:autoSpaceDE w:val="0"/>
              <w:autoSpaceDN w:val="0"/>
              <w:adjustRightInd w:val="0"/>
              <w:snapToGrid w:val="0"/>
              <w:spacing w:line="360" w:lineRule="auto"/>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方案及措施完善、科学合理，实用性、操作性强、针对性强的，计</w:t>
            </w:r>
            <w:r>
              <w:rPr>
                <w:rFonts w:ascii="仿宋" w:hAnsi="仿宋" w:eastAsia="仿宋" w:cs="仿宋"/>
                <w:snapToGrid w:val="0"/>
                <w:color w:val="000000"/>
                <w:spacing w:val="8"/>
                <w:sz w:val="24"/>
                <w:szCs w:val="24"/>
                <w:highlight w:val="none"/>
                <w:lang w:eastAsia="zh-CN"/>
              </w:rPr>
              <w:t>10-6</w:t>
            </w:r>
            <w:r>
              <w:rPr>
                <w:rFonts w:hint="eastAsia" w:ascii="仿宋" w:hAnsi="仿宋" w:eastAsia="仿宋" w:cs="仿宋"/>
                <w:snapToGrid w:val="0"/>
                <w:color w:val="000000"/>
                <w:spacing w:val="8"/>
                <w:sz w:val="24"/>
                <w:szCs w:val="24"/>
                <w:highlight w:val="none"/>
                <w:lang w:eastAsia="zh-CN"/>
              </w:rPr>
              <w:t>分；方案及措施较详细、较合理，实用性、操作性、针对性一般的，计</w:t>
            </w:r>
            <w:r>
              <w:rPr>
                <w:rFonts w:ascii="仿宋" w:hAnsi="仿宋" w:eastAsia="仿宋" w:cs="仿宋"/>
                <w:snapToGrid w:val="0"/>
                <w:color w:val="000000"/>
                <w:spacing w:val="8"/>
                <w:sz w:val="24"/>
                <w:szCs w:val="24"/>
                <w:highlight w:val="none"/>
                <w:lang w:eastAsia="zh-CN"/>
              </w:rPr>
              <w:t>6-2</w:t>
            </w:r>
            <w:r>
              <w:rPr>
                <w:rFonts w:hint="eastAsia" w:ascii="仿宋" w:hAnsi="仿宋" w:eastAsia="仿宋" w:cs="仿宋"/>
                <w:snapToGrid w:val="0"/>
                <w:color w:val="000000"/>
                <w:spacing w:val="8"/>
                <w:sz w:val="24"/>
                <w:szCs w:val="24"/>
                <w:highlight w:val="none"/>
                <w:lang w:eastAsia="zh-CN"/>
              </w:rPr>
              <w:t>分；方案及措施差的，计2</w:t>
            </w:r>
            <w:r>
              <w:rPr>
                <w:rFonts w:ascii="仿宋" w:hAnsi="仿宋" w:eastAsia="仿宋" w:cs="仿宋"/>
                <w:snapToGrid w:val="0"/>
                <w:color w:val="000000"/>
                <w:spacing w:val="8"/>
                <w:sz w:val="24"/>
                <w:szCs w:val="24"/>
                <w:highlight w:val="none"/>
                <w:lang w:eastAsia="zh-CN"/>
              </w:rPr>
              <w:t>-0</w:t>
            </w:r>
            <w:r>
              <w:rPr>
                <w:rFonts w:hint="eastAsia" w:ascii="仿宋" w:hAnsi="仿宋" w:eastAsia="仿宋" w:cs="仿宋"/>
                <w:snapToGrid w:val="0"/>
                <w:color w:val="000000"/>
                <w:spacing w:val="8"/>
                <w:sz w:val="24"/>
                <w:szCs w:val="24"/>
                <w:highlight w:val="none"/>
                <w:lang w:eastAsia="zh-CN"/>
              </w:rPr>
              <w:t>分。</w:t>
            </w:r>
          </w:p>
        </w:tc>
      </w:tr>
      <w:tr w14:paraId="3D45F693">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088" w:type="dxa"/>
            <w:vMerge w:val="continue"/>
            <w:tcBorders>
              <w:tl2br w:val="nil"/>
              <w:tr2bl w:val="nil"/>
            </w:tcBorders>
            <w:vAlign w:val="center"/>
          </w:tcPr>
          <w:p w14:paraId="58B66F1B">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p>
        </w:tc>
        <w:tc>
          <w:tcPr>
            <w:tcW w:w="1413" w:type="dxa"/>
            <w:vMerge w:val="continue"/>
            <w:tcBorders>
              <w:tl2br w:val="nil"/>
              <w:tr2bl w:val="nil"/>
            </w:tcBorders>
            <w:vAlign w:val="center"/>
          </w:tcPr>
          <w:p w14:paraId="6C2D0C71">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p>
        </w:tc>
        <w:tc>
          <w:tcPr>
            <w:tcW w:w="2593" w:type="dxa"/>
            <w:tcBorders>
              <w:tl2br w:val="nil"/>
              <w:tr2bl w:val="nil"/>
            </w:tcBorders>
            <w:vAlign w:val="center"/>
          </w:tcPr>
          <w:p w14:paraId="3853612E">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工程维修实施方案（</w:t>
            </w:r>
            <w:r>
              <w:rPr>
                <w:rFonts w:ascii="仿宋" w:hAnsi="仿宋" w:eastAsia="仿宋" w:cs="仿宋"/>
                <w:snapToGrid w:val="0"/>
                <w:color w:val="000000"/>
                <w:spacing w:val="8"/>
                <w:sz w:val="24"/>
                <w:szCs w:val="24"/>
                <w:highlight w:val="none"/>
                <w:lang w:eastAsia="zh-CN"/>
              </w:rPr>
              <w:t>10</w:t>
            </w:r>
            <w:r>
              <w:rPr>
                <w:rFonts w:hint="eastAsia" w:ascii="仿宋" w:hAnsi="仿宋" w:eastAsia="仿宋" w:cs="仿宋"/>
                <w:snapToGrid w:val="0"/>
                <w:color w:val="000000"/>
                <w:spacing w:val="8"/>
                <w:sz w:val="24"/>
                <w:szCs w:val="24"/>
                <w:highlight w:val="none"/>
                <w:lang w:eastAsia="zh-CN"/>
              </w:rPr>
              <w:t>分）</w:t>
            </w:r>
          </w:p>
        </w:tc>
        <w:tc>
          <w:tcPr>
            <w:tcW w:w="4833" w:type="dxa"/>
            <w:tcBorders>
              <w:tl2br w:val="nil"/>
              <w:tr2bl w:val="nil"/>
            </w:tcBorders>
            <w:vAlign w:val="center"/>
          </w:tcPr>
          <w:p w14:paraId="70E5A80D">
            <w:pPr>
              <w:pStyle w:val="11"/>
              <w:widowControl/>
              <w:kinsoku w:val="0"/>
              <w:autoSpaceDE w:val="0"/>
              <w:autoSpaceDN w:val="0"/>
              <w:adjustRightInd w:val="0"/>
              <w:snapToGrid w:val="0"/>
              <w:spacing w:line="360" w:lineRule="auto"/>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 xml:space="preserve">  根据本项目服务内容、参数及要求提供工程维修实施方案，包含但不限于以下内容：</w:t>
            </w:r>
          </w:p>
          <w:p w14:paraId="43B95735">
            <w:pPr>
              <w:pStyle w:val="11"/>
              <w:widowControl/>
              <w:kinsoku w:val="0"/>
              <w:autoSpaceDE w:val="0"/>
              <w:autoSpaceDN w:val="0"/>
              <w:adjustRightInd w:val="0"/>
              <w:snapToGrid w:val="0"/>
              <w:spacing w:line="360" w:lineRule="auto"/>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1）公共设施维修、维护服务管理思路；</w:t>
            </w:r>
          </w:p>
          <w:p w14:paraId="25EB8070">
            <w:pPr>
              <w:pStyle w:val="11"/>
              <w:widowControl/>
              <w:kinsoku w:val="0"/>
              <w:autoSpaceDE w:val="0"/>
              <w:autoSpaceDN w:val="0"/>
              <w:adjustRightInd w:val="0"/>
              <w:snapToGrid w:val="0"/>
              <w:spacing w:line="360" w:lineRule="auto"/>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2）设施设备维护管理；</w:t>
            </w:r>
          </w:p>
          <w:p w14:paraId="67802DAA">
            <w:pPr>
              <w:pStyle w:val="11"/>
              <w:widowControl/>
              <w:kinsoku w:val="0"/>
              <w:autoSpaceDE w:val="0"/>
              <w:autoSpaceDN w:val="0"/>
              <w:adjustRightInd w:val="0"/>
              <w:snapToGrid w:val="0"/>
              <w:spacing w:line="360" w:lineRule="auto"/>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3）工程部管理制度；</w:t>
            </w:r>
          </w:p>
          <w:p w14:paraId="726C8649">
            <w:pPr>
              <w:pStyle w:val="11"/>
              <w:widowControl/>
              <w:kinsoku w:val="0"/>
              <w:autoSpaceDE w:val="0"/>
              <w:autoSpaceDN w:val="0"/>
              <w:adjustRightInd w:val="0"/>
              <w:snapToGrid w:val="0"/>
              <w:spacing w:line="360" w:lineRule="auto"/>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4）房屋建筑维修管理等方面。</w:t>
            </w:r>
          </w:p>
          <w:p w14:paraId="0B4E5E69">
            <w:pPr>
              <w:pStyle w:val="11"/>
              <w:widowControl/>
              <w:kinsoku w:val="0"/>
              <w:autoSpaceDE w:val="0"/>
              <w:autoSpaceDN w:val="0"/>
              <w:adjustRightInd w:val="0"/>
              <w:snapToGrid w:val="0"/>
              <w:spacing w:line="360" w:lineRule="auto"/>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方案及措施完善、科学合理，实用性、操作性强、针对性强的，计</w:t>
            </w:r>
            <w:r>
              <w:rPr>
                <w:rFonts w:ascii="仿宋" w:hAnsi="仿宋" w:eastAsia="仿宋" w:cs="仿宋"/>
                <w:snapToGrid w:val="0"/>
                <w:color w:val="000000"/>
                <w:spacing w:val="8"/>
                <w:sz w:val="24"/>
                <w:szCs w:val="24"/>
                <w:highlight w:val="none"/>
                <w:lang w:eastAsia="zh-CN"/>
              </w:rPr>
              <w:t>10-6</w:t>
            </w:r>
            <w:r>
              <w:rPr>
                <w:rFonts w:hint="eastAsia" w:ascii="仿宋" w:hAnsi="仿宋" w:eastAsia="仿宋" w:cs="仿宋"/>
                <w:snapToGrid w:val="0"/>
                <w:color w:val="000000"/>
                <w:spacing w:val="8"/>
                <w:sz w:val="24"/>
                <w:szCs w:val="24"/>
                <w:highlight w:val="none"/>
                <w:lang w:eastAsia="zh-CN"/>
              </w:rPr>
              <w:t>分；方案及措施较详细、较合理，实用性、操作性、针对性一般的，计</w:t>
            </w:r>
            <w:r>
              <w:rPr>
                <w:rFonts w:ascii="仿宋" w:hAnsi="仿宋" w:eastAsia="仿宋" w:cs="仿宋"/>
                <w:snapToGrid w:val="0"/>
                <w:color w:val="000000"/>
                <w:spacing w:val="8"/>
                <w:sz w:val="24"/>
                <w:szCs w:val="24"/>
                <w:highlight w:val="none"/>
                <w:lang w:eastAsia="zh-CN"/>
              </w:rPr>
              <w:t>6-2</w:t>
            </w:r>
            <w:r>
              <w:rPr>
                <w:rFonts w:hint="eastAsia" w:ascii="仿宋" w:hAnsi="仿宋" w:eastAsia="仿宋" w:cs="仿宋"/>
                <w:snapToGrid w:val="0"/>
                <w:color w:val="000000"/>
                <w:spacing w:val="8"/>
                <w:sz w:val="24"/>
                <w:szCs w:val="24"/>
                <w:highlight w:val="none"/>
                <w:lang w:eastAsia="zh-CN"/>
              </w:rPr>
              <w:t>分；方案及措施差的，计2</w:t>
            </w:r>
            <w:r>
              <w:rPr>
                <w:rFonts w:ascii="仿宋" w:hAnsi="仿宋" w:eastAsia="仿宋" w:cs="仿宋"/>
                <w:snapToGrid w:val="0"/>
                <w:color w:val="000000"/>
                <w:spacing w:val="8"/>
                <w:sz w:val="24"/>
                <w:szCs w:val="24"/>
                <w:highlight w:val="none"/>
                <w:lang w:eastAsia="zh-CN"/>
              </w:rPr>
              <w:t>-0</w:t>
            </w:r>
            <w:r>
              <w:rPr>
                <w:rFonts w:hint="eastAsia" w:ascii="仿宋" w:hAnsi="仿宋" w:eastAsia="仿宋" w:cs="仿宋"/>
                <w:snapToGrid w:val="0"/>
                <w:color w:val="000000"/>
                <w:spacing w:val="8"/>
                <w:sz w:val="24"/>
                <w:szCs w:val="24"/>
                <w:highlight w:val="none"/>
                <w:lang w:eastAsia="zh-CN"/>
              </w:rPr>
              <w:t>分。</w:t>
            </w:r>
          </w:p>
        </w:tc>
      </w:tr>
      <w:tr w14:paraId="024D3F5F">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088" w:type="dxa"/>
            <w:vMerge w:val="continue"/>
            <w:tcBorders>
              <w:tl2br w:val="nil"/>
              <w:tr2bl w:val="nil"/>
            </w:tcBorders>
            <w:vAlign w:val="center"/>
          </w:tcPr>
          <w:p w14:paraId="46353ED2">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p>
        </w:tc>
        <w:tc>
          <w:tcPr>
            <w:tcW w:w="1413" w:type="dxa"/>
            <w:vMerge w:val="continue"/>
            <w:tcBorders>
              <w:tl2br w:val="nil"/>
              <w:tr2bl w:val="nil"/>
            </w:tcBorders>
            <w:vAlign w:val="center"/>
          </w:tcPr>
          <w:p w14:paraId="1E7294FB">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p>
        </w:tc>
        <w:tc>
          <w:tcPr>
            <w:tcW w:w="2593" w:type="dxa"/>
            <w:tcBorders>
              <w:tl2br w:val="nil"/>
              <w:tr2bl w:val="nil"/>
            </w:tcBorders>
            <w:vAlign w:val="center"/>
          </w:tcPr>
          <w:p w14:paraId="1F9BE646">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保洁服务方案（</w:t>
            </w:r>
            <w:r>
              <w:rPr>
                <w:rFonts w:ascii="仿宋" w:hAnsi="仿宋" w:eastAsia="仿宋" w:cs="仿宋"/>
                <w:snapToGrid w:val="0"/>
                <w:color w:val="000000"/>
                <w:spacing w:val="8"/>
                <w:sz w:val="24"/>
                <w:szCs w:val="24"/>
                <w:highlight w:val="none"/>
                <w:lang w:eastAsia="zh-CN"/>
              </w:rPr>
              <w:t>10</w:t>
            </w:r>
            <w:r>
              <w:rPr>
                <w:rFonts w:hint="eastAsia" w:ascii="仿宋" w:hAnsi="仿宋" w:eastAsia="仿宋" w:cs="仿宋"/>
                <w:snapToGrid w:val="0"/>
                <w:color w:val="000000"/>
                <w:spacing w:val="8"/>
                <w:sz w:val="24"/>
                <w:szCs w:val="24"/>
                <w:highlight w:val="none"/>
                <w:lang w:eastAsia="zh-CN"/>
              </w:rPr>
              <w:t>分）</w:t>
            </w:r>
          </w:p>
        </w:tc>
        <w:tc>
          <w:tcPr>
            <w:tcW w:w="4833" w:type="dxa"/>
            <w:tcBorders>
              <w:tl2br w:val="nil"/>
              <w:tr2bl w:val="nil"/>
            </w:tcBorders>
            <w:vAlign w:val="center"/>
          </w:tcPr>
          <w:p w14:paraId="0036FC3F">
            <w:pPr>
              <w:pStyle w:val="11"/>
              <w:widowControl/>
              <w:kinsoku w:val="0"/>
              <w:autoSpaceDE w:val="0"/>
              <w:autoSpaceDN w:val="0"/>
              <w:adjustRightInd w:val="0"/>
              <w:snapToGrid w:val="0"/>
              <w:spacing w:line="360" w:lineRule="auto"/>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根据本项目服务内容、参数及要求提供保洁服务方案，包含但不限于以下内容：</w:t>
            </w:r>
          </w:p>
          <w:p w14:paraId="5B17EDF8">
            <w:pPr>
              <w:pStyle w:val="11"/>
              <w:widowControl/>
              <w:kinsoku w:val="0"/>
              <w:autoSpaceDE w:val="0"/>
              <w:autoSpaceDN w:val="0"/>
              <w:adjustRightInd w:val="0"/>
              <w:snapToGrid w:val="0"/>
              <w:spacing w:line="360" w:lineRule="auto"/>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1）保洁专项制度；</w:t>
            </w:r>
          </w:p>
          <w:p w14:paraId="19A4D9E3">
            <w:pPr>
              <w:pStyle w:val="11"/>
              <w:widowControl/>
              <w:kinsoku w:val="0"/>
              <w:autoSpaceDE w:val="0"/>
              <w:autoSpaceDN w:val="0"/>
              <w:adjustRightInd w:val="0"/>
              <w:snapToGrid w:val="0"/>
              <w:spacing w:line="360" w:lineRule="auto"/>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2）日常保洁方案；</w:t>
            </w:r>
          </w:p>
          <w:p w14:paraId="4856BD1A">
            <w:pPr>
              <w:pStyle w:val="11"/>
              <w:widowControl/>
              <w:kinsoku w:val="0"/>
              <w:autoSpaceDE w:val="0"/>
              <w:autoSpaceDN w:val="0"/>
              <w:adjustRightInd w:val="0"/>
              <w:snapToGrid w:val="0"/>
              <w:spacing w:line="360" w:lineRule="auto"/>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3）特殊天气的保洁方案；</w:t>
            </w:r>
          </w:p>
          <w:p w14:paraId="2606D1CF">
            <w:pPr>
              <w:pStyle w:val="11"/>
              <w:widowControl/>
              <w:kinsoku w:val="0"/>
              <w:autoSpaceDE w:val="0"/>
              <w:autoSpaceDN w:val="0"/>
              <w:adjustRightInd w:val="0"/>
              <w:snapToGrid w:val="0"/>
              <w:spacing w:line="360" w:lineRule="auto"/>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4）灭四害、卫生消杀方案等方案。</w:t>
            </w:r>
          </w:p>
          <w:p w14:paraId="258F532B">
            <w:pPr>
              <w:pStyle w:val="11"/>
              <w:widowControl/>
              <w:kinsoku w:val="0"/>
              <w:autoSpaceDE w:val="0"/>
              <w:autoSpaceDN w:val="0"/>
              <w:adjustRightInd w:val="0"/>
              <w:snapToGrid w:val="0"/>
              <w:spacing w:line="360" w:lineRule="auto"/>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方案及措施完善、科学合理，实用性、操作性强、针对性强的，计</w:t>
            </w:r>
            <w:r>
              <w:rPr>
                <w:rFonts w:ascii="仿宋" w:hAnsi="仿宋" w:eastAsia="仿宋" w:cs="仿宋"/>
                <w:snapToGrid w:val="0"/>
                <w:color w:val="000000"/>
                <w:spacing w:val="8"/>
                <w:sz w:val="24"/>
                <w:szCs w:val="24"/>
                <w:highlight w:val="none"/>
                <w:lang w:eastAsia="zh-CN"/>
              </w:rPr>
              <w:t>10-6</w:t>
            </w:r>
            <w:r>
              <w:rPr>
                <w:rFonts w:hint="eastAsia" w:ascii="仿宋" w:hAnsi="仿宋" w:eastAsia="仿宋" w:cs="仿宋"/>
                <w:snapToGrid w:val="0"/>
                <w:color w:val="000000"/>
                <w:spacing w:val="8"/>
                <w:sz w:val="24"/>
                <w:szCs w:val="24"/>
                <w:highlight w:val="none"/>
                <w:lang w:eastAsia="zh-CN"/>
              </w:rPr>
              <w:t>分；方案及措施较详细、较合理，实用性、操作性、针对性一般的，计</w:t>
            </w:r>
            <w:r>
              <w:rPr>
                <w:rFonts w:ascii="仿宋" w:hAnsi="仿宋" w:eastAsia="仿宋" w:cs="仿宋"/>
                <w:snapToGrid w:val="0"/>
                <w:color w:val="000000"/>
                <w:spacing w:val="8"/>
                <w:sz w:val="24"/>
                <w:szCs w:val="24"/>
                <w:highlight w:val="none"/>
                <w:lang w:eastAsia="zh-CN"/>
              </w:rPr>
              <w:t>6-2</w:t>
            </w:r>
            <w:r>
              <w:rPr>
                <w:rFonts w:hint="eastAsia" w:ascii="仿宋" w:hAnsi="仿宋" w:eastAsia="仿宋" w:cs="仿宋"/>
                <w:snapToGrid w:val="0"/>
                <w:color w:val="000000"/>
                <w:spacing w:val="8"/>
                <w:sz w:val="24"/>
                <w:szCs w:val="24"/>
                <w:highlight w:val="none"/>
                <w:lang w:eastAsia="zh-CN"/>
              </w:rPr>
              <w:t>分；方案及措施差的，计2</w:t>
            </w:r>
            <w:r>
              <w:rPr>
                <w:rFonts w:ascii="仿宋" w:hAnsi="仿宋" w:eastAsia="仿宋" w:cs="仿宋"/>
                <w:snapToGrid w:val="0"/>
                <w:color w:val="000000"/>
                <w:spacing w:val="8"/>
                <w:sz w:val="24"/>
                <w:szCs w:val="24"/>
                <w:highlight w:val="none"/>
                <w:lang w:eastAsia="zh-CN"/>
              </w:rPr>
              <w:t>-0</w:t>
            </w:r>
            <w:r>
              <w:rPr>
                <w:rFonts w:hint="eastAsia" w:ascii="仿宋" w:hAnsi="仿宋" w:eastAsia="仿宋" w:cs="仿宋"/>
                <w:snapToGrid w:val="0"/>
                <w:color w:val="000000"/>
                <w:spacing w:val="8"/>
                <w:sz w:val="24"/>
                <w:szCs w:val="24"/>
                <w:highlight w:val="none"/>
                <w:lang w:eastAsia="zh-CN"/>
              </w:rPr>
              <w:t>分。</w:t>
            </w:r>
          </w:p>
        </w:tc>
      </w:tr>
      <w:tr w14:paraId="23AE5D27">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088" w:type="dxa"/>
            <w:vMerge w:val="continue"/>
            <w:tcBorders>
              <w:tl2br w:val="nil"/>
              <w:tr2bl w:val="nil"/>
            </w:tcBorders>
            <w:vAlign w:val="center"/>
          </w:tcPr>
          <w:p w14:paraId="086C3787">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p>
        </w:tc>
        <w:tc>
          <w:tcPr>
            <w:tcW w:w="1413" w:type="dxa"/>
            <w:vMerge w:val="continue"/>
            <w:tcBorders>
              <w:tl2br w:val="nil"/>
              <w:tr2bl w:val="nil"/>
            </w:tcBorders>
            <w:vAlign w:val="center"/>
          </w:tcPr>
          <w:p w14:paraId="17D98A46">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p>
        </w:tc>
        <w:tc>
          <w:tcPr>
            <w:tcW w:w="2593" w:type="dxa"/>
            <w:tcBorders>
              <w:tl2br w:val="nil"/>
              <w:tr2bl w:val="nil"/>
            </w:tcBorders>
            <w:vAlign w:val="center"/>
          </w:tcPr>
          <w:p w14:paraId="5B72E059">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秩序安全管理方案（</w:t>
            </w:r>
            <w:r>
              <w:rPr>
                <w:rFonts w:ascii="仿宋" w:hAnsi="仿宋" w:eastAsia="仿宋" w:cs="仿宋"/>
                <w:snapToGrid w:val="0"/>
                <w:color w:val="000000"/>
                <w:spacing w:val="8"/>
                <w:sz w:val="24"/>
                <w:szCs w:val="24"/>
                <w:highlight w:val="none"/>
                <w:lang w:eastAsia="zh-CN"/>
              </w:rPr>
              <w:t>10</w:t>
            </w:r>
            <w:r>
              <w:rPr>
                <w:rFonts w:hint="eastAsia" w:ascii="仿宋" w:hAnsi="仿宋" w:eastAsia="仿宋" w:cs="仿宋"/>
                <w:snapToGrid w:val="0"/>
                <w:color w:val="000000"/>
                <w:spacing w:val="8"/>
                <w:sz w:val="24"/>
                <w:szCs w:val="24"/>
                <w:highlight w:val="none"/>
                <w:lang w:eastAsia="zh-CN"/>
              </w:rPr>
              <w:t>分）</w:t>
            </w:r>
          </w:p>
        </w:tc>
        <w:tc>
          <w:tcPr>
            <w:tcW w:w="4833" w:type="dxa"/>
            <w:tcBorders>
              <w:tl2br w:val="nil"/>
              <w:tr2bl w:val="nil"/>
            </w:tcBorders>
            <w:vAlign w:val="center"/>
          </w:tcPr>
          <w:p w14:paraId="7492372F">
            <w:pPr>
              <w:pStyle w:val="11"/>
              <w:widowControl/>
              <w:kinsoku w:val="0"/>
              <w:autoSpaceDE w:val="0"/>
              <w:autoSpaceDN w:val="0"/>
              <w:adjustRightInd w:val="0"/>
              <w:snapToGrid w:val="0"/>
              <w:spacing w:line="360" w:lineRule="auto"/>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根据本项目服务内容、参数及要求提供消防安全管理方案，包含但不限于以下内容：</w:t>
            </w:r>
          </w:p>
          <w:p w14:paraId="6211C46B">
            <w:pPr>
              <w:pStyle w:val="11"/>
              <w:widowControl/>
              <w:kinsoku w:val="0"/>
              <w:autoSpaceDE w:val="0"/>
              <w:autoSpaceDN w:val="0"/>
              <w:adjustRightInd w:val="0"/>
              <w:snapToGrid w:val="0"/>
              <w:spacing w:line="360" w:lineRule="auto"/>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1）秩序安全管理制度；2）秩序安全管理方案；3）消防安全管理；4）公共区域交钥匙、交接班管理。</w:t>
            </w:r>
          </w:p>
          <w:p w14:paraId="6DAA2046">
            <w:pPr>
              <w:pStyle w:val="11"/>
              <w:widowControl/>
              <w:kinsoku w:val="0"/>
              <w:autoSpaceDE w:val="0"/>
              <w:autoSpaceDN w:val="0"/>
              <w:adjustRightInd w:val="0"/>
              <w:snapToGrid w:val="0"/>
              <w:spacing w:line="360" w:lineRule="auto"/>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方案及措施完善、科学合理，实用性、操作性强、针对性强的，计</w:t>
            </w:r>
            <w:r>
              <w:rPr>
                <w:rFonts w:ascii="仿宋" w:hAnsi="仿宋" w:eastAsia="仿宋" w:cs="仿宋"/>
                <w:snapToGrid w:val="0"/>
                <w:color w:val="000000"/>
                <w:spacing w:val="8"/>
                <w:sz w:val="24"/>
                <w:szCs w:val="24"/>
                <w:highlight w:val="none"/>
                <w:lang w:eastAsia="zh-CN"/>
              </w:rPr>
              <w:t>10-6</w:t>
            </w:r>
            <w:r>
              <w:rPr>
                <w:rFonts w:hint="eastAsia" w:ascii="仿宋" w:hAnsi="仿宋" w:eastAsia="仿宋" w:cs="仿宋"/>
                <w:snapToGrid w:val="0"/>
                <w:color w:val="000000"/>
                <w:spacing w:val="8"/>
                <w:sz w:val="24"/>
                <w:szCs w:val="24"/>
                <w:highlight w:val="none"/>
                <w:lang w:eastAsia="zh-CN"/>
              </w:rPr>
              <w:t>分；方案及措施较详细、较合理，实用性、操作性、针对性一般的，计</w:t>
            </w:r>
            <w:r>
              <w:rPr>
                <w:rFonts w:ascii="仿宋" w:hAnsi="仿宋" w:eastAsia="仿宋" w:cs="仿宋"/>
                <w:snapToGrid w:val="0"/>
                <w:color w:val="000000"/>
                <w:spacing w:val="8"/>
                <w:sz w:val="24"/>
                <w:szCs w:val="24"/>
                <w:highlight w:val="none"/>
                <w:lang w:eastAsia="zh-CN"/>
              </w:rPr>
              <w:t>6-2</w:t>
            </w:r>
            <w:r>
              <w:rPr>
                <w:rFonts w:hint="eastAsia" w:ascii="仿宋" w:hAnsi="仿宋" w:eastAsia="仿宋" w:cs="仿宋"/>
                <w:snapToGrid w:val="0"/>
                <w:color w:val="000000"/>
                <w:spacing w:val="8"/>
                <w:sz w:val="24"/>
                <w:szCs w:val="24"/>
                <w:highlight w:val="none"/>
                <w:lang w:eastAsia="zh-CN"/>
              </w:rPr>
              <w:t>分；方案及措施差的，计2</w:t>
            </w:r>
            <w:r>
              <w:rPr>
                <w:rFonts w:ascii="仿宋" w:hAnsi="仿宋" w:eastAsia="仿宋" w:cs="仿宋"/>
                <w:snapToGrid w:val="0"/>
                <w:color w:val="000000"/>
                <w:spacing w:val="8"/>
                <w:sz w:val="24"/>
                <w:szCs w:val="24"/>
                <w:highlight w:val="none"/>
                <w:lang w:eastAsia="zh-CN"/>
              </w:rPr>
              <w:t>-0</w:t>
            </w:r>
            <w:r>
              <w:rPr>
                <w:rFonts w:hint="eastAsia" w:ascii="仿宋" w:hAnsi="仿宋" w:eastAsia="仿宋" w:cs="仿宋"/>
                <w:snapToGrid w:val="0"/>
                <w:color w:val="000000"/>
                <w:spacing w:val="8"/>
                <w:sz w:val="24"/>
                <w:szCs w:val="24"/>
                <w:highlight w:val="none"/>
                <w:lang w:eastAsia="zh-CN"/>
              </w:rPr>
              <w:t>分。</w:t>
            </w:r>
          </w:p>
        </w:tc>
      </w:tr>
      <w:tr w14:paraId="4FB59562">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088" w:type="dxa"/>
            <w:vMerge w:val="continue"/>
            <w:tcBorders>
              <w:tl2br w:val="nil"/>
              <w:tr2bl w:val="nil"/>
            </w:tcBorders>
            <w:vAlign w:val="center"/>
          </w:tcPr>
          <w:p w14:paraId="6078BFD4">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p>
        </w:tc>
        <w:tc>
          <w:tcPr>
            <w:tcW w:w="1413" w:type="dxa"/>
            <w:vMerge w:val="continue"/>
            <w:tcBorders>
              <w:tl2br w:val="nil"/>
              <w:tr2bl w:val="nil"/>
            </w:tcBorders>
            <w:vAlign w:val="center"/>
          </w:tcPr>
          <w:p w14:paraId="774C0844">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p>
        </w:tc>
        <w:tc>
          <w:tcPr>
            <w:tcW w:w="2593" w:type="dxa"/>
            <w:tcBorders>
              <w:tl2br w:val="nil"/>
              <w:tr2bl w:val="nil"/>
            </w:tcBorders>
            <w:vAlign w:val="center"/>
          </w:tcPr>
          <w:p w14:paraId="108B3AC8">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节能降耗管理方案（</w:t>
            </w:r>
            <w:r>
              <w:rPr>
                <w:rFonts w:ascii="仿宋" w:hAnsi="仿宋" w:eastAsia="仿宋" w:cs="仿宋"/>
                <w:snapToGrid w:val="0"/>
                <w:color w:val="000000"/>
                <w:spacing w:val="8"/>
                <w:sz w:val="24"/>
                <w:szCs w:val="24"/>
                <w:highlight w:val="none"/>
                <w:lang w:eastAsia="zh-CN"/>
              </w:rPr>
              <w:t>10</w:t>
            </w:r>
            <w:r>
              <w:rPr>
                <w:rFonts w:hint="eastAsia" w:ascii="仿宋" w:hAnsi="仿宋" w:eastAsia="仿宋" w:cs="仿宋"/>
                <w:snapToGrid w:val="0"/>
                <w:color w:val="000000"/>
                <w:spacing w:val="8"/>
                <w:sz w:val="24"/>
                <w:szCs w:val="24"/>
                <w:highlight w:val="none"/>
                <w:lang w:eastAsia="zh-CN"/>
              </w:rPr>
              <w:t>分）</w:t>
            </w:r>
          </w:p>
        </w:tc>
        <w:tc>
          <w:tcPr>
            <w:tcW w:w="4833" w:type="dxa"/>
            <w:tcBorders>
              <w:tl2br w:val="nil"/>
              <w:tr2bl w:val="nil"/>
            </w:tcBorders>
            <w:vAlign w:val="center"/>
          </w:tcPr>
          <w:p w14:paraId="5A563F28">
            <w:pPr>
              <w:pStyle w:val="11"/>
              <w:widowControl/>
              <w:kinsoku w:val="0"/>
              <w:autoSpaceDE w:val="0"/>
              <w:autoSpaceDN w:val="0"/>
              <w:adjustRightInd w:val="0"/>
              <w:snapToGrid w:val="0"/>
              <w:spacing w:line="360" w:lineRule="auto"/>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根据本项目服务内容、参数及要求提供节能降耗管理方案，包含但不限于以下内容：</w:t>
            </w:r>
          </w:p>
          <w:p w14:paraId="39A6DBB8">
            <w:pPr>
              <w:pStyle w:val="11"/>
              <w:widowControl/>
              <w:kinsoku w:val="0"/>
              <w:autoSpaceDE w:val="0"/>
              <w:autoSpaceDN w:val="0"/>
              <w:adjustRightInd w:val="0"/>
              <w:snapToGrid w:val="0"/>
              <w:spacing w:line="360" w:lineRule="auto"/>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1）能源管理综合管理办法；</w:t>
            </w:r>
          </w:p>
          <w:p w14:paraId="0D38D419">
            <w:pPr>
              <w:pStyle w:val="11"/>
              <w:widowControl/>
              <w:kinsoku w:val="0"/>
              <w:autoSpaceDE w:val="0"/>
              <w:autoSpaceDN w:val="0"/>
              <w:adjustRightInd w:val="0"/>
              <w:snapToGrid w:val="0"/>
              <w:spacing w:line="360" w:lineRule="auto"/>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2）项目节能降耗方案。</w:t>
            </w:r>
          </w:p>
          <w:p w14:paraId="3509A117">
            <w:pPr>
              <w:pStyle w:val="11"/>
              <w:widowControl/>
              <w:kinsoku w:val="0"/>
              <w:autoSpaceDE w:val="0"/>
              <w:autoSpaceDN w:val="0"/>
              <w:adjustRightInd w:val="0"/>
              <w:snapToGrid w:val="0"/>
              <w:spacing w:line="360" w:lineRule="auto"/>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方案及措施完善、科学合理，实用性、操作性强、针对性强的，计</w:t>
            </w:r>
            <w:r>
              <w:rPr>
                <w:rFonts w:ascii="仿宋" w:hAnsi="仿宋" w:eastAsia="仿宋" w:cs="仿宋"/>
                <w:snapToGrid w:val="0"/>
                <w:color w:val="000000"/>
                <w:spacing w:val="8"/>
                <w:sz w:val="24"/>
                <w:szCs w:val="24"/>
                <w:highlight w:val="none"/>
                <w:lang w:eastAsia="zh-CN"/>
              </w:rPr>
              <w:t>10-6</w:t>
            </w:r>
            <w:r>
              <w:rPr>
                <w:rFonts w:hint="eastAsia" w:ascii="仿宋" w:hAnsi="仿宋" w:eastAsia="仿宋" w:cs="仿宋"/>
                <w:snapToGrid w:val="0"/>
                <w:color w:val="000000"/>
                <w:spacing w:val="8"/>
                <w:sz w:val="24"/>
                <w:szCs w:val="24"/>
                <w:highlight w:val="none"/>
                <w:lang w:eastAsia="zh-CN"/>
              </w:rPr>
              <w:t>分；方案及措施较详细、较合理，实用性、操作性、针对性一般的，计</w:t>
            </w:r>
            <w:r>
              <w:rPr>
                <w:rFonts w:ascii="仿宋" w:hAnsi="仿宋" w:eastAsia="仿宋" w:cs="仿宋"/>
                <w:snapToGrid w:val="0"/>
                <w:color w:val="000000"/>
                <w:spacing w:val="8"/>
                <w:sz w:val="24"/>
                <w:szCs w:val="24"/>
                <w:highlight w:val="none"/>
                <w:lang w:eastAsia="zh-CN"/>
              </w:rPr>
              <w:t>6-2</w:t>
            </w:r>
            <w:r>
              <w:rPr>
                <w:rFonts w:hint="eastAsia" w:ascii="仿宋" w:hAnsi="仿宋" w:eastAsia="仿宋" w:cs="仿宋"/>
                <w:snapToGrid w:val="0"/>
                <w:color w:val="000000"/>
                <w:spacing w:val="8"/>
                <w:sz w:val="24"/>
                <w:szCs w:val="24"/>
                <w:highlight w:val="none"/>
                <w:lang w:eastAsia="zh-CN"/>
              </w:rPr>
              <w:t>分；方案及措施差的，计2</w:t>
            </w:r>
            <w:r>
              <w:rPr>
                <w:rFonts w:ascii="仿宋" w:hAnsi="仿宋" w:eastAsia="仿宋" w:cs="仿宋"/>
                <w:snapToGrid w:val="0"/>
                <w:color w:val="000000"/>
                <w:spacing w:val="8"/>
                <w:sz w:val="24"/>
                <w:szCs w:val="24"/>
                <w:highlight w:val="none"/>
                <w:lang w:eastAsia="zh-CN"/>
              </w:rPr>
              <w:t>-0</w:t>
            </w:r>
            <w:r>
              <w:rPr>
                <w:rFonts w:hint="eastAsia" w:ascii="仿宋" w:hAnsi="仿宋" w:eastAsia="仿宋" w:cs="仿宋"/>
                <w:snapToGrid w:val="0"/>
                <w:color w:val="000000"/>
                <w:spacing w:val="8"/>
                <w:sz w:val="24"/>
                <w:szCs w:val="24"/>
                <w:highlight w:val="none"/>
                <w:lang w:eastAsia="zh-CN"/>
              </w:rPr>
              <w:t>分。</w:t>
            </w:r>
          </w:p>
        </w:tc>
      </w:tr>
      <w:tr w14:paraId="2196B899">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088" w:type="dxa"/>
            <w:vMerge w:val="continue"/>
            <w:tcBorders>
              <w:tl2br w:val="nil"/>
              <w:tr2bl w:val="nil"/>
            </w:tcBorders>
            <w:vAlign w:val="center"/>
          </w:tcPr>
          <w:p w14:paraId="2055AD40">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p>
        </w:tc>
        <w:tc>
          <w:tcPr>
            <w:tcW w:w="1413" w:type="dxa"/>
            <w:vMerge w:val="continue"/>
            <w:tcBorders>
              <w:tl2br w:val="nil"/>
              <w:tr2bl w:val="nil"/>
            </w:tcBorders>
            <w:vAlign w:val="center"/>
          </w:tcPr>
          <w:p w14:paraId="4361E09C">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p>
        </w:tc>
        <w:tc>
          <w:tcPr>
            <w:tcW w:w="2593" w:type="dxa"/>
            <w:tcBorders>
              <w:tl2br w:val="nil"/>
              <w:tr2bl w:val="nil"/>
            </w:tcBorders>
            <w:vAlign w:val="center"/>
          </w:tcPr>
          <w:p w14:paraId="28DC0643">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运营管理方案（</w:t>
            </w:r>
            <w:r>
              <w:rPr>
                <w:rFonts w:ascii="仿宋" w:hAnsi="仿宋" w:eastAsia="仿宋" w:cs="仿宋"/>
                <w:snapToGrid w:val="0"/>
                <w:color w:val="000000"/>
                <w:spacing w:val="8"/>
                <w:sz w:val="24"/>
                <w:szCs w:val="24"/>
                <w:highlight w:val="none"/>
                <w:lang w:eastAsia="zh-CN"/>
              </w:rPr>
              <w:t>10</w:t>
            </w:r>
            <w:r>
              <w:rPr>
                <w:rFonts w:hint="eastAsia" w:ascii="仿宋" w:hAnsi="仿宋" w:eastAsia="仿宋" w:cs="仿宋"/>
                <w:snapToGrid w:val="0"/>
                <w:color w:val="000000"/>
                <w:spacing w:val="8"/>
                <w:sz w:val="24"/>
                <w:szCs w:val="24"/>
                <w:highlight w:val="none"/>
                <w:lang w:eastAsia="zh-CN"/>
              </w:rPr>
              <w:t>分）</w:t>
            </w:r>
          </w:p>
        </w:tc>
        <w:tc>
          <w:tcPr>
            <w:tcW w:w="4833" w:type="dxa"/>
            <w:tcBorders>
              <w:tl2br w:val="nil"/>
              <w:tr2bl w:val="nil"/>
            </w:tcBorders>
            <w:vAlign w:val="center"/>
          </w:tcPr>
          <w:p w14:paraId="05EE9A9D">
            <w:pPr>
              <w:pStyle w:val="11"/>
              <w:widowControl/>
              <w:kinsoku w:val="0"/>
              <w:autoSpaceDE w:val="0"/>
              <w:autoSpaceDN w:val="0"/>
              <w:adjustRightInd w:val="0"/>
              <w:snapToGrid w:val="0"/>
              <w:spacing w:line="360" w:lineRule="auto"/>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根据本项目服务内容、参数及要求提供运营管理方案，包含但不限于以下内容： 1）运营管理</w:t>
            </w:r>
            <w:r>
              <w:rPr>
                <w:rFonts w:ascii="仿宋" w:hAnsi="仿宋" w:eastAsia="仿宋" w:cs="仿宋"/>
                <w:snapToGrid w:val="0"/>
                <w:color w:val="000000"/>
                <w:spacing w:val="8"/>
                <w:sz w:val="24"/>
                <w:szCs w:val="24"/>
                <w:highlight w:val="none"/>
                <w:lang w:eastAsia="zh-CN"/>
              </w:rPr>
              <w:t>方案</w:t>
            </w:r>
            <w:r>
              <w:rPr>
                <w:rFonts w:hint="eastAsia" w:ascii="仿宋" w:hAnsi="仿宋" w:eastAsia="仿宋" w:cs="仿宋"/>
                <w:snapToGrid w:val="0"/>
                <w:color w:val="000000"/>
                <w:spacing w:val="8"/>
                <w:sz w:val="24"/>
                <w:szCs w:val="24"/>
                <w:highlight w:val="none"/>
                <w:lang w:eastAsia="zh-CN"/>
              </w:rPr>
              <w:t>；2）协助业主</w:t>
            </w:r>
            <w:r>
              <w:rPr>
                <w:rFonts w:ascii="仿宋" w:hAnsi="仿宋" w:eastAsia="仿宋" w:cs="仿宋"/>
                <w:snapToGrid w:val="0"/>
                <w:color w:val="000000"/>
                <w:spacing w:val="8"/>
                <w:sz w:val="24"/>
                <w:szCs w:val="24"/>
                <w:highlight w:val="none"/>
                <w:lang w:eastAsia="zh-CN"/>
              </w:rPr>
              <w:t>管理商户</w:t>
            </w:r>
            <w:r>
              <w:rPr>
                <w:rFonts w:hint="eastAsia" w:ascii="仿宋" w:hAnsi="仿宋" w:eastAsia="仿宋" w:cs="仿宋"/>
                <w:snapToGrid w:val="0"/>
                <w:color w:val="000000"/>
                <w:spacing w:val="8"/>
                <w:sz w:val="24"/>
                <w:szCs w:val="24"/>
                <w:highlight w:val="none"/>
                <w:lang w:eastAsia="zh-CN"/>
              </w:rPr>
              <w:t>措施。</w:t>
            </w:r>
          </w:p>
          <w:p w14:paraId="4935974D">
            <w:pPr>
              <w:pStyle w:val="11"/>
              <w:widowControl/>
              <w:kinsoku w:val="0"/>
              <w:autoSpaceDE w:val="0"/>
              <w:autoSpaceDN w:val="0"/>
              <w:adjustRightInd w:val="0"/>
              <w:snapToGrid w:val="0"/>
              <w:spacing w:line="360" w:lineRule="auto"/>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方案及措施完善、科学合理，实用性、操作性强、针对性强的，计</w:t>
            </w:r>
            <w:r>
              <w:rPr>
                <w:rFonts w:ascii="仿宋" w:hAnsi="仿宋" w:eastAsia="仿宋" w:cs="仿宋"/>
                <w:snapToGrid w:val="0"/>
                <w:color w:val="000000"/>
                <w:spacing w:val="8"/>
                <w:sz w:val="24"/>
                <w:szCs w:val="24"/>
                <w:highlight w:val="none"/>
                <w:lang w:eastAsia="zh-CN"/>
              </w:rPr>
              <w:t>10-6</w:t>
            </w:r>
            <w:r>
              <w:rPr>
                <w:rFonts w:hint="eastAsia" w:ascii="仿宋" w:hAnsi="仿宋" w:eastAsia="仿宋" w:cs="仿宋"/>
                <w:snapToGrid w:val="0"/>
                <w:color w:val="000000"/>
                <w:spacing w:val="8"/>
                <w:sz w:val="24"/>
                <w:szCs w:val="24"/>
                <w:highlight w:val="none"/>
                <w:lang w:eastAsia="zh-CN"/>
              </w:rPr>
              <w:t>分；方案及措施较详细、较合理，实用性、操作性、针对性一般的，计</w:t>
            </w:r>
            <w:r>
              <w:rPr>
                <w:rFonts w:ascii="仿宋" w:hAnsi="仿宋" w:eastAsia="仿宋" w:cs="仿宋"/>
                <w:snapToGrid w:val="0"/>
                <w:color w:val="000000"/>
                <w:spacing w:val="8"/>
                <w:sz w:val="24"/>
                <w:szCs w:val="24"/>
                <w:highlight w:val="none"/>
                <w:lang w:eastAsia="zh-CN"/>
              </w:rPr>
              <w:t>6-2</w:t>
            </w:r>
            <w:r>
              <w:rPr>
                <w:rFonts w:hint="eastAsia" w:ascii="仿宋" w:hAnsi="仿宋" w:eastAsia="仿宋" w:cs="仿宋"/>
                <w:snapToGrid w:val="0"/>
                <w:color w:val="000000"/>
                <w:spacing w:val="8"/>
                <w:sz w:val="24"/>
                <w:szCs w:val="24"/>
                <w:highlight w:val="none"/>
                <w:lang w:eastAsia="zh-CN"/>
              </w:rPr>
              <w:t>分；方案及措施差的，计2</w:t>
            </w:r>
            <w:r>
              <w:rPr>
                <w:rFonts w:ascii="仿宋" w:hAnsi="仿宋" w:eastAsia="仿宋" w:cs="仿宋"/>
                <w:snapToGrid w:val="0"/>
                <w:color w:val="000000"/>
                <w:spacing w:val="8"/>
                <w:sz w:val="24"/>
                <w:szCs w:val="24"/>
                <w:highlight w:val="none"/>
                <w:lang w:eastAsia="zh-CN"/>
              </w:rPr>
              <w:t>-0</w:t>
            </w:r>
            <w:r>
              <w:rPr>
                <w:rFonts w:hint="eastAsia" w:ascii="仿宋" w:hAnsi="仿宋" w:eastAsia="仿宋" w:cs="仿宋"/>
                <w:snapToGrid w:val="0"/>
                <w:color w:val="000000"/>
                <w:spacing w:val="8"/>
                <w:sz w:val="24"/>
                <w:szCs w:val="24"/>
                <w:highlight w:val="none"/>
                <w:lang w:eastAsia="zh-CN"/>
              </w:rPr>
              <w:t>分。</w:t>
            </w:r>
          </w:p>
        </w:tc>
      </w:tr>
      <w:tr w14:paraId="42164D1A">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088" w:type="dxa"/>
            <w:vMerge w:val="continue"/>
            <w:tcBorders>
              <w:tl2br w:val="nil"/>
              <w:tr2bl w:val="nil"/>
            </w:tcBorders>
            <w:vAlign w:val="center"/>
          </w:tcPr>
          <w:p w14:paraId="3F97A1FD">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p>
        </w:tc>
        <w:tc>
          <w:tcPr>
            <w:tcW w:w="1413" w:type="dxa"/>
            <w:vMerge w:val="continue"/>
            <w:tcBorders>
              <w:tl2br w:val="nil"/>
              <w:tr2bl w:val="nil"/>
            </w:tcBorders>
            <w:vAlign w:val="center"/>
          </w:tcPr>
          <w:p w14:paraId="372E3A02">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p>
        </w:tc>
        <w:tc>
          <w:tcPr>
            <w:tcW w:w="2593" w:type="dxa"/>
            <w:tcBorders>
              <w:tl2br w:val="nil"/>
              <w:tr2bl w:val="nil"/>
            </w:tcBorders>
            <w:vAlign w:val="center"/>
          </w:tcPr>
          <w:p w14:paraId="03742311">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突发事件及应急处理预案（</w:t>
            </w:r>
            <w:r>
              <w:rPr>
                <w:rFonts w:ascii="仿宋" w:hAnsi="仿宋" w:eastAsia="仿宋" w:cs="仿宋"/>
                <w:snapToGrid w:val="0"/>
                <w:color w:val="000000"/>
                <w:spacing w:val="8"/>
                <w:sz w:val="24"/>
                <w:szCs w:val="24"/>
                <w:highlight w:val="none"/>
                <w:lang w:eastAsia="zh-CN"/>
              </w:rPr>
              <w:t>10</w:t>
            </w:r>
            <w:r>
              <w:rPr>
                <w:rFonts w:hint="eastAsia" w:ascii="仿宋" w:hAnsi="仿宋" w:eastAsia="仿宋" w:cs="仿宋"/>
                <w:snapToGrid w:val="0"/>
                <w:color w:val="000000"/>
                <w:spacing w:val="8"/>
                <w:sz w:val="24"/>
                <w:szCs w:val="24"/>
                <w:highlight w:val="none"/>
                <w:lang w:eastAsia="zh-CN"/>
              </w:rPr>
              <w:t>分）</w:t>
            </w:r>
          </w:p>
        </w:tc>
        <w:tc>
          <w:tcPr>
            <w:tcW w:w="4833" w:type="dxa"/>
            <w:tcBorders>
              <w:tl2br w:val="nil"/>
              <w:tr2bl w:val="nil"/>
            </w:tcBorders>
            <w:vAlign w:val="center"/>
          </w:tcPr>
          <w:p w14:paraId="1EF29588">
            <w:pPr>
              <w:pStyle w:val="11"/>
              <w:widowControl/>
              <w:kinsoku w:val="0"/>
              <w:autoSpaceDE w:val="0"/>
              <w:autoSpaceDN w:val="0"/>
              <w:adjustRightInd w:val="0"/>
              <w:snapToGrid w:val="0"/>
              <w:spacing w:line="360" w:lineRule="auto"/>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根据本项目服务内容、参数及要求提供突发事件及应急处理预案，包含但不限于以下内容：</w:t>
            </w:r>
          </w:p>
          <w:p w14:paraId="7379D908">
            <w:pPr>
              <w:pStyle w:val="11"/>
              <w:widowControl/>
              <w:kinsoku w:val="0"/>
              <w:autoSpaceDE w:val="0"/>
              <w:autoSpaceDN w:val="0"/>
              <w:adjustRightInd w:val="0"/>
              <w:snapToGrid w:val="0"/>
              <w:spacing w:line="360" w:lineRule="auto"/>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1）应急管理总体方案；</w:t>
            </w:r>
          </w:p>
          <w:p w14:paraId="42406DE3">
            <w:pPr>
              <w:pStyle w:val="11"/>
              <w:widowControl/>
              <w:kinsoku w:val="0"/>
              <w:autoSpaceDE w:val="0"/>
              <w:autoSpaceDN w:val="0"/>
              <w:adjustRightInd w:val="0"/>
              <w:snapToGrid w:val="0"/>
              <w:spacing w:line="360" w:lineRule="auto"/>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2）应急事件处理程序；</w:t>
            </w:r>
          </w:p>
          <w:p w14:paraId="2E0AEAC2">
            <w:pPr>
              <w:pStyle w:val="11"/>
              <w:widowControl/>
              <w:kinsoku w:val="0"/>
              <w:autoSpaceDE w:val="0"/>
              <w:autoSpaceDN w:val="0"/>
              <w:adjustRightInd w:val="0"/>
              <w:snapToGrid w:val="0"/>
              <w:spacing w:line="360" w:lineRule="auto"/>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3）突发事件应急管理制度；</w:t>
            </w:r>
          </w:p>
          <w:p w14:paraId="34CEB990">
            <w:pPr>
              <w:pStyle w:val="11"/>
              <w:widowControl/>
              <w:kinsoku w:val="0"/>
              <w:autoSpaceDE w:val="0"/>
              <w:autoSpaceDN w:val="0"/>
              <w:adjustRightInd w:val="0"/>
              <w:snapToGrid w:val="0"/>
              <w:spacing w:line="360" w:lineRule="auto"/>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4）突发事件应急预案等方面。</w:t>
            </w:r>
          </w:p>
          <w:p w14:paraId="1971E978">
            <w:pPr>
              <w:pStyle w:val="11"/>
              <w:widowControl/>
              <w:kinsoku w:val="0"/>
              <w:autoSpaceDE w:val="0"/>
              <w:autoSpaceDN w:val="0"/>
              <w:adjustRightInd w:val="0"/>
              <w:snapToGrid w:val="0"/>
              <w:spacing w:line="360" w:lineRule="auto"/>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方案及措施完善、科学合理，实用性、操作性强、针对性强的，计</w:t>
            </w:r>
            <w:r>
              <w:rPr>
                <w:rFonts w:ascii="仿宋" w:hAnsi="仿宋" w:eastAsia="仿宋" w:cs="仿宋"/>
                <w:snapToGrid w:val="0"/>
                <w:color w:val="000000"/>
                <w:spacing w:val="8"/>
                <w:sz w:val="24"/>
                <w:szCs w:val="24"/>
                <w:highlight w:val="none"/>
                <w:lang w:eastAsia="zh-CN"/>
              </w:rPr>
              <w:t>10-6</w:t>
            </w:r>
            <w:r>
              <w:rPr>
                <w:rFonts w:hint="eastAsia" w:ascii="仿宋" w:hAnsi="仿宋" w:eastAsia="仿宋" w:cs="仿宋"/>
                <w:snapToGrid w:val="0"/>
                <w:color w:val="000000"/>
                <w:spacing w:val="8"/>
                <w:sz w:val="24"/>
                <w:szCs w:val="24"/>
                <w:highlight w:val="none"/>
                <w:lang w:eastAsia="zh-CN"/>
              </w:rPr>
              <w:t>分；方案及措施较详细、较合理，实用性、操作性、针对性一般的，计</w:t>
            </w:r>
            <w:r>
              <w:rPr>
                <w:rFonts w:ascii="仿宋" w:hAnsi="仿宋" w:eastAsia="仿宋" w:cs="仿宋"/>
                <w:snapToGrid w:val="0"/>
                <w:color w:val="000000"/>
                <w:spacing w:val="8"/>
                <w:sz w:val="24"/>
                <w:szCs w:val="24"/>
                <w:highlight w:val="none"/>
                <w:lang w:eastAsia="zh-CN"/>
              </w:rPr>
              <w:t>6-2</w:t>
            </w:r>
            <w:r>
              <w:rPr>
                <w:rFonts w:hint="eastAsia" w:ascii="仿宋" w:hAnsi="仿宋" w:eastAsia="仿宋" w:cs="仿宋"/>
                <w:snapToGrid w:val="0"/>
                <w:color w:val="000000"/>
                <w:spacing w:val="8"/>
                <w:sz w:val="24"/>
                <w:szCs w:val="24"/>
                <w:highlight w:val="none"/>
                <w:lang w:eastAsia="zh-CN"/>
              </w:rPr>
              <w:t>分；方案及措施差的，计2</w:t>
            </w:r>
            <w:r>
              <w:rPr>
                <w:rFonts w:ascii="仿宋" w:hAnsi="仿宋" w:eastAsia="仿宋" w:cs="仿宋"/>
                <w:snapToGrid w:val="0"/>
                <w:color w:val="000000"/>
                <w:spacing w:val="8"/>
                <w:sz w:val="24"/>
                <w:szCs w:val="24"/>
                <w:highlight w:val="none"/>
                <w:lang w:eastAsia="zh-CN"/>
              </w:rPr>
              <w:t>-0</w:t>
            </w:r>
            <w:r>
              <w:rPr>
                <w:rFonts w:hint="eastAsia" w:ascii="仿宋" w:hAnsi="仿宋" w:eastAsia="仿宋" w:cs="仿宋"/>
                <w:snapToGrid w:val="0"/>
                <w:color w:val="000000"/>
                <w:spacing w:val="8"/>
                <w:sz w:val="24"/>
                <w:szCs w:val="24"/>
                <w:highlight w:val="none"/>
                <w:lang w:eastAsia="zh-CN"/>
              </w:rPr>
              <w:t>分。</w:t>
            </w:r>
          </w:p>
        </w:tc>
      </w:tr>
      <w:tr w14:paraId="0D1BCD5C">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088" w:type="dxa"/>
            <w:vMerge w:val="continue"/>
            <w:tcBorders>
              <w:tl2br w:val="nil"/>
              <w:tr2bl w:val="nil"/>
            </w:tcBorders>
            <w:vAlign w:val="center"/>
          </w:tcPr>
          <w:p w14:paraId="20DDCB28">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p>
        </w:tc>
        <w:tc>
          <w:tcPr>
            <w:tcW w:w="1413" w:type="dxa"/>
            <w:vMerge w:val="continue"/>
            <w:tcBorders>
              <w:tl2br w:val="nil"/>
              <w:tr2bl w:val="nil"/>
            </w:tcBorders>
            <w:vAlign w:val="center"/>
          </w:tcPr>
          <w:p w14:paraId="77C775CD">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p>
        </w:tc>
        <w:tc>
          <w:tcPr>
            <w:tcW w:w="2593" w:type="dxa"/>
            <w:tcBorders>
              <w:tl2br w:val="nil"/>
              <w:tr2bl w:val="nil"/>
            </w:tcBorders>
            <w:vAlign w:val="center"/>
          </w:tcPr>
          <w:p w14:paraId="39FF231F">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合理化建议（</w:t>
            </w:r>
            <w:r>
              <w:rPr>
                <w:rFonts w:ascii="仿宋" w:hAnsi="仿宋" w:eastAsia="仿宋" w:cs="仿宋"/>
                <w:snapToGrid w:val="0"/>
                <w:color w:val="000000"/>
                <w:spacing w:val="8"/>
                <w:sz w:val="24"/>
                <w:szCs w:val="24"/>
                <w:highlight w:val="none"/>
                <w:lang w:eastAsia="zh-CN"/>
              </w:rPr>
              <w:t>15</w:t>
            </w:r>
            <w:r>
              <w:rPr>
                <w:rFonts w:hint="eastAsia" w:ascii="仿宋" w:hAnsi="仿宋" w:eastAsia="仿宋" w:cs="仿宋"/>
                <w:snapToGrid w:val="0"/>
                <w:color w:val="000000"/>
                <w:spacing w:val="8"/>
                <w:sz w:val="24"/>
                <w:szCs w:val="24"/>
                <w:highlight w:val="none"/>
                <w:lang w:eastAsia="zh-CN"/>
              </w:rPr>
              <w:t>分）</w:t>
            </w:r>
          </w:p>
        </w:tc>
        <w:tc>
          <w:tcPr>
            <w:tcW w:w="4833" w:type="dxa"/>
            <w:tcBorders>
              <w:tl2br w:val="nil"/>
              <w:tr2bl w:val="nil"/>
            </w:tcBorders>
            <w:vAlign w:val="center"/>
          </w:tcPr>
          <w:p w14:paraId="4C4560B5">
            <w:pPr>
              <w:pStyle w:val="11"/>
              <w:widowControl/>
              <w:kinsoku w:val="0"/>
              <w:autoSpaceDE w:val="0"/>
              <w:autoSpaceDN w:val="0"/>
              <w:adjustRightInd w:val="0"/>
              <w:snapToGrid w:val="0"/>
              <w:spacing w:line="360" w:lineRule="auto"/>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根据本项目服务内容、参数及要求提供合理化建议</w:t>
            </w:r>
            <w:r>
              <w:rPr>
                <w:rFonts w:ascii="仿宋" w:hAnsi="仿宋" w:eastAsia="仿宋" w:cs="仿宋"/>
                <w:snapToGrid w:val="0"/>
                <w:color w:val="000000"/>
                <w:spacing w:val="8"/>
                <w:sz w:val="24"/>
                <w:szCs w:val="24"/>
                <w:highlight w:val="none"/>
                <w:lang w:eastAsia="zh-CN"/>
              </w:rPr>
              <w:t>，</w:t>
            </w:r>
            <w:r>
              <w:rPr>
                <w:rFonts w:hint="eastAsia" w:ascii="仿宋" w:hAnsi="仿宋" w:eastAsia="仿宋" w:cs="仿宋"/>
                <w:snapToGrid w:val="0"/>
                <w:color w:val="000000"/>
                <w:spacing w:val="8"/>
                <w:sz w:val="24"/>
                <w:szCs w:val="24"/>
                <w:highlight w:val="none"/>
                <w:lang w:eastAsia="zh-CN"/>
              </w:rPr>
              <w:t>包含但不限于以下内容：</w:t>
            </w:r>
          </w:p>
          <w:p w14:paraId="1C9BE2AA">
            <w:pPr>
              <w:pStyle w:val="11"/>
              <w:widowControl/>
              <w:kinsoku w:val="0"/>
              <w:autoSpaceDE w:val="0"/>
              <w:autoSpaceDN w:val="0"/>
              <w:adjustRightInd w:val="0"/>
              <w:snapToGrid w:val="0"/>
              <w:spacing w:line="360" w:lineRule="auto"/>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1）智慧物业管理；</w:t>
            </w:r>
          </w:p>
          <w:p w14:paraId="2353553F">
            <w:pPr>
              <w:pStyle w:val="11"/>
              <w:widowControl/>
              <w:kinsoku w:val="0"/>
              <w:autoSpaceDE w:val="0"/>
              <w:autoSpaceDN w:val="0"/>
              <w:adjustRightInd w:val="0"/>
              <w:snapToGrid w:val="0"/>
              <w:spacing w:line="360" w:lineRule="auto"/>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2）文件档案管理；</w:t>
            </w:r>
          </w:p>
          <w:p w14:paraId="51A0CB42">
            <w:pPr>
              <w:pStyle w:val="11"/>
              <w:widowControl/>
              <w:kinsoku w:val="0"/>
              <w:autoSpaceDE w:val="0"/>
              <w:autoSpaceDN w:val="0"/>
              <w:adjustRightInd w:val="0"/>
              <w:snapToGrid w:val="0"/>
              <w:spacing w:line="360" w:lineRule="auto"/>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3）其他建议。</w:t>
            </w:r>
          </w:p>
          <w:p w14:paraId="0BF33A9A">
            <w:pPr>
              <w:pStyle w:val="11"/>
              <w:widowControl/>
              <w:kinsoku w:val="0"/>
              <w:autoSpaceDE w:val="0"/>
              <w:autoSpaceDN w:val="0"/>
              <w:adjustRightInd w:val="0"/>
              <w:snapToGrid w:val="0"/>
              <w:spacing w:line="360" w:lineRule="auto"/>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建议科学合理，实用性、操作性强、针对性强的，计1</w:t>
            </w:r>
            <w:r>
              <w:rPr>
                <w:rFonts w:ascii="仿宋" w:hAnsi="仿宋" w:eastAsia="仿宋" w:cs="仿宋"/>
                <w:snapToGrid w:val="0"/>
                <w:color w:val="000000"/>
                <w:spacing w:val="8"/>
                <w:sz w:val="24"/>
                <w:szCs w:val="24"/>
                <w:highlight w:val="none"/>
                <w:lang w:eastAsia="zh-CN"/>
              </w:rPr>
              <w:t>5-10</w:t>
            </w:r>
            <w:r>
              <w:rPr>
                <w:rFonts w:hint="eastAsia" w:ascii="仿宋" w:hAnsi="仿宋" w:eastAsia="仿宋" w:cs="仿宋"/>
                <w:snapToGrid w:val="0"/>
                <w:color w:val="000000"/>
                <w:spacing w:val="8"/>
                <w:sz w:val="24"/>
                <w:szCs w:val="24"/>
                <w:highlight w:val="none"/>
                <w:lang w:eastAsia="zh-CN"/>
              </w:rPr>
              <w:t>分；建议较详细、较合理，实用性、操作性、针对性一般的，计</w:t>
            </w:r>
            <w:r>
              <w:rPr>
                <w:rFonts w:ascii="仿宋" w:hAnsi="仿宋" w:eastAsia="仿宋" w:cs="仿宋"/>
                <w:snapToGrid w:val="0"/>
                <w:color w:val="000000"/>
                <w:spacing w:val="8"/>
                <w:sz w:val="24"/>
                <w:szCs w:val="24"/>
                <w:highlight w:val="none"/>
                <w:lang w:eastAsia="zh-CN"/>
              </w:rPr>
              <w:t>10-5</w:t>
            </w:r>
            <w:r>
              <w:rPr>
                <w:rFonts w:hint="eastAsia" w:ascii="仿宋" w:hAnsi="仿宋" w:eastAsia="仿宋" w:cs="仿宋"/>
                <w:snapToGrid w:val="0"/>
                <w:color w:val="000000"/>
                <w:spacing w:val="8"/>
                <w:sz w:val="24"/>
                <w:szCs w:val="24"/>
                <w:highlight w:val="none"/>
                <w:lang w:eastAsia="zh-CN"/>
              </w:rPr>
              <w:t>分；建议差的，计</w:t>
            </w:r>
            <w:r>
              <w:rPr>
                <w:rFonts w:ascii="仿宋" w:hAnsi="仿宋" w:eastAsia="仿宋" w:cs="仿宋"/>
                <w:snapToGrid w:val="0"/>
                <w:color w:val="000000"/>
                <w:spacing w:val="8"/>
                <w:sz w:val="24"/>
                <w:szCs w:val="24"/>
                <w:highlight w:val="none"/>
                <w:lang w:eastAsia="zh-CN"/>
              </w:rPr>
              <w:t>5-0</w:t>
            </w:r>
            <w:r>
              <w:rPr>
                <w:rFonts w:hint="eastAsia" w:ascii="仿宋" w:hAnsi="仿宋" w:eastAsia="仿宋" w:cs="仿宋"/>
                <w:snapToGrid w:val="0"/>
                <w:color w:val="000000"/>
                <w:spacing w:val="8"/>
                <w:sz w:val="24"/>
                <w:szCs w:val="24"/>
                <w:highlight w:val="none"/>
                <w:lang w:eastAsia="zh-CN"/>
              </w:rPr>
              <w:t>分。</w:t>
            </w:r>
          </w:p>
        </w:tc>
      </w:tr>
      <w:tr w14:paraId="63729ADC">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088" w:type="dxa"/>
            <w:tcBorders>
              <w:tl2br w:val="nil"/>
              <w:tr2bl w:val="nil"/>
            </w:tcBorders>
            <w:vAlign w:val="center"/>
          </w:tcPr>
          <w:p w14:paraId="007D03EC">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3.2.3（3）</w:t>
            </w:r>
          </w:p>
        </w:tc>
        <w:tc>
          <w:tcPr>
            <w:tcW w:w="1413" w:type="dxa"/>
            <w:tcBorders>
              <w:tl2br w:val="nil"/>
              <w:tr2bl w:val="nil"/>
            </w:tcBorders>
            <w:vAlign w:val="center"/>
          </w:tcPr>
          <w:p w14:paraId="0049D208">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报价评分标准</w:t>
            </w:r>
          </w:p>
        </w:tc>
        <w:tc>
          <w:tcPr>
            <w:tcW w:w="7426" w:type="dxa"/>
            <w:gridSpan w:val="2"/>
            <w:tcBorders>
              <w:tl2br w:val="nil"/>
              <w:tr2bl w:val="nil"/>
            </w:tcBorders>
            <w:vAlign w:val="center"/>
          </w:tcPr>
          <w:p w14:paraId="31B5BFDB">
            <w:pPr>
              <w:pStyle w:val="11"/>
              <w:widowControl/>
              <w:kinsoku w:val="0"/>
              <w:autoSpaceDE w:val="0"/>
              <w:autoSpaceDN w:val="0"/>
              <w:adjustRightInd w:val="0"/>
              <w:snapToGrid w:val="0"/>
              <w:spacing w:before="156" w:beforeLines="50" w:line="360" w:lineRule="auto"/>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□方法一：E1=</w:t>
            </w:r>
            <w:r>
              <w:rPr>
                <w:rFonts w:hint="eastAsia" w:ascii="仿宋" w:hAnsi="仿宋" w:eastAsia="仿宋" w:cs="仿宋"/>
                <w:snapToGrid w:val="0"/>
                <w:color w:val="000000"/>
                <w:spacing w:val="8"/>
                <w:sz w:val="24"/>
                <w:szCs w:val="24"/>
                <w:highlight w:val="none"/>
                <w:u w:val="single"/>
                <w:lang w:eastAsia="zh-CN"/>
              </w:rPr>
              <w:t>　 　</w:t>
            </w:r>
            <w:r>
              <w:rPr>
                <w:rFonts w:hint="eastAsia" w:ascii="仿宋" w:hAnsi="仿宋" w:eastAsia="仿宋" w:cs="仿宋"/>
                <w:snapToGrid w:val="0"/>
                <w:color w:val="000000"/>
                <w:spacing w:val="8"/>
                <w:sz w:val="24"/>
                <w:szCs w:val="24"/>
                <w:highlight w:val="none"/>
                <w:lang w:eastAsia="zh-CN"/>
              </w:rPr>
              <w:t>，E2=</w:t>
            </w:r>
            <w:r>
              <w:rPr>
                <w:rFonts w:hint="eastAsia" w:ascii="仿宋" w:hAnsi="仿宋" w:eastAsia="仿宋" w:cs="仿宋"/>
                <w:snapToGrid w:val="0"/>
                <w:color w:val="000000"/>
                <w:spacing w:val="8"/>
                <w:sz w:val="24"/>
                <w:szCs w:val="24"/>
                <w:highlight w:val="none"/>
                <w:u w:val="single"/>
                <w:lang w:eastAsia="zh-CN"/>
              </w:rPr>
              <w:t>　 　</w:t>
            </w:r>
          </w:p>
          <w:p w14:paraId="176405B5">
            <w:pPr>
              <w:pStyle w:val="11"/>
              <w:widowControl/>
              <w:kinsoku w:val="0"/>
              <w:autoSpaceDE w:val="0"/>
              <w:autoSpaceDN w:val="0"/>
              <w:adjustRightInd w:val="0"/>
              <w:snapToGrid w:val="0"/>
              <w:spacing w:before="156" w:beforeLines="50" w:line="360" w:lineRule="auto"/>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☑方法二</w:t>
            </w:r>
          </w:p>
          <w:p w14:paraId="6300F7A0">
            <w:pPr>
              <w:pStyle w:val="11"/>
              <w:widowControl/>
              <w:kinsoku w:val="0"/>
              <w:autoSpaceDE w:val="0"/>
              <w:autoSpaceDN w:val="0"/>
              <w:adjustRightInd w:val="0"/>
              <w:snapToGrid w:val="0"/>
              <w:spacing w:before="156" w:beforeLines="50" w:line="360" w:lineRule="auto"/>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□方法三：具体方法为</w:t>
            </w:r>
            <w:r>
              <w:rPr>
                <w:rFonts w:hint="eastAsia" w:ascii="仿宋" w:hAnsi="仿宋" w:eastAsia="仿宋" w:cs="仿宋"/>
                <w:snapToGrid w:val="0"/>
                <w:color w:val="000000"/>
                <w:spacing w:val="8"/>
                <w:sz w:val="24"/>
                <w:szCs w:val="24"/>
                <w:highlight w:val="none"/>
                <w:u w:val="single"/>
                <w:lang w:eastAsia="zh-CN"/>
              </w:rPr>
              <w:t>　　　　　　　　</w:t>
            </w:r>
          </w:p>
        </w:tc>
      </w:tr>
      <w:tr w14:paraId="7062DF89">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2501" w:type="dxa"/>
            <w:gridSpan w:val="2"/>
            <w:tcBorders>
              <w:tl2br w:val="nil"/>
              <w:tr2bl w:val="nil"/>
            </w:tcBorders>
            <w:shd w:val="clear" w:color="auto" w:fill="auto"/>
            <w:vAlign w:val="center"/>
          </w:tcPr>
          <w:p w14:paraId="5456BAC2">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条款号</w:t>
            </w:r>
          </w:p>
        </w:tc>
        <w:tc>
          <w:tcPr>
            <w:tcW w:w="2593" w:type="dxa"/>
            <w:tcBorders>
              <w:tl2br w:val="nil"/>
              <w:tr2bl w:val="nil"/>
            </w:tcBorders>
            <w:shd w:val="clear" w:color="auto" w:fill="auto"/>
            <w:vAlign w:val="center"/>
          </w:tcPr>
          <w:p w14:paraId="4666D89D">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条款内容</w:t>
            </w:r>
          </w:p>
        </w:tc>
        <w:tc>
          <w:tcPr>
            <w:tcW w:w="4833" w:type="dxa"/>
            <w:tcBorders>
              <w:tl2br w:val="nil"/>
              <w:tr2bl w:val="nil"/>
            </w:tcBorders>
            <w:shd w:val="clear" w:color="auto" w:fill="auto"/>
            <w:vAlign w:val="center"/>
          </w:tcPr>
          <w:p w14:paraId="5DD818A7">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编列内容</w:t>
            </w:r>
          </w:p>
        </w:tc>
      </w:tr>
      <w:tr w14:paraId="3061D754">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2501" w:type="dxa"/>
            <w:gridSpan w:val="2"/>
            <w:tcBorders>
              <w:tl2br w:val="nil"/>
              <w:tr2bl w:val="nil"/>
            </w:tcBorders>
            <w:vAlign w:val="center"/>
          </w:tcPr>
          <w:p w14:paraId="677B3BB1">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3.2.6</w:t>
            </w:r>
          </w:p>
        </w:tc>
        <w:tc>
          <w:tcPr>
            <w:tcW w:w="2593" w:type="dxa"/>
            <w:tcBorders>
              <w:tl2br w:val="nil"/>
              <w:tr2bl w:val="nil"/>
            </w:tcBorders>
            <w:vAlign w:val="center"/>
          </w:tcPr>
          <w:p w14:paraId="3713AF6B">
            <w:pPr>
              <w:pStyle w:val="11"/>
              <w:widowControl/>
              <w:kinsoku w:val="0"/>
              <w:autoSpaceDE w:val="0"/>
              <w:autoSpaceDN w:val="0"/>
              <w:adjustRightInd w:val="0"/>
              <w:snapToGrid w:val="0"/>
              <w:spacing w:before="156" w:beforeLines="50" w:line="360" w:lineRule="auto"/>
              <w:jc w:val="center"/>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供应商并列时确定优先顺序的规则</w:t>
            </w:r>
          </w:p>
        </w:tc>
        <w:tc>
          <w:tcPr>
            <w:tcW w:w="4833" w:type="dxa"/>
            <w:tcBorders>
              <w:tl2br w:val="nil"/>
              <w:tr2bl w:val="nil"/>
            </w:tcBorders>
            <w:vAlign w:val="center"/>
          </w:tcPr>
          <w:p w14:paraId="64833526">
            <w:pPr>
              <w:pStyle w:val="11"/>
              <w:widowControl/>
              <w:kinsoku w:val="0"/>
              <w:autoSpaceDE w:val="0"/>
              <w:autoSpaceDN w:val="0"/>
              <w:adjustRightInd w:val="0"/>
              <w:snapToGrid w:val="0"/>
              <w:spacing w:before="156" w:beforeLines="50" w:line="360" w:lineRule="auto"/>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☑由评审小组投票决定</w:t>
            </w:r>
          </w:p>
          <w:p w14:paraId="6FAB0307">
            <w:pPr>
              <w:pStyle w:val="11"/>
              <w:widowControl/>
              <w:kinsoku w:val="0"/>
              <w:autoSpaceDE w:val="0"/>
              <w:autoSpaceDN w:val="0"/>
              <w:adjustRightInd w:val="0"/>
              <w:snapToGrid w:val="0"/>
              <w:spacing w:before="156" w:beforeLines="50" w:line="360" w:lineRule="auto"/>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□由评审小组抽签决定</w:t>
            </w:r>
          </w:p>
          <w:p w14:paraId="49300CF0">
            <w:pPr>
              <w:pStyle w:val="11"/>
              <w:widowControl/>
              <w:kinsoku w:val="0"/>
              <w:autoSpaceDE w:val="0"/>
              <w:autoSpaceDN w:val="0"/>
              <w:adjustRightInd w:val="0"/>
              <w:snapToGrid w:val="0"/>
              <w:spacing w:before="156" w:beforeLines="50" w:line="360" w:lineRule="auto"/>
              <w:textAlignment w:val="baseline"/>
              <w:rPr>
                <w:rFonts w:ascii="仿宋" w:hAnsi="仿宋" w:eastAsia="仿宋" w:cs="仿宋"/>
                <w:snapToGrid w:val="0"/>
                <w:color w:val="000000"/>
                <w:spacing w:val="8"/>
                <w:sz w:val="24"/>
                <w:szCs w:val="24"/>
                <w:highlight w:val="none"/>
                <w:lang w:eastAsia="zh-CN"/>
              </w:rPr>
            </w:pPr>
            <w:r>
              <w:rPr>
                <w:rFonts w:hint="eastAsia" w:ascii="仿宋" w:hAnsi="仿宋" w:eastAsia="仿宋" w:cs="仿宋"/>
                <w:snapToGrid w:val="0"/>
                <w:color w:val="000000"/>
                <w:spacing w:val="8"/>
                <w:sz w:val="24"/>
                <w:szCs w:val="24"/>
                <w:highlight w:val="none"/>
                <w:lang w:eastAsia="zh-CN"/>
              </w:rPr>
              <w:t>□其他方法：</w:t>
            </w:r>
            <w:r>
              <w:rPr>
                <w:rFonts w:hint="eastAsia" w:ascii="仿宋" w:hAnsi="仿宋" w:eastAsia="仿宋" w:cs="仿宋"/>
                <w:snapToGrid w:val="0"/>
                <w:color w:val="000000"/>
                <w:spacing w:val="8"/>
                <w:sz w:val="24"/>
                <w:szCs w:val="24"/>
                <w:highlight w:val="none"/>
                <w:u w:val="single"/>
                <w:lang w:eastAsia="zh-CN"/>
              </w:rPr>
              <w:t>　　　　</w:t>
            </w:r>
          </w:p>
        </w:tc>
      </w:tr>
    </w:tbl>
    <w:p w14:paraId="1F0D65C6">
      <w:pPr>
        <w:pStyle w:val="15"/>
        <w:spacing w:before="0" w:after="0"/>
        <w:rPr>
          <w:rFonts w:ascii="仿宋" w:hAnsi="仿宋" w:eastAsia="仿宋"/>
          <w:b/>
          <w:bCs/>
          <w:highlight w:val="none"/>
        </w:rPr>
      </w:pPr>
      <w:r>
        <w:rPr>
          <w:rFonts w:hint="eastAsia" w:ascii="仿宋" w:hAnsi="仿宋" w:eastAsia="仿宋"/>
          <w:b/>
          <w:bCs/>
          <w:highlight w:val="none"/>
        </w:rPr>
        <w:t>　　1评审方法（综合评分法）</w:t>
      </w:r>
    </w:p>
    <w:p w14:paraId="69C8548E">
      <w:pPr>
        <w:spacing w:line="360" w:lineRule="auto"/>
        <w:rPr>
          <w:rFonts w:ascii="仿宋" w:hAnsi="仿宋"/>
          <w:sz w:val="24"/>
          <w:szCs w:val="24"/>
          <w:highlight w:val="none"/>
        </w:rPr>
      </w:pPr>
      <w:r>
        <w:rPr>
          <w:rFonts w:hint="eastAsia" w:ascii="仿宋" w:hAnsi="仿宋"/>
          <w:sz w:val="24"/>
          <w:szCs w:val="24"/>
          <w:highlight w:val="none"/>
        </w:rPr>
        <w:t>　　本次评审采用综合评分法。谈判小组对满足采购文件实质性要求的响应文件，按照本章第3.2款规定的评分标准进行打分，并按得分由高到低的顺序推荐候选成交供应商。</w:t>
      </w:r>
    </w:p>
    <w:p w14:paraId="43203393">
      <w:pPr>
        <w:pStyle w:val="15"/>
        <w:spacing w:before="0" w:after="0"/>
        <w:rPr>
          <w:rFonts w:ascii="仿宋" w:hAnsi="仿宋" w:eastAsia="仿宋"/>
          <w:b/>
          <w:bCs/>
          <w:highlight w:val="none"/>
        </w:rPr>
      </w:pPr>
      <w:r>
        <w:rPr>
          <w:rFonts w:hint="eastAsia" w:ascii="仿宋" w:hAnsi="仿宋" w:eastAsia="仿宋"/>
          <w:b/>
          <w:bCs/>
          <w:highlight w:val="none"/>
        </w:rPr>
        <w:t>　　2初步评审标准和程序</w:t>
      </w:r>
    </w:p>
    <w:p w14:paraId="63D6E38A">
      <w:pPr>
        <w:spacing w:line="360" w:lineRule="auto"/>
        <w:rPr>
          <w:rFonts w:ascii="仿宋" w:hAnsi="仿宋"/>
          <w:sz w:val="24"/>
          <w:szCs w:val="24"/>
          <w:highlight w:val="none"/>
        </w:rPr>
      </w:pPr>
      <w:r>
        <w:rPr>
          <w:rFonts w:hint="eastAsia" w:ascii="仿宋" w:hAnsi="仿宋"/>
          <w:sz w:val="24"/>
          <w:szCs w:val="24"/>
          <w:highlight w:val="none"/>
        </w:rPr>
        <w:t>　　2.1初步评审标准</w:t>
      </w:r>
    </w:p>
    <w:p w14:paraId="08606B38">
      <w:pPr>
        <w:spacing w:line="360" w:lineRule="auto"/>
        <w:rPr>
          <w:rFonts w:ascii="仿宋" w:hAnsi="仿宋"/>
          <w:sz w:val="24"/>
          <w:szCs w:val="24"/>
          <w:highlight w:val="none"/>
        </w:rPr>
      </w:pPr>
      <w:r>
        <w:rPr>
          <w:rFonts w:hint="eastAsia" w:ascii="仿宋" w:hAnsi="仿宋"/>
          <w:sz w:val="24"/>
          <w:szCs w:val="24"/>
          <w:highlight w:val="none"/>
        </w:rPr>
        <w:t>　　2.1.1形式评审标准：见评审办法前附表。</w:t>
      </w:r>
    </w:p>
    <w:p w14:paraId="4AABBBF0">
      <w:pPr>
        <w:spacing w:line="360" w:lineRule="auto"/>
        <w:rPr>
          <w:rFonts w:ascii="仿宋" w:hAnsi="仿宋"/>
          <w:sz w:val="24"/>
          <w:szCs w:val="24"/>
          <w:highlight w:val="none"/>
        </w:rPr>
      </w:pPr>
      <w:r>
        <w:rPr>
          <w:rFonts w:hint="eastAsia" w:ascii="仿宋" w:hAnsi="仿宋"/>
          <w:sz w:val="24"/>
          <w:szCs w:val="24"/>
          <w:highlight w:val="none"/>
        </w:rPr>
        <w:t>　　2.1.2资格评审标准：见评审办法前附表。</w:t>
      </w:r>
    </w:p>
    <w:p w14:paraId="73B4FF60">
      <w:pPr>
        <w:spacing w:line="360" w:lineRule="auto"/>
        <w:rPr>
          <w:rFonts w:ascii="仿宋" w:hAnsi="仿宋"/>
          <w:sz w:val="24"/>
          <w:szCs w:val="24"/>
          <w:highlight w:val="none"/>
        </w:rPr>
      </w:pPr>
      <w:r>
        <w:rPr>
          <w:rFonts w:hint="eastAsia" w:ascii="仿宋" w:hAnsi="仿宋"/>
          <w:sz w:val="24"/>
          <w:szCs w:val="24"/>
          <w:highlight w:val="none"/>
        </w:rPr>
        <w:t>　　2.1.3响应性评审标准：见评审办法前附表。</w:t>
      </w:r>
    </w:p>
    <w:p w14:paraId="5A60635D">
      <w:pPr>
        <w:spacing w:line="360" w:lineRule="auto"/>
        <w:rPr>
          <w:rFonts w:ascii="仿宋" w:hAnsi="仿宋"/>
          <w:sz w:val="24"/>
          <w:szCs w:val="24"/>
          <w:highlight w:val="none"/>
        </w:rPr>
      </w:pPr>
      <w:r>
        <w:rPr>
          <w:rFonts w:hint="eastAsia" w:ascii="仿宋" w:hAnsi="仿宋"/>
          <w:sz w:val="24"/>
          <w:szCs w:val="24"/>
          <w:highlight w:val="none"/>
        </w:rPr>
        <w:t>　　2.2初步评审程序</w:t>
      </w:r>
    </w:p>
    <w:p w14:paraId="03122BD0">
      <w:pPr>
        <w:spacing w:line="360" w:lineRule="auto"/>
        <w:rPr>
          <w:rFonts w:ascii="仿宋" w:hAnsi="仿宋"/>
          <w:sz w:val="24"/>
          <w:szCs w:val="24"/>
          <w:highlight w:val="none"/>
        </w:rPr>
      </w:pPr>
      <w:r>
        <w:rPr>
          <w:rFonts w:hint="eastAsia" w:ascii="仿宋" w:hAnsi="仿宋"/>
          <w:sz w:val="24"/>
          <w:szCs w:val="24"/>
          <w:highlight w:val="none"/>
        </w:rPr>
        <w:t>　　2.2.1谈判小组依据本章第2.1款规定的标准对供应商递交的响应文件进行初步评审，判断响应文件的形式是否符合要求、供应商是否符合资格条件、响应文件是否实质性响应采购文件的要求。只有以上评审合格的响应文件才可通过初步评审。</w:t>
      </w:r>
    </w:p>
    <w:p w14:paraId="7F082D32">
      <w:pPr>
        <w:spacing w:line="360" w:lineRule="auto"/>
        <w:rPr>
          <w:rFonts w:ascii="仿宋" w:hAnsi="仿宋"/>
          <w:sz w:val="24"/>
          <w:szCs w:val="24"/>
          <w:highlight w:val="none"/>
        </w:rPr>
      </w:pPr>
      <w:r>
        <w:rPr>
          <w:rFonts w:hint="eastAsia" w:ascii="仿宋" w:hAnsi="仿宋"/>
          <w:sz w:val="24"/>
          <w:szCs w:val="24"/>
          <w:highlight w:val="none"/>
        </w:rPr>
        <w:t>　　2.2.2响应文件的形式或供应商资格不符合采购文件的要求、响应文件未实质性响应采购文件的要求，或响应文件中有含义不明确、同类问题表述不一致或有明显文字和计算错误的内容，谈判小组应要求供应商在规定时间内进行澄清、说明和补正。供应商澄清、说明和补正的内容应由法定代表人（单位负责人）或其授权的代理人签字或加盖单位章。澄清、说明和补正的内容作为响应文件的组成部分。</w:t>
      </w:r>
    </w:p>
    <w:p w14:paraId="1CD9BD4C">
      <w:pPr>
        <w:spacing w:line="360" w:lineRule="auto"/>
        <w:rPr>
          <w:rFonts w:ascii="仿宋" w:hAnsi="仿宋"/>
          <w:sz w:val="24"/>
          <w:szCs w:val="24"/>
          <w:highlight w:val="none"/>
        </w:rPr>
      </w:pPr>
      <w:r>
        <w:rPr>
          <w:rFonts w:hint="eastAsia" w:ascii="仿宋" w:hAnsi="仿宋"/>
          <w:sz w:val="24"/>
          <w:szCs w:val="24"/>
          <w:highlight w:val="none"/>
        </w:rPr>
        <w:t>　　2.2.3经供应商澄清、说明和补正后仍不满足初步评审要求的响应文件（即响应文件不满足本章第2.1款规定的任一项标准），或供应商有串通、弄虚作假、行贿等违法行为的，其响应文件将被视为无效，谈判小组应告知有关供应商。</w:t>
      </w:r>
    </w:p>
    <w:p w14:paraId="77BD2677">
      <w:pPr>
        <w:pStyle w:val="15"/>
        <w:spacing w:before="0" w:after="0"/>
        <w:rPr>
          <w:rFonts w:ascii="仿宋" w:hAnsi="仿宋" w:eastAsia="仿宋"/>
          <w:b/>
          <w:bCs/>
          <w:highlight w:val="none"/>
        </w:rPr>
      </w:pPr>
      <w:r>
        <w:rPr>
          <w:rFonts w:hint="eastAsia" w:ascii="仿宋" w:hAnsi="仿宋" w:eastAsia="仿宋"/>
          <w:b/>
          <w:bCs/>
          <w:highlight w:val="none"/>
        </w:rPr>
        <w:t>　　3详细评审标准和程序</w:t>
      </w:r>
    </w:p>
    <w:p w14:paraId="100E608E">
      <w:pPr>
        <w:spacing w:line="360" w:lineRule="auto"/>
        <w:rPr>
          <w:rFonts w:ascii="仿宋" w:hAnsi="仿宋"/>
          <w:sz w:val="24"/>
          <w:szCs w:val="24"/>
          <w:highlight w:val="none"/>
        </w:rPr>
      </w:pPr>
      <w:r>
        <w:rPr>
          <w:rFonts w:hint="eastAsia" w:ascii="仿宋" w:hAnsi="仿宋"/>
          <w:sz w:val="24"/>
          <w:szCs w:val="24"/>
          <w:highlight w:val="none"/>
        </w:rPr>
        <w:t>　　3.1评审价格确定</w:t>
      </w:r>
    </w:p>
    <w:p w14:paraId="25FF570B">
      <w:pPr>
        <w:spacing w:line="360" w:lineRule="auto"/>
        <w:rPr>
          <w:rFonts w:ascii="仿宋" w:hAnsi="仿宋"/>
          <w:sz w:val="24"/>
          <w:szCs w:val="24"/>
          <w:highlight w:val="none"/>
        </w:rPr>
      </w:pPr>
      <w:r>
        <w:rPr>
          <w:rFonts w:hint="eastAsia" w:ascii="仿宋" w:hAnsi="仿宋"/>
          <w:sz w:val="24"/>
          <w:szCs w:val="24"/>
          <w:highlight w:val="none"/>
        </w:rPr>
        <w:t>　　3.1.1除评审办法前附表另有规定外，评审价格以最终报价的大写含税价格为准。</w:t>
      </w:r>
    </w:p>
    <w:p w14:paraId="562B3C88">
      <w:pPr>
        <w:spacing w:line="360" w:lineRule="auto"/>
        <w:rPr>
          <w:rFonts w:ascii="仿宋" w:hAnsi="仿宋"/>
          <w:sz w:val="24"/>
          <w:szCs w:val="24"/>
          <w:highlight w:val="none"/>
        </w:rPr>
      </w:pPr>
      <w:r>
        <w:rPr>
          <w:rFonts w:hint="eastAsia" w:ascii="仿宋" w:hAnsi="仿宋"/>
          <w:sz w:val="24"/>
          <w:szCs w:val="24"/>
          <w:highlight w:val="none"/>
        </w:rPr>
        <w:t>　　3.1.2评审价格超过最高限价（如有）的，其响应文件将被视为无效。</w:t>
      </w:r>
    </w:p>
    <w:p w14:paraId="399EB962">
      <w:pPr>
        <w:spacing w:line="360" w:lineRule="auto"/>
        <w:rPr>
          <w:rFonts w:ascii="仿宋" w:hAnsi="仿宋"/>
          <w:sz w:val="24"/>
          <w:szCs w:val="24"/>
          <w:highlight w:val="none"/>
        </w:rPr>
      </w:pPr>
      <w:r>
        <w:rPr>
          <w:rFonts w:hint="eastAsia" w:ascii="仿宋" w:hAnsi="仿宋"/>
          <w:sz w:val="24"/>
          <w:szCs w:val="24"/>
          <w:highlight w:val="none"/>
        </w:rPr>
        <w:t>　　3.1.3谈判小组经过对供应商的报价进行比较或基于专业经验认为某一供应商的报价过低，可能对其履约造成影响时，应当要求该供应商作出书面说明并提供相应的证明材料。供应商不能合理说明或者不能提供相应证明材料的，其响应文件将被视为无效。</w:t>
      </w:r>
    </w:p>
    <w:p w14:paraId="48BBE009">
      <w:pPr>
        <w:spacing w:line="360" w:lineRule="auto"/>
        <w:rPr>
          <w:rFonts w:ascii="仿宋" w:hAnsi="仿宋"/>
          <w:sz w:val="24"/>
          <w:szCs w:val="24"/>
          <w:highlight w:val="none"/>
        </w:rPr>
      </w:pPr>
      <w:r>
        <w:rPr>
          <w:rFonts w:hint="eastAsia" w:ascii="仿宋" w:hAnsi="仿宋"/>
          <w:sz w:val="24"/>
          <w:szCs w:val="24"/>
          <w:highlight w:val="none"/>
        </w:rPr>
        <w:t>　　3.1.4最终报价有算术错误或其他错误的，谈判小组按以下原则进行修正，并要求供应商对修正后的价格进行书面澄清确认。供应商拒不澄清确认的，其响应文件将被视为无效：</w:t>
      </w:r>
    </w:p>
    <w:p w14:paraId="6FFA043D">
      <w:pPr>
        <w:spacing w:line="360" w:lineRule="auto"/>
        <w:rPr>
          <w:rFonts w:ascii="仿宋" w:hAnsi="仿宋"/>
          <w:sz w:val="24"/>
          <w:szCs w:val="24"/>
          <w:highlight w:val="none"/>
        </w:rPr>
      </w:pPr>
      <w:r>
        <w:rPr>
          <w:rFonts w:hint="eastAsia" w:ascii="仿宋" w:hAnsi="仿宋"/>
          <w:sz w:val="24"/>
          <w:szCs w:val="24"/>
          <w:highlight w:val="none"/>
        </w:rPr>
        <w:t>　　（1）大写金额与小写金额不一致的，以大写金额为准；</w:t>
      </w:r>
    </w:p>
    <w:p w14:paraId="13AC53F4">
      <w:pPr>
        <w:spacing w:line="360" w:lineRule="auto"/>
        <w:rPr>
          <w:rFonts w:ascii="仿宋" w:hAnsi="仿宋"/>
          <w:sz w:val="24"/>
          <w:szCs w:val="24"/>
          <w:highlight w:val="none"/>
        </w:rPr>
      </w:pPr>
      <w:r>
        <w:rPr>
          <w:rFonts w:hint="eastAsia" w:ascii="仿宋" w:hAnsi="仿宋"/>
          <w:sz w:val="24"/>
          <w:szCs w:val="24"/>
          <w:highlight w:val="none"/>
        </w:rPr>
        <w:t>　　（2）总价金额与单价金额不一致的，以单价金额为准，但单价金额小数点有明显错误的除外；</w:t>
      </w:r>
    </w:p>
    <w:p w14:paraId="57D89012">
      <w:pPr>
        <w:spacing w:line="360" w:lineRule="auto"/>
        <w:rPr>
          <w:rFonts w:ascii="仿宋" w:hAnsi="仿宋"/>
          <w:sz w:val="24"/>
          <w:szCs w:val="24"/>
          <w:highlight w:val="none"/>
        </w:rPr>
      </w:pPr>
      <w:r>
        <w:rPr>
          <w:rFonts w:hint="eastAsia" w:ascii="仿宋" w:hAnsi="仿宋"/>
          <w:sz w:val="24"/>
          <w:szCs w:val="24"/>
          <w:highlight w:val="none"/>
        </w:rPr>
        <w:t>　　（3）报价表中合计报价与分项报价的合价不一致的，以各分项报价的合价累计数为准；</w:t>
      </w:r>
    </w:p>
    <w:p w14:paraId="5AE3F718">
      <w:pPr>
        <w:spacing w:line="360" w:lineRule="auto"/>
        <w:rPr>
          <w:rFonts w:ascii="仿宋" w:hAnsi="仿宋"/>
          <w:sz w:val="24"/>
          <w:szCs w:val="24"/>
          <w:highlight w:val="none"/>
        </w:rPr>
      </w:pPr>
      <w:r>
        <w:rPr>
          <w:rFonts w:hint="eastAsia" w:ascii="仿宋" w:hAnsi="仿宋"/>
          <w:sz w:val="24"/>
          <w:szCs w:val="24"/>
          <w:highlight w:val="none"/>
        </w:rPr>
        <w:t>　　（4）如果分项报价中存在缺漏项，且缺漏项内容不属于实质性偏差的，则视为缺漏项内容的价格已包含在其他分项报价之中。最终报价的算术错误修正不改变评审依据的最终总报价。当修正后的总报价高于原最终报价时，视同供应商最终报价错误产生少漏计费用，签订合同时由供应商承担，如评审小组认为供应商无法承受少漏计费用，可以将最终报价作为异常低价处理；当修正后的总报价低于原最终报价时，签订合同时以修正后的报价为准。</w:t>
      </w:r>
    </w:p>
    <w:p w14:paraId="2E05DF0C">
      <w:pPr>
        <w:spacing w:line="360" w:lineRule="auto"/>
        <w:rPr>
          <w:rFonts w:ascii="仿宋" w:hAnsi="仿宋"/>
          <w:sz w:val="24"/>
          <w:szCs w:val="24"/>
          <w:highlight w:val="none"/>
        </w:rPr>
      </w:pPr>
      <w:r>
        <w:rPr>
          <w:rFonts w:hint="eastAsia" w:ascii="仿宋" w:hAnsi="仿宋"/>
          <w:sz w:val="24"/>
          <w:szCs w:val="24"/>
          <w:highlight w:val="none"/>
        </w:rPr>
        <w:t>　　3.2综合评分和排序（综合评分法）</w:t>
      </w:r>
    </w:p>
    <w:p w14:paraId="7809E6E6">
      <w:pPr>
        <w:spacing w:line="360" w:lineRule="auto"/>
        <w:rPr>
          <w:rFonts w:ascii="仿宋" w:hAnsi="仿宋"/>
          <w:sz w:val="24"/>
          <w:szCs w:val="24"/>
          <w:highlight w:val="none"/>
        </w:rPr>
      </w:pPr>
      <w:r>
        <w:rPr>
          <w:rFonts w:hint="eastAsia" w:ascii="仿宋" w:hAnsi="仿宋"/>
          <w:sz w:val="24"/>
          <w:szCs w:val="24"/>
          <w:highlight w:val="none"/>
        </w:rPr>
        <w:t>　　3.2.1分值构成</w:t>
      </w:r>
    </w:p>
    <w:p w14:paraId="0B2BE53C">
      <w:pPr>
        <w:spacing w:line="360" w:lineRule="auto"/>
        <w:rPr>
          <w:rFonts w:ascii="仿宋" w:hAnsi="仿宋"/>
          <w:sz w:val="24"/>
          <w:szCs w:val="24"/>
          <w:highlight w:val="none"/>
        </w:rPr>
      </w:pPr>
      <w:r>
        <w:rPr>
          <w:rFonts w:hint="eastAsia" w:ascii="仿宋" w:hAnsi="仿宋"/>
          <w:sz w:val="24"/>
          <w:szCs w:val="24"/>
          <w:highlight w:val="none"/>
        </w:rPr>
        <w:t>　　（1）商务部分：见评审办法前附表；</w:t>
      </w:r>
    </w:p>
    <w:p w14:paraId="24B71557">
      <w:pPr>
        <w:spacing w:line="360" w:lineRule="auto"/>
        <w:rPr>
          <w:rFonts w:ascii="仿宋" w:hAnsi="仿宋"/>
          <w:sz w:val="24"/>
          <w:szCs w:val="24"/>
          <w:highlight w:val="none"/>
        </w:rPr>
      </w:pPr>
      <w:r>
        <w:rPr>
          <w:rFonts w:hint="eastAsia" w:ascii="仿宋" w:hAnsi="仿宋"/>
          <w:sz w:val="24"/>
          <w:szCs w:val="24"/>
          <w:highlight w:val="none"/>
        </w:rPr>
        <w:t>　　（2）技术部分：见评审办法前附表；</w:t>
      </w:r>
    </w:p>
    <w:p w14:paraId="6C1A417D">
      <w:pPr>
        <w:spacing w:line="360" w:lineRule="auto"/>
        <w:rPr>
          <w:rFonts w:ascii="仿宋" w:hAnsi="仿宋"/>
          <w:sz w:val="24"/>
          <w:szCs w:val="24"/>
          <w:highlight w:val="none"/>
        </w:rPr>
      </w:pPr>
      <w:r>
        <w:rPr>
          <w:rFonts w:hint="eastAsia" w:ascii="仿宋" w:hAnsi="仿宋"/>
          <w:sz w:val="24"/>
          <w:szCs w:val="24"/>
          <w:highlight w:val="none"/>
        </w:rPr>
        <w:t>　　（3）报价：见评审办法前附表；</w:t>
      </w:r>
    </w:p>
    <w:p w14:paraId="236ED18F">
      <w:pPr>
        <w:spacing w:line="360" w:lineRule="auto"/>
        <w:rPr>
          <w:rFonts w:ascii="仿宋" w:hAnsi="仿宋"/>
          <w:sz w:val="24"/>
          <w:szCs w:val="24"/>
          <w:highlight w:val="none"/>
        </w:rPr>
      </w:pPr>
      <w:r>
        <w:rPr>
          <w:rFonts w:hint="eastAsia" w:ascii="仿宋" w:hAnsi="仿宋"/>
          <w:sz w:val="24"/>
          <w:szCs w:val="24"/>
          <w:highlight w:val="none"/>
        </w:rPr>
        <w:t>　　（4）其他评分因素：见评审办法前附表。</w:t>
      </w:r>
    </w:p>
    <w:p w14:paraId="365E5B41">
      <w:pPr>
        <w:spacing w:line="360" w:lineRule="auto"/>
        <w:rPr>
          <w:rFonts w:ascii="仿宋" w:hAnsi="仿宋"/>
          <w:sz w:val="24"/>
          <w:szCs w:val="24"/>
          <w:highlight w:val="none"/>
        </w:rPr>
      </w:pPr>
      <w:r>
        <w:rPr>
          <w:rFonts w:hint="eastAsia" w:ascii="仿宋" w:hAnsi="仿宋"/>
          <w:sz w:val="24"/>
          <w:szCs w:val="24"/>
          <w:highlight w:val="none"/>
        </w:rPr>
        <w:t>　　3.2.2评审基准价计算</w:t>
      </w:r>
    </w:p>
    <w:p w14:paraId="700A8E76">
      <w:pPr>
        <w:spacing w:line="360" w:lineRule="auto"/>
        <w:rPr>
          <w:rFonts w:ascii="仿宋" w:hAnsi="仿宋"/>
          <w:sz w:val="24"/>
          <w:szCs w:val="24"/>
          <w:highlight w:val="none"/>
        </w:rPr>
      </w:pPr>
      <w:r>
        <w:rPr>
          <w:rFonts w:hint="eastAsia" w:ascii="仿宋" w:hAnsi="仿宋"/>
          <w:sz w:val="24"/>
          <w:szCs w:val="24"/>
          <w:highlight w:val="none"/>
        </w:rPr>
        <w:t>　　（1）评审价格：评审价格为按照本章第3.1.1项规定确定的价格。</w:t>
      </w:r>
    </w:p>
    <w:p w14:paraId="6F10E8AA">
      <w:pPr>
        <w:spacing w:line="360" w:lineRule="auto"/>
        <w:rPr>
          <w:rFonts w:ascii="仿宋" w:hAnsi="仿宋"/>
          <w:sz w:val="24"/>
          <w:szCs w:val="24"/>
          <w:highlight w:val="none"/>
        </w:rPr>
      </w:pPr>
      <w:r>
        <w:rPr>
          <w:rFonts w:hint="eastAsia" w:ascii="仿宋" w:hAnsi="仿宋"/>
          <w:sz w:val="24"/>
          <w:szCs w:val="24"/>
          <w:highlight w:val="none"/>
        </w:rPr>
        <w:t>　　（2）评审基准价计算方法：</w:t>
      </w:r>
    </w:p>
    <w:p w14:paraId="6C3F425C">
      <w:pPr>
        <w:spacing w:line="360" w:lineRule="auto"/>
        <w:rPr>
          <w:rFonts w:ascii="仿宋" w:hAnsi="仿宋"/>
          <w:sz w:val="24"/>
          <w:szCs w:val="24"/>
          <w:highlight w:val="none"/>
        </w:rPr>
      </w:pPr>
      <w:r>
        <w:rPr>
          <w:rFonts w:hint="eastAsia" w:ascii="仿宋" w:hAnsi="仿宋"/>
          <w:sz w:val="24"/>
          <w:szCs w:val="24"/>
          <w:highlight w:val="none"/>
        </w:rPr>
        <w:t>　　方法一：评审基准价=评审价格平均值（即递交最终报价的所有供应商评审价格的算术平均值）。</w:t>
      </w:r>
    </w:p>
    <w:p w14:paraId="1664D6F4">
      <w:pPr>
        <w:spacing w:line="360" w:lineRule="auto"/>
        <w:rPr>
          <w:rFonts w:ascii="仿宋" w:hAnsi="仿宋"/>
          <w:sz w:val="24"/>
          <w:szCs w:val="24"/>
          <w:highlight w:val="none"/>
        </w:rPr>
      </w:pPr>
      <w:r>
        <w:rPr>
          <w:rFonts w:hint="eastAsia" w:ascii="仿宋" w:hAnsi="仿宋"/>
          <w:sz w:val="24"/>
          <w:szCs w:val="24"/>
          <w:highlight w:val="none"/>
        </w:rPr>
        <w:t>　　方法二：评审基准价=评审价格平均值（即递交最终报价的所有供应商评审价格的算术平均值）×评审基准价系数，评审基准价系数的取值见评审办法前附表。</w:t>
      </w:r>
    </w:p>
    <w:p w14:paraId="2F5A6CB5">
      <w:pPr>
        <w:spacing w:line="360" w:lineRule="auto"/>
        <w:rPr>
          <w:rFonts w:ascii="仿宋" w:hAnsi="仿宋"/>
          <w:sz w:val="24"/>
          <w:szCs w:val="24"/>
          <w:highlight w:val="none"/>
        </w:rPr>
      </w:pPr>
      <w:r>
        <w:rPr>
          <w:rFonts w:hint="eastAsia" w:ascii="仿宋" w:hAnsi="仿宋"/>
          <w:sz w:val="24"/>
          <w:szCs w:val="24"/>
          <w:highlight w:val="none"/>
        </w:rPr>
        <w:t>　　方法三：评审基准价=递交最终报价的所有供应商的最低评审价格。</w:t>
      </w:r>
    </w:p>
    <w:p w14:paraId="3AB6C4CE">
      <w:pPr>
        <w:spacing w:line="360" w:lineRule="auto"/>
        <w:rPr>
          <w:rFonts w:ascii="仿宋" w:hAnsi="仿宋"/>
          <w:sz w:val="24"/>
          <w:szCs w:val="24"/>
          <w:highlight w:val="none"/>
        </w:rPr>
      </w:pPr>
      <w:r>
        <w:rPr>
          <w:rFonts w:hint="eastAsia" w:ascii="仿宋" w:hAnsi="仿宋"/>
          <w:sz w:val="24"/>
          <w:szCs w:val="24"/>
          <w:highlight w:val="none"/>
        </w:rPr>
        <w:t>　　方法四：采购人确定的其他方法。评审基准价计算方法的选择见评审办法前附表。</w:t>
      </w:r>
    </w:p>
    <w:p w14:paraId="6CB5FDF9">
      <w:pPr>
        <w:spacing w:line="360" w:lineRule="auto"/>
        <w:rPr>
          <w:rFonts w:ascii="仿宋" w:hAnsi="仿宋"/>
          <w:sz w:val="24"/>
          <w:szCs w:val="24"/>
          <w:highlight w:val="none"/>
        </w:rPr>
      </w:pPr>
      <w:r>
        <w:rPr>
          <w:rFonts w:hint="eastAsia" w:ascii="仿宋" w:hAnsi="仿宋"/>
          <w:sz w:val="24"/>
          <w:szCs w:val="24"/>
          <w:highlight w:val="none"/>
        </w:rPr>
        <w:t>　　3.2.3评分标准</w:t>
      </w:r>
    </w:p>
    <w:p w14:paraId="412F32CA">
      <w:pPr>
        <w:spacing w:line="360" w:lineRule="auto"/>
        <w:rPr>
          <w:rFonts w:ascii="仿宋" w:hAnsi="仿宋"/>
          <w:sz w:val="24"/>
          <w:szCs w:val="24"/>
          <w:highlight w:val="none"/>
        </w:rPr>
      </w:pPr>
      <w:r>
        <w:rPr>
          <w:rFonts w:hint="eastAsia" w:ascii="仿宋" w:hAnsi="仿宋"/>
          <w:sz w:val="24"/>
          <w:szCs w:val="24"/>
          <w:highlight w:val="none"/>
        </w:rPr>
        <w:t>　　（1）商务评分标准：见评审办法前附表；</w:t>
      </w:r>
    </w:p>
    <w:p w14:paraId="19188D08">
      <w:pPr>
        <w:spacing w:line="360" w:lineRule="auto"/>
        <w:rPr>
          <w:rFonts w:ascii="仿宋" w:hAnsi="仿宋"/>
          <w:sz w:val="24"/>
          <w:szCs w:val="24"/>
          <w:highlight w:val="none"/>
        </w:rPr>
      </w:pPr>
      <w:r>
        <w:rPr>
          <w:rFonts w:hint="eastAsia" w:ascii="仿宋" w:hAnsi="仿宋"/>
          <w:sz w:val="24"/>
          <w:szCs w:val="24"/>
          <w:highlight w:val="none"/>
        </w:rPr>
        <w:t>　　（2）技术评分标准：见评审办法前附表；</w:t>
      </w:r>
    </w:p>
    <w:p w14:paraId="184187AA">
      <w:pPr>
        <w:spacing w:line="360" w:lineRule="auto"/>
        <w:rPr>
          <w:rFonts w:ascii="仿宋" w:hAnsi="仿宋"/>
          <w:sz w:val="24"/>
          <w:szCs w:val="24"/>
          <w:highlight w:val="none"/>
        </w:rPr>
      </w:pPr>
      <w:r>
        <w:rPr>
          <w:rFonts w:hint="eastAsia" w:ascii="仿宋" w:hAnsi="仿宋"/>
          <w:sz w:val="24"/>
          <w:szCs w:val="24"/>
          <w:highlight w:val="none"/>
        </w:rPr>
        <w:t>　　（3）报价评分标准：</w:t>
      </w:r>
    </w:p>
    <w:p w14:paraId="20DE8B91">
      <w:pPr>
        <w:spacing w:line="360" w:lineRule="auto"/>
        <w:rPr>
          <w:rFonts w:ascii="仿宋" w:hAnsi="仿宋"/>
          <w:sz w:val="24"/>
          <w:szCs w:val="24"/>
          <w:highlight w:val="none"/>
        </w:rPr>
      </w:pPr>
      <w:r>
        <w:rPr>
          <w:rFonts w:hint="eastAsia" w:ascii="仿宋" w:hAnsi="仿宋"/>
          <w:sz w:val="24"/>
          <w:szCs w:val="24"/>
          <w:highlight w:val="none"/>
        </w:rPr>
        <w:t>　　报价得分可采用如下方法计算：</w:t>
      </w:r>
    </w:p>
    <w:p w14:paraId="2ABD0568">
      <w:pPr>
        <w:spacing w:line="360" w:lineRule="auto"/>
        <w:rPr>
          <w:rFonts w:ascii="仿宋" w:hAnsi="仿宋"/>
          <w:sz w:val="24"/>
          <w:szCs w:val="24"/>
          <w:highlight w:val="none"/>
        </w:rPr>
      </w:pPr>
      <w:r>
        <w:rPr>
          <w:rFonts w:hint="eastAsia" w:ascii="仿宋" w:hAnsi="仿宋"/>
          <w:sz w:val="24"/>
          <w:szCs w:val="24"/>
          <w:highlight w:val="none"/>
        </w:rPr>
        <w:t>　　方法一：偏差率=（供应商评审价格-评审基准价）/评审基准价×100%</w:t>
      </w:r>
    </w:p>
    <w:p w14:paraId="78052491">
      <w:pPr>
        <w:spacing w:line="360" w:lineRule="auto"/>
        <w:rPr>
          <w:rFonts w:ascii="仿宋" w:hAnsi="仿宋"/>
          <w:sz w:val="24"/>
          <w:szCs w:val="24"/>
          <w:highlight w:val="none"/>
        </w:rPr>
      </w:pPr>
      <w:r>
        <w:rPr>
          <w:rFonts w:hint="eastAsia" w:ascii="仿宋" w:hAnsi="仿宋"/>
          <w:sz w:val="24"/>
          <w:szCs w:val="24"/>
          <w:highlight w:val="none"/>
        </w:rPr>
        <w:t>　　①如果供应商的评审价格&gt;评审基准价，则报价得分＝F－偏差率×100×E1；</w:t>
      </w:r>
    </w:p>
    <w:p w14:paraId="696C5E53">
      <w:pPr>
        <w:spacing w:line="360" w:lineRule="auto"/>
        <w:rPr>
          <w:rFonts w:ascii="仿宋" w:hAnsi="仿宋"/>
          <w:sz w:val="24"/>
          <w:szCs w:val="24"/>
          <w:highlight w:val="none"/>
        </w:rPr>
      </w:pPr>
      <w:r>
        <w:rPr>
          <w:rFonts w:hint="eastAsia" w:ascii="仿宋" w:hAnsi="仿宋"/>
          <w:sz w:val="24"/>
          <w:szCs w:val="24"/>
          <w:highlight w:val="none"/>
        </w:rPr>
        <w:t>　　②如果供应商的评审价格≤评审基准价，则报价得分＝F＋偏差率×100×E2。</w:t>
      </w:r>
    </w:p>
    <w:p w14:paraId="216CB4CB">
      <w:pPr>
        <w:spacing w:line="360" w:lineRule="auto"/>
        <w:rPr>
          <w:rFonts w:ascii="仿宋" w:hAnsi="仿宋"/>
          <w:sz w:val="24"/>
          <w:szCs w:val="24"/>
          <w:highlight w:val="none"/>
        </w:rPr>
      </w:pPr>
      <w:r>
        <w:rPr>
          <w:rFonts w:hint="eastAsia" w:ascii="仿宋" w:hAnsi="仿宋"/>
          <w:sz w:val="24"/>
          <w:szCs w:val="24"/>
          <w:highlight w:val="none"/>
        </w:rPr>
        <w:t>　　其中F为本章第3.2.1（3）目规定的报价所占的分值；E1是评审价格每高于评审基</w:t>
      </w:r>
    </w:p>
    <w:p w14:paraId="11968133">
      <w:pPr>
        <w:spacing w:line="360" w:lineRule="auto"/>
        <w:rPr>
          <w:rFonts w:ascii="仿宋" w:hAnsi="仿宋"/>
          <w:sz w:val="24"/>
          <w:szCs w:val="24"/>
          <w:highlight w:val="none"/>
        </w:rPr>
      </w:pPr>
      <w:r>
        <w:rPr>
          <w:rFonts w:hint="eastAsia" w:ascii="仿宋" w:hAnsi="仿宋"/>
          <w:sz w:val="24"/>
          <w:szCs w:val="24"/>
          <w:highlight w:val="none"/>
        </w:rPr>
        <w:t>　　准价一个百分点的扣分值、E2是评审价格每低于评审基准价一个百分点的扣分值，E1可</w:t>
      </w:r>
    </w:p>
    <w:p w14:paraId="21065752">
      <w:pPr>
        <w:spacing w:line="360" w:lineRule="auto"/>
        <w:rPr>
          <w:rFonts w:ascii="仿宋" w:hAnsi="仿宋"/>
          <w:sz w:val="24"/>
          <w:szCs w:val="24"/>
          <w:highlight w:val="none"/>
        </w:rPr>
      </w:pPr>
      <w:r>
        <w:rPr>
          <w:rFonts w:hint="eastAsia" w:ascii="仿宋" w:hAnsi="仿宋"/>
          <w:sz w:val="24"/>
          <w:szCs w:val="24"/>
          <w:highlight w:val="none"/>
        </w:rPr>
        <w:t>　　大于或等于E2。E1、E2的取值见评审办法前附表。</w:t>
      </w:r>
    </w:p>
    <w:p w14:paraId="5EB1E6BC">
      <w:pPr>
        <w:spacing w:line="360" w:lineRule="auto"/>
        <w:rPr>
          <w:rFonts w:ascii="仿宋" w:hAnsi="仿宋"/>
          <w:sz w:val="24"/>
          <w:szCs w:val="24"/>
          <w:highlight w:val="none"/>
        </w:rPr>
      </w:pPr>
      <w:r>
        <w:rPr>
          <w:rFonts w:hint="eastAsia" w:ascii="仿宋" w:hAnsi="仿宋"/>
          <w:sz w:val="24"/>
          <w:szCs w:val="24"/>
          <w:highlight w:val="none"/>
        </w:rPr>
        <w:t>　　方法二：报价得分=（递交最终报价的所有供应商的最低评审价格／供应商评审价格）×F，F为本章第3.2.1（3）目规定的报价所占的分值。</w:t>
      </w:r>
    </w:p>
    <w:p w14:paraId="52FD9267">
      <w:pPr>
        <w:spacing w:line="360" w:lineRule="auto"/>
        <w:rPr>
          <w:rFonts w:ascii="仿宋" w:hAnsi="仿宋"/>
          <w:sz w:val="24"/>
          <w:szCs w:val="24"/>
          <w:highlight w:val="none"/>
        </w:rPr>
      </w:pPr>
      <w:r>
        <w:rPr>
          <w:rFonts w:hint="eastAsia" w:ascii="仿宋" w:hAnsi="仿宋"/>
          <w:sz w:val="24"/>
          <w:szCs w:val="24"/>
          <w:highlight w:val="none"/>
        </w:rPr>
        <w:t>　　方法三：采购人确定的其他方法。</w:t>
      </w:r>
    </w:p>
    <w:p w14:paraId="3B55A425">
      <w:pPr>
        <w:spacing w:line="360" w:lineRule="auto"/>
        <w:rPr>
          <w:rFonts w:ascii="仿宋" w:hAnsi="仿宋"/>
          <w:sz w:val="24"/>
          <w:szCs w:val="24"/>
          <w:highlight w:val="none"/>
        </w:rPr>
      </w:pPr>
      <w:r>
        <w:rPr>
          <w:rFonts w:hint="eastAsia" w:ascii="仿宋" w:hAnsi="仿宋"/>
          <w:sz w:val="24"/>
          <w:szCs w:val="24"/>
          <w:highlight w:val="none"/>
        </w:rPr>
        <w:t>　　报价得分计算方法见评审办法前附表。</w:t>
      </w:r>
    </w:p>
    <w:p w14:paraId="348188BA">
      <w:pPr>
        <w:spacing w:line="360" w:lineRule="auto"/>
        <w:rPr>
          <w:rFonts w:ascii="仿宋" w:hAnsi="仿宋"/>
          <w:sz w:val="24"/>
          <w:szCs w:val="24"/>
          <w:highlight w:val="none"/>
        </w:rPr>
      </w:pPr>
      <w:r>
        <w:rPr>
          <w:rFonts w:hint="eastAsia" w:ascii="仿宋" w:hAnsi="仿宋"/>
          <w:sz w:val="24"/>
          <w:szCs w:val="24"/>
          <w:highlight w:val="none"/>
        </w:rPr>
        <w:t>　　（4）其他因素评分标准：见评审办法前附表。</w:t>
      </w:r>
    </w:p>
    <w:p w14:paraId="7A66EC64">
      <w:pPr>
        <w:spacing w:line="360" w:lineRule="auto"/>
        <w:rPr>
          <w:rFonts w:ascii="仿宋" w:hAnsi="仿宋"/>
          <w:sz w:val="24"/>
          <w:szCs w:val="24"/>
          <w:highlight w:val="none"/>
        </w:rPr>
      </w:pPr>
      <w:r>
        <w:rPr>
          <w:rFonts w:hint="eastAsia" w:ascii="仿宋" w:hAnsi="仿宋"/>
          <w:sz w:val="24"/>
          <w:szCs w:val="24"/>
          <w:highlight w:val="none"/>
        </w:rPr>
        <w:t>　　3.2.4评分。谈判小组成员按照评分标准独立对供应商的商务、技术和其他因素进行评分。报价评分由谈判小组统一计算。各项得分汇总后为该成员给供应商的评分总分。评分分值计算保留小数点后两位，小数点后第三位“四舍五入”。</w:t>
      </w:r>
    </w:p>
    <w:p w14:paraId="2DB6955E">
      <w:pPr>
        <w:spacing w:line="360" w:lineRule="auto"/>
        <w:rPr>
          <w:rFonts w:ascii="仿宋" w:hAnsi="仿宋"/>
          <w:sz w:val="24"/>
          <w:szCs w:val="24"/>
          <w:highlight w:val="none"/>
        </w:rPr>
      </w:pPr>
      <w:r>
        <w:rPr>
          <w:rFonts w:hint="eastAsia" w:ascii="仿宋" w:hAnsi="仿宋"/>
          <w:sz w:val="24"/>
          <w:szCs w:val="24"/>
          <w:highlight w:val="none"/>
        </w:rPr>
        <w:t>　　3.2.5汇总。谈判小组汇总每个成员对供应商的评分总分，每个供应商的评分总分的算术平均值为供应商最终得分。</w:t>
      </w:r>
    </w:p>
    <w:p w14:paraId="630CC825">
      <w:pPr>
        <w:spacing w:line="360" w:lineRule="auto"/>
        <w:rPr>
          <w:rFonts w:ascii="仿宋" w:hAnsi="仿宋"/>
          <w:sz w:val="24"/>
          <w:szCs w:val="24"/>
          <w:highlight w:val="none"/>
        </w:rPr>
      </w:pPr>
      <w:r>
        <w:rPr>
          <w:rFonts w:hint="eastAsia" w:ascii="仿宋" w:hAnsi="仿宋"/>
          <w:sz w:val="24"/>
          <w:szCs w:val="24"/>
          <w:highlight w:val="none"/>
        </w:rPr>
        <w:t>　　3.2.6谈判小组对供应商最终得分进行比较后，按照供应商最终得分由高到低的顺序对供应商排序。最终得分相等时，以评审价格低的优先；评审价格也相等的，以技术得分高的优先；如果技术得分也相等，按照评审办法前附表的规定确定供应商优先顺序。</w:t>
      </w:r>
    </w:p>
    <w:p w14:paraId="6EB2149A">
      <w:pPr>
        <w:pStyle w:val="15"/>
        <w:spacing w:before="0" w:after="0"/>
        <w:rPr>
          <w:rFonts w:ascii="仿宋" w:hAnsi="仿宋" w:eastAsia="仿宋"/>
          <w:b/>
          <w:bCs/>
          <w:highlight w:val="none"/>
        </w:rPr>
      </w:pPr>
      <w:r>
        <w:rPr>
          <w:rFonts w:hint="eastAsia" w:ascii="仿宋" w:hAnsi="仿宋" w:eastAsia="仿宋"/>
          <w:b/>
          <w:bCs/>
          <w:highlight w:val="none"/>
        </w:rPr>
        <w:t>　　4评审结果</w:t>
      </w:r>
    </w:p>
    <w:p w14:paraId="66B7ADFF">
      <w:pPr>
        <w:spacing w:line="360" w:lineRule="auto"/>
        <w:rPr>
          <w:rFonts w:ascii="仿宋" w:hAnsi="仿宋"/>
          <w:sz w:val="24"/>
          <w:szCs w:val="24"/>
          <w:highlight w:val="none"/>
        </w:rPr>
      </w:pPr>
      <w:r>
        <w:rPr>
          <w:rFonts w:hint="eastAsia" w:ascii="仿宋" w:hAnsi="仿宋"/>
          <w:sz w:val="24"/>
          <w:szCs w:val="24"/>
          <w:highlight w:val="none"/>
        </w:rPr>
        <w:t>　　4.1提交书面评审报告</w:t>
      </w:r>
    </w:p>
    <w:p w14:paraId="21822877">
      <w:pPr>
        <w:spacing w:line="360" w:lineRule="auto"/>
        <w:rPr>
          <w:rFonts w:ascii="仿宋" w:hAnsi="仿宋"/>
          <w:sz w:val="24"/>
          <w:szCs w:val="24"/>
          <w:highlight w:val="none"/>
        </w:rPr>
      </w:pPr>
      <w:r>
        <w:rPr>
          <w:rFonts w:hint="eastAsia" w:ascii="仿宋" w:hAnsi="仿宋"/>
          <w:sz w:val="24"/>
          <w:szCs w:val="24"/>
          <w:highlight w:val="none"/>
        </w:rPr>
        <w:t>　　谈判小组完成评审后，应当向采购人递交书面评审报告。</w:t>
      </w:r>
    </w:p>
    <w:p w14:paraId="5134B745">
      <w:pPr>
        <w:spacing w:line="360" w:lineRule="auto"/>
        <w:rPr>
          <w:rFonts w:ascii="仿宋" w:hAnsi="仿宋"/>
          <w:sz w:val="24"/>
          <w:szCs w:val="24"/>
          <w:highlight w:val="none"/>
        </w:rPr>
      </w:pPr>
      <w:r>
        <w:rPr>
          <w:rFonts w:hint="eastAsia" w:ascii="仿宋" w:hAnsi="仿宋"/>
          <w:sz w:val="24"/>
          <w:szCs w:val="24"/>
          <w:highlight w:val="none"/>
        </w:rPr>
        <w:t>　　4.2推荐候选成交供应商排序要求及数量</w:t>
      </w:r>
    </w:p>
    <w:p w14:paraId="324547F6">
      <w:pPr>
        <w:spacing w:line="360" w:lineRule="auto"/>
        <w:rPr>
          <w:sz w:val="24"/>
          <w:szCs w:val="24"/>
          <w:highlight w:val="none"/>
        </w:rPr>
      </w:pPr>
      <w:r>
        <w:rPr>
          <w:rFonts w:hint="eastAsia" w:ascii="仿宋" w:hAnsi="仿宋"/>
          <w:sz w:val="24"/>
          <w:szCs w:val="24"/>
          <w:highlight w:val="none"/>
        </w:rPr>
        <w:t>　　谈判小组应在书面评审报告中按照供应商排列的优先顺序向采购人推荐候选成交供应商（排序或不排序）。候选成交供应商的排序要求及数量见第二章“供应商须知”</w:t>
      </w:r>
      <w:r>
        <w:rPr>
          <w:rFonts w:hint="eastAsia"/>
          <w:sz w:val="24"/>
          <w:szCs w:val="24"/>
          <w:highlight w:val="none"/>
        </w:rPr>
        <w:t>。</w:t>
      </w:r>
    </w:p>
    <w:p w14:paraId="0AC0C7F3">
      <w:pPr>
        <w:spacing w:line="360" w:lineRule="auto"/>
        <w:rPr>
          <w:sz w:val="24"/>
          <w:szCs w:val="24"/>
          <w:highlight w:val="none"/>
        </w:rPr>
      </w:pPr>
      <w:r>
        <w:rPr>
          <w:rFonts w:hint="eastAsia"/>
          <w:sz w:val="24"/>
          <w:szCs w:val="24"/>
          <w:highlight w:val="none"/>
        </w:rPr>
        <w:br w:type="page"/>
      </w:r>
    </w:p>
    <w:p w14:paraId="159B2F39">
      <w:pPr>
        <w:pStyle w:val="14"/>
        <w:spacing w:before="0" w:after="0"/>
        <w:rPr>
          <w:highlight w:val="none"/>
        </w:rPr>
      </w:pPr>
      <w:r>
        <w:rPr>
          <w:rFonts w:hint="eastAsia"/>
          <w:highlight w:val="none"/>
        </w:rPr>
        <w:t>第四章　合同主要条款</w:t>
      </w:r>
    </w:p>
    <w:p w14:paraId="21C65E89">
      <w:pPr>
        <w:spacing w:line="360" w:lineRule="auto"/>
        <w:rPr>
          <w:sz w:val="24"/>
          <w:szCs w:val="24"/>
          <w:highlight w:val="none"/>
        </w:rPr>
      </w:pPr>
      <w:r>
        <w:rPr>
          <w:rFonts w:hint="eastAsia"/>
          <w:sz w:val="24"/>
          <w:szCs w:val="24"/>
          <w:highlight w:val="none"/>
        </w:rPr>
        <w:t>详见附件合同文本。</w:t>
      </w:r>
      <w:r>
        <w:rPr>
          <w:rFonts w:hint="eastAsia"/>
          <w:sz w:val="24"/>
          <w:szCs w:val="24"/>
          <w:highlight w:val="none"/>
        </w:rPr>
        <w:br w:type="page"/>
      </w:r>
    </w:p>
    <w:p w14:paraId="09A6FFB4">
      <w:pPr>
        <w:pStyle w:val="14"/>
        <w:spacing w:before="0" w:after="0"/>
        <w:rPr>
          <w:rFonts w:ascii="仿宋" w:hAnsi="仿宋" w:eastAsia="仿宋"/>
          <w:highlight w:val="none"/>
        </w:rPr>
      </w:pPr>
      <w:r>
        <w:rPr>
          <w:rFonts w:hint="eastAsia" w:ascii="仿宋" w:hAnsi="仿宋" w:eastAsia="仿宋"/>
          <w:highlight w:val="none"/>
        </w:rPr>
        <w:t>第五章　采购需求</w:t>
      </w:r>
    </w:p>
    <w:p w14:paraId="5A1C7AF5">
      <w:pPr>
        <w:pStyle w:val="15"/>
        <w:spacing w:before="0" w:after="0"/>
        <w:rPr>
          <w:rFonts w:ascii="仿宋" w:hAnsi="仿宋" w:eastAsia="仿宋"/>
          <w:b/>
          <w:bCs/>
          <w:highlight w:val="none"/>
        </w:rPr>
      </w:pPr>
      <w:r>
        <w:rPr>
          <w:rFonts w:hint="eastAsia" w:ascii="仿宋" w:hAnsi="仿宋" w:eastAsia="仿宋"/>
          <w:b/>
          <w:bCs/>
          <w:highlight w:val="none"/>
        </w:rPr>
        <w:t>一、基本情况</w:t>
      </w:r>
    </w:p>
    <w:p w14:paraId="11A5FF3E">
      <w:pPr>
        <w:adjustRightInd w:val="0"/>
        <w:snapToGrid w:val="0"/>
        <w:spacing w:line="360" w:lineRule="auto"/>
        <w:ind w:left="336" w:hanging="336" w:hangingChars="140"/>
        <w:textAlignment w:val="baseline"/>
        <w:rPr>
          <w:rFonts w:ascii="仿宋" w:hAnsi="仿宋" w:cs="宋体"/>
          <w:kern w:val="2"/>
          <w:sz w:val="24"/>
          <w:szCs w:val="24"/>
          <w:highlight w:val="none"/>
        </w:rPr>
      </w:pPr>
      <w:r>
        <w:rPr>
          <w:rFonts w:hint="eastAsia" w:ascii="仿宋" w:hAnsi="仿宋" w:cs="宋体"/>
          <w:kern w:val="2"/>
          <w:sz w:val="24"/>
          <w:szCs w:val="24"/>
          <w:highlight w:val="none"/>
        </w:rPr>
        <w:t>1、服务时间：2026-2029年裙楼物业管理服务</w:t>
      </w:r>
    </w:p>
    <w:p w14:paraId="283DB921">
      <w:pPr>
        <w:adjustRightInd w:val="0"/>
        <w:snapToGrid w:val="0"/>
        <w:spacing w:line="360" w:lineRule="auto"/>
        <w:ind w:left="336" w:hanging="336" w:hangingChars="140"/>
        <w:textAlignment w:val="baseline"/>
        <w:rPr>
          <w:rFonts w:ascii="仿宋" w:hAnsi="仿宋" w:cs="宋体"/>
          <w:kern w:val="2"/>
          <w:sz w:val="24"/>
          <w:szCs w:val="24"/>
          <w:highlight w:val="none"/>
        </w:rPr>
      </w:pPr>
      <w:r>
        <w:rPr>
          <w:rFonts w:hint="eastAsia" w:ascii="仿宋" w:hAnsi="仿宋" w:cs="宋体"/>
          <w:kern w:val="2"/>
          <w:sz w:val="24"/>
          <w:szCs w:val="24"/>
          <w:highlight w:val="none"/>
        </w:rPr>
        <w:t xml:space="preserve">2、服务期限：三年 </w:t>
      </w:r>
    </w:p>
    <w:p w14:paraId="41A626AB">
      <w:pPr>
        <w:adjustRightInd w:val="0"/>
        <w:snapToGrid w:val="0"/>
        <w:spacing w:line="360" w:lineRule="auto"/>
        <w:ind w:left="336" w:hanging="336" w:hangingChars="140"/>
        <w:textAlignment w:val="baseline"/>
        <w:rPr>
          <w:rFonts w:ascii="仿宋" w:hAnsi="仿宋" w:cs="宋体"/>
          <w:kern w:val="2"/>
          <w:sz w:val="24"/>
          <w:szCs w:val="24"/>
          <w:highlight w:val="none"/>
        </w:rPr>
      </w:pPr>
      <w:r>
        <w:rPr>
          <w:rFonts w:hint="eastAsia" w:ascii="仿宋" w:hAnsi="仿宋" w:cs="宋体"/>
          <w:kern w:val="2"/>
          <w:sz w:val="24"/>
          <w:szCs w:val="24"/>
          <w:highlight w:val="none"/>
        </w:rPr>
        <w:t>3、服务范围：包括裙楼（含一至五层）的所有范围及商业裙楼的附属配套设施，包括但不限于楼梯间、消防通道、电梯井、各设备管道井、走廊通道、门厅、业主用房、监控室、配电房、水泵房等物业的日常维护、保养和管理。</w:t>
      </w:r>
    </w:p>
    <w:p w14:paraId="1E2641E5">
      <w:pPr>
        <w:pStyle w:val="15"/>
        <w:spacing w:before="0" w:after="0"/>
        <w:rPr>
          <w:rFonts w:ascii="仿宋" w:hAnsi="仿宋" w:eastAsia="仿宋"/>
          <w:b/>
          <w:bCs/>
          <w:highlight w:val="none"/>
        </w:rPr>
      </w:pPr>
      <w:r>
        <w:rPr>
          <w:rFonts w:hint="eastAsia" w:ascii="仿宋" w:hAnsi="仿宋" w:eastAsia="仿宋"/>
          <w:b/>
          <w:bCs/>
          <w:highlight w:val="none"/>
        </w:rPr>
        <w:t>二、服务内容</w:t>
      </w:r>
    </w:p>
    <w:p w14:paraId="3CBAA484">
      <w:pPr>
        <w:adjustRightInd w:val="0"/>
        <w:snapToGrid w:val="0"/>
        <w:spacing w:line="360" w:lineRule="auto"/>
        <w:ind w:left="336" w:hanging="336" w:hangingChars="140"/>
        <w:textAlignment w:val="baseline"/>
        <w:rPr>
          <w:rFonts w:ascii="仿宋" w:hAnsi="仿宋" w:cs="宋体"/>
          <w:kern w:val="2"/>
          <w:sz w:val="24"/>
          <w:szCs w:val="24"/>
          <w:highlight w:val="none"/>
        </w:rPr>
      </w:pPr>
      <w:r>
        <w:rPr>
          <w:rFonts w:hint="eastAsia" w:ascii="仿宋" w:hAnsi="仿宋" w:cs="宋体"/>
          <w:kern w:val="2"/>
          <w:sz w:val="24"/>
          <w:szCs w:val="24"/>
          <w:highlight w:val="none"/>
        </w:rPr>
        <w:t>1、裙楼保洁服务：裙楼1至5层的公共区域、卫生间、电梯、消防通道、5层屋顶区域、地下负一层电梯间、监控室、隔油机房、建筑垃圾临时堆放点、餐厨垃圾收集站、生活垃圾收集站、地下负二层电梯间、配电房、水泵房、一层建筑垃圾站及卸货平台</w:t>
      </w:r>
    </w:p>
    <w:p w14:paraId="5F4629E1">
      <w:pPr>
        <w:adjustRightInd w:val="0"/>
        <w:snapToGrid w:val="0"/>
        <w:spacing w:line="360" w:lineRule="auto"/>
        <w:ind w:left="336" w:hanging="336" w:hangingChars="140"/>
        <w:textAlignment w:val="baseline"/>
        <w:rPr>
          <w:rFonts w:ascii="仿宋" w:hAnsi="仿宋" w:cs="宋体"/>
          <w:kern w:val="2"/>
          <w:sz w:val="24"/>
          <w:szCs w:val="24"/>
          <w:highlight w:val="none"/>
        </w:rPr>
      </w:pPr>
      <w:r>
        <w:rPr>
          <w:rFonts w:hint="eastAsia" w:ascii="仿宋" w:hAnsi="仿宋" w:cs="宋体"/>
          <w:kern w:val="2"/>
          <w:sz w:val="24"/>
          <w:szCs w:val="24"/>
          <w:highlight w:val="none"/>
        </w:rPr>
        <w:t>的清洁工作。</w:t>
      </w:r>
    </w:p>
    <w:p w14:paraId="21C172FC">
      <w:pPr>
        <w:adjustRightInd w:val="0"/>
        <w:snapToGrid w:val="0"/>
        <w:spacing w:line="360" w:lineRule="auto"/>
        <w:ind w:left="336" w:hanging="336" w:hangingChars="140"/>
        <w:textAlignment w:val="baseline"/>
        <w:rPr>
          <w:rFonts w:ascii="仿宋" w:hAnsi="仿宋" w:cs="宋体"/>
          <w:kern w:val="2"/>
          <w:sz w:val="24"/>
          <w:szCs w:val="24"/>
          <w:highlight w:val="none"/>
        </w:rPr>
      </w:pPr>
      <w:r>
        <w:rPr>
          <w:rFonts w:hint="eastAsia" w:ascii="仿宋" w:hAnsi="仿宋" w:cs="宋体"/>
          <w:kern w:val="2"/>
          <w:sz w:val="24"/>
          <w:szCs w:val="24"/>
          <w:highlight w:val="none"/>
        </w:rPr>
        <w:t>2、裙楼安防服务：包括安防管理、巡逻、消防、应急处理等工作。</w:t>
      </w:r>
    </w:p>
    <w:p w14:paraId="1564E3A6">
      <w:pPr>
        <w:adjustRightInd w:val="0"/>
        <w:snapToGrid w:val="0"/>
        <w:spacing w:line="360" w:lineRule="auto"/>
        <w:ind w:left="336" w:hanging="336" w:hangingChars="140"/>
        <w:textAlignment w:val="baseline"/>
        <w:rPr>
          <w:rFonts w:ascii="仿宋" w:hAnsi="仿宋" w:cs="宋体"/>
          <w:kern w:val="2"/>
          <w:sz w:val="24"/>
          <w:szCs w:val="24"/>
          <w:highlight w:val="none"/>
        </w:rPr>
      </w:pPr>
      <w:r>
        <w:rPr>
          <w:rFonts w:hint="eastAsia" w:ascii="仿宋" w:hAnsi="仿宋" w:cs="宋体"/>
          <w:kern w:val="2"/>
          <w:sz w:val="24"/>
          <w:szCs w:val="24"/>
          <w:highlight w:val="none"/>
        </w:rPr>
        <w:t>3、裙楼前台服务：包括能源费的预缴与日常管理、街道对接、市监局及各上级政府单位的对接、客诉等。</w:t>
      </w:r>
    </w:p>
    <w:p w14:paraId="5A7E1053">
      <w:pPr>
        <w:adjustRightInd w:val="0"/>
        <w:snapToGrid w:val="0"/>
        <w:spacing w:line="360" w:lineRule="auto"/>
        <w:ind w:left="336" w:hanging="336" w:hangingChars="140"/>
        <w:textAlignment w:val="baseline"/>
        <w:rPr>
          <w:rFonts w:ascii="仿宋" w:hAnsi="仿宋" w:cs="宋体"/>
          <w:kern w:val="2"/>
          <w:sz w:val="24"/>
          <w:szCs w:val="24"/>
          <w:highlight w:val="none"/>
        </w:rPr>
      </w:pPr>
      <w:r>
        <w:rPr>
          <w:rFonts w:hint="eastAsia" w:ascii="仿宋" w:hAnsi="仿宋" w:cs="宋体"/>
          <w:kern w:val="2"/>
          <w:sz w:val="24"/>
          <w:szCs w:val="24"/>
          <w:highlight w:val="none"/>
        </w:rPr>
        <w:t>4、裙楼维修服务：包括设备设施的日常维修、房屋漏水维修、水电末端维修、给排水管道维护维修、污水管道的清淤、隔油机房的维护维修等工作。</w:t>
      </w:r>
    </w:p>
    <w:p w14:paraId="314522C2">
      <w:pPr>
        <w:adjustRightInd w:val="0"/>
        <w:snapToGrid w:val="0"/>
        <w:spacing w:line="360" w:lineRule="auto"/>
        <w:ind w:left="336" w:hanging="336" w:hangingChars="140"/>
        <w:textAlignment w:val="baseline"/>
        <w:rPr>
          <w:rFonts w:ascii="仿宋" w:hAnsi="仿宋" w:cs="宋体"/>
          <w:kern w:val="2"/>
          <w:sz w:val="24"/>
          <w:szCs w:val="24"/>
          <w:highlight w:val="none"/>
        </w:rPr>
      </w:pPr>
      <w:r>
        <w:rPr>
          <w:rFonts w:hint="eastAsia" w:ascii="仿宋" w:hAnsi="仿宋" w:cs="宋体"/>
          <w:kern w:val="2"/>
          <w:sz w:val="24"/>
          <w:szCs w:val="24"/>
          <w:highlight w:val="none"/>
        </w:rPr>
        <w:t>5、设备间值守：配电房、水泵房和商场监控室的24小时值守（配电房需按要求持特种作业证上岗）。</w:t>
      </w:r>
    </w:p>
    <w:p w14:paraId="445347D0">
      <w:pPr>
        <w:adjustRightInd w:val="0"/>
        <w:snapToGrid w:val="0"/>
        <w:spacing w:line="360" w:lineRule="auto"/>
        <w:ind w:left="336" w:hanging="336" w:hangingChars="140"/>
        <w:textAlignment w:val="baseline"/>
        <w:rPr>
          <w:rFonts w:ascii="仿宋" w:hAnsi="仿宋" w:cs="宋体"/>
          <w:kern w:val="2"/>
          <w:sz w:val="24"/>
          <w:szCs w:val="24"/>
          <w:highlight w:val="none"/>
        </w:rPr>
      </w:pPr>
      <w:r>
        <w:rPr>
          <w:rFonts w:hint="eastAsia" w:ascii="仿宋" w:hAnsi="仿宋" w:cs="宋体"/>
          <w:kern w:val="2"/>
          <w:sz w:val="24"/>
          <w:szCs w:val="24"/>
          <w:highlight w:val="none"/>
        </w:rPr>
        <w:t>6、设备间管理：隔油机房的日常清淤、建筑垃圾临时堆放点、餐厨垃圾收集站、生活垃圾收集站、一层建筑垃圾站及卸货平台（含货梯）的管理。</w:t>
      </w:r>
    </w:p>
    <w:p w14:paraId="49F6E083">
      <w:pPr>
        <w:adjustRightInd w:val="0"/>
        <w:snapToGrid w:val="0"/>
        <w:spacing w:line="360" w:lineRule="auto"/>
        <w:ind w:left="336" w:hanging="336" w:hangingChars="140"/>
        <w:textAlignment w:val="baseline"/>
        <w:rPr>
          <w:rFonts w:ascii="仿宋" w:hAnsi="仿宋" w:cs="宋体"/>
          <w:kern w:val="2"/>
          <w:sz w:val="24"/>
          <w:szCs w:val="24"/>
          <w:highlight w:val="none"/>
        </w:rPr>
      </w:pPr>
      <w:r>
        <w:rPr>
          <w:rFonts w:hint="eastAsia" w:ascii="仿宋" w:hAnsi="仿宋" w:cs="宋体"/>
          <w:kern w:val="2"/>
          <w:sz w:val="24"/>
          <w:szCs w:val="24"/>
          <w:highlight w:val="none"/>
        </w:rPr>
        <w:t>7、裙楼装修管理：从进场到验收的全过程管理，包括图纸审核、装修监管、消防监管、安全监管等工作。</w:t>
      </w:r>
    </w:p>
    <w:p w14:paraId="1F0FD549">
      <w:pPr>
        <w:adjustRightInd w:val="0"/>
        <w:snapToGrid w:val="0"/>
        <w:spacing w:line="360" w:lineRule="auto"/>
        <w:ind w:left="336" w:hanging="336" w:hangingChars="140"/>
        <w:textAlignment w:val="baseline"/>
        <w:rPr>
          <w:rFonts w:ascii="仿宋" w:hAnsi="仿宋" w:cs="宋体"/>
          <w:kern w:val="2"/>
          <w:sz w:val="24"/>
          <w:szCs w:val="24"/>
          <w:highlight w:val="none"/>
        </w:rPr>
      </w:pPr>
      <w:r>
        <w:rPr>
          <w:rFonts w:ascii="仿宋" w:hAnsi="仿宋" w:cs="宋体"/>
          <w:kern w:val="2"/>
          <w:sz w:val="24"/>
          <w:szCs w:val="24"/>
          <w:highlight w:val="none"/>
        </w:rPr>
        <w:t>8</w:t>
      </w:r>
      <w:r>
        <w:rPr>
          <w:rFonts w:hint="eastAsia" w:ascii="仿宋" w:hAnsi="仿宋" w:cs="宋体"/>
          <w:kern w:val="2"/>
          <w:sz w:val="24"/>
          <w:szCs w:val="24"/>
          <w:highlight w:val="none"/>
        </w:rPr>
        <w:t>、裙楼的运营管理：按照裙楼运营要求执行商场全年开闭店的管理、各类进出通道的管理、商户区域的安全管理、裙楼能源使用的管理、使用公共空间的管理、垃圾与废物的处理、裙楼商场开店期间的运营管理、餐饮商户油烟清洗的管理、餐饮楼层下水道的清洗，按照业主《商户手册》的要求协助业主管理商户（包括处理客诉、设备报修、末端检查与维修、水电燃气服务、停车管理、闭店管理等工作）。</w:t>
      </w:r>
    </w:p>
    <w:p w14:paraId="3D76273D">
      <w:pPr>
        <w:adjustRightInd w:val="0"/>
        <w:snapToGrid w:val="0"/>
        <w:spacing w:line="360" w:lineRule="auto"/>
        <w:ind w:left="336" w:hanging="336" w:hangingChars="140"/>
        <w:textAlignment w:val="baseline"/>
        <w:rPr>
          <w:rFonts w:ascii="仿宋" w:hAnsi="仿宋" w:cs="宋体"/>
          <w:kern w:val="2"/>
          <w:sz w:val="24"/>
          <w:szCs w:val="24"/>
          <w:highlight w:val="none"/>
        </w:rPr>
      </w:pPr>
      <w:r>
        <w:rPr>
          <w:rFonts w:ascii="仿宋" w:hAnsi="仿宋" w:cs="宋体"/>
          <w:kern w:val="2"/>
          <w:sz w:val="24"/>
          <w:szCs w:val="24"/>
          <w:highlight w:val="none"/>
        </w:rPr>
        <w:t>9</w:t>
      </w:r>
      <w:r>
        <w:rPr>
          <w:rFonts w:hint="eastAsia" w:ascii="仿宋" w:hAnsi="仿宋" w:cs="宋体"/>
          <w:kern w:val="2"/>
          <w:sz w:val="24"/>
          <w:szCs w:val="24"/>
          <w:highlight w:val="none"/>
        </w:rPr>
        <w:t>、共用设施、设备的维修、养护、运行和管理：共用的上下水管道、供配电系统、给排水系统、空调系统、公共照明、监控系统、安全秩序管理系统、消防系统、商场内消防设备、电梯、临时应急供电系统等。其中电梯、空调、幕墙、消防等系统还需负责配合维保单位的维护。</w:t>
      </w:r>
    </w:p>
    <w:p w14:paraId="78CC2134">
      <w:pPr>
        <w:adjustRightInd w:val="0"/>
        <w:snapToGrid w:val="0"/>
        <w:spacing w:line="360" w:lineRule="auto"/>
        <w:ind w:left="336" w:hanging="336" w:hangingChars="140"/>
        <w:textAlignment w:val="baseline"/>
        <w:rPr>
          <w:rFonts w:ascii="仿宋" w:hAnsi="仿宋" w:cs="宋体"/>
          <w:kern w:val="2"/>
          <w:sz w:val="24"/>
          <w:szCs w:val="24"/>
          <w:highlight w:val="none"/>
        </w:rPr>
      </w:pPr>
      <w:r>
        <w:rPr>
          <w:rFonts w:hint="eastAsia" w:ascii="仿宋" w:hAnsi="仿宋" w:cs="宋体"/>
          <w:kern w:val="2"/>
          <w:sz w:val="24"/>
          <w:szCs w:val="24"/>
          <w:highlight w:val="none"/>
        </w:rPr>
        <w:t>10、公共设施和附属建筑物、构筑物的维修、养护和管理：地漏、隔油池、油烟处理房、烟道等。</w:t>
      </w:r>
    </w:p>
    <w:p w14:paraId="4A22C41F">
      <w:pPr>
        <w:adjustRightInd w:val="0"/>
        <w:snapToGrid w:val="0"/>
        <w:spacing w:line="360" w:lineRule="auto"/>
        <w:ind w:left="336" w:hanging="336" w:hangingChars="140"/>
        <w:textAlignment w:val="baseline"/>
        <w:rPr>
          <w:rFonts w:ascii="仿宋" w:hAnsi="仿宋" w:cs="宋体"/>
          <w:kern w:val="2"/>
          <w:sz w:val="24"/>
          <w:szCs w:val="24"/>
          <w:highlight w:val="none"/>
        </w:rPr>
      </w:pPr>
      <w:r>
        <w:rPr>
          <w:rFonts w:hint="eastAsia" w:ascii="仿宋" w:hAnsi="仿宋" w:cs="宋体"/>
          <w:kern w:val="2"/>
          <w:sz w:val="24"/>
          <w:szCs w:val="24"/>
          <w:highlight w:val="none"/>
        </w:rPr>
        <w:t>11、裙楼其他工作：包括业主委托的其他事宜等工作。</w:t>
      </w:r>
    </w:p>
    <w:p w14:paraId="26373341">
      <w:pPr>
        <w:adjustRightInd w:val="0"/>
        <w:snapToGrid w:val="0"/>
        <w:spacing w:line="360" w:lineRule="auto"/>
        <w:ind w:left="336" w:hanging="336" w:hangingChars="140"/>
        <w:textAlignment w:val="baseline"/>
        <w:rPr>
          <w:rFonts w:ascii="仿宋" w:hAnsi="仿宋" w:cs="宋体"/>
          <w:kern w:val="2"/>
          <w:sz w:val="24"/>
          <w:szCs w:val="24"/>
          <w:highlight w:val="none"/>
        </w:rPr>
      </w:pPr>
      <w:r>
        <w:rPr>
          <w:rFonts w:ascii="仿宋" w:hAnsi="仿宋" w:cs="宋体"/>
          <w:kern w:val="2"/>
          <w:sz w:val="24"/>
          <w:szCs w:val="24"/>
          <w:highlight w:val="none"/>
        </w:rPr>
        <w:t>1</w:t>
      </w:r>
      <w:r>
        <w:rPr>
          <w:rFonts w:hint="eastAsia" w:ascii="仿宋" w:hAnsi="仿宋" w:cs="宋体"/>
          <w:kern w:val="2"/>
          <w:sz w:val="24"/>
          <w:szCs w:val="24"/>
          <w:highlight w:val="none"/>
        </w:rPr>
        <w:t>2、中设广场裙楼1-13号办公区域的卫生打扫，打扫时间 (根据甲方要求)；打扫内容：垃圾清理、扫地、拖地、擦拭桌椅与柜子、玻璃擦拭。服务建筑面积380m</w:t>
      </w:r>
      <w:r>
        <w:rPr>
          <w:rFonts w:cs="Calibri"/>
          <w:kern w:val="2"/>
          <w:sz w:val="24"/>
          <w:szCs w:val="24"/>
          <w:highlight w:val="none"/>
        </w:rPr>
        <w:t>²</w:t>
      </w:r>
      <w:r>
        <w:rPr>
          <w:rFonts w:hint="eastAsia" w:ascii="仿宋" w:hAnsi="仿宋" w:cs="宋体"/>
          <w:kern w:val="2"/>
          <w:sz w:val="24"/>
          <w:szCs w:val="24"/>
          <w:highlight w:val="none"/>
        </w:rPr>
        <w:t>。</w:t>
      </w:r>
    </w:p>
    <w:p w14:paraId="2EB61D1B">
      <w:pPr>
        <w:pStyle w:val="15"/>
        <w:spacing w:before="0" w:after="0"/>
        <w:rPr>
          <w:rFonts w:ascii="仿宋" w:hAnsi="仿宋" w:eastAsia="仿宋"/>
          <w:b/>
          <w:bCs/>
          <w:highlight w:val="none"/>
        </w:rPr>
      </w:pPr>
      <w:r>
        <w:rPr>
          <w:rFonts w:hint="eastAsia" w:ascii="仿宋" w:hAnsi="仿宋" w:eastAsia="仿宋"/>
          <w:b/>
          <w:bCs/>
          <w:highlight w:val="none"/>
        </w:rPr>
        <w:t>三、人员配置要求</w:t>
      </w:r>
    </w:p>
    <w:p w14:paraId="1B875C25">
      <w:pPr>
        <w:adjustRightInd w:val="0"/>
        <w:snapToGrid w:val="0"/>
        <w:spacing w:line="360" w:lineRule="auto"/>
        <w:ind w:left="336" w:hanging="336" w:hangingChars="140"/>
        <w:textAlignment w:val="baseline"/>
        <w:rPr>
          <w:rFonts w:ascii="仿宋" w:hAnsi="仿宋" w:cs="宋体"/>
          <w:kern w:val="2"/>
          <w:sz w:val="24"/>
          <w:szCs w:val="24"/>
          <w:highlight w:val="none"/>
        </w:rPr>
      </w:pPr>
      <w:r>
        <w:rPr>
          <w:rFonts w:hint="eastAsia" w:ascii="仿宋" w:hAnsi="仿宋" w:cs="宋体"/>
          <w:kern w:val="2"/>
          <w:sz w:val="24"/>
          <w:szCs w:val="24"/>
          <w:highlight w:val="none"/>
        </w:rPr>
        <w:t>1、服务管理单位的管理方案、组织架构、人员配备、各项规章制度。</w:t>
      </w:r>
    </w:p>
    <w:p w14:paraId="32E6A7EC">
      <w:pPr>
        <w:adjustRightInd w:val="0"/>
        <w:snapToGrid w:val="0"/>
        <w:spacing w:line="360" w:lineRule="auto"/>
        <w:ind w:left="336" w:hanging="336" w:hangingChars="140"/>
        <w:textAlignment w:val="baseline"/>
        <w:rPr>
          <w:rFonts w:ascii="仿宋" w:hAnsi="仿宋" w:cs="宋体"/>
          <w:kern w:val="2"/>
          <w:sz w:val="24"/>
          <w:szCs w:val="24"/>
          <w:highlight w:val="none"/>
        </w:rPr>
      </w:pPr>
      <w:r>
        <w:rPr>
          <w:rFonts w:hint="eastAsia" w:ascii="仿宋" w:hAnsi="仿宋" w:cs="宋体"/>
          <w:kern w:val="2"/>
          <w:sz w:val="24"/>
          <w:szCs w:val="24"/>
          <w:highlight w:val="none"/>
        </w:rPr>
        <w:t>2、要求服务管理单位在人员配置上要按需配备、优质、高效和相对固定，在拟订组织架构设置、管理服务方案时，能充分考虑自身实力和管理优势。最大限度地满足业主的需求，向业主提供质价相符的服务。</w:t>
      </w:r>
    </w:p>
    <w:p w14:paraId="55C4D037">
      <w:pPr>
        <w:adjustRightInd w:val="0"/>
        <w:snapToGrid w:val="0"/>
        <w:spacing w:line="360" w:lineRule="auto"/>
        <w:ind w:left="336" w:hanging="336" w:hangingChars="140"/>
        <w:textAlignment w:val="baseline"/>
        <w:rPr>
          <w:rFonts w:ascii="仿宋" w:hAnsi="仿宋" w:cs="宋体"/>
          <w:kern w:val="2"/>
          <w:sz w:val="24"/>
          <w:szCs w:val="24"/>
          <w:highlight w:val="none"/>
        </w:rPr>
      </w:pPr>
      <w:r>
        <w:rPr>
          <w:rFonts w:hint="eastAsia" w:ascii="仿宋" w:hAnsi="仿宋" w:cs="宋体"/>
          <w:kern w:val="2"/>
          <w:sz w:val="24"/>
          <w:szCs w:val="24"/>
          <w:highlight w:val="none"/>
        </w:rPr>
        <w:t>3、在处理特殊事件和紧急、突发事件时，业主管理部门对业务服务人员有直接指挥权。</w:t>
      </w:r>
    </w:p>
    <w:p w14:paraId="7A74B2C1">
      <w:pPr>
        <w:adjustRightInd w:val="0"/>
        <w:snapToGrid w:val="0"/>
        <w:spacing w:line="360" w:lineRule="auto"/>
        <w:ind w:left="336" w:hanging="336" w:hangingChars="140"/>
        <w:textAlignment w:val="baseline"/>
        <w:rPr>
          <w:rFonts w:ascii="仿宋" w:hAnsi="仿宋" w:cs="宋体"/>
          <w:kern w:val="2"/>
          <w:sz w:val="24"/>
          <w:szCs w:val="24"/>
          <w:highlight w:val="none"/>
        </w:rPr>
      </w:pPr>
      <w:r>
        <w:rPr>
          <w:rFonts w:hint="eastAsia" w:ascii="仿宋" w:hAnsi="仿宋" w:cs="宋体"/>
          <w:kern w:val="2"/>
          <w:sz w:val="24"/>
          <w:szCs w:val="24"/>
          <w:highlight w:val="none"/>
        </w:rPr>
        <w:t>4、要求服务管理单位对所用的人员要切实核对身份，保证没有犯罪记录，身体健康。</w:t>
      </w:r>
    </w:p>
    <w:p w14:paraId="69FAA214">
      <w:pPr>
        <w:adjustRightInd w:val="0"/>
        <w:snapToGrid w:val="0"/>
        <w:spacing w:line="360" w:lineRule="auto"/>
        <w:ind w:left="336" w:hanging="336" w:hangingChars="140"/>
        <w:textAlignment w:val="baseline"/>
        <w:rPr>
          <w:rFonts w:ascii="仿宋" w:hAnsi="仿宋" w:cs="宋体"/>
          <w:kern w:val="2"/>
          <w:sz w:val="24"/>
          <w:szCs w:val="24"/>
          <w:highlight w:val="none"/>
        </w:rPr>
      </w:pPr>
      <w:r>
        <w:rPr>
          <w:rFonts w:hint="eastAsia" w:ascii="仿宋" w:hAnsi="仿宋" w:cs="宋体"/>
          <w:kern w:val="2"/>
          <w:sz w:val="24"/>
          <w:szCs w:val="24"/>
          <w:highlight w:val="none"/>
        </w:rPr>
        <w:t xml:space="preserve">5、要求服务管理单位的工作人员要按岗位统一着装，佩戴胸牌，言行规范，注意仪容仪表和公众形象，并要求有一套服务规范和文明用语。对一些公众岗位人员的相貌、身高有特殊要求的需满足。要求服务管理单位自费配备能满足裙楼项目所需的工具器材、服装和有关服务设备。 </w:t>
      </w:r>
    </w:p>
    <w:p w14:paraId="692C504E">
      <w:pPr>
        <w:adjustRightInd w:val="0"/>
        <w:snapToGrid w:val="0"/>
        <w:spacing w:line="360" w:lineRule="auto"/>
        <w:ind w:left="336" w:hanging="336" w:hangingChars="140"/>
        <w:textAlignment w:val="baseline"/>
        <w:rPr>
          <w:rFonts w:ascii="仿宋" w:hAnsi="仿宋" w:cs="宋体"/>
          <w:kern w:val="2"/>
          <w:sz w:val="24"/>
          <w:szCs w:val="24"/>
          <w:highlight w:val="none"/>
        </w:rPr>
      </w:pPr>
      <w:r>
        <w:rPr>
          <w:rFonts w:hint="eastAsia" w:ascii="仿宋" w:hAnsi="仿宋" w:cs="宋体"/>
          <w:kern w:val="2"/>
          <w:sz w:val="24"/>
          <w:szCs w:val="24"/>
          <w:highlight w:val="none"/>
        </w:rPr>
        <w:t>6、要求服务管理单位按国家有关规定对所属工作人员购买保险，购买必备的劳保用品，保持工作人员的相对稳定。</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7"/>
        <w:gridCol w:w="773"/>
        <w:gridCol w:w="959"/>
        <w:gridCol w:w="959"/>
        <w:gridCol w:w="959"/>
        <w:gridCol w:w="587"/>
        <w:gridCol w:w="3698"/>
      </w:tblGrid>
      <w:tr w14:paraId="487EC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000" w:type="pct"/>
            <w:gridSpan w:val="7"/>
            <w:noWrap/>
            <w:vAlign w:val="center"/>
          </w:tcPr>
          <w:p w14:paraId="680CA765">
            <w:pPr>
              <w:jc w:val="center"/>
              <w:rPr>
                <w:rFonts w:ascii="宋体" w:hAnsi="宋体" w:cs="宋体"/>
                <w:sz w:val="20"/>
                <w:szCs w:val="20"/>
                <w:highlight w:val="none"/>
              </w:rPr>
            </w:pPr>
            <w:r>
              <w:rPr>
                <w:rFonts w:hint="eastAsia" w:ascii="宋体" w:hAnsi="宋体" w:cs="宋体"/>
                <w:sz w:val="20"/>
                <w:szCs w:val="20"/>
                <w:highlight w:val="none"/>
              </w:rPr>
              <w:t>建议</w:t>
            </w:r>
            <w:r>
              <w:rPr>
                <w:rFonts w:ascii="宋体" w:hAnsi="宋体" w:cs="宋体"/>
                <w:sz w:val="20"/>
                <w:szCs w:val="20"/>
                <w:highlight w:val="none"/>
              </w:rPr>
              <w:t>裙楼</w:t>
            </w:r>
            <w:r>
              <w:rPr>
                <w:rFonts w:hint="eastAsia" w:ascii="宋体" w:hAnsi="宋体" w:cs="宋体"/>
                <w:sz w:val="20"/>
                <w:szCs w:val="20"/>
                <w:highlight w:val="none"/>
              </w:rPr>
              <w:t>物业管理</w:t>
            </w:r>
            <w:r>
              <w:rPr>
                <w:rFonts w:ascii="宋体" w:hAnsi="宋体" w:cs="宋体"/>
                <w:sz w:val="20"/>
                <w:szCs w:val="20"/>
                <w:highlight w:val="none"/>
              </w:rPr>
              <w:t>服务</w:t>
            </w:r>
            <w:r>
              <w:rPr>
                <w:rFonts w:hint="eastAsia" w:ascii="宋体" w:hAnsi="宋体" w:cs="宋体"/>
                <w:sz w:val="20"/>
                <w:szCs w:val="20"/>
                <w:highlight w:val="none"/>
              </w:rPr>
              <w:t>人员配置</w:t>
            </w:r>
          </w:p>
        </w:tc>
      </w:tr>
      <w:tr w14:paraId="7F3F8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350" w:type="pct"/>
            <w:noWrap/>
            <w:vAlign w:val="center"/>
          </w:tcPr>
          <w:p w14:paraId="431B0276">
            <w:pPr>
              <w:jc w:val="center"/>
              <w:rPr>
                <w:rFonts w:ascii="宋体" w:hAnsi="宋体" w:cs="宋体"/>
                <w:sz w:val="20"/>
                <w:szCs w:val="20"/>
                <w:highlight w:val="none"/>
              </w:rPr>
            </w:pPr>
            <w:r>
              <w:rPr>
                <w:rFonts w:hint="eastAsia" w:ascii="宋体" w:hAnsi="宋体" w:cs="宋体"/>
                <w:sz w:val="20"/>
                <w:szCs w:val="20"/>
                <w:highlight w:val="none"/>
              </w:rPr>
              <w:t>序号</w:t>
            </w:r>
          </w:p>
        </w:tc>
        <w:tc>
          <w:tcPr>
            <w:tcW w:w="460" w:type="pct"/>
            <w:noWrap/>
            <w:vAlign w:val="center"/>
          </w:tcPr>
          <w:p w14:paraId="7E3A2E3F">
            <w:pPr>
              <w:jc w:val="center"/>
              <w:rPr>
                <w:rFonts w:ascii="宋体" w:hAnsi="宋体" w:cs="宋体"/>
                <w:sz w:val="20"/>
                <w:szCs w:val="20"/>
                <w:highlight w:val="none"/>
              </w:rPr>
            </w:pPr>
            <w:r>
              <w:rPr>
                <w:rFonts w:hint="eastAsia" w:ascii="宋体" w:hAnsi="宋体" w:cs="宋体"/>
                <w:sz w:val="20"/>
                <w:szCs w:val="20"/>
                <w:highlight w:val="none"/>
              </w:rPr>
              <w:t>部门</w:t>
            </w:r>
          </w:p>
        </w:tc>
        <w:tc>
          <w:tcPr>
            <w:tcW w:w="569" w:type="pct"/>
            <w:noWrap/>
            <w:vAlign w:val="center"/>
          </w:tcPr>
          <w:p w14:paraId="190D2EBC">
            <w:pPr>
              <w:jc w:val="center"/>
              <w:rPr>
                <w:rFonts w:ascii="宋体" w:hAnsi="宋体" w:cs="宋体"/>
                <w:sz w:val="20"/>
                <w:szCs w:val="20"/>
                <w:highlight w:val="none"/>
              </w:rPr>
            </w:pPr>
            <w:r>
              <w:rPr>
                <w:rFonts w:hint="eastAsia" w:ascii="宋体" w:hAnsi="宋体" w:cs="宋体"/>
                <w:sz w:val="20"/>
                <w:szCs w:val="20"/>
                <w:highlight w:val="none"/>
              </w:rPr>
              <w:t>岗位</w:t>
            </w:r>
          </w:p>
        </w:tc>
        <w:tc>
          <w:tcPr>
            <w:tcW w:w="569" w:type="pct"/>
            <w:noWrap/>
            <w:vAlign w:val="center"/>
          </w:tcPr>
          <w:p w14:paraId="29C6A1EA">
            <w:pPr>
              <w:jc w:val="center"/>
              <w:rPr>
                <w:rFonts w:ascii="宋体" w:hAnsi="宋体" w:cs="宋体"/>
                <w:sz w:val="20"/>
                <w:szCs w:val="20"/>
                <w:highlight w:val="none"/>
              </w:rPr>
            </w:pPr>
            <w:r>
              <w:rPr>
                <w:rFonts w:hint="eastAsia" w:ascii="宋体" w:hAnsi="宋体" w:cs="宋体"/>
                <w:sz w:val="20"/>
                <w:szCs w:val="20"/>
                <w:highlight w:val="none"/>
              </w:rPr>
              <w:t>在岗人数</w:t>
            </w:r>
          </w:p>
        </w:tc>
        <w:tc>
          <w:tcPr>
            <w:tcW w:w="569" w:type="pct"/>
            <w:noWrap/>
            <w:vAlign w:val="center"/>
          </w:tcPr>
          <w:p w14:paraId="443E49A7">
            <w:pPr>
              <w:jc w:val="center"/>
              <w:rPr>
                <w:rFonts w:ascii="宋体" w:hAnsi="宋体" w:cs="宋体"/>
                <w:sz w:val="20"/>
                <w:szCs w:val="20"/>
                <w:highlight w:val="none"/>
              </w:rPr>
            </w:pPr>
            <w:r>
              <w:rPr>
                <w:rFonts w:hint="eastAsia" w:ascii="宋体" w:hAnsi="宋体" w:cs="宋体"/>
                <w:sz w:val="20"/>
                <w:szCs w:val="20"/>
                <w:highlight w:val="none"/>
              </w:rPr>
              <w:t>轮值人数</w:t>
            </w:r>
          </w:p>
        </w:tc>
        <w:tc>
          <w:tcPr>
            <w:tcW w:w="350" w:type="pct"/>
            <w:noWrap/>
            <w:vAlign w:val="center"/>
          </w:tcPr>
          <w:p w14:paraId="249C55A0">
            <w:pPr>
              <w:jc w:val="center"/>
              <w:rPr>
                <w:rFonts w:ascii="宋体" w:hAnsi="宋体" w:cs="宋体"/>
                <w:sz w:val="20"/>
                <w:szCs w:val="20"/>
                <w:highlight w:val="none"/>
              </w:rPr>
            </w:pPr>
            <w:r>
              <w:rPr>
                <w:rFonts w:hint="eastAsia" w:ascii="宋体" w:hAnsi="宋体" w:cs="宋体"/>
                <w:sz w:val="20"/>
                <w:szCs w:val="20"/>
                <w:highlight w:val="none"/>
              </w:rPr>
              <w:t>合计</w:t>
            </w:r>
          </w:p>
        </w:tc>
        <w:tc>
          <w:tcPr>
            <w:tcW w:w="2134" w:type="pct"/>
            <w:noWrap/>
            <w:vAlign w:val="center"/>
          </w:tcPr>
          <w:p w14:paraId="1C8D9951">
            <w:pPr>
              <w:jc w:val="center"/>
              <w:rPr>
                <w:rFonts w:ascii="宋体" w:hAnsi="宋体" w:cs="宋体"/>
                <w:sz w:val="20"/>
                <w:szCs w:val="20"/>
                <w:highlight w:val="none"/>
              </w:rPr>
            </w:pPr>
            <w:r>
              <w:rPr>
                <w:rFonts w:hint="eastAsia" w:ascii="宋体" w:hAnsi="宋体" w:cs="宋体"/>
                <w:sz w:val="20"/>
                <w:szCs w:val="20"/>
                <w:highlight w:val="none"/>
              </w:rPr>
              <w:t>备注</w:t>
            </w:r>
          </w:p>
        </w:tc>
      </w:tr>
      <w:tr w14:paraId="7707A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350" w:type="pct"/>
            <w:vMerge w:val="restart"/>
            <w:noWrap/>
            <w:vAlign w:val="center"/>
          </w:tcPr>
          <w:p w14:paraId="182DADE2">
            <w:pPr>
              <w:jc w:val="center"/>
              <w:rPr>
                <w:rFonts w:ascii="宋体" w:hAnsi="宋体" w:cs="宋体"/>
                <w:sz w:val="20"/>
                <w:szCs w:val="20"/>
                <w:highlight w:val="none"/>
              </w:rPr>
            </w:pPr>
            <w:r>
              <w:rPr>
                <w:rFonts w:hint="eastAsia" w:ascii="宋体" w:hAnsi="宋体" w:cs="宋体"/>
                <w:sz w:val="20"/>
                <w:szCs w:val="20"/>
                <w:highlight w:val="none"/>
              </w:rPr>
              <w:t>1</w:t>
            </w:r>
          </w:p>
        </w:tc>
        <w:tc>
          <w:tcPr>
            <w:tcW w:w="460" w:type="pct"/>
            <w:vMerge w:val="restart"/>
            <w:noWrap/>
            <w:vAlign w:val="center"/>
          </w:tcPr>
          <w:p w14:paraId="2B7469FB">
            <w:pPr>
              <w:jc w:val="center"/>
              <w:rPr>
                <w:rFonts w:ascii="宋体" w:hAnsi="宋体" w:cs="宋体"/>
                <w:sz w:val="20"/>
                <w:szCs w:val="20"/>
                <w:highlight w:val="none"/>
              </w:rPr>
            </w:pPr>
            <w:r>
              <w:rPr>
                <w:rFonts w:hint="eastAsia" w:ascii="宋体" w:hAnsi="宋体" w:cs="宋体"/>
                <w:sz w:val="20"/>
                <w:szCs w:val="20"/>
                <w:highlight w:val="none"/>
              </w:rPr>
              <w:t>物业部</w:t>
            </w:r>
          </w:p>
        </w:tc>
        <w:tc>
          <w:tcPr>
            <w:tcW w:w="569" w:type="pct"/>
            <w:noWrap/>
            <w:vAlign w:val="center"/>
          </w:tcPr>
          <w:p w14:paraId="2C128279">
            <w:pPr>
              <w:jc w:val="center"/>
              <w:rPr>
                <w:rFonts w:ascii="宋体" w:hAnsi="宋体" w:cs="宋体"/>
                <w:sz w:val="20"/>
                <w:szCs w:val="20"/>
                <w:highlight w:val="none"/>
              </w:rPr>
            </w:pPr>
            <w:r>
              <w:rPr>
                <w:rFonts w:hint="eastAsia" w:ascii="宋体" w:hAnsi="宋体" w:cs="宋体"/>
                <w:sz w:val="20"/>
                <w:szCs w:val="20"/>
                <w:highlight w:val="none"/>
              </w:rPr>
              <w:t>项目经理</w:t>
            </w:r>
          </w:p>
        </w:tc>
        <w:tc>
          <w:tcPr>
            <w:tcW w:w="569" w:type="pct"/>
            <w:noWrap/>
            <w:vAlign w:val="center"/>
          </w:tcPr>
          <w:p w14:paraId="5D242FF3">
            <w:pPr>
              <w:jc w:val="center"/>
              <w:rPr>
                <w:rFonts w:ascii="宋体" w:hAnsi="宋体" w:cs="宋体"/>
                <w:sz w:val="20"/>
                <w:szCs w:val="20"/>
                <w:highlight w:val="none"/>
              </w:rPr>
            </w:pPr>
            <w:r>
              <w:rPr>
                <w:rFonts w:hint="eastAsia" w:ascii="宋体" w:hAnsi="宋体" w:cs="宋体"/>
                <w:sz w:val="20"/>
                <w:szCs w:val="20"/>
                <w:highlight w:val="none"/>
              </w:rPr>
              <w:t>1</w:t>
            </w:r>
          </w:p>
        </w:tc>
        <w:tc>
          <w:tcPr>
            <w:tcW w:w="569" w:type="pct"/>
            <w:noWrap/>
            <w:vAlign w:val="center"/>
          </w:tcPr>
          <w:p w14:paraId="50506EDE">
            <w:pPr>
              <w:jc w:val="center"/>
              <w:rPr>
                <w:rFonts w:ascii="宋体" w:hAnsi="宋体" w:cs="宋体"/>
                <w:sz w:val="20"/>
                <w:szCs w:val="20"/>
                <w:highlight w:val="none"/>
              </w:rPr>
            </w:pPr>
            <w:r>
              <w:rPr>
                <w:rFonts w:hint="eastAsia" w:ascii="宋体" w:hAnsi="宋体" w:cs="宋体"/>
                <w:sz w:val="20"/>
                <w:szCs w:val="20"/>
                <w:highlight w:val="none"/>
              </w:rPr>
              <w:t>0</w:t>
            </w:r>
          </w:p>
        </w:tc>
        <w:tc>
          <w:tcPr>
            <w:tcW w:w="350" w:type="pct"/>
            <w:noWrap/>
            <w:vAlign w:val="center"/>
          </w:tcPr>
          <w:p w14:paraId="38BA2293">
            <w:pPr>
              <w:jc w:val="center"/>
              <w:rPr>
                <w:rFonts w:ascii="宋体" w:hAnsi="宋体" w:cs="宋体"/>
                <w:sz w:val="20"/>
                <w:szCs w:val="20"/>
                <w:highlight w:val="none"/>
              </w:rPr>
            </w:pPr>
            <w:r>
              <w:rPr>
                <w:rFonts w:hint="eastAsia" w:ascii="宋体" w:hAnsi="宋体" w:cs="宋体"/>
                <w:sz w:val="20"/>
                <w:szCs w:val="20"/>
                <w:highlight w:val="none"/>
              </w:rPr>
              <w:t>1</w:t>
            </w:r>
          </w:p>
        </w:tc>
        <w:tc>
          <w:tcPr>
            <w:tcW w:w="2134" w:type="pct"/>
            <w:noWrap/>
            <w:vAlign w:val="center"/>
          </w:tcPr>
          <w:p w14:paraId="57CD38C5">
            <w:pPr>
              <w:jc w:val="center"/>
              <w:rPr>
                <w:rFonts w:ascii="宋体" w:hAnsi="宋体" w:cs="宋体"/>
                <w:sz w:val="20"/>
                <w:szCs w:val="20"/>
                <w:highlight w:val="none"/>
              </w:rPr>
            </w:pPr>
            <w:r>
              <w:rPr>
                <w:rFonts w:hint="eastAsia" w:ascii="宋体" w:hAnsi="宋体" w:cs="宋体"/>
                <w:sz w:val="20"/>
                <w:szCs w:val="20"/>
                <w:highlight w:val="none"/>
              </w:rPr>
              <w:t>　</w:t>
            </w:r>
          </w:p>
        </w:tc>
      </w:tr>
      <w:tr w14:paraId="59BBF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350" w:type="pct"/>
            <w:vMerge w:val="continue"/>
            <w:vAlign w:val="center"/>
          </w:tcPr>
          <w:p w14:paraId="7CE33029">
            <w:pPr>
              <w:jc w:val="center"/>
              <w:rPr>
                <w:rFonts w:ascii="宋体" w:hAnsi="宋体" w:cs="宋体"/>
                <w:sz w:val="20"/>
                <w:szCs w:val="20"/>
                <w:highlight w:val="none"/>
              </w:rPr>
            </w:pPr>
          </w:p>
        </w:tc>
        <w:tc>
          <w:tcPr>
            <w:tcW w:w="460" w:type="pct"/>
            <w:vMerge w:val="continue"/>
            <w:vAlign w:val="center"/>
          </w:tcPr>
          <w:p w14:paraId="32BB7D1F">
            <w:pPr>
              <w:jc w:val="center"/>
              <w:rPr>
                <w:rFonts w:ascii="宋体" w:hAnsi="宋体" w:cs="宋体"/>
                <w:sz w:val="20"/>
                <w:szCs w:val="20"/>
                <w:highlight w:val="none"/>
              </w:rPr>
            </w:pPr>
          </w:p>
        </w:tc>
        <w:tc>
          <w:tcPr>
            <w:tcW w:w="569" w:type="pct"/>
            <w:noWrap/>
            <w:vAlign w:val="center"/>
          </w:tcPr>
          <w:p w14:paraId="5DBBDB36">
            <w:pPr>
              <w:jc w:val="center"/>
              <w:rPr>
                <w:rFonts w:ascii="宋体" w:hAnsi="宋体" w:cs="宋体"/>
                <w:sz w:val="20"/>
                <w:szCs w:val="20"/>
                <w:highlight w:val="none"/>
              </w:rPr>
            </w:pPr>
            <w:r>
              <w:rPr>
                <w:rFonts w:hint="eastAsia" w:ascii="宋体" w:hAnsi="宋体" w:cs="宋体"/>
                <w:sz w:val="20"/>
                <w:szCs w:val="20"/>
                <w:highlight w:val="none"/>
              </w:rPr>
              <w:t>项目助理</w:t>
            </w:r>
          </w:p>
        </w:tc>
        <w:tc>
          <w:tcPr>
            <w:tcW w:w="569" w:type="pct"/>
            <w:noWrap/>
            <w:vAlign w:val="center"/>
          </w:tcPr>
          <w:p w14:paraId="0AD5955D">
            <w:pPr>
              <w:jc w:val="center"/>
              <w:rPr>
                <w:rFonts w:ascii="宋体" w:hAnsi="宋体" w:cs="宋体"/>
                <w:sz w:val="20"/>
                <w:szCs w:val="20"/>
                <w:highlight w:val="none"/>
              </w:rPr>
            </w:pPr>
            <w:r>
              <w:rPr>
                <w:rFonts w:hint="eastAsia" w:ascii="宋体" w:hAnsi="宋体" w:cs="宋体"/>
                <w:sz w:val="20"/>
                <w:szCs w:val="20"/>
                <w:highlight w:val="none"/>
              </w:rPr>
              <w:t>1</w:t>
            </w:r>
          </w:p>
        </w:tc>
        <w:tc>
          <w:tcPr>
            <w:tcW w:w="569" w:type="pct"/>
            <w:noWrap/>
            <w:vAlign w:val="center"/>
          </w:tcPr>
          <w:p w14:paraId="3ECFD618">
            <w:pPr>
              <w:jc w:val="center"/>
              <w:rPr>
                <w:rFonts w:ascii="宋体" w:hAnsi="宋体" w:cs="宋体"/>
                <w:sz w:val="20"/>
                <w:szCs w:val="20"/>
                <w:highlight w:val="none"/>
              </w:rPr>
            </w:pPr>
            <w:r>
              <w:rPr>
                <w:rFonts w:hint="eastAsia" w:ascii="宋体" w:hAnsi="宋体" w:cs="宋体"/>
                <w:sz w:val="20"/>
                <w:szCs w:val="20"/>
                <w:highlight w:val="none"/>
              </w:rPr>
              <w:t>0</w:t>
            </w:r>
          </w:p>
        </w:tc>
        <w:tc>
          <w:tcPr>
            <w:tcW w:w="350" w:type="pct"/>
            <w:noWrap/>
            <w:vAlign w:val="center"/>
          </w:tcPr>
          <w:p w14:paraId="4655313B">
            <w:pPr>
              <w:jc w:val="center"/>
              <w:rPr>
                <w:rFonts w:ascii="宋体" w:hAnsi="宋体" w:cs="宋体"/>
                <w:sz w:val="20"/>
                <w:szCs w:val="20"/>
                <w:highlight w:val="none"/>
              </w:rPr>
            </w:pPr>
            <w:r>
              <w:rPr>
                <w:rFonts w:hint="eastAsia" w:ascii="宋体" w:hAnsi="宋体" w:cs="宋体"/>
                <w:sz w:val="20"/>
                <w:szCs w:val="20"/>
                <w:highlight w:val="none"/>
              </w:rPr>
              <w:t>1</w:t>
            </w:r>
          </w:p>
        </w:tc>
        <w:tc>
          <w:tcPr>
            <w:tcW w:w="2134" w:type="pct"/>
            <w:noWrap/>
            <w:vAlign w:val="center"/>
          </w:tcPr>
          <w:p w14:paraId="4D4E8E75">
            <w:pPr>
              <w:jc w:val="center"/>
              <w:rPr>
                <w:rFonts w:ascii="宋体" w:hAnsi="宋体" w:cs="宋体"/>
                <w:sz w:val="20"/>
                <w:szCs w:val="20"/>
                <w:highlight w:val="none"/>
              </w:rPr>
            </w:pPr>
            <w:r>
              <w:rPr>
                <w:rFonts w:hint="eastAsia" w:ascii="宋体" w:hAnsi="宋体" w:cs="宋体"/>
                <w:sz w:val="20"/>
                <w:szCs w:val="20"/>
                <w:highlight w:val="none"/>
              </w:rPr>
              <w:t>兼客服主管、行政工作</w:t>
            </w:r>
          </w:p>
        </w:tc>
      </w:tr>
      <w:tr w14:paraId="01621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350" w:type="pct"/>
            <w:vMerge w:val="continue"/>
            <w:vAlign w:val="center"/>
          </w:tcPr>
          <w:p w14:paraId="1B52B838">
            <w:pPr>
              <w:jc w:val="center"/>
              <w:rPr>
                <w:rFonts w:ascii="宋体" w:hAnsi="宋体" w:cs="宋体"/>
                <w:sz w:val="20"/>
                <w:szCs w:val="20"/>
                <w:highlight w:val="none"/>
              </w:rPr>
            </w:pPr>
          </w:p>
        </w:tc>
        <w:tc>
          <w:tcPr>
            <w:tcW w:w="460" w:type="pct"/>
            <w:vMerge w:val="continue"/>
            <w:vAlign w:val="center"/>
          </w:tcPr>
          <w:p w14:paraId="4F720EC4">
            <w:pPr>
              <w:jc w:val="center"/>
              <w:rPr>
                <w:rFonts w:ascii="宋体" w:hAnsi="宋体" w:cs="宋体"/>
                <w:sz w:val="20"/>
                <w:szCs w:val="20"/>
                <w:highlight w:val="none"/>
              </w:rPr>
            </w:pPr>
          </w:p>
        </w:tc>
        <w:tc>
          <w:tcPr>
            <w:tcW w:w="569" w:type="pct"/>
            <w:noWrap/>
            <w:vAlign w:val="center"/>
          </w:tcPr>
          <w:p w14:paraId="65AD478C">
            <w:pPr>
              <w:jc w:val="center"/>
              <w:rPr>
                <w:rFonts w:ascii="宋体" w:hAnsi="宋体" w:cs="宋体"/>
                <w:sz w:val="20"/>
                <w:szCs w:val="20"/>
                <w:highlight w:val="none"/>
              </w:rPr>
            </w:pPr>
            <w:r>
              <w:rPr>
                <w:rFonts w:hint="eastAsia" w:ascii="宋体" w:hAnsi="宋体" w:cs="宋体"/>
                <w:sz w:val="20"/>
                <w:szCs w:val="20"/>
                <w:highlight w:val="none"/>
              </w:rPr>
              <w:t>客服</w:t>
            </w:r>
          </w:p>
        </w:tc>
        <w:tc>
          <w:tcPr>
            <w:tcW w:w="569" w:type="pct"/>
            <w:noWrap/>
            <w:vAlign w:val="center"/>
          </w:tcPr>
          <w:p w14:paraId="439EB79A">
            <w:pPr>
              <w:jc w:val="center"/>
              <w:rPr>
                <w:rFonts w:ascii="宋体" w:hAnsi="宋体" w:cs="宋体"/>
                <w:sz w:val="20"/>
                <w:szCs w:val="20"/>
                <w:highlight w:val="none"/>
              </w:rPr>
            </w:pPr>
            <w:r>
              <w:rPr>
                <w:rFonts w:hint="eastAsia" w:ascii="宋体" w:hAnsi="宋体" w:cs="宋体"/>
                <w:sz w:val="20"/>
                <w:szCs w:val="20"/>
                <w:highlight w:val="none"/>
              </w:rPr>
              <w:t>2</w:t>
            </w:r>
          </w:p>
        </w:tc>
        <w:tc>
          <w:tcPr>
            <w:tcW w:w="569" w:type="pct"/>
            <w:noWrap/>
            <w:vAlign w:val="center"/>
          </w:tcPr>
          <w:p w14:paraId="3AF65E72">
            <w:pPr>
              <w:jc w:val="center"/>
              <w:rPr>
                <w:rFonts w:ascii="宋体" w:hAnsi="宋体" w:cs="宋体"/>
                <w:sz w:val="20"/>
                <w:szCs w:val="20"/>
                <w:highlight w:val="none"/>
              </w:rPr>
            </w:pPr>
            <w:r>
              <w:rPr>
                <w:rFonts w:hint="eastAsia" w:ascii="宋体" w:hAnsi="宋体" w:cs="宋体"/>
                <w:sz w:val="20"/>
                <w:szCs w:val="20"/>
                <w:highlight w:val="none"/>
              </w:rPr>
              <w:t>0</w:t>
            </w:r>
          </w:p>
        </w:tc>
        <w:tc>
          <w:tcPr>
            <w:tcW w:w="350" w:type="pct"/>
            <w:noWrap/>
            <w:vAlign w:val="center"/>
          </w:tcPr>
          <w:p w14:paraId="18920A8B">
            <w:pPr>
              <w:jc w:val="center"/>
              <w:rPr>
                <w:rFonts w:ascii="宋体" w:hAnsi="宋体" w:cs="宋体"/>
                <w:sz w:val="20"/>
                <w:szCs w:val="20"/>
                <w:highlight w:val="none"/>
              </w:rPr>
            </w:pPr>
            <w:r>
              <w:rPr>
                <w:rFonts w:hint="eastAsia" w:ascii="宋体" w:hAnsi="宋体" w:cs="宋体"/>
                <w:sz w:val="20"/>
                <w:szCs w:val="20"/>
                <w:highlight w:val="none"/>
              </w:rPr>
              <w:t>2</w:t>
            </w:r>
          </w:p>
        </w:tc>
        <w:tc>
          <w:tcPr>
            <w:tcW w:w="2134" w:type="pct"/>
            <w:noWrap/>
            <w:vAlign w:val="center"/>
          </w:tcPr>
          <w:p w14:paraId="35AB22C8">
            <w:pPr>
              <w:jc w:val="center"/>
              <w:rPr>
                <w:rFonts w:ascii="宋体" w:hAnsi="宋体" w:cs="宋体"/>
                <w:sz w:val="20"/>
                <w:szCs w:val="20"/>
                <w:highlight w:val="none"/>
              </w:rPr>
            </w:pPr>
            <w:r>
              <w:rPr>
                <w:rFonts w:hint="eastAsia" w:ascii="宋体" w:hAnsi="宋体" w:cs="宋体"/>
                <w:sz w:val="20"/>
                <w:szCs w:val="20"/>
                <w:highlight w:val="none"/>
              </w:rPr>
              <w:t>兼水电收费、运营工作</w:t>
            </w:r>
          </w:p>
        </w:tc>
      </w:tr>
      <w:tr w14:paraId="724EF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350" w:type="pct"/>
            <w:vMerge w:val="continue"/>
            <w:vAlign w:val="center"/>
          </w:tcPr>
          <w:p w14:paraId="2A94A0E0">
            <w:pPr>
              <w:jc w:val="center"/>
              <w:rPr>
                <w:rFonts w:ascii="宋体" w:hAnsi="宋体" w:cs="宋体"/>
                <w:sz w:val="20"/>
                <w:szCs w:val="20"/>
                <w:highlight w:val="none"/>
              </w:rPr>
            </w:pPr>
          </w:p>
        </w:tc>
        <w:tc>
          <w:tcPr>
            <w:tcW w:w="460" w:type="pct"/>
            <w:vMerge w:val="continue"/>
            <w:vAlign w:val="center"/>
          </w:tcPr>
          <w:p w14:paraId="22EC8200">
            <w:pPr>
              <w:jc w:val="center"/>
              <w:rPr>
                <w:rFonts w:ascii="宋体" w:hAnsi="宋体" w:cs="宋体"/>
                <w:sz w:val="20"/>
                <w:szCs w:val="20"/>
                <w:highlight w:val="none"/>
              </w:rPr>
            </w:pPr>
          </w:p>
        </w:tc>
        <w:tc>
          <w:tcPr>
            <w:tcW w:w="569" w:type="pct"/>
            <w:noWrap/>
            <w:vAlign w:val="center"/>
          </w:tcPr>
          <w:p w14:paraId="66440A0F">
            <w:pPr>
              <w:jc w:val="center"/>
              <w:rPr>
                <w:rFonts w:ascii="宋体" w:hAnsi="宋体" w:cs="宋体"/>
                <w:sz w:val="20"/>
                <w:szCs w:val="20"/>
                <w:highlight w:val="none"/>
              </w:rPr>
            </w:pPr>
            <w:r>
              <w:rPr>
                <w:rFonts w:hint="eastAsia" w:ascii="宋体" w:hAnsi="宋体" w:cs="宋体"/>
                <w:sz w:val="20"/>
                <w:szCs w:val="20"/>
                <w:highlight w:val="none"/>
              </w:rPr>
              <w:t>　</w:t>
            </w:r>
          </w:p>
        </w:tc>
        <w:tc>
          <w:tcPr>
            <w:tcW w:w="569" w:type="pct"/>
            <w:noWrap/>
            <w:vAlign w:val="center"/>
          </w:tcPr>
          <w:p w14:paraId="5B42D1A7">
            <w:pPr>
              <w:jc w:val="center"/>
              <w:rPr>
                <w:rFonts w:ascii="宋体" w:hAnsi="宋体" w:cs="宋体"/>
                <w:sz w:val="20"/>
                <w:szCs w:val="20"/>
                <w:highlight w:val="none"/>
              </w:rPr>
            </w:pPr>
            <w:r>
              <w:rPr>
                <w:rFonts w:hint="eastAsia" w:ascii="宋体" w:hAnsi="宋体" w:cs="宋体"/>
                <w:sz w:val="20"/>
                <w:szCs w:val="20"/>
                <w:highlight w:val="none"/>
              </w:rPr>
              <w:t>　</w:t>
            </w:r>
          </w:p>
        </w:tc>
        <w:tc>
          <w:tcPr>
            <w:tcW w:w="569" w:type="pct"/>
            <w:noWrap/>
            <w:vAlign w:val="center"/>
          </w:tcPr>
          <w:p w14:paraId="2D71E0EA">
            <w:pPr>
              <w:jc w:val="center"/>
              <w:rPr>
                <w:rFonts w:ascii="宋体" w:hAnsi="宋体" w:cs="宋体"/>
                <w:sz w:val="20"/>
                <w:szCs w:val="20"/>
                <w:highlight w:val="none"/>
              </w:rPr>
            </w:pPr>
            <w:r>
              <w:rPr>
                <w:rFonts w:hint="eastAsia" w:ascii="宋体" w:hAnsi="宋体" w:cs="宋体"/>
                <w:sz w:val="20"/>
                <w:szCs w:val="20"/>
                <w:highlight w:val="none"/>
              </w:rPr>
              <w:t>部门人数</w:t>
            </w:r>
          </w:p>
        </w:tc>
        <w:tc>
          <w:tcPr>
            <w:tcW w:w="350" w:type="pct"/>
            <w:noWrap/>
            <w:vAlign w:val="center"/>
          </w:tcPr>
          <w:p w14:paraId="04CE4468">
            <w:pPr>
              <w:jc w:val="center"/>
              <w:rPr>
                <w:rFonts w:ascii="宋体" w:hAnsi="宋体" w:cs="宋体"/>
                <w:sz w:val="20"/>
                <w:szCs w:val="20"/>
                <w:highlight w:val="none"/>
              </w:rPr>
            </w:pPr>
            <w:r>
              <w:rPr>
                <w:rFonts w:hint="eastAsia" w:ascii="宋体" w:hAnsi="宋体" w:cs="宋体"/>
                <w:sz w:val="20"/>
                <w:szCs w:val="20"/>
                <w:highlight w:val="none"/>
              </w:rPr>
              <w:t>4</w:t>
            </w:r>
          </w:p>
        </w:tc>
        <w:tc>
          <w:tcPr>
            <w:tcW w:w="2134" w:type="pct"/>
            <w:noWrap/>
            <w:vAlign w:val="center"/>
          </w:tcPr>
          <w:p w14:paraId="7823039F">
            <w:pPr>
              <w:jc w:val="center"/>
              <w:rPr>
                <w:rFonts w:ascii="宋体" w:hAnsi="宋体" w:cs="宋体"/>
                <w:sz w:val="20"/>
                <w:szCs w:val="20"/>
                <w:highlight w:val="none"/>
              </w:rPr>
            </w:pPr>
            <w:r>
              <w:rPr>
                <w:rFonts w:hint="eastAsia" w:ascii="宋体" w:hAnsi="宋体" w:cs="宋体"/>
                <w:sz w:val="20"/>
                <w:szCs w:val="20"/>
                <w:highlight w:val="none"/>
              </w:rPr>
              <w:t>　</w:t>
            </w:r>
          </w:p>
        </w:tc>
      </w:tr>
      <w:tr w14:paraId="053B4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350" w:type="pct"/>
            <w:vMerge w:val="restart"/>
            <w:noWrap/>
            <w:vAlign w:val="center"/>
          </w:tcPr>
          <w:p w14:paraId="5ED87709">
            <w:pPr>
              <w:jc w:val="center"/>
              <w:rPr>
                <w:rFonts w:ascii="宋体" w:hAnsi="宋体" w:cs="宋体"/>
                <w:sz w:val="20"/>
                <w:szCs w:val="20"/>
                <w:highlight w:val="none"/>
              </w:rPr>
            </w:pPr>
            <w:r>
              <w:rPr>
                <w:rFonts w:hint="eastAsia" w:ascii="宋体" w:hAnsi="宋体" w:cs="宋体"/>
                <w:sz w:val="20"/>
                <w:szCs w:val="20"/>
                <w:highlight w:val="none"/>
              </w:rPr>
              <w:t>2</w:t>
            </w:r>
          </w:p>
        </w:tc>
        <w:tc>
          <w:tcPr>
            <w:tcW w:w="460" w:type="pct"/>
            <w:vMerge w:val="restart"/>
            <w:noWrap/>
            <w:vAlign w:val="center"/>
          </w:tcPr>
          <w:p w14:paraId="315B8650">
            <w:pPr>
              <w:jc w:val="center"/>
              <w:rPr>
                <w:rFonts w:ascii="宋体" w:hAnsi="宋体" w:cs="宋体"/>
                <w:sz w:val="20"/>
                <w:szCs w:val="20"/>
                <w:highlight w:val="none"/>
              </w:rPr>
            </w:pPr>
            <w:r>
              <w:rPr>
                <w:rFonts w:hint="eastAsia" w:ascii="宋体" w:hAnsi="宋体" w:cs="宋体"/>
                <w:sz w:val="20"/>
                <w:szCs w:val="20"/>
                <w:highlight w:val="none"/>
              </w:rPr>
              <w:t>工程部</w:t>
            </w:r>
          </w:p>
        </w:tc>
        <w:tc>
          <w:tcPr>
            <w:tcW w:w="569" w:type="pct"/>
            <w:noWrap/>
            <w:vAlign w:val="center"/>
          </w:tcPr>
          <w:p w14:paraId="1F3C7013">
            <w:pPr>
              <w:jc w:val="center"/>
              <w:rPr>
                <w:rFonts w:ascii="宋体" w:hAnsi="宋体" w:cs="宋体"/>
                <w:sz w:val="20"/>
                <w:szCs w:val="20"/>
                <w:highlight w:val="none"/>
              </w:rPr>
            </w:pPr>
            <w:r>
              <w:rPr>
                <w:rFonts w:hint="eastAsia" w:ascii="宋体" w:hAnsi="宋体" w:cs="宋体"/>
                <w:sz w:val="20"/>
                <w:szCs w:val="20"/>
                <w:highlight w:val="none"/>
              </w:rPr>
              <w:t>工程主管</w:t>
            </w:r>
          </w:p>
        </w:tc>
        <w:tc>
          <w:tcPr>
            <w:tcW w:w="569" w:type="pct"/>
            <w:noWrap/>
            <w:vAlign w:val="center"/>
          </w:tcPr>
          <w:p w14:paraId="6CA4478A">
            <w:pPr>
              <w:jc w:val="center"/>
              <w:rPr>
                <w:rFonts w:ascii="宋体" w:hAnsi="宋体" w:cs="宋体"/>
                <w:sz w:val="20"/>
                <w:szCs w:val="20"/>
                <w:highlight w:val="none"/>
              </w:rPr>
            </w:pPr>
            <w:r>
              <w:rPr>
                <w:rFonts w:hint="eastAsia" w:ascii="宋体" w:hAnsi="宋体" w:cs="宋体"/>
                <w:sz w:val="20"/>
                <w:szCs w:val="20"/>
                <w:highlight w:val="none"/>
              </w:rPr>
              <w:t>1</w:t>
            </w:r>
          </w:p>
        </w:tc>
        <w:tc>
          <w:tcPr>
            <w:tcW w:w="569" w:type="pct"/>
            <w:noWrap/>
            <w:vAlign w:val="center"/>
          </w:tcPr>
          <w:p w14:paraId="755973A3">
            <w:pPr>
              <w:jc w:val="center"/>
              <w:rPr>
                <w:rFonts w:ascii="宋体" w:hAnsi="宋体" w:cs="宋体"/>
                <w:sz w:val="20"/>
                <w:szCs w:val="20"/>
                <w:highlight w:val="none"/>
              </w:rPr>
            </w:pPr>
            <w:r>
              <w:rPr>
                <w:rFonts w:hint="eastAsia" w:ascii="宋体" w:hAnsi="宋体" w:cs="宋体"/>
                <w:sz w:val="20"/>
                <w:szCs w:val="20"/>
                <w:highlight w:val="none"/>
              </w:rPr>
              <w:t>0</w:t>
            </w:r>
          </w:p>
        </w:tc>
        <w:tc>
          <w:tcPr>
            <w:tcW w:w="350" w:type="pct"/>
            <w:noWrap/>
            <w:vAlign w:val="center"/>
          </w:tcPr>
          <w:p w14:paraId="03B633D2">
            <w:pPr>
              <w:jc w:val="center"/>
              <w:rPr>
                <w:rFonts w:ascii="宋体" w:hAnsi="宋体" w:cs="宋体"/>
                <w:sz w:val="20"/>
                <w:szCs w:val="20"/>
                <w:highlight w:val="none"/>
              </w:rPr>
            </w:pPr>
            <w:r>
              <w:rPr>
                <w:rFonts w:hint="eastAsia" w:ascii="宋体" w:hAnsi="宋体" w:cs="宋体"/>
                <w:sz w:val="20"/>
                <w:szCs w:val="20"/>
                <w:highlight w:val="none"/>
              </w:rPr>
              <w:t>1</w:t>
            </w:r>
          </w:p>
        </w:tc>
        <w:tc>
          <w:tcPr>
            <w:tcW w:w="2134" w:type="pct"/>
            <w:noWrap/>
            <w:vAlign w:val="center"/>
          </w:tcPr>
          <w:p w14:paraId="7FEEBFA6">
            <w:pPr>
              <w:jc w:val="center"/>
              <w:rPr>
                <w:rFonts w:ascii="宋体" w:hAnsi="宋体" w:cs="宋体"/>
                <w:sz w:val="20"/>
                <w:szCs w:val="20"/>
                <w:highlight w:val="none"/>
              </w:rPr>
            </w:pPr>
            <w:r>
              <w:rPr>
                <w:rFonts w:hint="eastAsia" w:ascii="宋体" w:hAnsi="宋体" w:cs="宋体"/>
                <w:sz w:val="20"/>
                <w:szCs w:val="20"/>
                <w:highlight w:val="none"/>
              </w:rPr>
              <w:t>兼设备管理、装修管理</w:t>
            </w:r>
          </w:p>
        </w:tc>
      </w:tr>
      <w:tr w14:paraId="7308B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350" w:type="pct"/>
            <w:vMerge w:val="continue"/>
            <w:vAlign w:val="center"/>
          </w:tcPr>
          <w:p w14:paraId="4DC4C21C">
            <w:pPr>
              <w:jc w:val="center"/>
              <w:rPr>
                <w:rFonts w:ascii="宋体" w:hAnsi="宋体" w:cs="宋体"/>
                <w:sz w:val="20"/>
                <w:szCs w:val="20"/>
                <w:highlight w:val="none"/>
              </w:rPr>
            </w:pPr>
          </w:p>
        </w:tc>
        <w:tc>
          <w:tcPr>
            <w:tcW w:w="460" w:type="pct"/>
            <w:vMerge w:val="continue"/>
            <w:vAlign w:val="center"/>
          </w:tcPr>
          <w:p w14:paraId="10577C0C">
            <w:pPr>
              <w:jc w:val="center"/>
              <w:rPr>
                <w:rFonts w:ascii="宋体" w:hAnsi="宋体" w:cs="宋体"/>
                <w:sz w:val="20"/>
                <w:szCs w:val="20"/>
                <w:highlight w:val="none"/>
              </w:rPr>
            </w:pPr>
          </w:p>
        </w:tc>
        <w:tc>
          <w:tcPr>
            <w:tcW w:w="569" w:type="pct"/>
            <w:noWrap/>
            <w:vAlign w:val="center"/>
          </w:tcPr>
          <w:p w14:paraId="073EA3F7">
            <w:pPr>
              <w:jc w:val="center"/>
              <w:rPr>
                <w:rFonts w:ascii="宋体" w:hAnsi="宋体" w:cs="宋体"/>
                <w:sz w:val="20"/>
                <w:szCs w:val="20"/>
                <w:highlight w:val="none"/>
              </w:rPr>
            </w:pPr>
            <w:r>
              <w:rPr>
                <w:rFonts w:hint="eastAsia" w:ascii="宋体" w:hAnsi="宋体" w:cs="宋体"/>
                <w:sz w:val="20"/>
                <w:szCs w:val="20"/>
                <w:highlight w:val="none"/>
              </w:rPr>
              <w:t>配电间</w:t>
            </w:r>
          </w:p>
        </w:tc>
        <w:tc>
          <w:tcPr>
            <w:tcW w:w="569" w:type="pct"/>
            <w:noWrap/>
            <w:vAlign w:val="center"/>
          </w:tcPr>
          <w:p w14:paraId="0924F8C6">
            <w:pPr>
              <w:jc w:val="center"/>
              <w:rPr>
                <w:rFonts w:ascii="宋体" w:hAnsi="宋体" w:cs="宋体"/>
                <w:sz w:val="20"/>
                <w:szCs w:val="20"/>
                <w:highlight w:val="none"/>
              </w:rPr>
            </w:pPr>
            <w:r>
              <w:rPr>
                <w:rFonts w:hint="eastAsia" w:ascii="宋体" w:hAnsi="宋体" w:cs="宋体"/>
                <w:sz w:val="20"/>
                <w:szCs w:val="20"/>
                <w:highlight w:val="none"/>
              </w:rPr>
              <w:t>3</w:t>
            </w:r>
          </w:p>
        </w:tc>
        <w:tc>
          <w:tcPr>
            <w:tcW w:w="569" w:type="pct"/>
            <w:noWrap/>
            <w:vAlign w:val="center"/>
          </w:tcPr>
          <w:p w14:paraId="6A6886B0">
            <w:pPr>
              <w:jc w:val="center"/>
              <w:rPr>
                <w:rFonts w:ascii="宋体" w:hAnsi="宋体" w:cs="宋体"/>
                <w:sz w:val="20"/>
                <w:szCs w:val="20"/>
                <w:highlight w:val="none"/>
              </w:rPr>
            </w:pPr>
            <w:r>
              <w:rPr>
                <w:rFonts w:hint="eastAsia" w:ascii="宋体" w:hAnsi="宋体" w:cs="宋体"/>
                <w:sz w:val="20"/>
                <w:szCs w:val="20"/>
                <w:highlight w:val="none"/>
              </w:rPr>
              <w:t>1</w:t>
            </w:r>
          </w:p>
        </w:tc>
        <w:tc>
          <w:tcPr>
            <w:tcW w:w="350" w:type="pct"/>
            <w:noWrap/>
            <w:vAlign w:val="center"/>
          </w:tcPr>
          <w:p w14:paraId="47040812">
            <w:pPr>
              <w:jc w:val="center"/>
              <w:rPr>
                <w:rFonts w:ascii="宋体" w:hAnsi="宋体" w:cs="宋体"/>
                <w:sz w:val="20"/>
                <w:szCs w:val="20"/>
                <w:highlight w:val="none"/>
              </w:rPr>
            </w:pPr>
            <w:r>
              <w:rPr>
                <w:rFonts w:hint="eastAsia" w:ascii="宋体" w:hAnsi="宋体" w:cs="宋体"/>
                <w:sz w:val="20"/>
                <w:szCs w:val="20"/>
                <w:highlight w:val="none"/>
              </w:rPr>
              <w:t>4</w:t>
            </w:r>
          </w:p>
        </w:tc>
        <w:tc>
          <w:tcPr>
            <w:tcW w:w="2134" w:type="pct"/>
            <w:noWrap/>
            <w:vAlign w:val="center"/>
          </w:tcPr>
          <w:p w14:paraId="00B6773B">
            <w:pPr>
              <w:jc w:val="center"/>
              <w:rPr>
                <w:rFonts w:ascii="宋体" w:hAnsi="宋体" w:cs="宋体"/>
                <w:sz w:val="20"/>
                <w:szCs w:val="20"/>
                <w:highlight w:val="none"/>
              </w:rPr>
            </w:pPr>
            <w:r>
              <w:rPr>
                <w:rFonts w:ascii="宋体" w:hAnsi="宋体" w:cs="宋体"/>
                <w:b/>
                <w:sz w:val="20"/>
                <w:szCs w:val="20"/>
                <w:highlight w:val="none"/>
              </w:rPr>
              <w:t>*</w:t>
            </w:r>
            <w:r>
              <w:rPr>
                <w:rFonts w:hint="eastAsia" w:ascii="宋体" w:hAnsi="宋体" w:cs="宋体"/>
                <w:sz w:val="20"/>
                <w:szCs w:val="20"/>
                <w:highlight w:val="none"/>
              </w:rPr>
              <w:t>24小时值班，需持有高压电工特种作业证</w:t>
            </w:r>
          </w:p>
        </w:tc>
      </w:tr>
      <w:tr w14:paraId="19B6D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350" w:type="pct"/>
            <w:vMerge w:val="continue"/>
            <w:vAlign w:val="center"/>
          </w:tcPr>
          <w:p w14:paraId="30D441E2">
            <w:pPr>
              <w:jc w:val="center"/>
              <w:rPr>
                <w:rFonts w:ascii="宋体" w:hAnsi="宋体" w:cs="宋体"/>
                <w:sz w:val="20"/>
                <w:szCs w:val="20"/>
                <w:highlight w:val="none"/>
              </w:rPr>
            </w:pPr>
          </w:p>
        </w:tc>
        <w:tc>
          <w:tcPr>
            <w:tcW w:w="460" w:type="pct"/>
            <w:vMerge w:val="continue"/>
            <w:vAlign w:val="center"/>
          </w:tcPr>
          <w:p w14:paraId="59F03CD0">
            <w:pPr>
              <w:jc w:val="center"/>
              <w:rPr>
                <w:rFonts w:ascii="宋体" w:hAnsi="宋体" w:cs="宋体"/>
                <w:sz w:val="20"/>
                <w:szCs w:val="20"/>
                <w:highlight w:val="none"/>
              </w:rPr>
            </w:pPr>
          </w:p>
        </w:tc>
        <w:tc>
          <w:tcPr>
            <w:tcW w:w="569" w:type="pct"/>
            <w:noWrap/>
            <w:vAlign w:val="center"/>
          </w:tcPr>
          <w:p w14:paraId="7059DCDD">
            <w:pPr>
              <w:jc w:val="center"/>
              <w:rPr>
                <w:rFonts w:ascii="宋体" w:hAnsi="宋体" w:cs="宋体"/>
                <w:sz w:val="20"/>
                <w:szCs w:val="20"/>
                <w:highlight w:val="none"/>
              </w:rPr>
            </w:pPr>
            <w:r>
              <w:rPr>
                <w:rFonts w:hint="eastAsia" w:ascii="宋体" w:hAnsi="宋体" w:cs="宋体"/>
                <w:sz w:val="20"/>
                <w:szCs w:val="20"/>
                <w:highlight w:val="none"/>
              </w:rPr>
              <w:t>维修工</w:t>
            </w:r>
          </w:p>
        </w:tc>
        <w:tc>
          <w:tcPr>
            <w:tcW w:w="569" w:type="pct"/>
            <w:noWrap/>
            <w:vAlign w:val="center"/>
          </w:tcPr>
          <w:p w14:paraId="427AFA4E">
            <w:pPr>
              <w:jc w:val="center"/>
              <w:rPr>
                <w:rFonts w:ascii="宋体" w:hAnsi="宋体" w:cs="宋体"/>
                <w:sz w:val="20"/>
                <w:szCs w:val="20"/>
                <w:highlight w:val="none"/>
              </w:rPr>
            </w:pPr>
            <w:r>
              <w:rPr>
                <w:rFonts w:hint="eastAsia" w:ascii="宋体" w:hAnsi="宋体" w:cs="宋体"/>
                <w:sz w:val="20"/>
                <w:szCs w:val="20"/>
                <w:highlight w:val="none"/>
              </w:rPr>
              <w:t>2</w:t>
            </w:r>
          </w:p>
        </w:tc>
        <w:tc>
          <w:tcPr>
            <w:tcW w:w="569" w:type="pct"/>
            <w:noWrap/>
            <w:vAlign w:val="center"/>
          </w:tcPr>
          <w:p w14:paraId="02E14B18">
            <w:pPr>
              <w:jc w:val="center"/>
              <w:rPr>
                <w:rFonts w:ascii="宋体" w:hAnsi="宋体" w:cs="宋体"/>
                <w:sz w:val="20"/>
                <w:szCs w:val="20"/>
                <w:highlight w:val="none"/>
              </w:rPr>
            </w:pPr>
            <w:r>
              <w:rPr>
                <w:rFonts w:hint="eastAsia" w:ascii="宋体" w:hAnsi="宋体" w:cs="宋体"/>
                <w:sz w:val="20"/>
                <w:szCs w:val="20"/>
                <w:highlight w:val="none"/>
              </w:rPr>
              <w:t>1</w:t>
            </w:r>
          </w:p>
        </w:tc>
        <w:tc>
          <w:tcPr>
            <w:tcW w:w="350" w:type="pct"/>
            <w:noWrap/>
            <w:vAlign w:val="center"/>
          </w:tcPr>
          <w:p w14:paraId="180A9982">
            <w:pPr>
              <w:jc w:val="center"/>
              <w:rPr>
                <w:rFonts w:ascii="宋体" w:hAnsi="宋体" w:cs="宋体"/>
                <w:sz w:val="20"/>
                <w:szCs w:val="20"/>
                <w:highlight w:val="none"/>
              </w:rPr>
            </w:pPr>
            <w:r>
              <w:rPr>
                <w:rFonts w:hint="eastAsia" w:ascii="宋体" w:hAnsi="宋体" w:cs="宋体"/>
                <w:sz w:val="20"/>
                <w:szCs w:val="20"/>
                <w:highlight w:val="none"/>
              </w:rPr>
              <w:t>3</w:t>
            </w:r>
          </w:p>
        </w:tc>
        <w:tc>
          <w:tcPr>
            <w:tcW w:w="2134" w:type="pct"/>
            <w:noWrap/>
            <w:vAlign w:val="center"/>
          </w:tcPr>
          <w:p w14:paraId="69AFD623">
            <w:pPr>
              <w:jc w:val="center"/>
              <w:rPr>
                <w:rFonts w:ascii="宋体" w:hAnsi="宋体" w:cs="宋体"/>
                <w:sz w:val="20"/>
                <w:szCs w:val="20"/>
                <w:highlight w:val="none"/>
              </w:rPr>
            </w:pPr>
            <w:r>
              <w:rPr>
                <w:rFonts w:hint="eastAsia" w:ascii="宋体" w:hAnsi="宋体" w:cs="宋体"/>
                <w:sz w:val="20"/>
                <w:szCs w:val="20"/>
                <w:highlight w:val="none"/>
              </w:rPr>
              <w:t>24小时值班</w:t>
            </w:r>
          </w:p>
        </w:tc>
      </w:tr>
      <w:tr w14:paraId="157DE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350" w:type="pct"/>
            <w:vMerge w:val="continue"/>
            <w:vAlign w:val="center"/>
          </w:tcPr>
          <w:p w14:paraId="16B9529B">
            <w:pPr>
              <w:jc w:val="center"/>
              <w:rPr>
                <w:rFonts w:ascii="宋体" w:hAnsi="宋体" w:cs="宋体"/>
                <w:sz w:val="20"/>
                <w:szCs w:val="20"/>
                <w:highlight w:val="none"/>
              </w:rPr>
            </w:pPr>
          </w:p>
        </w:tc>
        <w:tc>
          <w:tcPr>
            <w:tcW w:w="460" w:type="pct"/>
            <w:vMerge w:val="continue"/>
            <w:vAlign w:val="center"/>
          </w:tcPr>
          <w:p w14:paraId="5EA2BC6E">
            <w:pPr>
              <w:jc w:val="center"/>
              <w:rPr>
                <w:rFonts w:ascii="宋体" w:hAnsi="宋体" w:cs="宋体"/>
                <w:sz w:val="20"/>
                <w:szCs w:val="20"/>
                <w:highlight w:val="none"/>
              </w:rPr>
            </w:pPr>
          </w:p>
        </w:tc>
        <w:tc>
          <w:tcPr>
            <w:tcW w:w="569" w:type="pct"/>
            <w:noWrap/>
            <w:vAlign w:val="center"/>
          </w:tcPr>
          <w:p w14:paraId="2423A3AD">
            <w:pPr>
              <w:jc w:val="center"/>
              <w:rPr>
                <w:rFonts w:ascii="宋体" w:hAnsi="宋体" w:cs="宋体"/>
                <w:sz w:val="20"/>
                <w:szCs w:val="20"/>
                <w:highlight w:val="none"/>
              </w:rPr>
            </w:pPr>
            <w:r>
              <w:rPr>
                <w:rFonts w:hint="eastAsia" w:ascii="宋体" w:hAnsi="宋体" w:cs="宋体"/>
                <w:sz w:val="20"/>
                <w:szCs w:val="20"/>
                <w:highlight w:val="none"/>
              </w:rPr>
              <w:t>　</w:t>
            </w:r>
          </w:p>
        </w:tc>
        <w:tc>
          <w:tcPr>
            <w:tcW w:w="569" w:type="pct"/>
            <w:noWrap/>
            <w:vAlign w:val="center"/>
          </w:tcPr>
          <w:p w14:paraId="064AE3EA">
            <w:pPr>
              <w:jc w:val="center"/>
              <w:rPr>
                <w:rFonts w:ascii="宋体" w:hAnsi="宋体" w:cs="宋体"/>
                <w:sz w:val="20"/>
                <w:szCs w:val="20"/>
                <w:highlight w:val="none"/>
              </w:rPr>
            </w:pPr>
            <w:r>
              <w:rPr>
                <w:rFonts w:hint="eastAsia" w:ascii="宋体" w:hAnsi="宋体" w:cs="宋体"/>
                <w:sz w:val="20"/>
                <w:szCs w:val="20"/>
                <w:highlight w:val="none"/>
              </w:rPr>
              <w:t>　</w:t>
            </w:r>
          </w:p>
        </w:tc>
        <w:tc>
          <w:tcPr>
            <w:tcW w:w="569" w:type="pct"/>
            <w:noWrap/>
            <w:vAlign w:val="center"/>
          </w:tcPr>
          <w:p w14:paraId="0216471A">
            <w:pPr>
              <w:jc w:val="center"/>
              <w:rPr>
                <w:rFonts w:ascii="宋体" w:hAnsi="宋体" w:cs="宋体"/>
                <w:sz w:val="20"/>
                <w:szCs w:val="20"/>
                <w:highlight w:val="none"/>
              </w:rPr>
            </w:pPr>
            <w:r>
              <w:rPr>
                <w:rFonts w:hint="eastAsia" w:ascii="宋体" w:hAnsi="宋体" w:cs="宋体"/>
                <w:sz w:val="20"/>
                <w:szCs w:val="20"/>
                <w:highlight w:val="none"/>
              </w:rPr>
              <w:t>部门人数</w:t>
            </w:r>
          </w:p>
        </w:tc>
        <w:tc>
          <w:tcPr>
            <w:tcW w:w="350" w:type="pct"/>
            <w:noWrap/>
            <w:vAlign w:val="center"/>
          </w:tcPr>
          <w:p w14:paraId="2BB261AD">
            <w:pPr>
              <w:jc w:val="center"/>
              <w:rPr>
                <w:rFonts w:ascii="宋体" w:hAnsi="宋体" w:cs="宋体"/>
                <w:sz w:val="20"/>
                <w:szCs w:val="20"/>
                <w:highlight w:val="none"/>
              </w:rPr>
            </w:pPr>
            <w:r>
              <w:rPr>
                <w:rFonts w:hint="eastAsia" w:ascii="宋体" w:hAnsi="宋体" w:cs="宋体"/>
                <w:sz w:val="20"/>
                <w:szCs w:val="20"/>
                <w:highlight w:val="none"/>
              </w:rPr>
              <w:t>8</w:t>
            </w:r>
          </w:p>
        </w:tc>
        <w:tc>
          <w:tcPr>
            <w:tcW w:w="2134" w:type="pct"/>
            <w:noWrap/>
            <w:vAlign w:val="center"/>
          </w:tcPr>
          <w:p w14:paraId="7559EA49">
            <w:pPr>
              <w:jc w:val="center"/>
              <w:rPr>
                <w:rFonts w:ascii="宋体" w:hAnsi="宋体" w:cs="宋体"/>
                <w:sz w:val="20"/>
                <w:szCs w:val="20"/>
                <w:highlight w:val="none"/>
              </w:rPr>
            </w:pPr>
            <w:r>
              <w:rPr>
                <w:rFonts w:hint="eastAsia" w:ascii="宋体" w:hAnsi="宋体" w:cs="宋体"/>
                <w:sz w:val="20"/>
                <w:szCs w:val="20"/>
                <w:highlight w:val="none"/>
              </w:rPr>
              <w:t>　</w:t>
            </w:r>
          </w:p>
        </w:tc>
      </w:tr>
      <w:tr w14:paraId="558D0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350" w:type="pct"/>
            <w:vMerge w:val="restart"/>
            <w:noWrap/>
            <w:vAlign w:val="center"/>
          </w:tcPr>
          <w:p w14:paraId="38E0027D">
            <w:pPr>
              <w:jc w:val="center"/>
              <w:rPr>
                <w:rFonts w:ascii="宋体" w:hAnsi="宋体" w:cs="宋体"/>
                <w:sz w:val="20"/>
                <w:szCs w:val="20"/>
                <w:highlight w:val="none"/>
              </w:rPr>
            </w:pPr>
            <w:r>
              <w:rPr>
                <w:rFonts w:hint="eastAsia" w:ascii="宋体" w:hAnsi="宋体" w:cs="宋体"/>
                <w:sz w:val="20"/>
                <w:szCs w:val="20"/>
                <w:highlight w:val="none"/>
              </w:rPr>
              <w:t>3</w:t>
            </w:r>
          </w:p>
        </w:tc>
        <w:tc>
          <w:tcPr>
            <w:tcW w:w="460" w:type="pct"/>
            <w:vMerge w:val="restart"/>
            <w:noWrap/>
            <w:vAlign w:val="center"/>
          </w:tcPr>
          <w:p w14:paraId="04CC5313">
            <w:pPr>
              <w:jc w:val="center"/>
              <w:rPr>
                <w:rFonts w:ascii="宋体" w:hAnsi="宋体" w:cs="宋体"/>
                <w:sz w:val="20"/>
                <w:szCs w:val="20"/>
                <w:highlight w:val="none"/>
              </w:rPr>
            </w:pPr>
            <w:r>
              <w:rPr>
                <w:rFonts w:hint="eastAsia" w:ascii="宋体" w:hAnsi="宋体" w:cs="宋体"/>
                <w:sz w:val="20"/>
                <w:szCs w:val="20"/>
                <w:highlight w:val="none"/>
              </w:rPr>
              <w:t>保安部</w:t>
            </w:r>
          </w:p>
        </w:tc>
        <w:tc>
          <w:tcPr>
            <w:tcW w:w="569" w:type="pct"/>
            <w:noWrap/>
            <w:vAlign w:val="center"/>
          </w:tcPr>
          <w:p w14:paraId="2D9BB554">
            <w:pPr>
              <w:jc w:val="center"/>
              <w:rPr>
                <w:rFonts w:ascii="宋体" w:hAnsi="宋体" w:cs="宋体"/>
                <w:sz w:val="20"/>
                <w:szCs w:val="20"/>
                <w:highlight w:val="none"/>
              </w:rPr>
            </w:pPr>
            <w:r>
              <w:rPr>
                <w:rFonts w:hint="eastAsia" w:ascii="宋体" w:hAnsi="宋体" w:cs="宋体"/>
                <w:sz w:val="20"/>
                <w:szCs w:val="20"/>
                <w:highlight w:val="none"/>
              </w:rPr>
              <w:t>保安队长</w:t>
            </w:r>
          </w:p>
        </w:tc>
        <w:tc>
          <w:tcPr>
            <w:tcW w:w="569" w:type="pct"/>
            <w:noWrap/>
            <w:vAlign w:val="center"/>
          </w:tcPr>
          <w:p w14:paraId="49881E8C">
            <w:pPr>
              <w:jc w:val="center"/>
              <w:rPr>
                <w:rFonts w:ascii="宋体" w:hAnsi="宋体" w:cs="宋体"/>
                <w:sz w:val="20"/>
                <w:szCs w:val="20"/>
                <w:highlight w:val="none"/>
              </w:rPr>
            </w:pPr>
            <w:r>
              <w:rPr>
                <w:rFonts w:hint="eastAsia" w:ascii="宋体" w:hAnsi="宋体" w:cs="宋体"/>
                <w:sz w:val="20"/>
                <w:szCs w:val="20"/>
                <w:highlight w:val="none"/>
              </w:rPr>
              <w:t>1</w:t>
            </w:r>
          </w:p>
        </w:tc>
        <w:tc>
          <w:tcPr>
            <w:tcW w:w="569" w:type="pct"/>
            <w:noWrap/>
            <w:vAlign w:val="center"/>
          </w:tcPr>
          <w:p w14:paraId="0608C232">
            <w:pPr>
              <w:jc w:val="center"/>
              <w:rPr>
                <w:rFonts w:ascii="宋体" w:hAnsi="宋体" w:cs="宋体"/>
                <w:sz w:val="20"/>
                <w:szCs w:val="20"/>
                <w:highlight w:val="none"/>
              </w:rPr>
            </w:pPr>
            <w:r>
              <w:rPr>
                <w:rFonts w:hint="eastAsia" w:ascii="宋体" w:hAnsi="宋体" w:cs="宋体"/>
                <w:sz w:val="20"/>
                <w:szCs w:val="20"/>
                <w:highlight w:val="none"/>
              </w:rPr>
              <w:t>0</w:t>
            </w:r>
          </w:p>
        </w:tc>
        <w:tc>
          <w:tcPr>
            <w:tcW w:w="350" w:type="pct"/>
            <w:noWrap/>
            <w:vAlign w:val="center"/>
          </w:tcPr>
          <w:p w14:paraId="190EA9C5">
            <w:pPr>
              <w:jc w:val="center"/>
              <w:rPr>
                <w:rFonts w:ascii="宋体" w:hAnsi="宋体" w:cs="宋体"/>
                <w:sz w:val="20"/>
                <w:szCs w:val="20"/>
                <w:highlight w:val="none"/>
              </w:rPr>
            </w:pPr>
            <w:r>
              <w:rPr>
                <w:rFonts w:hint="eastAsia" w:ascii="宋体" w:hAnsi="宋体" w:cs="宋体"/>
                <w:sz w:val="20"/>
                <w:szCs w:val="20"/>
                <w:highlight w:val="none"/>
              </w:rPr>
              <w:t>1</w:t>
            </w:r>
          </w:p>
        </w:tc>
        <w:tc>
          <w:tcPr>
            <w:tcW w:w="2134" w:type="pct"/>
            <w:vAlign w:val="center"/>
          </w:tcPr>
          <w:p w14:paraId="6293A77B">
            <w:pPr>
              <w:jc w:val="center"/>
              <w:rPr>
                <w:rFonts w:ascii="宋体" w:hAnsi="宋体" w:cs="宋体"/>
                <w:sz w:val="20"/>
                <w:szCs w:val="20"/>
                <w:highlight w:val="none"/>
              </w:rPr>
            </w:pPr>
            <w:r>
              <w:rPr>
                <w:rFonts w:ascii="宋体" w:hAnsi="宋体" w:cs="宋体"/>
                <w:b/>
                <w:sz w:val="20"/>
                <w:szCs w:val="20"/>
                <w:highlight w:val="none"/>
              </w:rPr>
              <w:t>*</w:t>
            </w:r>
            <w:r>
              <w:rPr>
                <w:rFonts w:hint="eastAsia" w:ascii="宋体" w:hAnsi="宋体" w:cs="宋体"/>
                <w:sz w:val="20"/>
                <w:szCs w:val="20"/>
                <w:highlight w:val="none"/>
              </w:rPr>
              <w:t>同为消防主管，</w:t>
            </w:r>
            <w:r>
              <w:rPr>
                <w:rFonts w:hint="eastAsia" w:ascii="宋体" w:hAnsi="宋体" w:cs="宋体"/>
                <w:sz w:val="20"/>
                <w:szCs w:val="20"/>
                <w:highlight w:val="none"/>
              </w:rPr>
              <w:br w:type="textWrapping"/>
            </w:r>
            <w:r>
              <w:rPr>
                <w:rFonts w:hint="eastAsia" w:ascii="宋体" w:hAnsi="宋体" w:cs="宋体"/>
                <w:sz w:val="20"/>
                <w:szCs w:val="20"/>
                <w:highlight w:val="none"/>
              </w:rPr>
              <w:t>需持有中级或以上消防设施操作员证</w:t>
            </w:r>
          </w:p>
        </w:tc>
      </w:tr>
      <w:tr w14:paraId="68918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350" w:type="pct"/>
            <w:vMerge w:val="continue"/>
            <w:vAlign w:val="center"/>
          </w:tcPr>
          <w:p w14:paraId="1F46E0BD">
            <w:pPr>
              <w:jc w:val="center"/>
              <w:rPr>
                <w:rFonts w:ascii="宋体" w:hAnsi="宋体" w:cs="宋体"/>
                <w:sz w:val="20"/>
                <w:szCs w:val="20"/>
                <w:highlight w:val="none"/>
              </w:rPr>
            </w:pPr>
          </w:p>
        </w:tc>
        <w:tc>
          <w:tcPr>
            <w:tcW w:w="460" w:type="pct"/>
            <w:vMerge w:val="continue"/>
            <w:vAlign w:val="center"/>
          </w:tcPr>
          <w:p w14:paraId="7D28635C">
            <w:pPr>
              <w:jc w:val="center"/>
              <w:rPr>
                <w:rFonts w:ascii="宋体" w:hAnsi="宋体" w:cs="宋体"/>
                <w:sz w:val="20"/>
                <w:szCs w:val="20"/>
                <w:highlight w:val="none"/>
              </w:rPr>
            </w:pPr>
          </w:p>
        </w:tc>
        <w:tc>
          <w:tcPr>
            <w:tcW w:w="569" w:type="pct"/>
            <w:noWrap/>
            <w:vAlign w:val="center"/>
          </w:tcPr>
          <w:p w14:paraId="1178C32D">
            <w:pPr>
              <w:jc w:val="center"/>
              <w:rPr>
                <w:rFonts w:ascii="宋体" w:hAnsi="宋体" w:cs="宋体"/>
                <w:sz w:val="20"/>
                <w:szCs w:val="20"/>
                <w:highlight w:val="none"/>
              </w:rPr>
            </w:pPr>
            <w:r>
              <w:rPr>
                <w:rFonts w:hint="eastAsia" w:ascii="宋体" w:hAnsi="宋体" w:cs="宋体"/>
                <w:sz w:val="20"/>
                <w:szCs w:val="20"/>
                <w:highlight w:val="none"/>
              </w:rPr>
              <w:t>保安班长</w:t>
            </w:r>
          </w:p>
        </w:tc>
        <w:tc>
          <w:tcPr>
            <w:tcW w:w="569" w:type="pct"/>
            <w:noWrap/>
            <w:vAlign w:val="center"/>
          </w:tcPr>
          <w:p w14:paraId="60E44779">
            <w:pPr>
              <w:jc w:val="center"/>
              <w:rPr>
                <w:rFonts w:ascii="宋体" w:hAnsi="宋体" w:cs="宋体"/>
                <w:sz w:val="20"/>
                <w:szCs w:val="20"/>
                <w:highlight w:val="none"/>
              </w:rPr>
            </w:pPr>
            <w:r>
              <w:rPr>
                <w:rFonts w:hint="eastAsia" w:ascii="宋体" w:hAnsi="宋体" w:cs="宋体"/>
                <w:sz w:val="20"/>
                <w:szCs w:val="20"/>
                <w:highlight w:val="none"/>
              </w:rPr>
              <w:t>1</w:t>
            </w:r>
          </w:p>
        </w:tc>
        <w:tc>
          <w:tcPr>
            <w:tcW w:w="569" w:type="pct"/>
            <w:noWrap/>
            <w:vAlign w:val="center"/>
          </w:tcPr>
          <w:p w14:paraId="3096DAA7">
            <w:pPr>
              <w:jc w:val="center"/>
              <w:rPr>
                <w:rFonts w:ascii="宋体" w:hAnsi="宋体" w:cs="宋体"/>
                <w:sz w:val="20"/>
                <w:szCs w:val="20"/>
                <w:highlight w:val="none"/>
              </w:rPr>
            </w:pPr>
            <w:r>
              <w:rPr>
                <w:rFonts w:hint="eastAsia" w:ascii="宋体" w:hAnsi="宋体" w:cs="宋体"/>
                <w:sz w:val="20"/>
                <w:szCs w:val="20"/>
                <w:highlight w:val="none"/>
              </w:rPr>
              <w:t>0</w:t>
            </w:r>
          </w:p>
        </w:tc>
        <w:tc>
          <w:tcPr>
            <w:tcW w:w="350" w:type="pct"/>
            <w:noWrap/>
            <w:vAlign w:val="center"/>
          </w:tcPr>
          <w:p w14:paraId="264F0F83">
            <w:pPr>
              <w:jc w:val="center"/>
              <w:rPr>
                <w:rFonts w:ascii="宋体" w:hAnsi="宋体" w:cs="宋体"/>
                <w:sz w:val="20"/>
                <w:szCs w:val="20"/>
                <w:highlight w:val="none"/>
              </w:rPr>
            </w:pPr>
            <w:r>
              <w:rPr>
                <w:rFonts w:hint="eastAsia" w:ascii="宋体" w:hAnsi="宋体" w:cs="宋体"/>
                <w:sz w:val="20"/>
                <w:szCs w:val="20"/>
                <w:highlight w:val="none"/>
              </w:rPr>
              <w:t>1</w:t>
            </w:r>
          </w:p>
        </w:tc>
        <w:tc>
          <w:tcPr>
            <w:tcW w:w="2134" w:type="pct"/>
            <w:noWrap/>
            <w:vAlign w:val="center"/>
          </w:tcPr>
          <w:p w14:paraId="4212DC12">
            <w:pPr>
              <w:jc w:val="center"/>
              <w:rPr>
                <w:rFonts w:ascii="宋体" w:hAnsi="宋体" w:cs="宋体"/>
                <w:sz w:val="20"/>
                <w:szCs w:val="20"/>
                <w:highlight w:val="none"/>
              </w:rPr>
            </w:pPr>
            <w:r>
              <w:rPr>
                <w:rFonts w:hint="eastAsia" w:ascii="宋体" w:hAnsi="宋体" w:cs="宋体"/>
                <w:sz w:val="20"/>
                <w:szCs w:val="20"/>
                <w:highlight w:val="none"/>
              </w:rPr>
              <w:t>夜班</w:t>
            </w:r>
          </w:p>
        </w:tc>
      </w:tr>
      <w:tr w14:paraId="7A0F0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350" w:type="pct"/>
            <w:vMerge w:val="continue"/>
            <w:vAlign w:val="center"/>
          </w:tcPr>
          <w:p w14:paraId="3167A008">
            <w:pPr>
              <w:jc w:val="center"/>
              <w:rPr>
                <w:rFonts w:ascii="宋体" w:hAnsi="宋体" w:cs="宋体"/>
                <w:sz w:val="20"/>
                <w:szCs w:val="20"/>
                <w:highlight w:val="none"/>
              </w:rPr>
            </w:pPr>
          </w:p>
        </w:tc>
        <w:tc>
          <w:tcPr>
            <w:tcW w:w="460" w:type="pct"/>
            <w:vMerge w:val="continue"/>
            <w:vAlign w:val="center"/>
          </w:tcPr>
          <w:p w14:paraId="6F731211">
            <w:pPr>
              <w:jc w:val="center"/>
              <w:rPr>
                <w:rFonts w:ascii="宋体" w:hAnsi="宋体" w:cs="宋体"/>
                <w:sz w:val="20"/>
                <w:szCs w:val="20"/>
                <w:highlight w:val="none"/>
              </w:rPr>
            </w:pPr>
          </w:p>
        </w:tc>
        <w:tc>
          <w:tcPr>
            <w:tcW w:w="569" w:type="pct"/>
            <w:noWrap/>
            <w:vAlign w:val="center"/>
          </w:tcPr>
          <w:p w14:paraId="2C891B1A">
            <w:pPr>
              <w:jc w:val="center"/>
              <w:rPr>
                <w:rFonts w:ascii="宋体" w:hAnsi="宋体" w:cs="宋体"/>
                <w:sz w:val="20"/>
                <w:szCs w:val="20"/>
                <w:highlight w:val="none"/>
              </w:rPr>
            </w:pPr>
            <w:r>
              <w:rPr>
                <w:rFonts w:hint="eastAsia" w:ascii="宋体" w:hAnsi="宋体" w:cs="宋体"/>
                <w:sz w:val="20"/>
                <w:szCs w:val="20"/>
                <w:highlight w:val="none"/>
              </w:rPr>
              <w:t>监控室</w:t>
            </w:r>
          </w:p>
        </w:tc>
        <w:tc>
          <w:tcPr>
            <w:tcW w:w="569" w:type="pct"/>
            <w:noWrap/>
            <w:vAlign w:val="center"/>
          </w:tcPr>
          <w:p w14:paraId="22E170EA">
            <w:pPr>
              <w:jc w:val="center"/>
              <w:rPr>
                <w:rFonts w:ascii="宋体" w:hAnsi="宋体" w:cs="宋体"/>
                <w:sz w:val="20"/>
                <w:szCs w:val="20"/>
                <w:highlight w:val="none"/>
              </w:rPr>
            </w:pPr>
            <w:r>
              <w:rPr>
                <w:rFonts w:hint="eastAsia" w:ascii="宋体" w:hAnsi="宋体" w:cs="宋体"/>
                <w:sz w:val="20"/>
                <w:szCs w:val="20"/>
                <w:highlight w:val="none"/>
              </w:rPr>
              <w:t>3</w:t>
            </w:r>
          </w:p>
        </w:tc>
        <w:tc>
          <w:tcPr>
            <w:tcW w:w="569" w:type="pct"/>
            <w:noWrap/>
            <w:vAlign w:val="center"/>
          </w:tcPr>
          <w:p w14:paraId="3DB58AE3">
            <w:pPr>
              <w:jc w:val="center"/>
              <w:rPr>
                <w:rFonts w:ascii="宋体" w:hAnsi="宋体" w:cs="宋体"/>
                <w:sz w:val="20"/>
                <w:szCs w:val="20"/>
                <w:highlight w:val="none"/>
              </w:rPr>
            </w:pPr>
            <w:r>
              <w:rPr>
                <w:rFonts w:hint="eastAsia" w:ascii="宋体" w:hAnsi="宋体" w:cs="宋体"/>
                <w:sz w:val="20"/>
                <w:szCs w:val="20"/>
                <w:highlight w:val="none"/>
              </w:rPr>
              <w:t>1</w:t>
            </w:r>
          </w:p>
        </w:tc>
        <w:tc>
          <w:tcPr>
            <w:tcW w:w="350" w:type="pct"/>
            <w:noWrap/>
            <w:vAlign w:val="center"/>
          </w:tcPr>
          <w:p w14:paraId="789E040C">
            <w:pPr>
              <w:jc w:val="center"/>
              <w:rPr>
                <w:rFonts w:ascii="宋体" w:hAnsi="宋体" w:cs="宋体"/>
                <w:sz w:val="20"/>
                <w:szCs w:val="20"/>
                <w:highlight w:val="none"/>
              </w:rPr>
            </w:pPr>
            <w:r>
              <w:rPr>
                <w:rFonts w:hint="eastAsia" w:ascii="宋体" w:hAnsi="宋体" w:cs="宋体"/>
                <w:sz w:val="20"/>
                <w:szCs w:val="20"/>
                <w:highlight w:val="none"/>
              </w:rPr>
              <w:t>4</w:t>
            </w:r>
          </w:p>
        </w:tc>
        <w:tc>
          <w:tcPr>
            <w:tcW w:w="2134" w:type="pct"/>
            <w:noWrap/>
            <w:vAlign w:val="center"/>
          </w:tcPr>
          <w:p w14:paraId="610E3B8A">
            <w:pPr>
              <w:jc w:val="center"/>
              <w:rPr>
                <w:rFonts w:ascii="宋体" w:hAnsi="宋体" w:cs="宋体"/>
                <w:sz w:val="20"/>
                <w:szCs w:val="20"/>
                <w:highlight w:val="none"/>
              </w:rPr>
            </w:pPr>
            <w:r>
              <w:rPr>
                <w:rFonts w:hint="eastAsia" w:ascii="宋体" w:hAnsi="宋体" w:cs="宋体"/>
                <w:sz w:val="20"/>
                <w:szCs w:val="20"/>
                <w:highlight w:val="none"/>
              </w:rPr>
              <w:t>24小时值班</w:t>
            </w:r>
          </w:p>
        </w:tc>
      </w:tr>
      <w:tr w14:paraId="6B7E0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350" w:type="pct"/>
            <w:vMerge w:val="continue"/>
            <w:vAlign w:val="center"/>
          </w:tcPr>
          <w:p w14:paraId="2EB1D743">
            <w:pPr>
              <w:jc w:val="center"/>
              <w:rPr>
                <w:rFonts w:ascii="宋体" w:hAnsi="宋体" w:cs="宋体"/>
                <w:sz w:val="20"/>
                <w:szCs w:val="20"/>
                <w:highlight w:val="none"/>
              </w:rPr>
            </w:pPr>
          </w:p>
        </w:tc>
        <w:tc>
          <w:tcPr>
            <w:tcW w:w="460" w:type="pct"/>
            <w:vMerge w:val="continue"/>
            <w:vAlign w:val="center"/>
          </w:tcPr>
          <w:p w14:paraId="779C00F9">
            <w:pPr>
              <w:jc w:val="center"/>
              <w:rPr>
                <w:rFonts w:ascii="宋体" w:hAnsi="宋体" w:cs="宋体"/>
                <w:sz w:val="20"/>
                <w:szCs w:val="20"/>
                <w:highlight w:val="none"/>
              </w:rPr>
            </w:pPr>
          </w:p>
        </w:tc>
        <w:tc>
          <w:tcPr>
            <w:tcW w:w="569" w:type="pct"/>
            <w:noWrap/>
            <w:vAlign w:val="center"/>
          </w:tcPr>
          <w:p w14:paraId="36DE5648">
            <w:pPr>
              <w:jc w:val="center"/>
              <w:rPr>
                <w:rFonts w:ascii="宋体" w:hAnsi="宋体" w:cs="宋体"/>
                <w:sz w:val="20"/>
                <w:szCs w:val="20"/>
                <w:highlight w:val="none"/>
              </w:rPr>
            </w:pPr>
            <w:r>
              <w:rPr>
                <w:rFonts w:hint="eastAsia" w:ascii="宋体" w:hAnsi="宋体" w:cs="宋体"/>
                <w:sz w:val="20"/>
                <w:szCs w:val="20"/>
                <w:highlight w:val="none"/>
              </w:rPr>
              <w:t>巡逻岗</w:t>
            </w:r>
          </w:p>
        </w:tc>
        <w:tc>
          <w:tcPr>
            <w:tcW w:w="569" w:type="pct"/>
            <w:noWrap/>
            <w:vAlign w:val="center"/>
          </w:tcPr>
          <w:p w14:paraId="0AA0CB85">
            <w:pPr>
              <w:jc w:val="center"/>
              <w:rPr>
                <w:rFonts w:ascii="宋体" w:hAnsi="宋体" w:cs="宋体"/>
                <w:sz w:val="20"/>
                <w:szCs w:val="20"/>
                <w:highlight w:val="none"/>
              </w:rPr>
            </w:pPr>
            <w:r>
              <w:rPr>
                <w:rFonts w:hint="eastAsia" w:ascii="宋体" w:hAnsi="宋体" w:cs="宋体"/>
                <w:sz w:val="20"/>
                <w:szCs w:val="20"/>
                <w:highlight w:val="none"/>
              </w:rPr>
              <w:t>3</w:t>
            </w:r>
          </w:p>
        </w:tc>
        <w:tc>
          <w:tcPr>
            <w:tcW w:w="569" w:type="pct"/>
            <w:noWrap/>
            <w:vAlign w:val="center"/>
          </w:tcPr>
          <w:p w14:paraId="55AC6C1B">
            <w:pPr>
              <w:jc w:val="center"/>
              <w:rPr>
                <w:rFonts w:ascii="宋体" w:hAnsi="宋体" w:cs="宋体"/>
                <w:sz w:val="20"/>
                <w:szCs w:val="20"/>
                <w:highlight w:val="none"/>
              </w:rPr>
            </w:pPr>
            <w:r>
              <w:rPr>
                <w:rFonts w:hint="eastAsia" w:ascii="宋体" w:hAnsi="宋体" w:cs="宋体"/>
                <w:sz w:val="20"/>
                <w:szCs w:val="20"/>
                <w:highlight w:val="none"/>
              </w:rPr>
              <w:t>1</w:t>
            </w:r>
          </w:p>
        </w:tc>
        <w:tc>
          <w:tcPr>
            <w:tcW w:w="350" w:type="pct"/>
            <w:noWrap/>
            <w:vAlign w:val="center"/>
          </w:tcPr>
          <w:p w14:paraId="52BC29E4">
            <w:pPr>
              <w:jc w:val="center"/>
              <w:rPr>
                <w:rFonts w:ascii="宋体" w:hAnsi="宋体" w:cs="宋体"/>
                <w:sz w:val="20"/>
                <w:szCs w:val="20"/>
                <w:highlight w:val="none"/>
              </w:rPr>
            </w:pPr>
            <w:r>
              <w:rPr>
                <w:rFonts w:hint="eastAsia" w:ascii="宋体" w:hAnsi="宋体" w:cs="宋体"/>
                <w:sz w:val="20"/>
                <w:szCs w:val="20"/>
                <w:highlight w:val="none"/>
              </w:rPr>
              <w:t>4</w:t>
            </w:r>
          </w:p>
        </w:tc>
        <w:tc>
          <w:tcPr>
            <w:tcW w:w="2134" w:type="pct"/>
            <w:noWrap/>
            <w:vAlign w:val="center"/>
          </w:tcPr>
          <w:p w14:paraId="179FE0C1">
            <w:pPr>
              <w:jc w:val="center"/>
              <w:rPr>
                <w:rFonts w:ascii="宋体" w:hAnsi="宋体" w:cs="宋体"/>
                <w:sz w:val="20"/>
                <w:szCs w:val="20"/>
                <w:highlight w:val="none"/>
              </w:rPr>
            </w:pPr>
            <w:r>
              <w:rPr>
                <w:rFonts w:hint="eastAsia" w:ascii="宋体" w:hAnsi="宋体" w:cs="宋体"/>
                <w:sz w:val="20"/>
                <w:szCs w:val="20"/>
                <w:highlight w:val="none"/>
              </w:rPr>
              <w:t>24小时值班</w:t>
            </w:r>
          </w:p>
        </w:tc>
      </w:tr>
      <w:tr w14:paraId="52876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350" w:type="pct"/>
            <w:vMerge w:val="continue"/>
            <w:vAlign w:val="center"/>
          </w:tcPr>
          <w:p w14:paraId="5CC00A25">
            <w:pPr>
              <w:jc w:val="center"/>
              <w:rPr>
                <w:rFonts w:ascii="宋体" w:hAnsi="宋体" w:cs="宋体"/>
                <w:sz w:val="20"/>
                <w:szCs w:val="20"/>
                <w:highlight w:val="none"/>
              </w:rPr>
            </w:pPr>
          </w:p>
        </w:tc>
        <w:tc>
          <w:tcPr>
            <w:tcW w:w="460" w:type="pct"/>
            <w:vMerge w:val="continue"/>
            <w:vAlign w:val="center"/>
          </w:tcPr>
          <w:p w14:paraId="4E521BF6">
            <w:pPr>
              <w:jc w:val="center"/>
              <w:rPr>
                <w:rFonts w:ascii="宋体" w:hAnsi="宋体" w:cs="宋体"/>
                <w:sz w:val="20"/>
                <w:szCs w:val="20"/>
                <w:highlight w:val="none"/>
              </w:rPr>
            </w:pPr>
          </w:p>
        </w:tc>
        <w:tc>
          <w:tcPr>
            <w:tcW w:w="569" w:type="pct"/>
            <w:noWrap/>
            <w:vAlign w:val="center"/>
          </w:tcPr>
          <w:p w14:paraId="3F078322">
            <w:pPr>
              <w:jc w:val="center"/>
              <w:rPr>
                <w:rFonts w:ascii="宋体" w:hAnsi="宋体" w:cs="宋体"/>
                <w:sz w:val="20"/>
                <w:szCs w:val="20"/>
                <w:highlight w:val="none"/>
              </w:rPr>
            </w:pPr>
            <w:r>
              <w:rPr>
                <w:rFonts w:hint="eastAsia" w:ascii="宋体" w:hAnsi="宋体" w:cs="宋体"/>
                <w:sz w:val="20"/>
                <w:szCs w:val="20"/>
                <w:highlight w:val="none"/>
              </w:rPr>
              <w:t>门岗</w:t>
            </w:r>
          </w:p>
        </w:tc>
        <w:tc>
          <w:tcPr>
            <w:tcW w:w="569" w:type="pct"/>
            <w:noWrap/>
            <w:vAlign w:val="center"/>
          </w:tcPr>
          <w:p w14:paraId="1E3E963B">
            <w:pPr>
              <w:jc w:val="center"/>
              <w:rPr>
                <w:rFonts w:ascii="宋体" w:hAnsi="宋体" w:cs="宋体"/>
                <w:sz w:val="20"/>
                <w:szCs w:val="20"/>
                <w:highlight w:val="none"/>
              </w:rPr>
            </w:pPr>
            <w:r>
              <w:rPr>
                <w:rFonts w:hint="eastAsia" w:ascii="宋体" w:hAnsi="宋体" w:cs="宋体"/>
                <w:sz w:val="20"/>
                <w:szCs w:val="20"/>
                <w:highlight w:val="none"/>
              </w:rPr>
              <w:t>4</w:t>
            </w:r>
          </w:p>
        </w:tc>
        <w:tc>
          <w:tcPr>
            <w:tcW w:w="569" w:type="pct"/>
            <w:noWrap/>
            <w:vAlign w:val="center"/>
          </w:tcPr>
          <w:p w14:paraId="621617F8">
            <w:pPr>
              <w:jc w:val="center"/>
              <w:rPr>
                <w:rFonts w:ascii="宋体" w:hAnsi="宋体" w:cs="宋体"/>
                <w:sz w:val="20"/>
                <w:szCs w:val="20"/>
                <w:highlight w:val="none"/>
              </w:rPr>
            </w:pPr>
            <w:r>
              <w:rPr>
                <w:rFonts w:hint="eastAsia" w:ascii="宋体" w:hAnsi="宋体" w:cs="宋体"/>
                <w:sz w:val="20"/>
                <w:szCs w:val="20"/>
                <w:highlight w:val="none"/>
              </w:rPr>
              <w:t>1</w:t>
            </w:r>
          </w:p>
        </w:tc>
        <w:tc>
          <w:tcPr>
            <w:tcW w:w="350" w:type="pct"/>
            <w:noWrap/>
            <w:vAlign w:val="center"/>
          </w:tcPr>
          <w:p w14:paraId="04A26A53">
            <w:pPr>
              <w:jc w:val="center"/>
              <w:rPr>
                <w:rFonts w:ascii="宋体" w:hAnsi="宋体" w:cs="宋体"/>
                <w:sz w:val="20"/>
                <w:szCs w:val="20"/>
                <w:highlight w:val="none"/>
              </w:rPr>
            </w:pPr>
            <w:r>
              <w:rPr>
                <w:rFonts w:hint="eastAsia" w:ascii="宋体" w:hAnsi="宋体" w:cs="宋体"/>
                <w:sz w:val="20"/>
                <w:szCs w:val="20"/>
                <w:highlight w:val="none"/>
              </w:rPr>
              <w:t>5</w:t>
            </w:r>
          </w:p>
        </w:tc>
        <w:tc>
          <w:tcPr>
            <w:tcW w:w="2134" w:type="pct"/>
            <w:noWrap/>
            <w:vAlign w:val="center"/>
          </w:tcPr>
          <w:p w14:paraId="65D5B4D6">
            <w:pPr>
              <w:jc w:val="center"/>
              <w:rPr>
                <w:rFonts w:ascii="宋体" w:hAnsi="宋体" w:cs="宋体"/>
                <w:sz w:val="20"/>
                <w:szCs w:val="20"/>
                <w:highlight w:val="none"/>
              </w:rPr>
            </w:pPr>
            <w:r>
              <w:rPr>
                <w:rFonts w:hint="eastAsia" w:ascii="宋体" w:hAnsi="宋体" w:cs="宋体"/>
                <w:sz w:val="20"/>
                <w:szCs w:val="20"/>
                <w:highlight w:val="none"/>
              </w:rPr>
              <w:t>含货梯值守</w:t>
            </w:r>
          </w:p>
        </w:tc>
      </w:tr>
      <w:tr w14:paraId="60BDF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350" w:type="pct"/>
            <w:vMerge w:val="continue"/>
            <w:vAlign w:val="center"/>
          </w:tcPr>
          <w:p w14:paraId="2FD06D17">
            <w:pPr>
              <w:jc w:val="center"/>
              <w:rPr>
                <w:rFonts w:ascii="宋体" w:hAnsi="宋体" w:cs="宋体"/>
                <w:sz w:val="20"/>
                <w:szCs w:val="20"/>
                <w:highlight w:val="none"/>
              </w:rPr>
            </w:pPr>
          </w:p>
        </w:tc>
        <w:tc>
          <w:tcPr>
            <w:tcW w:w="460" w:type="pct"/>
            <w:vMerge w:val="continue"/>
            <w:vAlign w:val="center"/>
          </w:tcPr>
          <w:p w14:paraId="69F5D8E7">
            <w:pPr>
              <w:jc w:val="center"/>
              <w:rPr>
                <w:rFonts w:ascii="宋体" w:hAnsi="宋体" w:cs="宋体"/>
                <w:sz w:val="20"/>
                <w:szCs w:val="20"/>
                <w:highlight w:val="none"/>
              </w:rPr>
            </w:pPr>
          </w:p>
        </w:tc>
        <w:tc>
          <w:tcPr>
            <w:tcW w:w="569" w:type="pct"/>
            <w:noWrap/>
            <w:vAlign w:val="center"/>
          </w:tcPr>
          <w:p w14:paraId="178F160C">
            <w:pPr>
              <w:jc w:val="center"/>
              <w:rPr>
                <w:rFonts w:ascii="宋体" w:hAnsi="宋体" w:cs="宋体"/>
                <w:sz w:val="20"/>
                <w:szCs w:val="20"/>
                <w:highlight w:val="none"/>
              </w:rPr>
            </w:pPr>
            <w:r>
              <w:rPr>
                <w:rFonts w:hint="eastAsia" w:ascii="宋体" w:hAnsi="宋体" w:cs="宋体"/>
                <w:sz w:val="20"/>
                <w:szCs w:val="20"/>
                <w:highlight w:val="none"/>
              </w:rPr>
              <w:t>　</w:t>
            </w:r>
          </w:p>
        </w:tc>
        <w:tc>
          <w:tcPr>
            <w:tcW w:w="569" w:type="pct"/>
            <w:noWrap/>
            <w:vAlign w:val="center"/>
          </w:tcPr>
          <w:p w14:paraId="674D9510">
            <w:pPr>
              <w:jc w:val="center"/>
              <w:rPr>
                <w:rFonts w:ascii="宋体" w:hAnsi="宋体" w:cs="宋体"/>
                <w:sz w:val="20"/>
                <w:szCs w:val="20"/>
                <w:highlight w:val="none"/>
              </w:rPr>
            </w:pPr>
            <w:r>
              <w:rPr>
                <w:rFonts w:hint="eastAsia" w:ascii="宋体" w:hAnsi="宋体" w:cs="宋体"/>
                <w:sz w:val="20"/>
                <w:szCs w:val="20"/>
                <w:highlight w:val="none"/>
              </w:rPr>
              <w:t>　</w:t>
            </w:r>
          </w:p>
        </w:tc>
        <w:tc>
          <w:tcPr>
            <w:tcW w:w="569" w:type="pct"/>
            <w:noWrap/>
            <w:vAlign w:val="center"/>
          </w:tcPr>
          <w:p w14:paraId="265C6453">
            <w:pPr>
              <w:jc w:val="center"/>
              <w:rPr>
                <w:rFonts w:ascii="宋体" w:hAnsi="宋体" w:cs="宋体"/>
                <w:sz w:val="20"/>
                <w:szCs w:val="20"/>
                <w:highlight w:val="none"/>
              </w:rPr>
            </w:pPr>
            <w:r>
              <w:rPr>
                <w:rFonts w:hint="eastAsia" w:ascii="宋体" w:hAnsi="宋体" w:cs="宋体"/>
                <w:sz w:val="20"/>
                <w:szCs w:val="20"/>
                <w:highlight w:val="none"/>
              </w:rPr>
              <w:t>部门人数</w:t>
            </w:r>
          </w:p>
        </w:tc>
        <w:tc>
          <w:tcPr>
            <w:tcW w:w="350" w:type="pct"/>
            <w:noWrap/>
            <w:vAlign w:val="center"/>
          </w:tcPr>
          <w:p w14:paraId="41819201">
            <w:pPr>
              <w:jc w:val="center"/>
              <w:rPr>
                <w:rFonts w:ascii="宋体" w:hAnsi="宋体" w:cs="宋体"/>
                <w:sz w:val="20"/>
                <w:szCs w:val="20"/>
                <w:highlight w:val="none"/>
              </w:rPr>
            </w:pPr>
            <w:r>
              <w:rPr>
                <w:rFonts w:hint="eastAsia" w:ascii="宋体" w:hAnsi="宋体" w:cs="宋体"/>
                <w:sz w:val="20"/>
                <w:szCs w:val="20"/>
                <w:highlight w:val="none"/>
              </w:rPr>
              <w:t>15</w:t>
            </w:r>
          </w:p>
        </w:tc>
        <w:tc>
          <w:tcPr>
            <w:tcW w:w="2134" w:type="pct"/>
            <w:noWrap/>
            <w:vAlign w:val="center"/>
          </w:tcPr>
          <w:p w14:paraId="22CAFFA4">
            <w:pPr>
              <w:jc w:val="center"/>
              <w:rPr>
                <w:rFonts w:ascii="宋体" w:hAnsi="宋体" w:cs="宋体"/>
                <w:sz w:val="20"/>
                <w:szCs w:val="20"/>
                <w:highlight w:val="none"/>
              </w:rPr>
            </w:pPr>
            <w:r>
              <w:rPr>
                <w:rFonts w:hint="eastAsia" w:ascii="宋体" w:hAnsi="宋体" w:cs="宋体"/>
                <w:sz w:val="20"/>
                <w:szCs w:val="20"/>
                <w:highlight w:val="none"/>
              </w:rPr>
              <w:t>　</w:t>
            </w:r>
          </w:p>
        </w:tc>
      </w:tr>
      <w:tr w14:paraId="1A0AB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350" w:type="pct"/>
            <w:vMerge w:val="restart"/>
            <w:noWrap/>
            <w:vAlign w:val="center"/>
          </w:tcPr>
          <w:p w14:paraId="6CDC2A6A">
            <w:pPr>
              <w:jc w:val="center"/>
              <w:rPr>
                <w:rFonts w:ascii="宋体" w:hAnsi="宋体" w:cs="宋体"/>
                <w:sz w:val="20"/>
                <w:szCs w:val="20"/>
                <w:highlight w:val="none"/>
              </w:rPr>
            </w:pPr>
            <w:r>
              <w:rPr>
                <w:rFonts w:hint="eastAsia" w:ascii="宋体" w:hAnsi="宋体" w:cs="宋体"/>
                <w:sz w:val="20"/>
                <w:szCs w:val="20"/>
                <w:highlight w:val="none"/>
              </w:rPr>
              <w:t>4</w:t>
            </w:r>
          </w:p>
        </w:tc>
        <w:tc>
          <w:tcPr>
            <w:tcW w:w="460" w:type="pct"/>
            <w:vMerge w:val="restart"/>
            <w:noWrap/>
            <w:vAlign w:val="center"/>
          </w:tcPr>
          <w:p w14:paraId="55541D84">
            <w:pPr>
              <w:jc w:val="center"/>
              <w:rPr>
                <w:rFonts w:ascii="宋体" w:hAnsi="宋体" w:cs="宋体"/>
                <w:sz w:val="20"/>
                <w:szCs w:val="20"/>
                <w:highlight w:val="none"/>
              </w:rPr>
            </w:pPr>
            <w:r>
              <w:rPr>
                <w:rFonts w:hint="eastAsia" w:ascii="宋体" w:hAnsi="宋体" w:cs="宋体"/>
                <w:sz w:val="20"/>
                <w:szCs w:val="20"/>
                <w:highlight w:val="none"/>
              </w:rPr>
              <w:t>保洁部</w:t>
            </w:r>
          </w:p>
        </w:tc>
        <w:tc>
          <w:tcPr>
            <w:tcW w:w="569" w:type="pct"/>
            <w:noWrap/>
            <w:vAlign w:val="center"/>
          </w:tcPr>
          <w:p w14:paraId="16FD3848">
            <w:pPr>
              <w:jc w:val="center"/>
              <w:rPr>
                <w:rFonts w:ascii="宋体" w:hAnsi="宋体" w:cs="宋体"/>
                <w:sz w:val="20"/>
                <w:szCs w:val="20"/>
                <w:highlight w:val="none"/>
              </w:rPr>
            </w:pPr>
            <w:r>
              <w:rPr>
                <w:rFonts w:hint="eastAsia" w:ascii="宋体" w:hAnsi="宋体" w:cs="宋体"/>
                <w:sz w:val="20"/>
                <w:szCs w:val="20"/>
                <w:highlight w:val="none"/>
              </w:rPr>
              <w:t>保洁主管</w:t>
            </w:r>
          </w:p>
        </w:tc>
        <w:tc>
          <w:tcPr>
            <w:tcW w:w="569" w:type="pct"/>
            <w:noWrap/>
            <w:vAlign w:val="center"/>
          </w:tcPr>
          <w:p w14:paraId="0B64E825">
            <w:pPr>
              <w:jc w:val="center"/>
              <w:rPr>
                <w:rFonts w:ascii="宋体" w:hAnsi="宋体" w:cs="宋体"/>
                <w:sz w:val="20"/>
                <w:szCs w:val="20"/>
                <w:highlight w:val="none"/>
              </w:rPr>
            </w:pPr>
            <w:r>
              <w:rPr>
                <w:rFonts w:hint="eastAsia" w:ascii="宋体" w:hAnsi="宋体" w:cs="宋体"/>
                <w:sz w:val="20"/>
                <w:szCs w:val="20"/>
                <w:highlight w:val="none"/>
              </w:rPr>
              <w:t>1</w:t>
            </w:r>
          </w:p>
        </w:tc>
        <w:tc>
          <w:tcPr>
            <w:tcW w:w="569" w:type="pct"/>
            <w:noWrap/>
            <w:vAlign w:val="center"/>
          </w:tcPr>
          <w:p w14:paraId="392A7995">
            <w:pPr>
              <w:jc w:val="center"/>
              <w:rPr>
                <w:rFonts w:ascii="宋体" w:hAnsi="宋体" w:cs="宋体"/>
                <w:sz w:val="20"/>
                <w:szCs w:val="20"/>
                <w:highlight w:val="none"/>
              </w:rPr>
            </w:pPr>
            <w:r>
              <w:rPr>
                <w:rFonts w:hint="eastAsia" w:ascii="宋体" w:hAnsi="宋体" w:cs="宋体"/>
                <w:sz w:val="20"/>
                <w:szCs w:val="20"/>
                <w:highlight w:val="none"/>
              </w:rPr>
              <w:t>0</w:t>
            </w:r>
          </w:p>
        </w:tc>
        <w:tc>
          <w:tcPr>
            <w:tcW w:w="350" w:type="pct"/>
            <w:noWrap/>
            <w:vAlign w:val="center"/>
          </w:tcPr>
          <w:p w14:paraId="2D870E10">
            <w:pPr>
              <w:jc w:val="center"/>
              <w:rPr>
                <w:rFonts w:ascii="宋体" w:hAnsi="宋体" w:cs="宋体"/>
                <w:sz w:val="20"/>
                <w:szCs w:val="20"/>
                <w:highlight w:val="none"/>
              </w:rPr>
            </w:pPr>
            <w:r>
              <w:rPr>
                <w:rFonts w:hint="eastAsia" w:ascii="宋体" w:hAnsi="宋体" w:cs="宋体"/>
                <w:sz w:val="20"/>
                <w:szCs w:val="20"/>
                <w:highlight w:val="none"/>
              </w:rPr>
              <w:t>1</w:t>
            </w:r>
          </w:p>
        </w:tc>
        <w:tc>
          <w:tcPr>
            <w:tcW w:w="2134" w:type="pct"/>
            <w:noWrap/>
            <w:vAlign w:val="center"/>
          </w:tcPr>
          <w:p w14:paraId="313359D9">
            <w:pPr>
              <w:jc w:val="center"/>
              <w:rPr>
                <w:rFonts w:ascii="宋体" w:hAnsi="宋体" w:cs="宋体"/>
                <w:sz w:val="20"/>
                <w:szCs w:val="20"/>
                <w:highlight w:val="none"/>
              </w:rPr>
            </w:pPr>
            <w:r>
              <w:rPr>
                <w:rFonts w:hint="eastAsia" w:ascii="宋体" w:hAnsi="宋体" w:cs="宋体"/>
                <w:sz w:val="20"/>
                <w:szCs w:val="20"/>
                <w:highlight w:val="none"/>
              </w:rPr>
              <w:t>兼耗材管理</w:t>
            </w:r>
          </w:p>
        </w:tc>
      </w:tr>
      <w:tr w14:paraId="218C0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350" w:type="pct"/>
            <w:vMerge w:val="continue"/>
            <w:vAlign w:val="center"/>
          </w:tcPr>
          <w:p w14:paraId="275F41E0">
            <w:pPr>
              <w:jc w:val="center"/>
              <w:rPr>
                <w:rFonts w:ascii="宋体" w:hAnsi="宋体" w:cs="宋体"/>
                <w:sz w:val="20"/>
                <w:szCs w:val="20"/>
                <w:highlight w:val="none"/>
              </w:rPr>
            </w:pPr>
          </w:p>
        </w:tc>
        <w:tc>
          <w:tcPr>
            <w:tcW w:w="460" w:type="pct"/>
            <w:vMerge w:val="continue"/>
            <w:vAlign w:val="center"/>
          </w:tcPr>
          <w:p w14:paraId="0C6EEB38">
            <w:pPr>
              <w:jc w:val="center"/>
              <w:rPr>
                <w:rFonts w:ascii="宋体" w:hAnsi="宋体" w:cs="宋体"/>
                <w:sz w:val="20"/>
                <w:szCs w:val="20"/>
                <w:highlight w:val="none"/>
              </w:rPr>
            </w:pPr>
          </w:p>
        </w:tc>
        <w:tc>
          <w:tcPr>
            <w:tcW w:w="569" w:type="pct"/>
            <w:noWrap/>
            <w:vAlign w:val="center"/>
          </w:tcPr>
          <w:p w14:paraId="164289B4">
            <w:pPr>
              <w:jc w:val="center"/>
              <w:rPr>
                <w:rFonts w:ascii="宋体" w:hAnsi="宋体" w:cs="宋体"/>
                <w:sz w:val="20"/>
                <w:szCs w:val="20"/>
                <w:highlight w:val="none"/>
              </w:rPr>
            </w:pPr>
            <w:r>
              <w:rPr>
                <w:rFonts w:hint="eastAsia" w:ascii="宋体" w:hAnsi="宋体" w:cs="宋体"/>
                <w:sz w:val="20"/>
                <w:szCs w:val="20"/>
                <w:highlight w:val="none"/>
              </w:rPr>
              <w:t>楼层保洁</w:t>
            </w:r>
          </w:p>
        </w:tc>
        <w:tc>
          <w:tcPr>
            <w:tcW w:w="569" w:type="pct"/>
            <w:noWrap/>
            <w:vAlign w:val="center"/>
          </w:tcPr>
          <w:p w14:paraId="11A98760">
            <w:pPr>
              <w:jc w:val="center"/>
              <w:rPr>
                <w:rFonts w:ascii="宋体" w:hAnsi="宋体" w:cs="宋体"/>
                <w:sz w:val="20"/>
                <w:szCs w:val="20"/>
                <w:highlight w:val="none"/>
              </w:rPr>
            </w:pPr>
            <w:r>
              <w:rPr>
                <w:rFonts w:hint="eastAsia" w:ascii="宋体" w:hAnsi="宋体" w:cs="宋体"/>
                <w:sz w:val="20"/>
                <w:szCs w:val="20"/>
                <w:highlight w:val="none"/>
              </w:rPr>
              <w:t>10</w:t>
            </w:r>
          </w:p>
        </w:tc>
        <w:tc>
          <w:tcPr>
            <w:tcW w:w="569" w:type="pct"/>
            <w:noWrap/>
            <w:vAlign w:val="center"/>
          </w:tcPr>
          <w:p w14:paraId="2FBB1E34">
            <w:pPr>
              <w:jc w:val="center"/>
              <w:rPr>
                <w:rFonts w:ascii="宋体" w:hAnsi="宋体" w:cs="宋体"/>
                <w:sz w:val="20"/>
                <w:szCs w:val="20"/>
                <w:highlight w:val="none"/>
              </w:rPr>
            </w:pPr>
            <w:r>
              <w:rPr>
                <w:rFonts w:hint="eastAsia" w:ascii="宋体" w:hAnsi="宋体" w:cs="宋体"/>
                <w:sz w:val="20"/>
                <w:szCs w:val="20"/>
                <w:highlight w:val="none"/>
              </w:rPr>
              <w:t>2</w:t>
            </w:r>
          </w:p>
        </w:tc>
        <w:tc>
          <w:tcPr>
            <w:tcW w:w="350" w:type="pct"/>
            <w:noWrap/>
            <w:vAlign w:val="center"/>
          </w:tcPr>
          <w:p w14:paraId="388290CD">
            <w:pPr>
              <w:jc w:val="center"/>
              <w:rPr>
                <w:rFonts w:ascii="宋体" w:hAnsi="宋体" w:cs="宋体"/>
                <w:sz w:val="20"/>
                <w:szCs w:val="20"/>
                <w:highlight w:val="none"/>
              </w:rPr>
            </w:pPr>
            <w:r>
              <w:rPr>
                <w:rFonts w:hint="eastAsia" w:ascii="宋体" w:hAnsi="宋体" w:cs="宋体"/>
                <w:sz w:val="20"/>
                <w:szCs w:val="20"/>
                <w:highlight w:val="none"/>
              </w:rPr>
              <w:t>12</w:t>
            </w:r>
          </w:p>
        </w:tc>
        <w:tc>
          <w:tcPr>
            <w:tcW w:w="2134" w:type="pct"/>
            <w:noWrap/>
            <w:vAlign w:val="center"/>
          </w:tcPr>
          <w:p w14:paraId="03F9CF22">
            <w:pPr>
              <w:jc w:val="center"/>
              <w:rPr>
                <w:rFonts w:ascii="宋体" w:hAnsi="宋体" w:cs="宋体"/>
                <w:sz w:val="20"/>
                <w:szCs w:val="20"/>
                <w:highlight w:val="none"/>
              </w:rPr>
            </w:pPr>
            <w:r>
              <w:rPr>
                <w:rFonts w:hint="eastAsia" w:ascii="宋体" w:hAnsi="宋体" w:cs="宋体"/>
                <w:sz w:val="20"/>
                <w:szCs w:val="20"/>
                <w:highlight w:val="none"/>
              </w:rPr>
              <w:t>两班</w:t>
            </w:r>
          </w:p>
        </w:tc>
      </w:tr>
      <w:tr w14:paraId="6724D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350" w:type="pct"/>
            <w:vMerge w:val="continue"/>
            <w:vAlign w:val="center"/>
          </w:tcPr>
          <w:p w14:paraId="146269AE">
            <w:pPr>
              <w:jc w:val="center"/>
              <w:rPr>
                <w:rFonts w:ascii="宋体" w:hAnsi="宋体" w:cs="宋体"/>
                <w:sz w:val="20"/>
                <w:szCs w:val="20"/>
                <w:highlight w:val="none"/>
              </w:rPr>
            </w:pPr>
          </w:p>
        </w:tc>
        <w:tc>
          <w:tcPr>
            <w:tcW w:w="460" w:type="pct"/>
            <w:vMerge w:val="continue"/>
            <w:vAlign w:val="center"/>
          </w:tcPr>
          <w:p w14:paraId="1E7CF342">
            <w:pPr>
              <w:jc w:val="center"/>
              <w:rPr>
                <w:rFonts w:ascii="宋体" w:hAnsi="宋体" w:cs="宋体"/>
                <w:sz w:val="20"/>
                <w:szCs w:val="20"/>
                <w:highlight w:val="none"/>
              </w:rPr>
            </w:pPr>
          </w:p>
        </w:tc>
        <w:tc>
          <w:tcPr>
            <w:tcW w:w="569" w:type="pct"/>
            <w:noWrap/>
            <w:vAlign w:val="center"/>
          </w:tcPr>
          <w:p w14:paraId="3A8CE38C">
            <w:pPr>
              <w:jc w:val="center"/>
              <w:rPr>
                <w:rFonts w:ascii="宋体" w:hAnsi="宋体" w:cs="宋体"/>
                <w:sz w:val="20"/>
                <w:szCs w:val="20"/>
                <w:highlight w:val="none"/>
              </w:rPr>
            </w:pPr>
            <w:r>
              <w:rPr>
                <w:rFonts w:hint="eastAsia" w:ascii="宋体" w:hAnsi="宋体" w:cs="宋体"/>
                <w:sz w:val="20"/>
                <w:szCs w:val="20"/>
                <w:highlight w:val="none"/>
              </w:rPr>
              <w:t>垃圾站</w:t>
            </w:r>
          </w:p>
        </w:tc>
        <w:tc>
          <w:tcPr>
            <w:tcW w:w="569" w:type="pct"/>
            <w:noWrap/>
            <w:vAlign w:val="center"/>
          </w:tcPr>
          <w:p w14:paraId="4A025105">
            <w:pPr>
              <w:jc w:val="center"/>
              <w:rPr>
                <w:rFonts w:ascii="宋体" w:hAnsi="宋体" w:cs="宋体"/>
                <w:sz w:val="20"/>
                <w:szCs w:val="20"/>
                <w:highlight w:val="none"/>
              </w:rPr>
            </w:pPr>
            <w:r>
              <w:rPr>
                <w:rFonts w:hint="eastAsia" w:ascii="宋体" w:hAnsi="宋体" w:cs="宋体"/>
                <w:sz w:val="20"/>
                <w:szCs w:val="20"/>
                <w:highlight w:val="none"/>
              </w:rPr>
              <w:t>1</w:t>
            </w:r>
          </w:p>
        </w:tc>
        <w:tc>
          <w:tcPr>
            <w:tcW w:w="569" w:type="pct"/>
            <w:noWrap/>
            <w:vAlign w:val="center"/>
          </w:tcPr>
          <w:p w14:paraId="55EAFA84">
            <w:pPr>
              <w:jc w:val="center"/>
              <w:rPr>
                <w:rFonts w:ascii="宋体" w:hAnsi="宋体" w:cs="宋体"/>
                <w:sz w:val="20"/>
                <w:szCs w:val="20"/>
                <w:highlight w:val="none"/>
              </w:rPr>
            </w:pPr>
            <w:r>
              <w:rPr>
                <w:rFonts w:hint="eastAsia" w:ascii="宋体" w:hAnsi="宋体" w:cs="宋体"/>
                <w:sz w:val="20"/>
                <w:szCs w:val="20"/>
                <w:highlight w:val="none"/>
              </w:rPr>
              <w:t>0</w:t>
            </w:r>
          </w:p>
        </w:tc>
        <w:tc>
          <w:tcPr>
            <w:tcW w:w="350" w:type="pct"/>
            <w:noWrap/>
            <w:vAlign w:val="center"/>
          </w:tcPr>
          <w:p w14:paraId="329981A8">
            <w:pPr>
              <w:jc w:val="center"/>
              <w:rPr>
                <w:rFonts w:ascii="宋体" w:hAnsi="宋体" w:cs="宋体"/>
                <w:sz w:val="20"/>
                <w:szCs w:val="20"/>
                <w:highlight w:val="none"/>
              </w:rPr>
            </w:pPr>
            <w:r>
              <w:rPr>
                <w:rFonts w:hint="eastAsia" w:ascii="宋体" w:hAnsi="宋体" w:cs="宋体"/>
                <w:sz w:val="20"/>
                <w:szCs w:val="20"/>
                <w:highlight w:val="none"/>
              </w:rPr>
              <w:t>1</w:t>
            </w:r>
          </w:p>
        </w:tc>
        <w:tc>
          <w:tcPr>
            <w:tcW w:w="2134" w:type="pct"/>
            <w:vAlign w:val="center"/>
          </w:tcPr>
          <w:p w14:paraId="460FCC7E">
            <w:pPr>
              <w:jc w:val="center"/>
              <w:rPr>
                <w:rFonts w:ascii="宋体" w:hAnsi="宋体" w:cs="宋体"/>
                <w:sz w:val="20"/>
                <w:szCs w:val="20"/>
                <w:highlight w:val="none"/>
              </w:rPr>
            </w:pPr>
            <w:r>
              <w:rPr>
                <w:rFonts w:hint="eastAsia" w:ascii="宋体" w:hAnsi="宋体" w:cs="宋体"/>
                <w:sz w:val="20"/>
                <w:szCs w:val="20"/>
                <w:highlight w:val="none"/>
              </w:rPr>
              <w:t>兼外场、消防通道及退场商户清洁</w:t>
            </w:r>
          </w:p>
        </w:tc>
      </w:tr>
      <w:tr w14:paraId="7EB98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350" w:type="pct"/>
            <w:vMerge w:val="continue"/>
            <w:vAlign w:val="center"/>
          </w:tcPr>
          <w:p w14:paraId="0C1A0C15">
            <w:pPr>
              <w:jc w:val="center"/>
              <w:rPr>
                <w:rFonts w:ascii="宋体" w:hAnsi="宋体" w:cs="宋体"/>
                <w:sz w:val="20"/>
                <w:szCs w:val="20"/>
                <w:highlight w:val="none"/>
              </w:rPr>
            </w:pPr>
          </w:p>
        </w:tc>
        <w:tc>
          <w:tcPr>
            <w:tcW w:w="460" w:type="pct"/>
            <w:vMerge w:val="continue"/>
            <w:vAlign w:val="center"/>
          </w:tcPr>
          <w:p w14:paraId="5E4E27B1">
            <w:pPr>
              <w:jc w:val="center"/>
              <w:rPr>
                <w:rFonts w:ascii="宋体" w:hAnsi="宋体" w:cs="宋体"/>
                <w:sz w:val="20"/>
                <w:szCs w:val="20"/>
                <w:highlight w:val="none"/>
              </w:rPr>
            </w:pPr>
          </w:p>
        </w:tc>
        <w:tc>
          <w:tcPr>
            <w:tcW w:w="569" w:type="pct"/>
            <w:noWrap/>
            <w:vAlign w:val="center"/>
          </w:tcPr>
          <w:p w14:paraId="775595A0">
            <w:pPr>
              <w:jc w:val="center"/>
              <w:rPr>
                <w:rFonts w:ascii="宋体" w:hAnsi="宋体" w:cs="宋体"/>
                <w:sz w:val="20"/>
                <w:szCs w:val="20"/>
                <w:highlight w:val="none"/>
              </w:rPr>
            </w:pPr>
            <w:r>
              <w:rPr>
                <w:rFonts w:hint="eastAsia" w:ascii="宋体" w:hAnsi="宋体" w:cs="宋体"/>
                <w:sz w:val="20"/>
                <w:szCs w:val="20"/>
                <w:highlight w:val="none"/>
              </w:rPr>
              <w:t>　</w:t>
            </w:r>
          </w:p>
        </w:tc>
        <w:tc>
          <w:tcPr>
            <w:tcW w:w="569" w:type="pct"/>
            <w:noWrap/>
            <w:vAlign w:val="center"/>
          </w:tcPr>
          <w:p w14:paraId="295A23A5">
            <w:pPr>
              <w:jc w:val="center"/>
              <w:rPr>
                <w:rFonts w:ascii="宋体" w:hAnsi="宋体" w:cs="宋体"/>
                <w:sz w:val="20"/>
                <w:szCs w:val="20"/>
                <w:highlight w:val="none"/>
              </w:rPr>
            </w:pPr>
            <w:r>
              <w:rPr>
                <w:rFonts w:hint="eastAsia" w:ascii="宋体" w:hAnsi="宋体" w:cs="宋体"/>
                <w:sz w:val="20"/>
                <w:szCs w:val="20"/>
                <w:highlight w:val="none"/>
              </w:rPr>
              <w:t>　</w:t>
            </w:r>
          </w:p>
        </w:tc>
        <w:tc>
          <w:tcPr>
            <w:tcW w:w="569" w:type="pct"/>
            <w:noWrap/>
            <w:vAlign w:val="center"/>
          </w:tcPr>
          <w:p w14:paraId="021648FC">
            <w:pPr>
              <w:jc w:val="center"/>
              <w:rPr>
                <w:rFonts w:ascii="宋体" w:hAnsi="宋体" w:cs="宋体"/>
                <w:sz w:val="20"/>
                <w:szCs w:val="20"/>
                <w:highlight w:val="none"/>
              </w:rPr>
            </w:pPr>
            <w:r>
              <w:rPr>
                <w:rFonts w:hint="eastAsia" w:ascii="宋体" w:hAnsi="宋体" w:cs="宋体"/>
                <w:sz w:val="20"/>
                <w:szCs w:val="20"/>
                <w:highlight w:val="none"/>
              </w:rPr>
              <w:t>部门人数</w:t>
            </w:r>
          </w:p>
        </w:tc>
        <w:tc>
          <w:tcPr>
            <w:tcW w:w="350" w:type="pct"/>
            <w:noWrap/>
            <w:vAlign w:val="center"/>
          </w:tcPr>
          <w:p w14:paraId="2BFAAF6F">
            <w:pPr>
              <w:jc w:val="center"/>
              <w:rPr>
                <w:rFonts w:ascii="宋体" w:hAnsi="宋体" w:cs="宋体"/>
                <w:sz w:val="20"/>
                <w:szCs w:val="20"/>
                <w:highlight w:val="none"/>
              </w:rPr>
            </w:pPr>
            <w:r>
              <w:rPr>
                <w:rFonts w:hint="eastAsia" w:ascii="宋体" w:hAnsi="宋体" w:cs="宋体"/>
                <w:sz w:val="20"/>
                <w:szCs w:val="20"/>
                <w:highlight w:val="none"/>
              </w:rPr>
              <w:t>14</w:t>
            </w:r>
          </w:p>
        </w:tc>
        <w:tc>
          <w:tcPr>
            <w:tcW w:w="2134" w:type="pct"/>
            <w:noWrap/>
            <w:vAlign w:val="center"/>
          </w:tcPr>
          <w:p w14:paraId="4B28FE88">
            <w:pPr>
              <w:jc w:val="center"/>
              <w:rPr>
                <w:rFonts w:ascii="宋体" w:hAnsi="宋体" w:cs="宋体"/>
                <w:sz w:val="20"/>
                <w:szCs w:val="20"/>
                <w:highlight w:val="none"/>
              </w:rPr>
            </w:pPr>
            <w:r>
              <w:rPr>
                <w:rFonts w:hint="eastAsia" w:ascii="宋体" w:hAnsi="宋体" w:cs="宋体"/>
                <w:sz w:val="20"/>
                <w:szCs w:val="20"/>
                <w:highlight w:val="none"/>
              </w:rPr>
              <w:t>　</w:t>
            </w:r>
          </w:p>
        </w:tc>
      </w:tr>
      <w:tr w14:paraId="37E81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350" w:type="pct"/>
            <w:noWrap/>
            <w:vAlign w:val="center"/>
          </w:tcPr>
          <w:p w14:paraId="48FDC17F">
            <w:pPr>
              <w:jc w:val="center"/>
              <w:rPr>
                <w:rFonts w:ascii="宋体" w:hAnsi="宋体" w:cs="宋体"/>
                <w:sz w:val="20"/>
                <w:szCs w:val="20"/>
                <w:highlight w:val="none"/>
              </w:rPr>
            </w:pPr>
          </w:p>
        </w:tc>
        <w:tc>
          <w:tcPr>
            <w:tcW w:w="460" w:type="pct"/>
            <w:noWrap/>
            <w:vAlign w:val="center"/>
          </w:tcPr>
          <w:p w14:paraId="49F50678">
            <w:pPr>
              <w:jc w:val="center"/>
              <w:rPr>
                <w:rFonts w:ascii="宋体" w:hAnsi="宋体" w:cs="宋体"/>
                <w:sz w:val="20"/>
                <w:szCs w:val="20"/>
                <w:highlight w:val="none"/>
              </w:rPr>
            </w:pPr>
          </w:p>
        </w:tc>
        <w:tc>
          <w:tcPr>
            <w:tcW w:w="569" w:type="pct"/>
            <w:noWrap/>
            <w:vAlign w:val="center"/>
          </w:tcPr>
          <w:p w14:paraId="5806018F">
            <w:pPr>
              <w:jc w:val="center"/>
              <w:rPr>
                <w:rFonts w:ascii="宋体" w:hAnsi="宋体" w:cs="宋体"/>
                <w:sz w:val="20"/>
                <w:szCs w:val="20"/>
                <w:highlight w:val="none"/>
              </w:rPr>
            </w:pPr>
          </w:p>
        </w:tc>
        <w:tc>
          <w:tcPr>
            <w:tcW w:w="569" w:type="pct"/>
            <w:noWrap/>
            <w:vAlign w:val="center"/>
          </w:tcPr>
          <w:p w14:paraId="7976AE3A">
            <w:pPr>
              <w:jc w:val="center"/>
              <w:rPr>
                <w:rFonts w:ascii="宋体" w:hAnsi="宋体" w:cs="宋体"/>
                <w:sz w:val="20"/>
                <w:szCs w:val="20"/>
                <w:highlight w:val="none"/>
              </w:rPr>
            </w:pPr>
          </w:p>
        </w:tc>
        <w:tc>
          <w:tcPr>
            <w:tcW w:w="569" w:type="pct"/>
            <w:noWrap/>
            <w:vAlign w:val="center"/>
          </w:tcPr>
          <w:p w14:paraId="5906DAC2">
            <w:pPr>
              <w:jc w:val="center"/>
              <w:rPr>
                <w:rFonts w:ascii="宋体" w:hAnsi="宋体" w:cs="宋体"/>
                <w:sz w:val="20"/>
                <w:szCs w:val="20"/>
                <w:highlight w:val="none"/>
              </w:rPr>
            </w:pPr>
            <w:r>
              <w:rPr>
                <w:rFonts w:hint="eastAsia" w:ascii="宋体" w:hAnsi="宋体" w:cs="宋体"/>
                <w:sz w:val="20"/>
                <w:szCs w:val="20"/>
                <w:highlight w:val="none"/>
              </w:rPr>
              <w:t>合计人数</w:t>
            </w:r>
          </w:p>
        </w:tc>
        <w:tc>
          <w:tcPr>
            <w:tcW w:w="350" w:type="pct"/>
            <w:noWrap/>
            <w:vAlign w:val="center"/>
          </w:tcPr>
          <w:p w14:paraId="77032FB2">
            <w:pPr>
              <w:jc w:val="center"/>
              <w:rPr>
                <w:rFonts w:ascii="宋体" w:hAnsi="宋体" w:cs="宋体"/>
                <w:sz w:val="20"/>
                <w:szCs w:val="20"/>
                <w:highlight w:val="none"/>
              </w:rPr>
            </w:pPr>
            <w:r>
              <w:rPr>
                <w:rFonts w:hint="eastAsia" w:ascii="宋体" w:hAnsi="宋体" w:cs="宋体"/>
                <w:sz w:val="20"/>
                <w:szCs w:val="20"/>
                <w:highlight w:val="none"/>
              </w:rPr>
              <w:t>41</w:t>
            </w:r>
          </w:p>
        </w:tc>
        <w:tc>
          <w:tcPr>
            <w:tcW w:w="2134" w:type="pct"/>
            <w:noWrap/>
            <w:vAlign w:val="center"/>
          </w:tcPr>
          <w:p w14:paraId="5049BD18">
            <w:pPr>
              <w:jc w:val="center"/>
              <w:rPr>
                <w:rFonts w:ascii="宋体" w:hAnsi="宋体" w:cs="宋体"/>
                <w:sz w:val="20"/>
                <w:szCs w:val="20"/>
                <w:highlight w:val="none"/>
              </w:rPr>
            </w:pPr>
          </w:p>
        </w:tc>
      </w:tr>
      <w:tr w14:paraId="6133E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350" w:type="pct"/>
            <w:noWrap/>
            <w:vAlign w:val="center"/>
          </w:tcPr>
          <w:p w14:paraId="1A784743">
            <w:pPr>
              <w:jc w:val="center"/>
              <w:rPr>
                <w:rFonts w:ascii="宋体" w:hAnsi="宋体" w:cs="宋体"/>
                <w:sz w:val="20"/>
                <w:szCs w:val="20"/>
                <w:highlight w:val="none"/>
              </w:rPr>
            </w:pPr>
            <w:r>
              <w:rPr>
                <w:rFonts w:hint="eastAsia" w:ascii="宋体" w:hAnsi="宋体" w:cs="宋体"/>
                <w:sz w:val="20"/>
                <w:szCs w:val="20"/>
                <w:highlight w:val="none"/>
              </w:rPr>
              <w:t>备注</w:t>
            </w:r>
          </w:p>
        </w:tc>
        <w:tc>
          <w:tcPr>
            <w:tcW w:w="4650" w:type="pct"/>
            <w:gridSpan w:val="6"/>
            <w:noWrap/>
            <w:vAlign w:val="center"/>
          </w:tcPr>
          <w:p w14:paraId="05B08D93">
            <w:pPr>
              <w:jc w:val="left"/>
              <w:rPr>
                <w:rFonts w:ascii="宋体" w:hAnsi="宋体" w:cs="宋体"/>
                <w:sz w:val="20"/>
                <w:szCs w:val="20"/>
                <w:highlight w:val="none"/>
              </w:rPr>
            </w:pPr>
            <w:r>
              <w:rPr>
                <w:rFonts w:hint="eastAsia" w:ascii="宋体" w:hAnsi="宋体" w:cs="宋体"/>
                <w:sz w:val="20"/>
                <w:szCs w:val="20"/>
                <w:highlight w:val="none"/>
              </w:rPr>
              <w:t>“*”为</w:t>
            </w:r>
            <w:r>
              <w:rPr>
                <w:rFonts w:ascii="宋体" w:hAnsi="宋体" w:cs="宋体"/>
                <w:sz w:val="20"/>
                <w:szCs w:val="20"/>
                <w:highlight w:val="none"/>
              </w:rPr>
              <w:t>关键岗位</w:t>
            </w:r>
            <w:r>
              <w:rPr>
                <w:rFonts w:hint="eastAsia" w:ascii="宋体" w:hAnsi="宋体" w:cs="宋体"/>
                <w:sz w:val="20"/>
                <w:szCs w:val="20"/>
                <w:highlight w:val="none"/>
              </w:rPr>
              <w:t>必须</w:t>
            </w:r>
            <w:r>
              <w:rPr>
                <w:rFonts w:ascii="宋体" w:hAnsi="宋体" w:cs="宋体"/>
                <w:sz w:val="20"/>
                <w:szCs w:val="20"/>
                <w:highlight w:val="none"/>
              </w:rPr>
              <w:t>满足</w:t>
            </w:r>
          </w:p>
        </w:tc>
      </w:tr>
    </w:tbl>
    <w:p w14:paraId="6D56E25E">
      <w:pPr>
        <w:adjustRightInd w:val="0"/>
        <w:snapToGrid w:val="0"/>
        <w:spacing w:line="360" w:lineRule="auto"/>
        <w:ind w:left="336" w:hanging="336" w:hangingChars="140"/>
        <w:textAlignment w:val="baseline"/>
        <w:rPr>
          <w:rFonts w:ascii="仿宋" w:hAnsi="仿宋" w:cs="宋体"/>
          <w:kern w:val="2"/>
          <w:sz w:val="24"/>
          <w:szCs w:val="24"/>
          <w:highlight w:val="none"/>
        </w:rPr>
      </w:pPr>
    </w:p>
    <w:p w14:paraId="6411A304">
      <w:pPr>
        <w:pStyle w:val="15"/>
        <w:spacing w:before="0" w:after="0"/>
        <w:rPr>
          <w:rFonts w:ascii="仿宋" w:hAnsi="仿宋" w:eastAsia="仿宋"/>
          <w:b/>
          <w:bCs/>
          <w:highlight w:val="none"/>
        </w:rPr>
      </w:pPr>
      <w:r>
        <w:rPr>
          <w:rFonts w:hint="eastAsia" w:ascii="仿宋" w:hAnsi="仿宋" w:eastAsia="仿宋"/>
          <w:b/>
          <w:bCs/>
          <w:highlight w:val="none"/>
        </w:rPr>
        <w:t>四、管理要求</w:t>
      </w:r>
    </w:p>
    <w:p w14:paraId="13A7B2C3">
      <w:pPr>
        <w:adjustRightInd w:val="0"/>
        <w:snapToGrid w:val="0"/>
        <w:spacing w:line="360" w:lineRule="auto"/>
        <w:ind w:left="336" w:hanging="336" w:hangingChars="140"/>
        <w:textAlignment w:val="baseline"/>
        <w:rPr>
          <w:rFonts w:ascii="仿宋" w:hAnsi="仿宋" w:cs="宋体"/>
          <w:kern w:val="2"/>
          <w:sz w:val="24"/>
          <w:szCs w:val="24"/>
          <w:highlight w:val="none"/>
        </w:rPr>
      </w:pPr>
      <w:r>
        <w:rPr>
          <w:rFonts w:hint="eastAsia" w:ascii="仿宋" w:hAnsi="仿宋" w:cs="宋体"/>
          <w:kern w:val="2"/>
          <w:sz w:val="24"/>
          <w:szCs w:val="24"/>
          <w:highlight w:val="none"/>
        </w:rPr>
        <w:t>（一）综合管理（4人）</w:t>
      </w:r>
    </w:p>
    <w:p w14:paraId="2381A24E">
      <w:pPr>
        <w:adjustRightInd w:val="0"/>
        <w:snapToGrid w:val="0"/>
        <w:spacing w:line="360" w:lineRule="auto"/>
        <w:ind w:left="336" w:hanging="336" w:hangingChars="140"/>
        <w:textAlignment w:val="baseline"/>
        <w:rPr>
          <w:rFonts w:ascii="仿宋" w:hAnsi="仿宋" w:cs="宋体"/>
          <w:kern w:val="2"/>
          <w:sz w:val="24"/>
          <w:szCs w:val="24"/>
          <w:highlight w:val="none"/>
        </w:rPr>
      </w:pPr>
      <w:r>
        <w:rPr>
          <w:rFonts w:hint="eastAsia" w:ascii="仿宋" w:hAnsi="仿宋" w:cs="宋体"/>
          <w:kern w:val="2"/>
          <w:sz w:val="24"/>
          <w:szCs w:val="24"/>
          <w:highlight w:val="none"/>
        </w:rPr>
        <w:t>1、负责制定物业管理服务工作计划，并组织实施；</w:t>
      </w:r>
    </w:p>
    <w:p w14:paraId="3F3C5E68">
      <w:pPr>
        <w:adjustRightInd w:val="0"/>
        <w:snapToGrid w:val="0"/>
        <w:spacing w:line="360" w:lineRule="auto"/>
        <w:ind w:left="336" w:hanging="336" w:hangingChars="140"/>
        <w:textAlignment w:val="baseline"/>
        <w:rPr>
          <w:rFonts w:ascii="仿宋" w:hAnsi="仿宋" w:cs="宋体"/>
          <w:kern w:val="2"/>
          <w:sz w:val="24"/>
          <w:szCs w:val="24"/>
          <w:highlight w:val="none"/>
        </w:rPr>
      </w:pPr>
      <w:r>
        <w:rPr>
          <w:rFonts w:ascii="仿宋" w:hAnsi="仿宋" w:cs="宋体"/>
          <w:kern w:val="2"/>
          <w:sz w:val="24"/>
          <w:szCs w:val="24"/>
          <w:highlight w:val="none"/>
        </w:rPr>
        <w:t>2</w:t>
      </w:r>
      <w:r>
        <w:rPr>
          <w:rFonts w:hint="eastAsia" w:ascii="仿宋" w:hAnsi="仿宋" w:cs="宋体"/>
          <w:kern w:val="2"/>
          <w:sz w:val="24"/>
          <w:szCs w:val="24"/>
          <w:highlight w:val="none"/>
        </w:rPr>
        <w:t>、每月对房屋及设施设备进行一次安全检查，根据检查结果提报维修计划，协同业主组织实施；</w:t>
      </w:r>
    </w:p>
    <w:p w14:paraId="09FE8DFB">
      <w:pPr>
        <w:adjustRightInd w:val="0"/>
        <w:snapToGrid w:val="0"/>
        <w:spacing w:line="360" w:lineRule="auto"/>
        <w:ind w:left="336" w:hanging="336" w:hangingChars="140"/>
        <w:textAlignment w:val="baseline"/>
        <w:rPr>
          <w:rFonts w:ascii="仿宋" w:hAnsi="仿宋" w:cs="宋体"/>
          <w:kern w:val="2"/>
          <w:sz w:val="24"/>
          <w:szCs w:val="24"/>
          <w:highlight w:val="none"/>
        </w:rPr>
      </w:pPr>
      <w:r>
        <w:rPr>
          <w:rFonts w:hint="eastAsia" w:ascii="仿宋" w:hAnsi="仿宋" w:cs="宋体"/>
          <w:kern w:val="2"/>
          <w:sz w:val="24"/>
          <w:szCs w:val="24"/>
          <w:highlight w:val="none"/>
        </w:rPr>
        <w:t>3、白天配有专职客服人员，处理服务范围内的公共性事务，受理商户和业主的咨询和投诉；夜间配备值班人员，处理紧急报修。水、电等紧急报修需1小时内到现场；</w:t>
      </w:r>
    </w:p>
    <w:p w14:paraId="059993A1">
      <w:pPr>
        <w:adjustRightInd w:val="0"/>
        <w:snapToGrid w:val="0"/>
        <w:spacing w:line="360" w:lineRule="auto"/>
        <w:ind w:left="336" w:hanging="336" w:hangingChars="140"/>
        <w:textAlignment w:val="baseline"/>
        <w:rPr>
          <w:rFonts w:ascii="仿宋" w:hAnsi="仿宋" w:cs="宋体"/>
          <w:kern w:val="2"/>
          <w:sz w:val="24"/>
          <w:szCs w:val="24"/>
          <w:highlight w:val="none"/>
        </w:rPr>
      </w:pPr>
      <w:r>
        <w:rPr>
          <w:rFonts w:hint="eastAsia" w:ascii="仿宋" w:hAnsi="仿宋" w:cs="宋体"/>
          <w:kern w:val="2"/>
          <w:sz w:val="24"/>
          <w:szCs w:val="24"/>
          <w:highlight w:val="none"/>
        </w:rPr>
        <w:t>4、建立健全的物业管理规章制度，物业服务质量标准，物业管理资料等管理制度；</w:t>
      </w:r>
    </w:p>
    <w:p w14:paraId="6FC138DD">
      <w:pPr>
        <w:adjustRightInd w:val="0"/>
        <w:snapToGrid w:val="0"/>
        <w:spacing w:line="360" w:lineRule="auto"/>
        <w:ind w:left="336" w:hanging="336" w:hangingChars="140"/>
        <w:textAlignment w:val="baseline"/>
        <w:rPr>
          <w:rFonts w:ascii="仿宋" w:hAnsi="仿宋" w:cs="宋体"/>
          <w:kern w:val="2"/>
          <w:sz w:val="24"/>
          <w:szCs w:val="24"/>
          <w:highlight w:val="none"/>
        </w:rPr>
      </w:pPr>
      <w:r>
        <w:rPr>
          <w:rFonts w:hint="eastAsia" w:ascii="仿宋" w:hAnsi="仿宋" w:cs="宋体"/>
          <w:kern w:val="2"/>
          <w:sz w:val="24"/>
          <w:szCs w:val="24"/>
          <w:highlight w:val="none"/>
        </w:rPr>
        <w:t>5、全体员工统一着装，持证上岗；</w:t>
      </w:r>
    </w:p>
    <w:p w14:paraId="62AF6B06">
      <w:pPr>
        <w:adjustRightInd w:val="0"/>
        <w:snapToGrid w:val="0"/>
        <w:spacing w:line="360" w:lineRule="auto"/>
        <w:ind w:left="336" w:hanging="336" w:hangingChars="140"/>
        <w:textAlignment w:val="baseline"/>
        <w:rPr>
          <w:rFonts w:ascii="仿宋" w:hAnsi="仿宋" w:cs="宋体"/>
          <w:kern w:val="2"/>
          <w:sz w:val="24"/>
          <w:szCs w:val="24"/>
          <w:highlight w:val="none"/>
        </w:rPr>
      </w:pPr>
      <w:r>
        <w:rPr>
          <w:rFonts w:ascii="仿宋" w:hAnsi="仿宋" w:cs="宋体"/>
          <w:kern w:val="2"/>
          <w:sz w:val="24"/>
          <w:szCs w:val="24"/>
          <w:highlight w:val="none"/>
        </w:rPr>
        <w:t>6</w:t>
      </w:r>
      <w:r>
        <w:rPr>
          <w:rFonts w:hint="eastAsia" w:ascii="仿宋" w:hAnsi="仿宋" w:cs="宋体"/>
          <w:kern w:val="2"/>
          <w:sz w:val="24"/>
          <w:szCs w:val="24"/>
          <w:highlight w:val="none"/>
        </w:rPr>
        <w:t>、每月进行一次物业管理服务的检查，每周与业主进行运营及工程的沟通会，促进管理服务工作的改进和提高；</w:t>
      </w:r>
    </w:p>
    <w:p w14:paraId="7EA99F04">
      <w:pPr>
        <w:adjustRightInd w:val="0"/>
        <w:snapToGrid w:val="0"/>
        <w:spacing w:line="360" w:lineRule="auto"/>
        <w:ind w:left="336" w:hanging="336" w:hangingChars="140"/>
        <w:textAlignment w:val="baseline"/>
        <w:rPr>
          <w:rFonts w:ascii="仿宋" w:hAnsi="仿宋" w:cs="宋体"/>
          <w:kern w:val="2"/>
          <w:sz w:val="24"/>
          <w:szCs w:val="24"/>
          <w:highlight w:val="none"/>
        </w:rPr>
      </w:pPr>
      <w:r>
        <w:rPr>
          <w:rFonts w:hint="eastAsia" w:ascii="仿宋" w:hAnsi="仿宋" w:cs="宋体"/>
          <w:kern w:val="2"/>
          <w:sz w:val="24"/>
          <w:szCs w:val="24"/>
          <w:highlight w:val="none"/>
        </w:rPr>
        <w:t>7、建立有效地应对各种公共突发事件的处理机制和预案并上墙公示，包括组织机构、人员和具体措施等，一旦发生突发事件能及时启用。</w:t>
      </w:r>
    </w:p>
    <w:p w14:paraId="4C46547D">
      <w:pPr>
        <w:adjustRightInd w:val="0"/>
        <w:snapToGrid w:val="0"/>
        <w:spacing w:before="156" w:beforeLines="50"/>
        <w:textAlignment w:val="baseline"/>
        <w:rPr>
          <w:rFonts w:ascii="宋体" w:hAnsi="宋体" w:cs="宋体"/>
          <w:kern w:val="2"/>
          <w:sz w:val="24"/>
          <w:szCs w:val="24"/>
          <w:highlight w:val="none"/>
        </w:rPr>
      </w:pPr>
      <w:r>
        <w:rPr>
          <w:rFonts w:hint="eastAsia" w:ascii="宋体" w:hAnsi="宋体" w:cs="宋体"/>
          <w:kern w:val="2"/>
          <w:sz w:val="24"/>
          <w:szCs w:val="24"/>
          <w:highlight w:val="none"/>
        </w:rPr>
        <w:t>（二）秩序维护（15人）</w:t>
      </w:r>
    </w:p>
    <w:tbl>
      <w:tblPr>
        <w:tblStyle w:val="21"/>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87"/>
        <w:gridCol w:w="672"/>
        <w:gridCol w:w="7157"/>
      </w:tblGrid>
      <w:tr w14:paraId="7F76F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697" w:type="pct"/>
            <w:gridSpan w:val="2"/>
            <w:tcBorders>
              <w:bottom w:val="single" w:color="auto" w:sz="4" w:space="0"/>
            </w:tcBorders>
            <w:vAlign w:val="center"/>
          </w:tcPr>
          <w:p w14:paraId="412418F3">
            <w:pPr>
              <w:widowControl/>
              <w:jc w:val="center"/>
              <w:rPr>
                <w:rFonts w:ascii="宋体" w:hAnsi="宋体" w:cs="宋体"/>
                <w:sz w:val="20"/>
                <w:szCs w:val="20"/>
                <w:highlight w:val="none"/>
              </w:rPr>
            </w:pPr>
            <w:r>
              <w:rPr>
                <w:rFonts w:hint="eastAsia" w:ascii="宋体" w:hAnsi="宋体" w:cs="宋体"/>
                <w:sz w:val="20"/>
                <w:szCs w:val="20"/>
                <w:highlight w:val="none"/>
              </w:rPr>
              <w:t>项     目</w:t>
            </w:r>
          </w:p>
        </w:tc>
        <w:tc>
          <w:tcPr>
            <w:tcW w:w="4303" w:type="pct"/>
            <w:tcBorders>
              <w:bottom w:val="single" w:color="auto" w:sz="4" w:space="0"/>
            </w:tcBorders>
            <w:vAlign w:val="center"/>
          </w:tcPr>
          <w:p w14:paraId="20DDFE71">
            <w:pPr>
              <w:widowControl/>
              <w:jc w:val="center"/>
              <w:rPr>
                <w:rFonts w:ascii="宋体" w:hAnsi="宋体" w:cs="宋体"/>
                <w:sz w:val="20"/>
                <w:szCs w:val="20"/>
                <w:highlight w:val="none"/>
              </w:rPr>
            </w:pPr>
            <w:r>
              <w:rPr>
                <w:rFonts w:hint="eastAsia" w:ascii="宋体" w:hAnsi="宋体" w:cs="宋体"/>
                <w:sz w:val="20"/>
                <w:szCs w:val="20"/>
                <w:highlight w:val="none"/>
              </w:rPr>
              <w:t>要    求</w:t>
            </w:r>
          </w:p>
        </w:tc>
      </w:tr>
      <w:tr w14:paraId="66ED1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293" w:type="pct"/>
            <w:vMerge w:val="restart"/>
            <w:tcBorders>
              <w:top w:val="single" w:color="auto" w:sz="4" w:space="0"/>
              <w:left w:val="single" w:color="auto" w:sz="4" w:space="0"/>
              <w:bottom w:val="single" w:color="auto" w:sz="4" w:space="0"/>
              <w:right w:val="single" w:color="auto" w:sz="4" w:space="0"/>
            </w:tcBorders>
          </w:tcPr>
          <w:p w14:paraId="122A790B">
            <w:pPr>
              <w:widowControl/>
              <w:jc w:val="center"/>
              <w:rPr>
                <w:rFonts w:ascii="宋体" w:hAnsi="宋体" w:cs="宋体"/>
                <w:sz w:val="20"/>
                <w:szCs w:val="20"/>
                <w:highlight w:val="none"/>
              </w:rPr>
            </w:pPr>
          </w:p>
          <w:p w14:paraId="02724E7A">
            <w:pPr>
              <w:widowControl/>
              <w:jc w:val="center"/>
              <w:rPr>
                <w:rFonts w:ascii="宋体" w:hAnsi="宋体" w:cs="宋体"/>
                <w:sz w:val="20"/>
                <w:szCs w:val="20"/>
                <w:highlight w:val="none"/>
              </w:rPr>
            </w:pPr>
          </w:p>
          <w:p w14:paraId="763949A0">
            <w:pPr>
              <w:widowControl/>
              <w:jc w:val="center"/>
              <w:rPr>
                <w:rFonts w:ascii="宋体" w:hAnsi="宋体" w:cs="宋体"/>
                <w:sz w:val="20"/>
                <w:szCs w:val="20"/>
                <w:highlight w:val="none"/>
              </w:rPr>
            </w:pPr>
          </w:p>
          <w:p w14:paraId="0ECA7EE2">
            <w:pPr>
              <w:widowControl/>
              <w:jc w:val="center"/>
              <w:rPr>
                <w:rFonts w:ascii="宋体" w:hAnsi="宋体" w:cs="宋体"/>
                <w:sz w:val="20"/>
                <w:szCs w:val="20"/>
                <w:highlight w:val="none"/>
              </w:rPr>
            </w:pPr>
          </w:p>
          <w:p w14:paraId="097262F8">
            <w:pPr>
              <w:widowControl/>
              <w:jc w:val="center"/>
              <w:rPr>
                <w:rFonts w:ascii="宋体" w:hAnsi="宋体" w:cs="宋体"/>
                <w:sz w:val="20"/>
                <w:szCs w:val="20"/>
                <w:highlight w:val="none"/>
              </w:rPr>
            </w:pPr>
          </w:p>
          <w:p w14:paraId="044B86C9">
            <w:pPr>
              <w:widowControl/>
              <w:jc w:val="center"/>
              <w:rPr>
                <w:rFonts w:ascii="宋体" w:hAnsi="宋体" w:cs="宋体"/>
                <w:sz w:val="20"/>
                <w:szCs w:val="20"/>
                <w:highlight w:val="none"/>
              </w:rPr>
            </w:pPr>
          </w:p>
          <w:p w14:paraId="607E7375">
            <w:pPr>
              <w:widowControl/>
              <w:jc w:val="center"/>
              <w:rPr>
                <w:rFonts w:ascii="宋体" w:hAnsi="宋体" w:cs="宋体"/>
                <w:sz w:val="20"/>
                <w:szCs w:val="20"/>
                <w:highlight w:val="none"/>
              </w:rPr>
            </w:pPr>
          </w:p>
          <w:p w14:paraId="6E20304F">
            <w:pPr>
              <w:widowControl/>
              <w:jc w:val="center"/>
              <w:rPr>
                <w:rFonts w:ascii="宋体" w:hAnsi="宋体" w:cs="宋体"/>
                <w:sz w:val="20"/>
                <w:szCs w:val="20"/>
                <w:highlight w:val="none"/>
              </w:rPr>
            </w:pPr>
          </w:p>
          <w:p w14:paraId="63EA3A9D">
            <w:pPr>
              <w:widowControl/>
              <w:jc w:val="center"/>
              <w:rPr>
                <w:rFonts w:ascii="宋体" w:hAnsi="宋体" w:cs="宋体"/>
                <w:sz w:val="20"/>
                <w:szCs w:val="20"/>
                <w:highlight w:val="none"/>
              </w:rPr>
            </w:pPr>
            <w:r>
              <w:rPr>
                <w:rFonts w:hint="eastAsia" w:ascii="宋体" w:hAnsi="宋体" w:cs="宋体"/>
                <w:sz w:val="20"/>
                <w:szCs w:val="20"/>
                <w:highlight w:val="none"/>
              </w:rPr>
              <w:t>秩序实效</w:t>
            </w:r>
          </w:p>
        </w:tc>
        <w:tc>
          <w:tcPr>
            <w:tcW w:w="404" w:type="pct"/>
            <w:tcBorders>
              <w:top w:val="single" w:color="auto" w:sz="4" w:space="0"/>
              <w:left w:val="single" w:color="auto" w:sz="4" w:space="0"/>
              <w:bottom w:val="single" w:color="auto" w:sz="4" w:space="0"/>
              <w:right w:val="single" w:color="auto" w:sz="4" w:space="0"/>
            </w:tcBorders>
            <w:vAlign w:val="center"/>
          </w:tcPr>
          <w:p w14:paraId="2BD772E0">
            <w:pPr>
              <w:widowControl/>
              <w:jc w:val="center"/>
              <w:rPr>
                <w:rFonts w:ascii="宋体" w:hAnsi="宋体" w:cs="宋体"/>
                <w:sz w:val="20"/>
                <w:szCs w:val="20"/>
                <w:highlight w:val="none"/>
              </w:rPr>
            </w:pPr>
            <w:r>
              <w:rPr>
                <w:rFonts w:hint="eastAsia" w:ascii="宋体" w:hAnsi="宋体" w:cs="宋体"/>
                <w:sz w:val="20"/>
                <w:szCs w:val="20"/>
                <w:highlight w:val="none"/>
              </w:rPr>
              <w:t>人身安全</w:t>
            </w:r>
          </w:p>
        </w:tc>
        <w:tc>
          <w:tcPr>
            <w:tcW w:w="4303" w:type="pct"/>
            <w:tcBorders>
              <w:top w:val="single" w:color="auto" w:sz="4" w:space="0"/>
              <w:left w:val="single" w:color="auto" w:sz="4" w:space="0"/>
              <w:bottom w:val="single" w:color="auto" w:sz="4" w:space="0"/>
              <w:right w:val="single" w:color="auto" w:sz="4" w:space="0"/>
            </w:tcBorders>
            <w:vAlign w:val="center"/>
          </w:tcPr>
          <w:p w14:paraId="035ECD0D">
            <w:pPr>
              <w:widowControl/>
              <w:jc w:val="left"/>
              <w:rPr>
                <w:rFonts w:ascii="宋体" w:hAnsi="宋体" w:cs="宋体"/>
                <w:sz w:val="20"/>
                <w:szCs w:val="20"/>
                <w:highlight w:val="none"/>
              </w:rPr>
            </w:pPr>
            <w:r>
              <w:rPr>
                <w:rFonts w:hint="eastAsia" w:ascii="宋体" w:hAnsi="宋体" w:cs="宋体"/>
                <w:sz w:val="20"/>
                <w:szCs w:val="20"/>
                <w:highlight w:val="none"/>
              </w:rPr>
              <w:t>在物业服务区域内，应没有因管理不善造成的伤人事件。</w:t>
            </w:r>
          </w:p>
        </w:tc>
      </w:tr>
      <w:tr w14:paraId="3F0FB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5" w:hRule="atLeast"/>
          <w:jc w:val="center"/>
        </w:trPr>
        <w:tc>
          <w:tcPr>
            <w:tcW w:w="293" w:type="pct"/>
            <w:vMerge w:val="continue"/>
            <w:tcBorders>
              <w:top w:val="single" w:color="auto" w:sz="4" w:space="0"/>
              <w:left w:val="single" w:color="auto" w:sz="4" w:space="0"/>
              <w:bottom w:val="single" w:color="auto" w:sz="4" w:space="0"/>
              <w:right w:val="single" w:color="auto" w:sz="4" w:space="0"/>
            </w:tcBorders>
          </w:tcPr>
          <w:p w14:paraId="31C179FA">
            <w:pPr>
              <w:widowControl/>
              <w:jc w:val="center"/>
              <w:rPr>
                <w:rFonts w:ascii="宋体" w:hAnsi="宋体" w:cs="宋体"/>
                <w:sz w:val="20"/>
                <w:szCs w:val="20"/>
                <w:highlight w:val="none"/>
              </w:rPr>
            </w:pPr>
          </w:p>
        </w:tc>
        <w:tc>
          <w:tcPr>
            <w:tcW w:w="404" w:type="pct"/>
            <w:tcBorders>
              <w:top w:val="single" w:color="auto" w:sz="4" w:space="0"/>
              <w:left w:val="single" w:color="auto" w:sz="4" w:space="0"/>
              <w:bottom w:val="single" w:color="auto" w:sz="4" w:space="0"/>
              <w:right w:val="single" w:color="auto" w:sz="4" w:space="0"/>
            </w:tcBorders>
            <w:vAlign w:val="center"/>
          </w:tcPr>
          <w:p w14:paraId="66713792">
            <w:pPr>
              <w:widowControl/>
              <w:jc w:val="center"/>
              <w:rPr>
                <w:rFonts w:ascii="宋体" w:hAnsi="宋体" w:cs="宋体"/>
                <w:sz w:val="20"/>
                <w:szCs w:val="20"/>
                <w:highlight w:val="none"/>
              </w:rPr>
            </w:pPr>
            <w:r>
              <w:rPr>
                <w:rFonts w:hint="eastAsia" w:ascii="宋体" w:hAnsi="宋体" w:cs="宋体"/>
                <w:sz w:val="20"/>
                <w:szCs w:val="20"/>
                <w:highlight w:val="none"/>
              </w:rPr>
              <w:t>财产安全</w:t>
            </w:r>
          </w:p>
        </w:tc>
        <w:tc>
          <w:tcPr>
            <w:tcW w:w="4303" w:type="pct"/>
            <w:tcBorders>
              <w:top w:val="single" w:color="auto" w:sz="4" w:space="0"/>
              <w:left w:val="single" w:color="auto" w:sz="4" w:space="0"/>
              <w:bottom w:val="single" w:color="auto" w:sz="4" w:space="0"/>
              <w:right w:val="single" w:color="auto" w:sz="4" w:space="0"/>
            </w:tcBorders>
            <w:vAlign w:val="center"/>
          </w:tcPr>
          <w:p w14:paraId="206DCE62">
            <w:pPr>
              <w:widowControl/>
              <w:jc w:val="left"/>
              <w:rPr>
                <w:rFonts w:ascii="宋体" w:hAnsi="宋体" w:cs="宋体"/>
                <w:sz w:val="20"/>
                <w:szCs w:val="20"/>
                <w:highlight w:val="none"/>
              </w:rPr>
            </w:pPr>
            <w:r>
              <w:rPr>
                <w:rFonts w:hint="eastAsia" w:ascii="宋体" w:hAnsi="宋体" w:cs="宋体"/>
                <w:sz w:val="20"/>
                <w:szCs w:val="20"/>
                <w:highlight w:val="none"/>
              </w:rPr>
              <w:t>1.在物业服务区域内，应没有因管理不善造成的财产损失；</w:t>
            </w:r>
          </w:p>
          <w:p w14:paraId="2F93401F">
            <w:pPr>
              <w:widowControl/>
              <w:jc w:val="left"/>
              <w:rPr>
                <w:rFonts w:ascii="宋体" w:hAnsi="宋体" w:cs="宋体"/>
                <w:sz w:val="20"/>
                <w:szCs w:val="20"/>
                <w:highlight w:val="none"/>
              </w:rPr>
            </w:pPr>
            <w:r>
              <w:rPr>
                <w:rFonts w:ascii="宋体" w:hAnsi="宋体" w:cs="宋体"/>
                <w:sz w:val="20"/>
                <w:szCs w:val="20"/>
                <w:highlight w:val="none"/>
              </w:rPr>
              <w:t>2</w:t>
            </w:r>
            <w:r>
              <w:rPr>
                <w:rFonts w:hint="eastAsia" w:ascii="宋体" w:hAnsi="宋体" w:cs="宋体"/>
                <w:sz w:val="20"/>
                <w:szCs w:val="20"/>
                <w:highlight w:val="none"/>
              </w:rPr>
              <w:t>.管理中设广场裙楼范围内各类设备的完整，包含但不限于门、窗、门窗配件、门禁设备、公区摆件、消防器材、各种管井等。</w:t>
            </w:r>
          </w:p>
        </w:tc>
      </w:tr>
      <w:tr w14:paraId="6BA8F0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4" w:hRule="atLeast"/>
          <w:jc w:val="center"/>
        </w:trPr>
        <w:tc>
          <w:tcPr>
            <w:tcW w:w="293" w:type="pct"/>
            <w:vMerge w:val="continue"/>
            <w:tcBorders>
              <w:top w:val="single" w:color="auto" w:sz="4" w:space="0"/>
              <w:left w:val="single" w:color="auto" w:sz="4" w:space="0"/>
              <w:bottom w:val="single" w:color="auto" w:sz="4" w:space="0"/>
              <w:right w:val="single" w:color="auto" w:sz="4" w:space="0"/>
            </w:tcBorders>
          </w:tcPr>
          <w:p w14:paraId="5957034C">
            <w:pPr>
              <w:widowControl/>
              <w:jc w:val="center"/>
              <w:rPr>
                <w:rFonts w:ascii="宋体" w:hAnsi="宋体" w:cs="宋体"/>
                <w:sz w:val="20"/>
                <w:szCs w:val="20"/>
                <w:highlight w:val="none"/>
              </w:rPr>
            </w:pPr>
          </w:p>
        </w:tc>
        <w:tc>
          <w:tcPr>
            <w:tcW w:w="404" w:type="pct"/>
            <w:tcBorders>
              <w:top w:val="single" w:color="auto" w:sz="4" w:space="0"/>
              <w:left w:val="single" w:color="auto" w:sz="4" w:space="0"/>
              <w:bottom w:val="single" w:color="auto" w:sz="4" w:space="0"/>
              <w:right w:val="single" w:color="auto" w:sz="4" w:space="0"/>
            </w:tcBorders>
            <w:vAlign w:val="center"/>
          </w:tcPr>
          <w:p w14:paraId="7A266C0C">
            <w:pPr>
              <w:widowControl/>
              <w:jc w:val="center"/>
              <w:rPr>
                <w:rFonts w:ascii="宋体" w:hAnsi="宋体" w:cs="宋体"/>
                <w:sz w:val="20"/>
                <w:szCs w:val="20"/>
                <w:highlight w:val="none"/>
              </w:rPr>
            </w:pPr>
            <w:r>
              <w:rPr>
                <w:rFonts w:hint="eastAsia" w:ascii="宋体" w:hAnsi="宋体" w:cs="宋体"/>
                <w:sz w:val="20"/>
                <w:szCs w:val="20"/>
                <w:highlight w:val="none"/>
              </w:rPr>
              <w:t>公共秩序</w:t>
            </w:r>
          </w:p>
        </w:tc>
        <w:tc>
          <w:tcPr>
            <w:tcW w:w="4303" w:type="pct"/>
            <w:tcBorders>
              <w:top w:val="single" w:color="auto" w:sz="4" w:space="0"/>
              <w:left w:val="single" w:color="auto" w:sz="4" w:space="0"/>
              <w:bottom w:val="single" w:color="auto" w:sz="4" w:space="0"/>
              <w:right w:val="single" w:color="auto" w:sz="4" w:space="0"/>
            </w:tcBorders>
            <w:vAlign w:val="center"/>
          </w:tcPr>
          <w:p w14:paraId="2F0C08B7">
            <w:pPr>
              <w:widowControl/>
              <w:jc w:val="left"/>
              <w:rPr>
                <w:rFonts w:ascii="宋体" w:hAnsi="宋体" w:cs="宋体"/>
                <w:sz w:val="20"/>
                <w:szCs w:val="20"/>
                <w:highlight w:val="none"/>
              </w:rPr>
            </w:pPr>
            <w:r>
              <w:rPr>
                <w:rFonts w:hint="eastAsia" w:ascii="宋体" w:hAnsi="宋体" w:cs="宋体"/>
                <w:sz w:val="20"/>
                <w:szCs w:val="20"/>
                <w:highlight w:val="none"/>
              </w:rPr>
              <w:t>1.物业服务区域内的公共部位/区域应当不被占用，没有乱堆放、乱摆卖的现象；2.物业服务区域内的可控噪音应当符合国家/行业规范要求；</w:t>
            </w:r>
          </w:p>
          <w:p w14:paraId="7BB70DCC">
            <w:pPr>
              <w:widowControl/>
              <w:jc w:val="left"/>
              <w:rPr>
                <w:rFonts w:ascii="宋体" w:hAnsi="宋体" w:cs="宋体"/>
                <w:sz w:val="20"/>
                <w:szCs w:val="20"/>
                <w:highlight w:val="none"/>
              </w:rPr>
            </w:pPr>
            <w:r>
              <w:rPr>
                <w:rFonts w:hint="eastAsia" w:ascii="宋体" w:hAnsi="宋体" w:cs="宋体"/>
                <w:sz w:val="20"/>
                <w:szCs w:val="20"/>
                <w:highlight w:val="none"/>
              </w:rPr>
              <w:t>3.装修垃圾应分类堆放在指定位置，散乱垃圾应袋装堆放；</w:t>
            </w:r>
          </w:p>
          <w:p w14:paraId="38994997">
            <w:pPr>
              <w:widowControl/>
              <w:jc w:val="left"/>
              <w:rPr>
                <w:rFonts w:ascii="宋体" w:hAnsi="宋体" w:cs="宋体"/>
                <w:sz w:val="20"/>
                <w:szCs w:val="20"/>
                <w:highlight w:val="none"/>
              </w:rPr>
            </w:pPr>
            <w:r>
              <w:rPr>
                <w:rFonts w:hint="eastAsia" w:ascii="宋体" w:hAnsi="宋体" w:cs="宋体"/>
                <w:sz w:val="20"/>
                <w:szCs w:val="20"/>
                <w:highlight w:val="none"/>
              </w:rPr>
              <w:t>4.提供24小时安保服务。</w:t>
            </w:r>
          </w:p>
        </w:tc>
      </w:tr>
      <w:tr w14:paraId="14A350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7" w:hRule="atLeast"/>
          <w:jc w:val="center"/>
        </w:trPr>
        <w:tc>
          <w:tcPr>
            <w:tcW w:w="293" w:type="pct"/>
            <w:vMerge w:val="continue"/>
            <w:tcBorders>
              <w:top w:val="single" w:color="auto" w:sz="4" w:space="0"/>
              <w:left w:val="single" w:color="auto" w:sz="4" w:space="0"/>
              <w:bottom w:val="single" w:color="auto" w:sz="4" w:space="0"/>
              <w:right w:val="single" w:color="auto" w:sz="4" w:space="0"/>
            </w:tcBorders>
          </w:tcPr>
          <w:p w14:paraId="4B273B33">
            <w:pPr>
              <w:widowControl/>
              <w:jc w:val="center"/>
              <w:rPr>
                <w:rFonts w:ascii="宋体" w:hAnsi="宋体" w:cs="宋体"/>
                <w:sz w:val="20"/>
                <w:szCs w:val="20"/>
                <w:highlight w:val="none"/>
              </w:rPr>
            </w:pPr>
          </w:p>
        </w:tc>
        <w:tc>
          <w:tcPr>
            <w:tcW w:w="404" w:type="pct"/>
            <w:tcBorders>
              <w:top w:val="single" w:color="auto" w:sz="4" w:space="0"/>
              <w:left w:val="single" w:color="auto" w:sz="4" w:space="0"/>
              <w:bottom w:val="single" w:color="auto" w:sz="4" w:space="0"/>
              <w:right w:val="single" w:color="auto" w:sz="4" w:space="0"/>
            </w:tcBorders>
            <w:vAlign w:val="center"/>
          </w:tcPr>
          <w:p w14:paraId="3B16FFA6">
            <w:pPr>
              <w:widowControl/>
              <w:jc w:val="center"/>
              <w:rPr>
                <w:rFonts w:ascii="宋体" w:hAnsi="宋体" w:cs="宋体"/>
                <w:sz w:val="20"/>
                <w:szCs w:val="20"/>
                <w:highlight w:val="none"/>
              </w:rPr>
            </w:pPr>
            <w:r>
              <w:rPr>
                <w:rFonts w:hint="eastAsia" w:ascii="宋体" w:hAnsi="宋体" w:cs="宋体"/>
                <w:sz w:val="20"/>
                <w:szCs w:val="20"/>
                <w:highlight w:val="none"/>
              </w:rPr>
              <w:t>商场内秩序</w:t>
            </w:r>
          </w:p>
        </w:tc>
        <w:tc>
          <w:tcPr>
            <w:tcW w:w="4303" w:type="pct"/>
            <w:tcBorders>
              <w:top w:val="single" w:color="auto" w:sz="4" w:space="0"/>
              <w:left w:val="single" w:color="auto" w:sz="4" w:space="0"/>
              <w:bottom w:val="single" w:color="auto" w:sz="4" w:space="0"/>
              <w:right w:val="single" w:color="auto" w:sz="4" w:space="0"/>
            </w:tcBorders>
            <w:vAlign w:val="center"/>
          </w:tcPr>
          <w:p w14:paraId="7C5A6143">
            <w:pPr>
              <w:widowControl/>
              <w:jc w:val="left"/>
              <w:rPr>
                <w:rFonts w:ascii="宋体" w:hAnsi="宋体" w:cs="宋体"/>
                <w:sz w:val="20"/>
                <w:szCs w:val="20"/>
                <w:highlight w:val="none"/>
              </w:rPr>
            </w:pPr>
            <w:r>
              <w:rPr>
                <w:rFonts w:hint="eastAsia" w:ascii="宋体" w:hAnsi="宋体" w:cs="宋体"/>
                <w:sz w:val="20"/>
                <w:szCs w:val="20"/>
                <w:highlight w:val="none"/>
              </w:rPr>
              <w:t>1.巡逻维护人员对商场内公共区域，应当每2个小时巡视一遍，巡查内容包含但不限于公共区域安全检查、消防设施设备完好性检查、重点部位和燃气使用店铺的安全等；</w:t>
            </w:r>
          </w:p>
          <w:p w14:paraId="32523F00">
            <w:pPr>
              <w:widowControl/>
              <w:jc w:val="left"/>
              <w:rPr>
                <w:rFonts w:ascii="宋体" w:hAnsi="宋体" w:cs="宋体"/>
                <w:sz w:val="20"/>
                <w:szCs w:val="20"/>
                <w:highlight w:val="none"/>
              </w:rPr>
            </w:pPr>
            <w:r>
              <w:rPr>
                <w:rFonts w:hint="eastAsia" w:ascii="宋体" w:hAnsi="宋体" w:cs="宋体"/>
                <w:sz w:val="20"/>
                <w:szCs w:val="20"/>
                <w:highlight w:val="none"/>
              </w:rPr>
              <w:t>2.商场内公共区域的消防设施应保持完好，并有月检；</w:t>
            </w:r>
          </w:p>
          <w:p w14:paraId="1847BFFD">
            <w:pPr>
              <w:widowControl/>
              <w:jc w:val="left"/>
              <w:rPr>
                <w:rFonts w:ascii="宋体" w:hAnsi="宋体" w:cs="宋体"/>
                <w:sz w:val="20"/>
                <w:szCs w:val="20"/>
                <w:highlight w:val="none"/>
              </w:rPr>
            </w:pPr>
            <w:r>
              <w:rPr>
                <w:rFonts w:hint="eastAsia" w:ascii="宋体" w:hAnsi="宋体" w:cs="宋体"/>
                <w:sz w:val="20"/>
                <w:szCs w:val="20"/>
                <w:highlight w:val="none"/>
              </w:rPr>
              <w:t>3.商场内公共区域设备设施如有损坏，应有报修记录与处理跟进记录；</w:t>
            </w:r>
          </w:p>
          <w:p w14:paraId="139D1059">
            <w:pPr>
              <w:widowControl/>
              <w:jc w:val="left"/>
              <w:rPr>
                <w:rFonts w:ascii="宋体" w:hAnsi="宋体" w:cs="宋体"/>
                <w:sz w:val="20"/>
                <w:szCs w:val="20"/>
                <w:highlight w:val="none"/>
              </w:rPr>
            </w:pPr>
            <w:r>
              <w:rPr>
                <w:rFonts w:hint="eastAsia" w:ascii="宋体" w:hAnsi="宋体" w:cs="宋体"/>
                <w:sz w:val="20"/>
                <w:szCs w:val="20"/>
                <w:highlight w:val="none"/>
              </w:rPr>
              <w:t>4.商场内公区区域卫生状况如有不合格时，应有报事记录与处理跟进记录：</w:t>
            </w:r>
          </w:p>
          <w:p w14:paraId="0B88EC18">
            <w:pPr>
              <w:widowControl/>
              <w:jc w:val="left"/>
              <w:rPr>
                <w:rFonts w:ascii="宋体" w:hAnsi="宋体" w:cs="宋体"/>
                <w:sz w:val="20"/>
                <w:szCs w:val="20"/>
                <w:highlight w:val="none"/>
              </w:rPr>
            </w:pPr>
            <w:r>
              <w:rPr>
                <w:rFonts w:hint="eastAsia" w:ascii="宋体" w:hAnsi="宋体" w:cs="宋体"/>
                <w:sz w:val="20"/>
                <w:szCs w:val="20"/>
                <w:highlight w:val="none"/>
              </w:rPr>
              <w:t>5.商场内公区区域的管井应100%上锁；</w:t>
            </w:r>
          </w:p>
          <w:p w14:paraId="1ED60C51">
            <w:pPr>
              <w:widowControl/>
              <w:jc w:val="left"/>
              <w:rPr>
                <w:rFonts w:ascii="宋体" w:hAnsi="宋体" w:cs="宋体"/>
                <w:sz w:val="20"/>
                <w:szCs w:val="20"/>
                <w:highlight w:val="none"/>
              </w:rPr>
            </w:pPr>
            <w:r>
              <w:rPr>
                <w:rFonts w:hint="eastAsia" w:ascii="宋体" w:hAnsi="宋体" w:cs="宋体"/>
                <w:sz w:val="20"/>
                <w:szCs w:val="20"/>
                <w:highlight w:val="none"/>
              </w:rPr>
              <w:t>6.商户装修进行造册登记管理，装修人员应进行登记备案，保留身份证复印件，并凭临时出入证出入，装修期间不能影响商场的正常营业。</w:t>
            </w:r>
          </w:p>
        </w:tc>
      </w:tr>
      <w:tr w14:paraId="05F14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6" w:hRule="atLeast"/>
          <w:jc w:val="center"/>
        </w:trPr>
        <w:tc>
          <w:tcPr>
            <w:tcW w:w="293" w:type="pct"/>
            <w:vMerge w:val="continue"/>
            <w:tcBorders>
              <w:top w:val="single" w:color="auto" w:sz="4" w:space="0"/>
              <w:left w:val="single" w:color="auto" w:sz="4" w:space="0"/>
              <w:bottom w:val="single" w:color="auto" w:sz="4" w:space="0"/>
              <w:right w:val="single" w:color="auto" w:sz="4" w:space="0"/>
            </w:tcBorders>
          </w:tcPr>
          <w:p w14:paraId="585CA61E">
            <w:pPr>
              <w:pStyle w:val="11"/>
              <w:ind w:left="191"/>
              <w:jc w:val="center"/>
              <w:rPr>
                <w:spacing w:val="6"/>
                <w:highlight w:val="none"/>
                <w:lang w:eastAsia="zh-CN"/>
              </w:rPr>
            </w:pPr>
          </w:p>
        </w:tc>
        <w:tc>
          <w:tcPr>
            <w:tcW w:w="404" w:type="pct"/>
            <w:tcBorders>
              <w:top w:val="single" w:color="auto" w:sz="4" w:space="0"/>
              <w:left w:val="single" w:color="auto" w:sz="4" w:space="0"/>
              <w:bottom w:val="single" w:color="auto" w:sz="4" w:space="0"/>
              <w:right w:val="single" w:color="auto" w:sz="4" w:space="0"/>
            </w:tcBorders>
            <w:vAlign w:val="center"/>
          </w:tcPr>
          <w:p w14:paraId="755DAFBA">
            <w:pPr>
              <w:widowControl/>
              <w:jc w:val="center"/>
              <w:rPr>
                <w:rFonts w:ascii="宋体" w:hAnsi="宋体" w:cs="宋体"/>
                <w:sz w:val="20"/>
                <w:szCs w:val="20"/>
                <w:highlight w:val="none"/>
              </w:rPr>
            </w:pPr>
            <w:r>
              <w:rPr>
                <w:rFonts w:hint="eastAsia" w:ascii="宋体" w:hAnsi="宋体" w:cs="宋体"/>
                <w:sz w:val="20"/>
                <w:szCs w:val="20"/>
                <w:highlight w:val="none"/>
              </w:rPr>
              <w:t>进出秩序维护</w:t>
            </w:r>
          </w:p>
        </w:tc>
        <w:tc>
          <w:tcPr>
            <w:tcW w:w="4303" w:type="pct"/>
            <w:tcBorders>
              <w:top w:val="single" w:color="auto" w:sz="4" w:space="0"/>
              <w:left w:val="single" w:color="auto" w:sz="4" w:space="0"/>
              <w:bottom w:val="single" w:color="auto" w:sz="4" w:space="0"/>
              <w:right w:val="single" w:color="auto" w:sz="4" w:space="0"/>
            </w:tcBorders>
            <w:vAlign w:val="center"/>
          </w:tcPr>
          <w:p w14:paraId="262B62D1">
            <w:pPr>
              <w:widowControl/>
              <w:jc w:val="left"/>
              <w:rPr>
                <w:rFonts w:ascii="宋体" w:hAnsi="宋体" w:cs="宋体"/>
                <w:sz w:val="20"/>
                <w:szCs w:val="20"/>
                <w:highlight w:val="none"/>
              </w:rPr>
            </w:pPr>
            <w:r>
              <w:rPr>
                <w:rFonts w:hint="eastAsia" w:ascii="宋体" w:hAnsi="宋体" w:cs="宋体"/>
                <w:sz w:val="20"/>
                <w:szCs w:val="20"/>
                <w:highlight w:val="none"/>
              </w:rPr>
              <w:t>1.对进出商场的人员管理进出动线与时间；</w:t>
            </w:r>
          </w:p>
          <w:p w14:paraId="697AA34C">
            <w:pPr>
              <w:widowControl/>
              <w:jc w:val="left"/>
              <w:rPr>
                <w:rFonts w:ascii="宋体" w:hAnsi="宋体" w:cs="宋体"/>
                <w:sz w:val="20"/>
                <w:szCs w:val="20"/>
                <w:highlight w:val="none"/>
              </w:rPr>
            </w:pPr>
            <w:r>
              <w:rPr>
                <w:rFonts w:hint="eastAsia" w:ascii="宋体" w:hAnsi="宋体" w:cs="宋体"/>
                <w:sz w:val="20"/>
                <w:szCs w:val="20"/>
                <w:highlight w:val="none"/>
              </w:rPr>
              <w:t>2.对进出商场的物品管理进出动线与时间；</w:t>
            </w:r>
          </w:p>
          <w:p w14:paraId="20D77D5E">
            <w:pPr>
              <w:widowControl/>
              <w:jc w:val="left"/>
              <w:rPr>
                <w:rFonts w:ascii="宋体" w:hAnsi="宋体" w:cs="宋体"/>
                <w:sz w:val="20"/>
                <w:szCs w:val="20"/>
                <w:highlight w:val="none"/>
              </w:rPr>
            </w:pPr>
            <w:r>
              <w:rPr>
                <w:rFonts w:hint="eastAsia" w:ascii="宋体" w:hAnsi="宋体" w:cs="宋体"/>
                <w:sz w:val="20"/>
                <w:szCs w:val="20"/>
                <w:highlight w:val="none"/>
              </w:rPr>
              <w:t>3.对进送货运货车辆管理进出动线与时间；</w:t>
            </w:r>
          </w:p>
        </w:tc>
      </w:tr>
      <w:tr w14:paraId="49DF2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jc w:val="center"/>
        </w:trPr>
        <w:tc>
          <w:tcPr>
            <w:tcW w:w="293" w:type="pct"/>
            <w:vMerge w:val="continue"/>
            <w:tcBorders>
              <w:top w:val="single" w:color="auto" w:sz="4" w:space="0"/>
              <w:left w:val="single" w:color="auto" w:sz="4" w:space="0"/>
              <w:bottom w:val="single" w:color="auto" w:sz="4" w:space="0"/>
              <w:right w:val="single" w:color="auto" w:sz="4" w:space="0"/>
            </w:tcBorders>
          </w:tcPr>
          <w:p w14:paraId="13801B29">
            <w:pPr>
              <w:rPr>
                <w:rFonts w:ascii="宋体" w:hAnsi="宋体" w:cs="宋体"/>
                <w:sz w:val="24"/>
                <w:szCs w:val="24"/>
                <w:highlight w:val="none"/>
              </w:rPr>
            </w:pPr>
          </w:p>
        </w:tc>
        <w:tc>
          <w:tcPr>
            <w:tcW w:w="404" w:type="pct"/>
            <w:tcBorders>
              <w:top w:val="single" w:color="auto" w:sz="4" w:space="0"/>
              <w:left w:val="single" w:color="auto" w:sz="4" w:space="0"/>
              <w:bottom w:val="single" w:color="auto" w:sz="4" w:space="0"/>
              <w:right w:val="single" w:color="auto" w:sz="4" w:space="0"/>
            </w:tcBorders>
            <w:vAlign w:val="center"/>
          </w:tcPr>
          <w:p w14:paraId="349EA1FA">
            <w:pPr>
              <w:widowControl/>
              <w:jc w:val="center"/>
              <w:rPr>
                <w:rFonts w:ascii="宋体" w:hAnsi="宋体" w:cs="宋体"/>
                <w:sz w:val="20"/>
                <w:szCs w:val="20"/>
                <w:highlight w:val="none"/>
              </w:rPr>
            </w:pPr>
            <w:r>
              <w:rPr>
                <w:rFonts w:hint="eastAsia" w:ascii="宋体" w:hAnsi="宋体" w:cs="宋体"/>
                <w:sz w:val="20"/>
                <w:szCs w:val="20"/>
                <w:highlight w:val="none"/>
              </w:rPr>
              <w:t>危急情况</w:t>
            </w:r>
          </w:p>
        </w:tc>
        <w:tc>
          <w:tcPr>
            <w:tcW w:w="4303" w:type="pct"/>
            <w:tcBorders>
              <w:top w:val="single" w:color="auto" w:sz="4" w:space="0"/>
              <w:left w:val="single" w:color="auto" w:sz="4" w:space="0"/>
              <w:bottom w:val="single" w:color="auto" w:sz="4" w:space="0"/>
              <w:right w:val="single" w:color="auto" w:sz="4" w:space="0"/>
            </w:tcBorders>
            <w:vAlign w:val="center"/>
          </w:tcPr>
          <w:p w14:paraId="44B8C27F">
            <w:pPr>
              <w:widowControl/>
              <w:jc w:val="left"/>
              <w:rPr>
                <w:rFonts w:ascii="宋体" w:hAnsi="宋体" w:cs="宋体"/>
                <w:sz w:val="20"/>
                <w:szCs w:val="20"/>
                <w:highlight w:val="none"/>
              </w:rPr>
            </w:pPr>
            <w:r>
              <w:rPr>
                <w:rFonts w:hint="eastAsia" w:ascii="宋体" w:hAnsi="宋体" w:cs="宋体"/>
                <w:sz w:val="20"/>
                <w:szCs w:val="20"/>
                <w:highlight w:val="none"/>
              </w:rPr>
              <w:t>建立治安案件、刑事案件、交通事故的处理预案，</w:t>
            </w:r>
          </w:p>
          <w:p w14:paraId="7F0A5155">
            <w:pPr>
              <w:widowControl/>
              <w:jc w:val="left"/>
              <w:rPr>
                <w:rFonts w:ascii="宋体" w:hAnsi="宋体" w:cs="宋体"/>
                <w:sz w:val="20"/>
                <w:szCs w:val="20"/>
                <w:highlight w:val="none"/>
              </w:rPr>
            </w:pPr>
            <w:r>
              <w:rPr>
                <w:rFonts w:hint="eastAsia" w:ascii="宋体" w:hAnsi="宋体" w:cs="宋体"/>
                <w:sz w:val="20"/>
                <w:szCs w:val="20"/>
                <w:highlight w:val="none"/>
              </w:rPr>
              <w:t>发生危急情况时及时采取措施，并及时报警配合公安部门进行处理。</w:t>
            </w:r>
          </w:p>
        </w:tc>
      </w:tr>
      <w:tr w14:paraId="6AB19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jc w:val="center"/>
        </w:trPr>
        <w:tc>
          <w:tcPr>
            <w:tcW w:w="293" w:type="pct"/>
            <w:vMerge w:val="continue"/>
            <w:tcBorders>
              <w:top w:val="single" w:color="auto" w:sz="4" w:space="0"/>
              <w:left w:val="single" w:color="auto" w:sz="4" w:space="0"/>
              <w:bottom w:val="single" w:color="auto" w:sz="4" w:space="0"/>
              <w:right w:val="single" w:color="auto" w:sz="4" w:space="0"/>
            </w:tcBorders>
          </w:tcPr>
          <w:p w14:paraId="115599B1">
            <w:pPr>
              <w:rPr>
                <w:rFonts w:ascii="宋体" w:hAnsi="宋体" w:cs="宋体"/>
                <w:sz w:val="24"/>
                <w:szCs w:val="24"/>
                <w:highlight w:val="none"/>
              </w:rPr>
            </w:pPr>
          </w:p>
        </w:tc>
        <w:tc>
          <w:tcPr>
            <w:tcW w:w="404" w:type="pct"/>
            <w:tcBorders>
              <w:top w:val="single" w:color="auto" w:sz="4" w:space="0"/>
              <w:left w:val="single" w:color="auto" w:sz="4" w:space="0"/>
              <w:bottom w:val="single" w:color="auto" w:sz="4" w:space="0"/>
              <w:right w:val="single" w:color="auto" w:sz="4" w:space="0"/>
            </w:tcBorders>
            <w:vAlign w:val="center"/>
          </w:tcPr>
          <w:p w14:paraId="1BF5DAB1">
            <w:pPr>
              <w:widowControl/>
              <w:jc w:val="center"/>
              <w:rPr>
                <w:rFonts w:ascii="宋体" w:hAnsi="宋体" w:cs="宋体"/>
                <w:sz w:val="20"/>
                <w:szCs w:val="20"/>
                <w:highlight w:val="none"/>
              </w:rPr>
            </w:pPr>
            <w:r>
              <w:rPr>
                <w:rFonts w:hint="eastAsia" w:ascii="宋体" w:hAnsi="宋体" w:cs="宋体"/>
                <w:sz w:val="20"/>
                <w:szCs w:val="20"/>
                <w:highlight w:val="none"/>
              </w:rPr>
              <w:t>业主特殊要求</w:t>
            </w:r>
          </w:p>
        </w:tc>
        <w:tc>
          <w:tcPr>
            <w:tcW w:w="4303" w:type="pct"/>
            <w:tcBorders>
              <w:top w:val="single" w:color="auto" w:sz="4" w:space="0"/>
              <w:left w:val="single" w:color="auto" w:sz="4" w:space="0"/>
              <w:bottom w:val="single" w:color="auto" w:sz="4" w:space="0"/>
              <w:right w:val="single" w:color="auto" w:sz="4" w:space="0"/>
            </w:tcBorders>
            <w:vAlign w:val="center"/>
          </w:tcPr>
          <w:p w14:paraId="41D38567">
            <w:pPr>
              <w:widowControl/>
              <w:jc w:val="left"/>
              <w:rPr>
                <w:rFonts w:ascii="宋体" w:hAnsi="宋体" w:cs="宋体"/>
                <w:sz w:val="20"/>
                <w:szCs w:val="20"/>
                <w:highlight w:val="none"/>
              </w:rPr>
            </w:pPr>
            <w:r>
              <w:rPr>
                <w:rFonts w:hint="eastAsia" w:ascii="宋体" w:hAnsi="宋体" w:cs="宋体"/>
                <w:sz w:val="20"/>
                <w:szCs w:val="20"/>
                <w:highlight w:val="none"/>
              </w:rPr>
              <w:t>配合业主做好重大节日或活动时的安保及秩序维护工作</w:t>
            </w:r>
          </w:p>
        </w:tc>
      </w:tr>
    </w:tbl>
    <w:p w14:paraId="39F08DBA">
      <w:pPr>
        <w:adjustRightInd w:val="0"/>
        <w:snapToGrid w:val="0"/>
        <w:spacing w:before="156" w:beforeLines="50"/>
        <w:textAlignment w:val="baseline"/>
        <w:rPr>
          <w:rFonts w:ascii="宋体" w:hAnsi="宋体" w:cs="宋体"/>
          <w:kern w:val="2"/>
          <w:sz w:val="24"/>
          <w:szCs w:val="24"/>
          <w:highlight w:val="none"/>
        </w:rPr>
      </w:pPr>
      <w:r>
        <w:rPr>
          <w:rFonts w:hint="eastAsia" w:ascii="宋体" w:hAnsi="宋体" w:cs="宋体"/>
          <w:kern w:val="2"/>
          <w:sz w:val="24"/>
          <w:szCs w:val="24"/>
          <w:highlight w:val="none"/>
        </w:rPr>
        <w:t>（三）保洁服务（15人）</w:t>
      </w:r>
    </w:p>
    <w:p w14:paraId="5C79F3D5">
      <w:pPr>
        <w:adjustRightInd w:val="0"/>
        <w:snapToGrid w:val="0"/>
        <w:spacing w:line="360" w:lineRule="auto"/>
        <w:ind w:left="336" w:hanging="336" w:hangingChars="140"/>
        <w:textAlignment w:val="baseline"/>
        <w:rPr>
          <w:rFonts w:ascii="仿宋" w:hAnsi="仿宋" w:cs="宋体"/>
          <w:kern w:val="2"/>
          <w:sz w:val="24"/>
          <w:szCs w:val="24"/>
          <w:highlight w:val="none"/>
        </w:rPr>
      </w:pPr>
      <w:r>
        <w:rPr>
          <w:rFonts w:hint="eastAsia" w:ascii="仿宋" w:hAnsi="仿宋" w:cs="宋体"/>
          <w:kern w:val="2"/>
          <w:sz w:val="24"/>
          <w:szCs w:val="24"/>
          <w:highlight w:val="none"/>
        </w:rPr>
        <w:t>1、建立健全的保洁制度，清洁卫生实行责任制，有明确的分工和责任范围；</w:t>
      </w:r>
    </w:p>
    <w:p w14:paraId="4D8C155C">
      <w:pPr>
        <w:adjustRightInd w:val="0"/>
        <w:snapToGrid w:val="0"/>
        <w:spacing w:line="360" w:lineRule="auto"/>
        <w:textAlignment w:val="baseline"/>
        <w:rPr>
          <w:rFonts w:ascii="仿宋" w:hAnsi="仿宋" w:cs="宋体"/>
          <w:kern w:val="2"/>
          <w:sz w:val="24"/>
          <w:szCs w:val="24"/>
          <w:highlight w:val="none"/>
        </w:rPr>
      </w:pPr>
      <w:r>
        <w:rPr>
          <w:rFonts w:ascii="仿宋" w:hAnsi="仿宋" w:cs="宋体"/>
          <w:kern w:val="2"/>
          <w:sz w:val="24"/>
          <w:szCs w:val="24"/>
          <w:highlight w:val="none"/>
        </w:rPr>
        <w:t>2</w:t>
      </w:r>
      <w:r>
        <w:rPr>
          <w:rFonts w:hint="eastAsia" w:ascii="仿宋" w:hAnsi="仿宋" w:cs="宋体"/>
          <w:kern w:val="2"/>
          <w:sz w:val="24"/>
          <w:szCs w:val="24"/>
          <w:highlight w:val="none"/>
        </w:rPr>
        <w:t>、清洁卫生实行标准化保洁，公共卫生间及楼层必须根据清洁服务标准设立清洁记录本，清洁员必须每个工作日完成清洁后进行签名，清洁员要具有较好的专业保洁技能，要做到服务主动热情、文明礼貌。各楼层的公共走道、电梯厅、卫生间每日必须进行清扫除尘；</w:t>
      </w:r>
    </w:p>
    <w:p w14:paraId="121C423E">
      <w:pPr>
        <w:adjustRightInd w:val="0"/>
        <w:snapToGrid w:val="0"/>
        <w:spacing w:line="360" w:lineRule="auto"/>
        <w:ind w:left="336" w:hanging="336" w:hangingChars="140"/>
        <w:textAlignment w:val="baseline"/>
        <w:rPr>
          <w:rFonts w:ascii="仿宋" w:hAnsi="仿宋" w:cs="宋体"/>
          <w:kern w:val="2"/>
          <w:sz w:val="24"/>
          <w:szCs w:val="24"/>
          <w:highlight w:val="none"/>
        </w:rPr>
      </w:pPr>
      <w:r>
        <w:rPr>
          <w:rFonts w:hint="eastAsia" w:ascii="仿宋" w:hAnsi="仿宋" w:cs="宋体"/>
          <w:kern w:val="2"/>
          <w:sz w:val="24"/>
          <w:szCs w:val="24"/>
          <w:highlight w:val="none"/>
        </w:rPr>
        <w:t>3、配备有相应专业清洁机械设备，各类清洁用品用具环保、专业，不发生因服务原因造成的建筑物磨损。</w:t>
      </w:r>
    </w:p>
    <w:p w14:paraId="6125F380">
      <w:pPr>
        <w:adjustRightInd w:val="0"/>
        <w:snapToGrid w:val="0"/>
        <w:spacing w:line="360" w:lineRule="auto"/>
        <w:textAlignment w:val="baseline"/>
        <w:rPr>
          <w:rFonts w:ascii="仿宋" w:hAnsi="仿宋" w:cs="宋体"/>
          <w:kern w:val="2"/>
          <w:sz w:val="24"/>
          <w:szCs w:val="24"/>
          <w:highlight w:val="none"/>
        </w:rPr>
      </w:pPr>
      <w:r>
        <w:rPr>
          <w:rFonts w:ascii="仿宋" w:hAnsi="仿宋" w:cs="宋体"/>
          <w:kern w:val="2"/>
          <w:sz w:val="24"/>
          <w:szCs w:val="24"/>
          <w:highlight w:val="none"/>
        </w:rPr>
        <w:t>4</w:t>
      </w:r>
      <w:r>
        <w:rPr>
          <w:rFonts w:hint="eastAsia" w:ascii="仿宋" w:hAnsi="仿宋" w:cs="宋体"/>
          <w:kern w:val="2"/>
          <w:sz w:val="24"/>
          <w:szCs w:val="24"/>
          <w:highlight w:val="none"/>
        </w:rPr>
        <w:t>、垃圾日产日清，及时分类并清运，将垃圾归集到各指定的垃圾站；并根据实际情况加大垃圾收集的频次；</w:t>
      </w:r>
    </w:p>
    <w:p w14:paraId="07FB716F">
      <w:pPr>
        <w:adjustRightInd w:val="0"/>
        <w:snapToGrid w:val="0"/>
        <w:spacing w:line="360" w:lineRule="auto"/>
        <w:ind w:left="336" w:hanging="336" w:hangingChars="140"/>
        <w:textAlignment w:val="baseline"/>
        <w:rPr>
          <w:rFonts w:ascii="仿宋" w:hAnsi="仿宋" w:cs="宋体"/>
          <w:kern w:val="2"/>
          <w:sz w:val="24"/>
          <w:szCs w:val="24"/>
          <w:highlight w:val="none"/>
        </w:rPr>
      </w:pPr>
      <w:r>
        <w:rPr>
          <w:rFonts w:hint="eastAsia" w:ascii="仿宋" w:hAnsi="仿宋" w:cs="宋体"/>
          <w:kern w:val="2"/>
          <w:sz w:val="24"/>
          <w:szCs w:val="24"/>
          <w:highlight w:val="none"/>
        </w:rPr>
        <w:t>5、每月在服务范围内请专业的除四害公司喷洒、投放灭鼠药及除虫剂，定期除四害；</w:t>
      </w:r>
    </w:p>
    <w:p w14:paraId="543B736F">
      <w:pPr>
        <w:adjustRightInd w:val="0"/>
        <w:snapToGrid w:val="0"/>
        <w:spacing w:line="360" w:lineRule="auto"/>
        <w:textAlignment w:val="baseline"/>
        <w:rPr>
          <w:rFonts w:ascii="仿宋" w:hAnsi="仿宋" w:cs="宋体"/>
          <w:kern w:val="2"/>
          <w:sz w:val="24"/>
          <w:szCs w:val="24"/>
          <w:highlight w:val="none"/>
        </w:rPr>
      </w:pPr>
      <w:r>
        <w:rPr>
          <w:rFonts w:ascii="仿宋" w:hAnsi="仿宋" w:cs="宋体"/>
          <w:kern w:val="2"/>
          <w:sz w:val="24"/>
          <w:szCs w:val="24"/>
          <w:highlight w:val="none"/>
        </w:rPr>
        <w:t>6</w:t>
      </w:r>
      <w:r>
        <w:rPr>
          <w:rFonts w:hint="eastAsia" w:ascii="仿宋" w:hAnsi="仿宋" w:cs="宋体"/>
          <w:kern w:val="2"/>
          <w:sz w:val="24"/>
          <w:szCs w:val="24"/>
          <w:highlight w:val="none"/>
        </w:rPr>
        <w:t>、每月对公共区域进行消毒工作（包括但不限于裙楼中厅、公共区域、电梯厅、电梯轿厢、楼梯走道等），如疫情期间要加强消毒工作的频次；</w:t>
      </w:r>
    </w:p>
    <w:p w14:paraId="07C84770">
      <w:pPr>
        <w:adjustRightInd w:val="0"/>
        <w:snapToGrid w:val="0"/>
        <w:spacing w:line="360" w:lineRule="auto"/>
        <w:ind w:left="336" w:hanging="336" w:hangingChars="140"/>
        <w:textAlignment w:val="baseline"/>
        <w:rPr>
          <w:rFonts w:ascii="仿宋" w:hAnsi="仿宋" w:cs="宋体"/>
          <w:kern w:val="2"/>
          <w:sz w:val="24"/>
          <w:szCs w:val="24"/>
          <w:highlight w:val="none"/>
        </w:rPr>
      </w:pPr>
      <w:r>
        <w:rPr>
          <w:rFonts w:hint="eastAsia" w:ascii="仿宋" w:hAnsi="仿宋" w:cs="宋体"/>
          <w:kern w:val="2"/>
          <w:sz w:val="24"/>
          <w:szCs w:val="24"/>
          <w:highlight w:val="none"/>
        </w:rPr>
        <w:t>7、裙楼生活垃圾和餐厨垃圾的管理：对生活垃圾进行干湿分类，并每日组织生活垃圾归集到生活垃圾站，组织餐厨垃圾车对餐厨垃圾进行外运工作；</w:t>
      </w:r>
    </w:p>
    <w:p w14:paraId="29694C8F">
      <w:pPr>
        <w:adjustRightInd w:val="0"/>
        <w:snapToGrid w:val="0"/>
        <w:spacing w:line="360" w:lineRule="auto"/>
        <w:ind w:left="336" w:hanging="336" w:hangingChars="140"/>
        <w:textAlignment w:val="baseline"/>
        <w:rPr>
          <w:rFonts w:ascii="仿宋" w:hAnsi="仿宋" w:cs="宋体"/>
          <w:kern w:val="2"/>
          <w:sz w:val="24"/>
          <w:szCs w:val="24"/>
          <w:highlight w:val="none"/>
        </w:rPr>
      </w:pPr>
      <w:r>
        <w:rPr>
          <w:rFonts w:hint="eastAsia" w:ascii="仿宋" w:hAnsi="仿宋" w:cs="宋体"/>
          <w:kern w:val="2"/>
          <w:sz w:val="24"/>
          <w:szCs w:val="24"/>
          <w:highlight w:val="none"/>
        </w:rPr>
        <w:t>8、临时建筑垃圾站的管理：做好临时建筑垃圾站的维护和卫生，及时清运建筑垃圾；</w:t>
      </w:r>
    </w:p>
    <w:p w14:paraId="47AADE9E">
      <w:pPr>
        <w:adjustRightInd w:val="0"/>
        <w:snapToGrid w:val="0"/>
        <w:spacing w:line="360" w:lineRule="auto"/>
        <w:ind w:left="336" w:hanging="336" w:hangingChars="140"/>
        <w:textAlignment w:val="baseline"/>
        <w:rPr>
          <w:rFonts w:ascii="仿宋" w:hAnsi="仿宋" w:cs="宋体"/>
          <w:kern w:val="2"/>
          <w:sz w:val="24"/>
          <w:szCs w:val="24"/>
          <w:highlight w:val="none"/>
        </w:rPr>
      </w:pPr>
      <w:r>
        <w:rPr>
          <w:rFonts w:hint="eastAsia" w:ascii="仿宋" w:hAnsi="仿宋" w:cs="宋体"/>
          <w:kern w:val="2"/>
          <w:sz w:val="24"/>
          <w:szCs w:val="24"/>
          <w:highlight w:val="none"/>
        </w:rPr>
        <w:t>9、清洁卫生服务质量标准见下表：</w:t>
      </w:r>
    </w:p>
    <w:tbl>
      <w:tblPr>
        <w:tblStyle w:val="21"/>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05"/>
        <w:gridCol w:w="2304"/>
        <w:gridCol w:w="775"/>
        <w:gridCol w:w="1063"/>
        <w:gridCol w:w="3369"/>
      </w:tblGrid>
      <w:tr w14:paraId="5152B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484" w:type="pct"/>
            <w:vAlign w:val="center"/>
          </w:tcPr>
          <w:p w14:paraId="012B36FB">
            <w:pPr>
              <w:widowControl/>
              <w:jc w:val="center"/>
              <w:rPr>
                <w:rFonts w:ascii="宋体" w:hAnsi="宋体" w:cs="宋体"/>
                <w:color w:val="000000" w:themeColor="text1"/>
                <w:sz w:val="20"/>
                <w:szCs w:val="20"/>
                <w:highlight w:val="none"/>
                <w14:textFill>
                  <w14:solidFill>
                    <w14:schemeClr w14:val="tx1"/>
                  </w14:solidFill>
                </w14:textFill>
              </w:rPr>
            </w:pPr>
            <w:r>
              <w:rPr>
                <w:rFonts w:ascii="宋体" w:hAnsi="宋体" w:cs="宋体"/>
                <w:color w:val="000000" w:themeColor="text1"/>
                <w:sz w:val="20"/>
                <w:szCs w:val="20"/>
                <w:highlight w:val="none"/>
                <w14:textFill>
                  <w14:solidFill>
                    <w14:schemeClr w14:val="tx1"/>
                  </w14:solidFill>
                </w14:textFill>
              </w:rPr>
              <w:t>区域</w:t>
            </w:r>
          </w:p>
        </w:tc>
        <w:tc>
          <w:tcPr>
            <w:tcW w:w="1851" w:type="pct"/>
            <w:gridSpan w:val="2"/>
            <w:vAlign w:val="center"/>
          </w:tcPr>
          <w:p w14:paraId="71E8FE04">
            <w:pPr>
              <w:widowControl/>
              <w:jc w:val="center"/>
              <w:rPr>
                <w:rFonts w:ascii="宋体" w:hAnsi="宋体" w:cs="宋体"/>
                <w:color w:val="000000" w:themeColor="text1"/>
                <w:sz w:val="20"/>
                <w:szCs w:val="20"/>
                <w:highlight w:val="none"/>
                <w14:textFill>
                  <w14:solidFill>
                    <w14:schemeClr w14:val="tx1"/>
                  </w14:solidFill>
                </w14:textFill>
              </w:rPr>
            </w:pPr>
            <w:r>
              <w:rPr>
                <w:rFonts w:ascii="宋体" w:hAnsi="宋体" w:cs="宋体"/>
                <w:color w:val="000000" w:themeColor="text1"/>
                <w:sz w:val="20"/>
                <w:szCs w:val="20"/>
                <w:highlight w:val="none"/>
                <w14:textFill>
                  <w14:solidFill>
                    <w14:schemeClr w14:val="tx1"/>
                  </w14:solidFill>
                </w14:textFill>
              </w:rPr>
              <w:t>项目分类</w:t>
            </w:r>
          </w:p>
        </w:tc>
        <w:tc>
          <w:tcPr>
            <w:tcW w:w="639" w:type="pct"/>
            <w:vAlign w:val="center"/>
          </w:tcPr>
          <w:p w14:paraId="1265E08F">
            <w:pPr>
              <w:widowControl/>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时间要求</w:t>
            </w:r>
          </w:p>
        </w:tc>
        <w:tc>
          <w:tcPr>
            <w:tcW w:w="2025" w:type="pct"/>
            <w:vAlign w:val="center"/>
          </w:tcPr>
          <w:p w14:paraId="69648BC3">
            <w:pPr>
              <w:widowControl/>
              <w:jc w:val="center"/>
              <w:rPr>
                <w:rFonts w:ascii="宋体" w:hAnsi="宋体" w:cs="宋体"/>
                <w:color w:val="000000" w:themeColor="text1"/>
                <w:sz w:val="20"/>
                <w:szCs w:val="20"/>
                <w:highlight w:val="none"/>
                <w14:textFill>
                  <w14:solidFill>
                    <w14:schemeClr w14:val="tx1"/>
                  </w14:solidFill>
                </w14:textFill>
              </w:rPr>
            </w:pPr>
            <w:r>
              <w:rPr>
                <w:rFonts w:ascii="宋体" w:hAnsi="宋体" w:cs="宋体"/>
                <w:color w:val="000000" w:themeColor="text1"/>
                <w:sz w:val="20"/>
                <w:szCs w:val="20"/>
                <w:highlight w:val="none"/>
                <w14:textFill>
                  <w14:solidFill>
                    <w14:schemeClr w14:val="tx1"/>
                  </w14:solidFill>
                </w14:textFill>
              </w:rPr>
              <w:t>质量标准</w:t>
            </w:r>
          </w:p>
        </w:tc>
      </w:tr>
      <w:tr w14:paraId="6F2C84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trPr>
        <w:tc>
          <w:tcPr>
            <w:tcW w:w="484" w:type="pct"/>
            <w:vMerge w:val="restart"/>
            <w:vAlign w:val="center"/>
          </w:tcPr>
          <w:p w14:paraId="6C93B95D">
            <w:pPr>
              <w:widowControl/>
              <w:jc w:val="center"/>
              <w:rPr>
                <w:rFonts w:ascii="宋体" w:hAnsi="宋体" w:cs="宋体"/>
                <w:color w:val="000000" w:themeColor="text1"/>
                <w:sz w:val="20"/>
                <w:szCs w:val="20"/>
                <w:highlight w:val="none"/>
                <w14:textFill>
                  <w14:solidFill>
                    <w14:schemeClr w14:val="tx1"/>
                  </w14:solidFill>
                </w14:textFill>
              </w:rPr>
            </w:pPr>
            <w:r>
              <w:rPr>
                <w:rFonts w:ascii="宋体" w:hAnsi="宋体" w:cs="宋体"/>
                <w:color w:val="000000" w:themeColor="text1"/>
                <w:sz w:val="20"/>
                <w:szCs w:val="20"/>
                <w:highlight w:val="none"/>
                <w14:textFill>
                  <w14:solidFill>
                    <w14:schemeClr w14:val="tx1"/>
                  </w14:solidFill>
                </w14:textFill>
              </w:rPr>
              <w:t>商场大堂</w:t>
            </w:r>
          </w:p>
        </w:tc>
        <w:tc>
          <w:tcPr>
            <w:tcW w:w="1851" w:type="pct"/>
            <w:gridSpan w:val="2"/>
            <w:vAlign w:val="center"/>
          </w:tcPr>
          <w:p w14:paraId="7A3B26B5">
            <w:pPr>
              <w:widowControl/>
              <w:jc w:val="center"/>
              <w:rPr>
                <w:rFonts w:ascii="宋体" w:hAnsi="宋体" w:cs="宋体"/>
                <w:color w:val="000000" w:themeColor="text1"/>
                <w:sz w:val="20"/>
                <w:szCs w:val="20"/>
                <w:highlight w:val="none"/>
                <w14:textFill>
                  <w14:solidFill>
                    <w14:schemeClr w14:val="tx1"/>
                  </w14:solidFill>
                </w14:textFill>
              </w:rPr>
            </w:pPr>
            <w:r>
              <w:rPr>
                <w:rFonts w:ascii="宋体" w:hAnsi="宋体" w:cs="宋体"/>
                <w:color w:val="000000" w:themeColor="text1"/>
                <w:sz w:val="20"/>
                <w:szCs w:val="20"/>
                <w:highlight w:val="none"/>
                <w14:textFill>
                  <w14:solidFill>
                    <w14:schemeClr w14:val="tx1"/>
                  </w14:solidFill>
                </w14:textFill>
              </w:rPr>
              <w:t>大理石地面</w:t>
            </w:r>
          </w:p>
        </w:tc>
        <w:tc>
          <w:tcPr>
            <w:tcW w:w="639" w:type="pct"/>
            <w:vAlign w:val="center"/>
          </w:tcPr>
          <w:p w14:paraId="4A48ECC2">
            <w:pPr>
              <w:widowControl/>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每日循环不少于3次</w:t>
            </w:r>
          </w:p>
        </w:tc>
        <w:tc>
          <w:tcPr>
            <w:tcW w:w="2025" w:type="pct"/>
            <w:vAlign w:val="center"/>
          </w:tcPr>
          <w:p w14:paraId="6AAFA3D1">
            <w:pPr>
              <w:widowControl/>
              <w:jc w:val="center"/>
              <w:rPr>
                <w:rFonts w:ascii="宋体" w:hAnsi="宋体" w:cs="宋体"/>
                <w:color w:val="000000" w:themeColor="text1"/>
                <w:sz w:val="20"/>
                <w:szCs w:val="20"/>
                <w:highlight w:val="none"/>
                <w14:textFill>
                  <w14:solidFill>
                    <w14:schemeClr w14:val="tx1"/>
                  </w14:solidFill>
                </w14:textFill>
              </w:rPr>
            </w:pPr>
            <w:r>
              <w:rPr>
                <w:rFonts w:ascii="宋体" w:hAnsi="宋体" w:cs="宋体"/>
                <w:color w:val="000000" w:themeColor="text1"/>
                <w:sz w:val="20"/>
                <w:szCs w:val="20"/>
                <w:highlight w:val="none"/>
                <w14:textFill>
                  <w14:solidFill>
                    <w14:schemeClr w14:val="tx1"/>
                  </w14:solidFill>
                </w14:textFill>
              </w:rPr>
              <w:t>无灰尘、无污迹、无脚印、防滑、光亮，石材 光亮度达85度以上</w:t>
            </w:r>
          </w:p>
        </w:tc>
      </w:tr>
      <w:tr w14:paraId="5FBE4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484" w:type="pct"/>
            <w:vMerge w:val="continue"/>
            <w:vAlign w:val="center"/>
          </w:tcPr>
          <w:p w14:paraId="19F1B009">
            <w:pPr>
              <w:widowControl/>
              <w:jc w:val="center"/>
              <w:rPr>
                <w:rFonts w:ascii="宋体" w:hAnsi="宋体" w:cs="宋体"/>
                <w:color w:val="000000" w:themeColor="text1"/>
                <w:sz w:val="20"/>
                <w:szCs w:val="20"/>
                <w:highlight w:val="none"/>
                <w14:textFill>
                  <w14:solidFill>
                    <w14:schemeClr w14:val="tx1"/>
                  </w14:solidFill>
                </w14:textFill>
              </w:rPr>
            </w:pPr>
          </w:p>
        </w:tc>
        <w:tc>
          <w:tcPr>
            <w:tcW w:w="1385" w:type="pct"/>
            <w:vMerge w:val="restart"/>
            <w:tcBorders>
              <w:bottom w:val="nil"/>
            </w:tcBorders>
            <w:vAlign w:val="center"/>
          </w:tcPr>
          <w:p w14:paraId="67FB0117">
            <w:pPr>
              <w:pStyle w:val="11"/>
              <w:widowControl/>
              <w:spacing w:line="220" w:lineRule="auto"/>
              <w:ind w:left="341"/>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ascii="宋体" w:hAnsi="宋体" w:eastAsia="仿宋" w:cs="宋体"/>
                <w:color w:val="000000" w:themeColor="text1"/>
                <w:sz w:val="20"/>
                <w:szCs w:val="20"/>
                <w:highlight w:val="none"/>
                <w:lang w:eastAsia="zh-CN"/>
                <w14:textFill>
                  <w14:solidFill>
                    <w14:schemeClr w14:val="tx1"/>
                  </w14:solidFill>
                </w14:textFill>
              </w:rPr>
              <w:t>墙面、柱子</w:t>
            </w:r>
          </w:p>
        </w:tc>
        <w:tc>
          <w:tcPr>
            <w:tcW w:w="466" w:type="pct"/>
            <w:vAlign w:val="center"/>
          </w:tcPr>
          <w:p w14:paraId="2365B58F">
            <w:pPr>
              <w:pStyle w:val="11"/>
              <w:widowControl/>
              <w:spacing w:line="208" w:lineRule="auto"/>
              <w:ind w:left="122"/>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ascii="宋体" w:hAnsi="宋体" w:eastAsia="仿宋" w:cs="宋体"/>
                <w:color w:val="000000" w:themeColor="text1"/>
                <w:sz w:val="20"/>
                <w:szCs w:val="20"/>
                <w:highlight w:val="none"/>
                <w:lang w:eastAsia="zh-CN"/>
                <w14:textFill>
                  <w14:solidFill>
                    <w14:schemeClr w14:val="tx1"/>
                  </w14:solidFill>
                </w14:textFill>
              </w:rPr>
              <w:t>3 m 上</w:t>
            </w:r>
          </w:p>
        </w:tc>
        <w:tc>
          <w:tcPr>
            <w:tcW w:w="639" w:type="pct"/>
            <w:vMerge w:val="restart"/>
            <w:vAlign w:val="center"/>
          </w:tcPr>
          <w:p w14:paraId="0FF2FF80">
            <w:pPr>
              <w:widowControl/>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每日一次</w:t>
            </w:r>
          </w:p>
        </w:tc>
        <w:tc>
          <w:tcPr>
            <w:tcW w:w="2025" w:type="pct"/>
            <w:vMerge w:val="restart"/>
            <w:tcBorders>
              <w:bottom w:val="nil"/>
            </w:tcBorders>
            <w:vAlign w:val="center"/>
          </w:tcPr>
          <w:p w14:paraId="78408F17">
            <w:pPr>
              <w:pStyle w:val="11"/>
              <w:widowControl/>
              <w:spacing w:line="219" w:lineRule="auto"/>
              <w:ind w:left="102"/>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ascii="宋体" w:hAnsi="宋体" w:eastAsia="仿宋" w:cs="宋体"/>
                <w:color w:val="000000" w:themeColor="text1"/>
                <w:sz w:val="20"/>
                <w:szCs w:val="20"/>
                <w:highlight w:val="none"/>
                <w:lang w:eastAsia="zh-CN"/>
                <w14:textFill>
                  <w14:solidFill>
                    <w14:schemeClr w14:val="tx1"/>
                  </w14:solidFill>
                </w14:textFill>
              </w:rPr>
              <w:t>无蜘蛛网、无灰尘、无污迹、无手印、无腐蚀</w:t>
            </w:r>
          </w:p>
        </w:tc>
      </w:tr>
      <w:tr w14:paraId="04EEAF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 w:hRule="atLeast"/>
        </w:trPr>
        <w:tc>
          <w:tcPr>
            <w:tcW w:w="484" w:type="pct"/>
            <w:vMerge w:val="continue"/>
            <w:vAlign w:val="center"/>
          </w:tcPr>
          <w:p w14:paraId="22515E7B">
            <w:pPr>
              <w:widowControl/>
              <w:jc w:val="center"/>
              <w:rPr>
                <w:rFonts w:ascii="宋体" w:hAnsi="宋体" w:cs="宋体"/>
                <w:color w:val="000000" w:themeColor="text1"/>
                <w:sz w:val="20"/>
                <w:szCs w:val="20"/>
                <w:highlight w:val="none"/>
                <w14:textFill>
                  <w14:solidFill>
                    <w14:schemeClr w14:val="tx1"/>
                  </w14:solidFill>
                </w14:textFill>
              </w:rPr>
            </w:pPr>
          </w:p>
        </w:tc>
        <w:tc>
          <w:tcPr>
            <w:tcW w:w="1385" w:type="pct"/>
            <w:vMerge w:val="continue"/>
            <w:tcBorders>
              <w:top w:val="nil"/>
            </w:tcBorders>
            <w:vAlign w:val="center"/>
          </w:tcPr>
          <w:p w14:paraId="26A24FBB">
            <w:pPr>
              <w:widowControl/>
              <w:jc w:val="center"/>
              <w:rPr>
                <w:rFonts w:ascii="宋体" w:hAnsi="宋体" w:cs="宋体"/>
                <w:color w:val="000000" w:themeColor="text1"/>
                <w:sz w:val="20"/>
                <w:szCs w:val="20"/>
                <w:highlight w:val="none"/>
                <w14:textFill>
                  <w14:solidFill>
                    <w14:schemeClr w14:val="tx1"/>
                  </w14:solidFill>
                </w14:textFill>
              </w:rPr>
            </w:pPr>
          </w:p>
        </w:tc>
        <w:tc>
          <w:tcPr>
            <w:tcW w:w="466" w:type="pct"/>
            <w:vAlign w:val="center"/>
          </w:tcPr>
          <w:p w14:paraId="3BD97181">
            <w:pPr>
              <w:pStyle w:val="11"/>
              <w:widowControl/>
              <w:spacing w:line="218" w:lineRule="auto"/>
              <w:ind w:left="143"/>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ascii="宋体" w:hAnsi="宋体" w:eastAsia="仿宋" w:cs="宋体"/>
                <w:color w:val="000000" w:themeColor="text1"/>
                <w:sz w:val="20"/>
                <w:szCs w:val="20"/>
                <w:highlight w:val="none"/>
                <w:lang w:eastAsia="zh-CN"/>
                <w14:textFill>
                  <w14:solidFill>
                    <w14:schemeClr w14:val="tx1"/>
                  </w14:solidFill>
                </w14:textFill>
              </w:rPr>
              <w:t>3 m 下</w:t>
            </w:r>
          </w:p>
        </w:tc>
        <w:tc>
          <w:tcPr>
            <w:tcW w:w="639" w:type="pct"/>
            <w:vMerge w:val="continue"/>
            <w:vAlign w:val="center"/>
          </w:tcPr>
          <w:p w14:paraId="1FE44106">
            <w:pPr>
              <w:widowControl/>
              <w:jc w:val="center"/>
              <w:rPr>
                <w:rFonts w:ascii="宋体" w:hAnsi="宋体" w:cs="宋体"/>
                <w:color w:val="000000" w:themeColor="text1"/>
                <w:sz w:val="20"/>
                <w:szCs w:val="20"/>
                <w:highlight w:val="none"/>
                <w14:textFill>
                  <w14:solidFill>
                    <w14:schemeClr w14:val="tx1"/>
                  </w14:solidFill>
                </w14:textFill>
              </w:rPr>
            </w:pPr>
          </w:p>
        </w:tc>
        <w:tc>
          <w:tcPr>
            <w:tcW w:w="2025" w:type="pct"/>
            <w:vMerge w:val="continue"/>
            <w:tcBorders>
              <w:top w:val="nil"/>
            </w:tcBorders>
            <w:vAlign w:val="center"/>
          </w:tcPr>
          <w:p w14:paraId="129F50E2">
            <w:pPr>
              <w:widowControl/>
              <w:jc w:val="center"/>
              <w:rPr>
                <w:rFonts w:ascii="宋体" w:hAnsi="宋体" w:cs="宋体"/>
                <w:color w:val="000000" w:themeColor="text1"/>
                <w:sz w:val="20"/>
                <w:szCs w:val="20"/>
                <w:highlight w:val="none"/>
                <w14:textFill>
                  <w14:solidFill>
                    <w14:schemeClr w14:val="tx1"/>
                  </w14:solidFill>
                </w14:textFill>
              </w:rPr>
            </w:pPr>
          </w:p>
        </w:tc>
      </w:tr>
      <w:tr w14:paraId="5E4BE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484" w:type="pct"/>
            <w:vMerge w:val="continue"/>
            <w:vAlign w:val="center"/>
          </w:tcPr>
          <w:p w14:paraId="53CD4483">
            <w:pPr>
              <w:widowControl/>
              <w:jc w:val="center"/>
              <w:rPr>
                <w:rFonts w:ascii="宋体" w:hAnsi="宋体" w:cs="宋体"/>
                <w:color w:val="000000" w:themeColor="text1"/>
                <w:sz w:val="20"/>
                <w:szCs w:val="20"/>
                <w:highlight w:val="none"/>
                <w14:textFill>
                  <w14:solidFill>
                    <w14:schemeClr w14:val="tx1"/>
                  </w14:solidFill>
                </w14:textFill>
              </w:rPr>
            </w:pPr>
          </w:p>
        </w:tc>
        <w:tc>
          <w:tcPr>
            <w:tcW w:w="1385" w:type="pct"/>
            <w:vMerge w:val="restart"/>
            <w:tcBorders>
              <w:bottom w:val="nil"/>
            </w:tcBorders>
            <w:vAlign w:val="center"/>
          </w:tcPr>
          <w:p w14:paraId="04CA33DB">
            <w:pPr>
              <w:pStyle w:val="11"/>
              <w:widowControl/>
              <w:spacing w:line="269" w:lineRule="auto"/>
              <w:ind w:left="680" w:right="105" w:hanging="569"/>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ascii="宋体" w:hAnsi="宋体" w:eastAsia="仿宋" w:cs="宋体"/>
                <w:color w:val="000000" w:themeColor="text1"/>
                <w:sz w:val="20"/>
                <w:szCs w:val="20"/>
                <w:highlight w:val="none"/>
                <w:lang w:eastAsia="zh-CN"/>
                <w14:textFill>
                  <w14:solidFill>
                    <w14:schemeClr w14:val="tx1"/>
                  </w14:solidFill>
                </w14:textFill>
              </w:rPr>
              <w:t>玻璃大门、玻璃 隔断</w:t>
            </w:r>
          </w:p>
        </w:tc>
        <w:tc>
          <w:tcPr>
            <w:tcW w:w="466" w:type="pct"/>
            <w:vAlign w:val="center"/>
          </w:tcPr>
          <w:p w14:paraId="5C33F900">
            <w:pPr>
              <w:pStyle w:val="11"/>
              <w:widowControl/>
              <w:spacing w:line="206" w:lineRule="auto"/>
              <w:ind w:left="143"/>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ascii="宋体" w:hAnsi="宋体" w:eastAsia="仿宋" w:cs="宋体"/>
                <w:color w:val="000000" w:themeColor="text1"/>
                <w:sz w:val="20"/>
                <w:szCs w:val="20"/>
                <w:highlight w:val="none"/>
                <w:lang w:eastAsia="zh-CN"/>
                <w14:textFill>
                  <w14:solidFill>
                    <w14:schemeClr w14:val="tx1"/>
                  </w14:solidFill>
                </w14:textFill>
              </w:rPr>
              <w:t>3 m 上</w:t>
            </w:r>
          </w:p>
        </w:tc>
        <w:tc>
          <w:tcPr>
            <w:tcW w:w="639" w:type="pct"/>
            <w:vMerge w:val="restart"/>
            <w:vAlign w:val="center"/>
          </w:tcPr>
          <w:p w14:paraId="50E467CA">
            <w:pPr>
              <w:pStyle w:val="11"/>
              <w:widowControl/>
              <w:spacing w:line="219" w:lineRule="auto"/>
              <w:ind w:left="103"/>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hint="eastAsia" w:ascii="宋体" w:hAnsi="宋体" w:eastAsia="仿宋" w:cs="宋体"/>
                <w:color w:val="000000" w:themeColor="text1"/>
                <w:sz w:val="20"/>
                <w:szCs w:val="20"/>
                <w:highlight w:val="none"/>
                <w:lang w:eastAsia="zh-CN"/>
                <w14:textFill>
                  <w14:solidFill>
                    <w14:schemeClr w14:val="tx1"/>
                  </w14:solidFill>
                </w14:textFill>
              </w:rPr>
              <w:t>每日一次</w:t>
            </w:r>
          </w:p>
        </w:tc>
        <w:tc>
          <w:tcPr>
            <w:tcW w:w="2025" w:type="pct"/>
            <w:vAlign w:val="center"/>
          </w:tcPr>
          <w:p w14:paraId="656E94B6">
            <w:pPr>
              <w:pStyle w:val="11"/>
              <w:widowControl/>
              <w:spacing w:line="219" w:lineRule="auto"/>
              <w:ind w:left="103"/>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ascii="宋体" w:hAnsi="宋体" w:eastAsia="仿宋" w:cs="宋体"/>
                <w:color w:val="000000" w:themeColor="text1"/>
                <w:sz w:val="20"/>
                <w:szCs w:val="20"/>
                <w:highlight w:val="none"/>
                <w:lang w:eastAsia="zh-CN"/>
                <w14:textFill>
                  <w14:solidFill>
                    <w14:schemeClr w14:val="tx1"/>
                  </w14:solidFill>
                </w14:textFill>
              </w:rPr>
              <w:t>无灰尘、无污迹、无胶印、</w:t>
            </w:r>
          </w:p>
        </w:tc>
      </w:tr>
      <w:tr w14:paraId="12BBA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484" w:type="pct"/>
            <w:vMerge w:val="continue"/>
            <w:vAlign w:val="center"/>
          </w:tcPr>
          <w:p w14:paraId="21B41153">
            <w:pPr>
              <w:widowControl/>
              <w:jc w:val="center"/>
              <w:rPr>
                <w:rFonts w:ascii="宋体" w:hAnsi="宋体" w:cs="宋体"/>
                <w:color w:val="000000" w:themeColor="text1"/>
                <w:sz w:val="20"/>
                <w:szCs w:val="20"/>
                <w:highlight w:val="none"/>
                <w14:textFill>
                  <w14:solidFill>
                    <w14:schemeClr w14:val="tx1"/>
                  </w14:solidFill>
                </w14:textFill>
              </w:rPr>
            </w:pPr>
          </w:p>
        </w:tc>
        <w:tc>
          <w:tcPr>
            <w:tcW w:w="1385" w:type="pct"/>
            <w:vMerge w:val="continue"/>
            <w:tcBorders>
              <w:top w:val="nil"/>
            </w:tcBorders>
            <w:vAlign w:val="center"/>
          </w:tcPr>
          <w:p w14:paraId="1409531B">
            <w:pPr>
              <w:widowControl/>
              <w:jc w:val="center"/>
              <w:rPr>
                <w:rFonts w:ascii="宋体" w:hAnsi="宋体" w:cs="宋体"/>
                <w:color w:val="000000" w:themeColor="text1"/>
                <w:sz w:val="20"/>
                <w:szCs w:val="20"/>
                <w:highlight w:val="none"/>
                <w14:textFill>
                  <w14:solidFill>
                    <w14:schemeClr w14:val="tx1"/>
                  </w14:solidFill>
                </w14:textFill>
              </w:rPr>
            </w:pPr>
          </w:p>
        </w:tc>
        <w:tc>
          <w:tcPr>
            <w:tcW w:w="466" w:type="pct"/>
            <w:vAlign w:val="center"/>
          </w:tcPr>
          <w:p w14:paraId="44C5DDE4">
            <w:pPr>
              <w:pStyle w:val="11"/>
              <w:widowControl/>
              <w:spacing w:line="217" w:lineRule="auto"/>
              <w:ind w:left="133"/>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ascii="宋体" w:hAnsi="宋体" w:eastAsia="仿宋" w:cs="宋体"/>
                <w:color w:val="000000" w:themeColor="text1"/>
                <w:sz w:val="20"/>
                <w:szCs w:val="20"/>
                <w:highlight w:val="none"/>
                <w:lang w:eastAsia="zh-CN"/>
                <w14:textFill>
                  <w14:solidFill>
                    <w14:schemeClr w14:val="tx1"/>
                  </w14:solidFill>
                </w14:textFill>
              </w:rPr>
              <w:t>3 m 下</w:t>
            </w:r>
          </w:p>
        </w:tc>
        <w:tc>
          <w:tcPr>
            <w:tcW w:w="639" w:type="pct"/>
            <w:vMerge w:val="continue"/>
            <w:vAlign w:val="center"/>
          </w:tcPr>
          <w:p w14:paraId="75DE5EAC">
            <w:pPr>
              <w:pStyle w:val="11"/>
              <w:widowControl/>
              <w:spacing w:line="218" w:lineRule="auto"/>
              <w:ind w:left="103"/>
              <w:jc w:val="center"/>
              <w:rPr>
                <w:rFonts w:ascii="宋体" w:hAnsi="宋体" w:eastAsia="仿宋" w:cs="宋体"/>
                <w:color w:val="000000" w:themeColor="text1"/>
                <w:sz w:val="20"/>
                <w:szCs w:val="20"/>
                <w:highlight w:val="none"/>
                <w:lang w:eastAsia="zh-CN"/>
                <w14:textFill>
                  <w14:solidFill>
                    <w14:schemeClr w14:val="tx1"/>
                  </w14:solidFill>
                </w14:textFill>
              </w:rPr>
            </w:pPr>
          </w:p>
        </w:tc>
        <w:tc>
          <w:tcPr>
            <w:tcW w:w="2025" w:type="pct"/>
            <w:vAlign w:val="center"/>
          </w:tcPr>
          <w:p w14:paraId="6EE2ED6F">
            <w:pPr>
              <w:pStyle w:val="11"/>
              <w:widowControl/>
              <w:spacing w:line="218" w:lineRule="auto"/>
              <w:ind w:left="103"/>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ascii="宋体" w:hAnsi="宋体" w:eastAsia="仿宋" w:cs="宋体"/>
                <w:color w:val="000000" w:themeColor="text1"/>
                <w:sz w:val="20"/>
                <w:szCs w:val="20"/>
                <w:highlight w:val="none"/>
                <w:lang w:eastAsia="zh-CN"/>
                <w14:textFill>
                  <w14:solidFill>
                    <w14:schemeClr w14:val="tx1"/>
                  </w14:solidFill>
                </w14:textFill>
              </w:rPr>
              <w:t>无手印</w:t>
            </w:r>
          </w:p>
        </w:tc>
      </w:tr>
      <w:tr w14:paraId="3591C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484" w:type="pct"/>
            <w:vMerge w:val="continue"/>
            <w:vAlign w:val="center"/>
          </w:tcPr>
          <w:p w14:paraId="44D155EA">
            <w:pPr>
              <w:widowControl/>
              <w:jc w:val="center"/>
              <w:rPr>
                <w:rFonts w:ascii="宋体" w:hAnsi="宋体" w:cs="宋体"/>
                <w:color w:val="000000" w:themeColor="text1"/>
                <w:sz w:val="20"/>
                <w:szCs w:val="20"/>
                <w:highlight w:val="none"/>
                <w14:textFill>
                  <w14:solidFill>
                    <w14:schemeClr w14:val="tx1"/>
                  </w14:solidFill>
                </w14:textFill>
              </w:rPr>
            </w:pPr>
          </w:p>
        </w:tc>
        <w:tc>
          <w:tcPr>
            <w:tcW w:w="1851" w:type="pct"/>
            <w:gridSpan w:val="2"/>
            <w:vAlign w:val="center"/>
          </w:tcPr>
          <w:p w14:paraId="2DD9C6D4">
            <w:pPr>
              <w:pStyle w:val="11"/>
              <w:widowControl/>
              <w:spacing w:line="219" w:lineRule="auto"/>
              <w:ind w:left="61"/>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ascii="宋体" w:hAnsi="宋体" w:eastAsia="仿宋" w:cs="宋体"/>
                <w:color w:val="000000" w:themeColor="text1"/>
                <w:sz w:val="20"/>
                <w:szCs w:val="20"/>
                <w:highlight w:val="none"/>
                <w:lang w:eastAsia="zh-CN"/>
                <w14:textFill>
                  <w14:solidFill>
                    <w14:schemeClr w14:val="tx1"/>
                  </w14:solidFill>
                </w14:textFill>
              </w:rPr>
              <w:t>楼梯间</w:t>
            </w:r>
          </w:p>
        </w:tc>
        <w:tc>
          <w:tcPr>
            <w:tcW w:w="639" w:type="pct"/>
            <w:vAlign w:val="center"/>
          </w:tcPr>
          <w:p w14:paraId="16AD7E2C">
            <w:pPr>
              <w:pStyle w:val="11"/>
              <w:widowControl/>
              <w:spacing w:line="219" w:lineRule="auto"/>
              <w:ind w:left="103"/>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hint="eastAsia" w:ascii="宋体" w:hAnsi="宋体" w:eastAsia="仿宋" w:cs="宋体"/>
                <w:color w:val="000000" w:themeColor="text1"/>
                <w:sz w:val="20"/>
                <w:szCs w:val="20"/>
                <w:highlight w:val="none"/>
                <w:lang w:eastAsia="zh-CN"/>
                <w14:textFill>
                  <w14:solidFill>
                    <w14:schemeClr w14:val="tx1"/>
                  </w14:solidFill>
                </w14:textFill>
              </w:rPr>
              <w:t>每日一次</w:t>
            </w:r>
          </w:p>
        </w:tc>
        <w:tc>
          <w:tcPr>
            <w:tcW w:w="2025" w:type="pct"/>
            <w:vAlign w:val="center"/>
          </w:tcPr>
          <w:p w14:paraId="18CE1895">
            <w:pPr>
              <w:pStyle w:val="11"/>
              <w:widowControl/>
              <w:spacing w:line="219" w:lineRule="auto"/>
              <w:ind w:left="103"/>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ascii="宋体" w:hAnsi="宋体" w:eastAsia="仿宋" w:cs="宋体"/>
                <w:color w:val="000000" w:themeColor="text1"/>
                <w:sz w:val="20"/>
                <w:szCs w:val="20"/>
                <w:highlight w:val="none"/>
                <w:lang w:eastAsia="zh-CN"/>
                <w14:textFill>
                  <w14:solidFill>
                    <w14:schemeClr w14:val="tx1"/>
                  </w14:solidFill>
                </w14:textFill>
              </w:rPr>
              <w:t>无蜘蛛网、无灰尘、无污迹</w:t>
            </w:r>
          </w:p>
        </w:tc>
      </w:tr>
      <w:tr w14:paraId="4D29AB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484" w:type="pct"/>
            <w:vMerge w:val="continue"/>
            <w:vAlign w:val="center"/>
          </w:tcPr>
          <w:p w14:paraId="33AFAC23">
            <w:pPr>
              <w:widowControl/>
              <w:jc w:val="center"/>
              <w:rPr>
                <w:rFonts w:ascii="宋体" w:hAnsi="宋体" w:cs="宋体"/>
                <w:color w:val="000000" w:themeColor="text1"/>
                <w:sz w:val="20"/>
                <w:szCs w:val="20"/>
                <w:highlight w:val="none"/>
                <w14:textFill>
                  <w14:solidFill>
                    <w14:schemeClr w14:val="tx1"/>
                  </w14:solidFill>
                </w14:textFill>
              </w:rPr>
            </w:pPr>
          </w:p>
        </w:tc>
        <w:tc>
          <w:tcPr>
            <w:tcW w:w="1851" w:type="pct"/>
            <w:gridSpan w:val="2"/>
            <w:vAlign w:val="center"/>
          </w:tcPr>
          <w:p w14:paraId="756B862A">
            <w:pPr>
              <w:pStyle w:val="11"/>
              <w:widowControl/>
              <w:spacing w:line="219" w:lineRule="auto"/>
              <w:ind w:left="100"/>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ascii="宋体" w:hAnsi="宋体" w:eastAsia="仿宋" w:cs="宋体"/>
                <w:color w:val="000000" w:themeColor="text1"/>
                <w:sz w:val="20"/>
                <w:szCs w:val="20"/>
                <w:highlight w:val="none"/>
                <w:lang w:eastAsia="zh-CN"/>
                <w14:textFill>
                  <w14:solidFill>
                    <w14:schemeClr w14:val="tx1"/>
                  </w14:solidFill>
                </w14:textFill>
              </w:rPr>
              <w:t>标牌、摆件</w:t>
            </w:r>
          </w:p>
        </w:tc>
        <w:tc>
          <w:tcPr>
            <w:tcW w:w="639" w:type="pct"/>
            <w:vAlign w:val="center"/>
          </w:tcPr>
          <w:p w14:paraId="3906F617">
            <w:pPr>
              <w:pStyle w:val="11"/>
              <w:widowControl/>
              <w:spacing w:line="219" w:lineRule="auto"/>
              <w:ind w:left="94"/>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hint="eastAsia" w:ascii="宋体" w:hAnsi="宋体" w:eastAsia="仿宋" w:cs="宋体"/>
                <w:color w:val="000000" w:themeColor="text1"/>
                <w:sz w:val="20"/>
                <w:szCs w:val="20"/>
                <w:highlight w:val="none"/>
                <w:lang w:eastAsia="zh-CN"/>
                <w14:textFill>
                  <w14:solidFill>
                    <w14:schemeClr w14:val="tx1"/>
                  </w14:solidFill>
                </w14:textFill>
              </w:rPr>
              <w:t>每日一次</w:t>
            </w:r>
          </w:p>
        </w:tc>
        <w:tc>
          <w:tcPr>
            <w:tcW w:w="2025" w:type="pct"/>
            <w:vAlign w:val="center"/>
          </w:tcPr>
          <w:p w14:paraId="5B1B9B82">
            <w:pPr>
              <w:pStyle w:val="11"/>
              <w:widowControl/>
              <w:spacing w:line="219" w:lineRule="auto"/>
              <w:ind w:left="94"/>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ascii="宋体" w:hAnsi="宋体" w:eastAsia="仿宋" w:cs="宋体"/>
                <w:color w:val="000000" w:themeColor="text1"/>
                <w:sz w:val="20"/>
                <w:szCs w:val="20"/>
                <w:highlight w:val="none"/>
                <w:lang w:eastAsia="zh-CN"/>
                <w14:textFill>
                  <w14:solidFill>
                    <w14:schemeClr w14:val="tx1"/>
                  </w14:solidFill>
                </w14:textFill>
              </w:rPr>
              <w:t>无灰尘、无污迹</w:t>
            </w:r>
          </w:p>
        </w:tc>
      </w:tr>
      <w:tr w14:paraId="13E628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484" w:type="pct"/>
            <w:vMerge w:val="continue"/>
            <w:vAlign w:val="center"/>
          </w:tcPr>
          <w:p w14:paraId="52990590">
            <w:pPr>
              <w:widowControl/>
              <w:jc w:val="center"/>
              <w:rPr>
                <w:rFonts w:ascii="宋体" w:hAnsi="宋体" w:cs="宋体"/>
                <w:color w:val="000000" w:themeColor="text1"/>
                <w:sz w:val="20"/>
                <w:szCs w:val="20"/>
                <w:highlight w:val="none"/>
                <w14:textFill>
                  <w14:solidFill>
                    <w14:schemeClr w14:val="tx1"/>
                  </w14:solidFill>
                </w14:textFill>
              </w:rPr>
            </w:pPr>
          </w:p>
        </w:tc>
        <w:tc>
          <w:tcPr>
            <w:tcW w:w="1851" w:type="pct"/>
            <w:gridSpan w:val="2"/>
            <w:vAlign w:val="center"/>
          </w:tcPr>
          <w:p w14:paraId="537736D5">
            <w:pPr>
              <w:pStyle w:val="11"/>
              <w:widowControl/>
              <w:spacing w:line="220" w:lineRule="auto"/>
              <w:ind w:left="100"/>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ascii="宋体" w:hAnsi="宋体" w:eastAsia="仿宋" w:cs="宋体"/>
                <w:color w:val="000000" w:themeColor="text1"/>
                <w:sz w:val="20"/>
                <w:szCs w:val="20"/>
                <w:highlight w:val="none"/>
                <w:lang w:eastAsia="zh-CN"/>
                <w14:textFill>
                  <w14:solidFill>
                    <w14:schemeClr w14:val="tx1"/>
                  </w14:solidFill>
                </w14:textFill>
              </w:rPr>
              <w:t>家具</w:t>
            </w:r>
          </w:p>
        </w:tc>
        <w:tc>
          <w:tcPr>
            <w:tcW w:w="639" w:type="pct"/>
            <w:vAlign w:val="center"/>
          </w:tcPr>
          <w:p w14:paraId="1F7F7B33">
            <w:pPr>
              <w:pStyle w:val="11"/>
              <w:widowControl/>
              <w:spacing w:line="219" w:lineRule="auto"/>
              <w:ind w:left="94"/>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hint="eastAsia" w:ascii="宋体" w:hAnsi="宋体" w:eastAsia="仿宋" w:cs="宋体"/>
                <w:color w:val="000000" w:themeColor="text1"/>
                <w:sz w:val="20"/>
                <w:szCs w:val="20"/>
                <w:highlight w:val="none"/>
                <w:lang w:eastAsia="zh-CN"/>
                <w14:textFill>
                  <w14:solidFill>
                    <w14:schemeClr w14:val="tx1"/>
                  </w14:solidFill>
                </w14:textFill>
              </w:rPr>
              <w:t>每日一次</w:t>
            </w:r>
          </w:p>
        </w:tc>
        <w:tc>
          <w:tcPr>
            <w:tcW w:w="2025" w:type="pct"/>
            <w:vAlign w:val="center"/>
          </w:tcPr>
          <w:p w14:paraId="78A603A1">
            <w:pPr>
              <w:pStyle w:val="11"/>
              <w:widowControl/>
              <w:spacing w:line="219" w:lineRule="auto"/>
              <w:ind w:left="94"/>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ascii="宋体" w:hAnsi="宋体" w:eastAsia="仿宋" w:cs="宋体"/>
                <w:color w:val="000000" w:themeColor="text1"/>
                <w:sz w:val="20"/>
                <w:szCs w:val="20"/>
                <w:highlight w:val="none"/>
                <w:lang w:eastAsia="zh-CN"/>
                <w14:textFill>
                  <w14:solidFill>
                    <w14:schemeClr w14:val="tx1"/>
                  </w14:solidFill>
                </w14:textFill>
              </w:rPr>
              <w:t>无灰尘、无污迹</w:t>
            </w:r>
          </w:p>
        </w:tc>
      </w:tr>
      <w:tr w14:paraId="2D3A97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484" w:type="pct"/>
            <w:vMerge w:val="continue"/>
            <w:vAlign w:val="center"/>
          </w:tcPr>
          <w:p w14:paraId="7FBA2CA7">
            <w:pPr>
              <w:widowControl/>
              <w:jc w:val="center"/>
              <w:rPr>
                <w:rFonts w:ascii="宋体" w:hAnsi="宋体" w:cs="宋体"/>
                <w:color w:val="000000" w:themeColor="text1"/>
                <w:sz w:val="20"/>
                <w:szCs w:val="20"/>
                <w:highlight w:val="none"/>
                <w14:textFill>
                  <w14:solidFill>
                    <w14:schemeClr w14:val="tx1"/>
                  </w14:solidFill>
                </w14:textFill>
              </w:rPr>
            </w:pPr>
          </w:p>
        </w:tc>
        <w:tc>
          <w:tcPr>
            <w:tcW w:w="1851" w:type="pct"/>
            <w:gridSpan w:val="2"/>
            <w:vAlign w:val="center"/>
          </w:tcPr>
          <w:p w14:paraId="244FED5E">
            <w:pPr>
              <w:pStyle w:val="11"/>
              <w:widowControl/>
              <w:spacing w:line="219" w:lineRule="auto"/>
              <w:ind w:left="100"/>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ascii="宋体" w:hAnsi="宋体" w:eastAsia="仿宋" w:cs="宋体"/>
                <w:color w:val="000000" w:themeColor="text1"/>
                <w:sz w:val="20"/>
                <w:szCs w:val="20"/>
                <w:highlight w:val="none"/>
                <w:lang w:eastAsia="zh-CN"/>
                <w14:textFill>
                  <w14:solidFill>
                    <w14:schemeClr w14:val="tx1"/>
                  </w14:solidFill>
                </w14:textFill>
              </w:rPr>
              <w:t>不锈钢部分</w:t>
            </w:r>
          </w:p>
        </w:tc>
        <w:tc>
          <w:tcPr>
            <w:tcW w:w="639" w:type="pct"/>
            <w:vAlign w:val="center"/>
          </w:tcPr>
          <w:p w14:paraId="2951FBCD">
            <w:pPr>
              <w:pStyle w:val="11"/>
              <w:widowControl/>
              <w:spacing w:line="219" w:lineRule="auto"/>
              <w:ind w:left="94"/>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hint="eastAsia" w:ascii="宋体" w:hAnsi="宋体" w:eastAsia="仿宋" w:cs="宋体"/>
                <w:color w:val="000000" w:themeColor="text1"/>
                <w:sz w:val="20"/>
                <w:szCs w:val="20"/>
                <w:highlight w:val="none"/>
                <w:lang w:eastAsia="zh-CN"/>
                <w14:textFill>
                  <w14:solidFill>
                    <w14:schemeClr w14:val="tx1"/>
                  </w14:solidFill>
                </w14:textFill>
              </w:rPr>
              <w:t>每日一次</w:t>
            </w:r>
          </w:p>
        </w:tc>
        <w:tc>
          <w:tcPr>
            <w:tcW w:w="2025" w:type="pct"/>
            <w:vAlign w:val="center"/>
          </w:tcPr>
          <w:p w14:paraId="4935BA58">
            <w:pPr>
              <w:pStyle w:val="11"/>
              <w:widowControl/>
              <w:spacing w:line="219" w:lineRule="auto"/>
              <w:ind w:left="94"/>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ascii="宋体" w:hAnsi="宋体" w:eastAsia="仿宋" w:cs="宋体"/>
                <w:color w:val="000000" w:themeColor="text1"/>
                <w:sz w:val="20"/>
                <w:szCs w:val="20"/>
                <w:highlight w:val="none"/>
                <w:lang w:eastAsia="zh-CN"/>
                <w14:textFill>
                  <w14:solidFill>
                    <w14:schemeClr w14:val="tx1"/>
                  </w14:solidFill>
                </w14:textFill>
              </w:rPr>
              <w:t>无灰尘、无污迹、光亮、无手印</w:t>
            </w:r>
          </w:p>
        </w:tc>
      </w:tr>
      <w:tr w14:paraId="772A1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484" w:type="pct"/>
            <w:vMerge w:val="continue"/>
            <w:vAlign w:val="center"/>
          </w:tcPr>
          <w:p w14:paraId="3BDCECDB">
            <w:pPr>
              <w:widowControl/>
              <w:jc w:val="center"/>
              <w:rPr>
                <w:rFonts w:ascii="宋体" w:hAnsi="宋体" w:cs="宋体"/>
                <w:color w:val="000000" w:themeColor="text1"/>
                <w:sz w:val="20"/>
                <w:szCs w:val="20"/>
                <w:highlight w:val="none"/>
                <w14:textFill>
                  <w14:solidFill>
                    <w14:schemeClr w14:val="tx1"/>
                  </w14:solidFill>
                </w14:textFill>
              </w:rPr>
            </w:pPr>
          </w:p>
        </w:tc>
        <w:tc>
          <w:tcPr>
            <w:tcW w:w="1851" w:type="pct"/>
            <w:gridSpan w:val="2"/>
            <w:vAlign w:val="center"/>
          </w:tcPr>
          <w:p w14:paraId="25775F4F">
            <w:pPr>
              <w:pStyle w:val="11"/>
              <w:widowControl/>
              <w:spacing w:line="295" w:lineRule="auto"/>
              <w:ind w:left="100" w:right="27"/>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ascii="宋体" w:hAnsi="宋体" w:eastAsia="仿宋" w:cs="宋体"/>
                <w:color w:val="000000" w:themeColor="text1"/>
                <w:sz w:val="20"/>
                <w:szCs w:val="20"/>
                <w:highlight w:val="none"/>
                <w:lang w:eastAsia="zh-CN"/>
                <w14:textFill>
                  <w14:solidFill>
                    <w14:schemeClr w14:val="tx1"/>
                  </w14:solidFill>
                </w14:textFill>
              </w:rPr>
              <w:t>墙面低位设施：疏散指示、地脚线、风口</w:t>
            </w:r>
          </w:p>
        </w:tc>
        <w:tc>
          <w:tcPr>
            <w:tcW w:w="639" w:type="pct"/>
            <w:vAlign w:val="center"/>
          </w:tcPr>
          <w:p w14:paraId="6F9013B1">
            <w:pPr>
              <w:pStyle w:val="11"/>
              <w:widowControl/>
              <w:spacing w:line="219" w:lineRule="auto"/>
              <w:ind w:left="94"/>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hint="eastAsia" w:ascii="宋体" w:hAnsi="宋体" w:eastAsia="仿宋" w:cs="宋体"/>
                <w:color w:val="000000" w:themeColor="text1"/>
                <w:sz w:val="20"/>
                <w:szCs w:val="20"/>
                <w:highlight w:val="none"/>
                <w:lang w:eastAsia="zh-CN"/>
                <w14:textFill>
                  <w14:solidFill>
                    <w14:schemeClr w14:val="tx1"/>
                  </w14:solidFill>
                </w14:textFill>
              </w:rPr>
              <w:t>每日一次</w:t>
            </w:r>
          </w:p>
        </w:tc>
        <w:tc>
          <w:tcPr>
            <w:tcW w:w="2025" w:type="pct"/>
            <w:vAlign w:val="center"/>
          </w:tcPr>
          <w:p w14:paraId="05505DC6">
            <w:pPr>
              <w:pStyle w:val="11"/>
              <w:widowControl/>
              <w:spacing w:line="219" w:lineRule="auto"/>
              <w:ind w:left="94"/>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ascii="宋体" w:hAnsi="宋体" w:eastAsia="仿宋" w:cs="宋体"/>
                <w:color w:val="000000" w:themeColor="text1"/>
                <w:sz w:val="20"/>
                <w:szCs w:val="20"/>
                <w:highlight w:val="none"/>
                <w:lang w:eastAsia="zh-CN"/>
                <w14:textFill>
                  <w14:solidFill>
                    <w14:schemeClr w14:val="tx1"/>
                  </w14:solidFill>
                </w14:textFill>
              </w:rPr>
              <w:t>无灰尘、无污迹</w:t>
            </w:r>
          </w:p>
        </w:tc>
      </w:tr>
      <w:tr w14:paraId="0B0C2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484" w:type="pct"/>
            <w:vMerge w:val="continue"/>
            <w:vAlign w:val="center"/>
          </w:tcPr>
          <w:p w14:paraId="2551C6FE">
            <w:pPr>
              <w:widowControl/>
              <w:jc w:val="center"/>
              <w:rPr>
                <w:rFonts w:ascii="宋体" w:hAnsi="宋体" w:cs="宋体"/>
                <w:color w:val="000000" w:themeColor="text1"/>
                <w:sz w:val="20"/>
                <w:szCs w:val="20"/>
                <w:highlight w:val="none"/>
                <w14:textFill>
                  <w14:solidFill>
                    <w14:schemeClr w14:val="tx1"/>
                  </w14:solidFill>
                </w14:textFill>
              </w:rPr>
            </w:pPr>
          </w:p>
        </w:tc>
        <w:tc>
          <w:tcPr>
            <w:tcW w:w="1851" w:type="pct"/>
            <w:gridSpan w:val="2"/>
            <w:vAlign w:val="center"/>
          </w:tcPr>
          <w:p w14:paraId="4D4BC66E">
            <w:pPr>
              <w:pStyle w:val="11"/>
              <w:widowControl/>
              <w:spacing w:line="290" w:lineRule="auto"/>
              <w:ind w:left="100" w:right="241"/>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ascii="宋体" w:hAnsi="宋体" w:eastAsia="仿宋" w:cs="宋体"/>
                <w:color w:val="000000" w:themeColor="text1"/>
                <w:sz w:val="20"/>
                <w:szCs w:val="20"/>
                <w:highlight w:val="none"/>
                <w:lang w:eastAsia="zh-CN"/>
                <w14:textFill>
                  <w14:solidFill>
                    <w14:schemeClr w14:val="tx1"/>
                  </w14:solidFill>
                </w14:textFill>
              </w:rPr>
              <w:t>天花外观、风口、灯盏、管线</w:t>
            </w:r>
          </w:p>
        </w:tc>
        <w:tc>
          <w:tcPr>
            <w:tcW w:w="639" w:type="pct"/>
            <w:vAlign w:val="center"/>
          </w:tcPr>
          <w:p w14:paraId="6F0840BA">
            <w:pPr>
              <w:pStyle w:val="11"/>
              <w:widowControl/>
              <w:spacing w:line="219" w:lineRule="auto"/>
              <w:ind w:left="94"/>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hint="eastAsia" w:ascii="宋体" w:hAnsi="宋体" w:eastAsia="仿宋" w:cs="宋体"/>
                <w:color w:val="000000" w:themeColor="text1"/>
                <w:sz w:val="20"/>
                <w:szCs w:val="20"/>
                <w:highlight w:val="none"/>
                <w:lang w:eastAsia="zh-CN"/>
                <w14:textFill>
                  <w14:solidFill>
                    <w14:schemeClr w14:val="tx1"/>
                  </w14:solidFill>
                </w14:textFill>
              </w:rPr>
              <w:t>每日一次</w:t>
            </w:r>
          </w:p>
        </w:tc>
        <w:tc>
          <w:tcPr>
            <w:tcW w:w="2025" w:type="pct"/>
            <w:vAlign w:val="center"/>
          </w:tcPr>
          <w:p w14:paraId="2AA80673">
            <w:pPr>
              <w:pStyle w:val="11"/>
              <w:widowControl/>
              <w:spacing w:line="219" w:lineRule="auto"/>
              <w:ind w:left="94"/>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ascii="宋体" w:hAnsi="宋体" w:eastAsia="仿宋" w:cs="宋体"/>
                <w:color w:val="000000" w:themeColor="text1"/>
                <w:sz w:val="20"/>
                <w:szCs w:val="20"/>
                <w:highlight w:val="none"/>
                <w:lang w:eastAsia="zh-CN"/>
                <w14:textFill>
                  <w14:solidFill>
                    <w14:schemeClr w14:val="tx1"/>
                  </w14:solidFill>
                </w14:textFill>
              </w:rPr>
              <w:t>无蜘蛛网、无灰尘、无污迹</w:t>
            </w:r>
          </w:p>
        </w:tc>
      </w:tr>
      <w:tr w14:paraId="58F66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484" w:type="pct"/>
            <w:vMerge w:val="restart"/>
            <w:tcBorders>
              <w:bottom w:val="nil"/>
            </w:tcBorders>
            <w:vAlign w:val="center"/>
          </w:tcPr>
          <w:p w14:paraId="6D0FBE29">
            <w:pPr>
              <w:widowControl/>
              <w:jc w:val="center"/>
              <w:rPr>
                <w:rFonts w:ascii="宋体" w:hAnsi="宋体" w:cs="宋体"/>
                <w:color w:val="000000" w:themeColor="text1"/>
                <w:sz w:val="20"/>
                <w:szCs w:val="20"/>
                <w:highlight w:val="none"/>
                <w14:textFill>
                  <w14:solidFill>
                    <w14:schemeClr w14:val="tx1"/>
                  </w14:solidFill>
                </w14:textFill>
              </w:rPr>
            </w:pPr>
          </w:p>
          <w:p w14:paraId="0FFF0FD4">
            <w:pPr>
              <w:widowControl/>
              <w:jc w:val="center"/>
              <w:rPr>
                <w:rFonts w:ascii="宋体" w:hAnsi="宋体" w:cs="宋体"/>
                <w:color w:val="000000" w:themeColor="text1"/>
                <w:sz w:val="20"/>
                <w:szCs w:val="20"/>
                <w:highlight w:val="none"/>
                <w14:textFill>
                  <w14:solidFill>
                    <w14:schemeClr w14:val="tx1"/>
                  </w14:solidFill>
                </w14:textFill>
              </w:rPr>
            </w:pPr>
          </w:p>
          <w:p w14:paraId="470EDEE7">
            <w:pPr>
              <w:widowControl/>
              <w:jc w:val="center"/>
              <w:rPr>
                <w:rFonts w:ascii="宋体" w:hAnsi="宋体" w:cs="宋体"/>
                <w:color w:val="000000" w:themeColor="text1"/>
                <w:sz w:val="20"/>
                <w:szCs w:val="20"/>
                <w:highlight w:val="none"/>
                <w14:textFill>
                  <w14:solidFill>
                    <w14:schemeClr w14:val="tx1"/>
                  </w14:solidFill>
                </w14:textFill>
              </w:rPr>
            </w:pPr>
          </w:p>
          <w:p w14:paraId="208A282D">
            <w:pPr>
              <w:pStyle w:val="11"/>
              <w:widowControl/>
              <w:ind w:left="185"/>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ascii="宋体" w:hAnsi="宋体" w:eastAsia="仿宋" w:cs="宋体"/>
                <w:color w:val="000000" w:themeColor="text1"/>
                <w:sz w:val="20"/>
                <w:szCs w:val="20"/>
                <w:highlight w:val="none"/>
                <w:lang w:eastAsia="zh-CN"/>
                <w14:textFill>
                  <w14:solidFill>
                    <w14:schemeClr w14:val="tx1"/>
                  </w14:solidFill>
                </w14:textFill>
              </w:rPr>
              <w:t>楼层公共</w:t>
            </w:r>
          </w:p>
          <w:p w14:paraId="6F33FB2B">
            <w:pPr>
              <w:pStyle w:val="11"/>
              <w:widowControl/>
              <w:ind w:left="394"/>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ascii="宋体" w:hAnsi="宋体" w:eastAsia="仿宋" w:cs="宋体"/>
                <w:color w:val="000000" w:themeColor="text1"/>
                <w:sz w:val="20"/>
                <w:szCs w:val="20"/>
                <w:highlight w:val="none"/>
                <w:lang w:eastAsia="zh-CN"/>
                <w14:textFill>
                  <w14:solidFill>
                    <w14:schemeClr w14:val="tx1"/>
                  </w14:solidFill>
                </w14:textFill>
              </w:rPr>
              <w:t>区及</w:t>
            </w:r>
          </w:p>
          <w:p w14:paraId="3837A2FF">
            <w:pPr>
              <w:pStyle w:val="11"/>
              <w:widowControl/>
              <w:ind w:left="185"/>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ascii="宋体" w:hAnsi="宋体" w:eastAsia="仿宋" w:cs="宋体"/>
                <w:color w:val="000000" w:themeColor="text1"/>
                <w:sz w:val="20"/>
                <w:szCs w:val="20"/>
                <w:highlight w:val="none"/>
                <w:lang w:eastAsia="zh-CN"/>
                <w14:textFill>
                  <w14:solidFill>
                    <w14:schemeClr w14:val="tx1"/>
                  </w14:solidFill>
                </w14:textFill>
              </w:rPr>
              <w:t>楼层其他</w:t>
            </w:r>
          </w:p>
          <w:p w14:paraId="4974EC93">
            <w:pPr>
              <w:pStyle w:val="11"/>
              <w:widowControl/>
              <w:ind w:left="185"/>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ascii="宋体" w:hAnsi="宋体" w:eastAsia="仿宋" w:cs="宋体"/>
                <w:color w:val="000000" w:themeColor="text1"/>
                <w:sz w:val="20"/>
                <w:szCs w:val="20"/>
                <w:highlight w:val="none"/>
                <w:lang w:eastAsia="zh-CN"/>
                <w14:textFill>
                  <w14:solidFill>
                    <w14:schemeClr w14:val="tx1"/>
                  </w14:solidFill>
                </w14:textFill>
              </w:rPr>
              <w:t>公共部分</w:t>
            </w:r>
          </w:p>
        </w:tc>
        <w:tc>
          <w:tcPr>
            <w:tcW w:w="1851" w:type="pct"/>
            <w:gridSpan w:val="2"/>
            <w:vAlign w:val="center"/>
          </w:tcPr>
          <w:p w14:paraId="25A4985F">
            <w:pPr>
              <w:pStyle w:val="11"/>
              <w:widowControl/>
              <w:ind w:left="100"/>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ascii="宋体" w:hAnsi="宋体" w:eastAsia="仿宋" w:cs="宋体"/>
                <w:color w:val="000000" w:themeColor="text1"/>
                <w:sz w:val="20"/>
                <w:szCs w:val="20"/>
                <w:highlight w:val="none"/>
                <w:lang w:eastAsia="zh-CN"/>
                <w14:textFill>
                  <w14:solidFill>
                    <w14:schemeClr w14:val="tx1"/>
                  </w14:solidFill>
                </w14:textFill>
              </w:rPr>
              <w:t>走廊大理石地面</w:t>
            </w:r>
          </w:p>
        </w:tc>
        <w:tc>
          <w:tcPr>
            <w:tcW w:w="639" w:type="pct"/>
            <w:vAlign w:val="center"/>
          </w:tcPr>
          <w:p w14:paraId="36764D9A">
            <w:pPr>
              <w:pStyle w:val="11"/>
              <w:widowControl/>
              <w:ind w:left="94"/>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hint="eastAsia" w:ascii="宋体" w:hAnsi="宋体" w:eastAsia="仿宋" w:cs="宋体"/>
                <w:color w:val="000000" w:themeColor="text1"/>
                <w:sz w:val="20"/>
                <w:szCs w:val="20"/>
                <w:highlight w:val="none"/>
                <w:lang w:eastAsia="zh-CN"/>
                <w14:textFill>
                  <w14:solidFill>
                    <w14:schemeClr w14:val="tx1"/>
                  </w14:solidFill>
                </w14:textFill>
              </w:rPr>
              <w:t>每日循环不少于3次</w:t>
            </w:r>
          </w:p>
        </w:tc>
        <w:tc>
          <w:tcPr>
            <w:tcW w:w="2025" w:type="pct"/>
            <w:vAlign w:val="center"/>
          </w:tcPr>
          <w:p w14:paraId="738BE5A8">
            <w:pPr>
              <w:pStyle w:val="11"/>
              <w:widowControl/>
              <w:ind w:left="94"/>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ascii="宋体" w:hAnsi="宋体" w:eastAsia="仿宋" w:cs="宋体"/>
                <w:color w:val="000000" w:themeColor="text1"/>
                <w:sz w:val="20"/>
                <w:szCs w:val="20"/>
                <w:highlight w:val="none"/>
                <w:lang w:eastAsia="zh-CN"/>
                <w14:textFill>
                  <w14:solidFill>
                    <w14:schemeClr w14:val="tx1"/>
                  </w14:solidFill>
                </w14:textFill>
              </w:rPr>
              <w:t>无灰尘、无污迹、防滑、光亮</w:t>
            </w:r>
          </w:p>
        </w:tc>
      </w:tr>
      <w:tr w14:paraId="5F634A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484" w:type="pct"/>
            <w:vMerge w:val="continue"/>
            <w:tcBorders>
              <w:top w:val="nil"/>
              <w:bottom w:val="nil"/>
            </w:tcBorders>
            <w:vAlign w:val="center"/>
          </w:tcPr>
          <w:p w14:paraId="7EE5F167">
            <w:pPr>
              <w:widowControl/>
              <w:jc w:val="center"/>
              <w:rPr>
                <w:rFonts w:ascii="宋体" w:hAnsi="宋体" w:cs="宋体"/>
                <w:color w:val="000000" w:themeColor="text1"/>
                <w:sz w:val="20"/>
                <w:szCs w:val="20"/>
                <w:highlight w:val="none"/>
                <w14:textFill>
                  <w14:solidFill>
                    <w14:schemeClr w14:val="tx1"/>
                  </w14:solidFill>
                </w14:textFill>
              </w:rPr>
            </w:pPr>
          </w:p>
        </w:tc>
        <w:tc>
          <w:tcPr>
            <w:tcW w:w="1851" w:type="pct"/>
            <w:gridSpan w:val="2"/>
            <w:vAlign w:val="center"/>
          </w:tcPr>
          <w:p w14:paraId="566AF25B">
            <w:pPr>
              <w:pStyle w:val="11"/>
              <w:widowControl/>
              <w:spacing w:line="219" w:lineRule="auto"/>
              <w:ind w:left="100"/>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ascii="宋体" w:hAnsi="宋体" w:eastAsia="仿宋" w:cs="宋体"/>
                <w:color w:val="000000" w:themeColor="text1"/>
                <w:sz w:val="20"/>
                <w:szCs w:val="20"/>
                <w:highlight w:val="none"/>
                <w:lang w:eastAsia="zh-CN"/>
                <w14:textFill>
                  <w14:solidFill>
                    <w14:schemeClr w14:val="tx1"/>
                  </w14:solidFill>
                </w14:textFill>
              </w:rPr>
              <w:t>楼道垃圾桶</w:t>
            </w:r>
          </w:p>
        </w:tc>
        <w:tc>
          <w:tcPr>
            <w:tcW w:w="639" w:type="pct"/>
            <w:vAlign w:val="center"/>
          </w:tcPr>
          <w:p w14:paraId="5FE0634D">
            <w:pPr>
              <w:pStyle w:val="11"/>
              <w:widowControl/>
              <w:spacing w:line="216" w:lineRule="auto"/>
              <w:ind w:left="94"/>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hint="eastAsia" w:ascii="宋体" w:hAnsi="宋体" w:eastAsia="仿宋" w:cs="宋体"/>
                <w:color w:val="000000" w:themeColor="text1"/>
                <w:sz w:val="20"/>
                <w:szCs w:val="20"/>
                <w:highlight w:val="none"/>
                <w:lang w:eastAsia="zh-CN"/>
                <w14:textFill>
                  <w14:solidFill>
                    <w14:schemeClr w14:val="tx1"/>
                  </w14:solidFill>
                </w14:textFill>
              </w:rPr>
              <w:t>每日循环不少于3次</w:t>
            </w:r>
          </w:p>
        </w:tc>
        <w:tc>
          <w:tcPr>
            <w:tcW w:w="2025" w:type="pct"/>
            <w:vAlign w:val="center"/>
          </w:tcPr>
          <w:p w14:paraId="3E4E5D6F">
            <w:pPr>
              <w:pStyle w:val="11"/>
              <w:widowControl/>
              <w:spacing w:line="216" w:lineRule="auto"/>
              <w:ind w:left="94"/>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ascii="宋体" w:hAnsi="宋体" w:eastAsia="仿宋" w:cs="宋体"/>
                <w:color w:val="000000" w:themeColor="text1"/>
                <w:sz w:val="20"/>
                <w:szCs w:val="20"/>
                <w:highlight w:val="none"/>
                <w:lang w:eastAsia="zh-CN"/>
                <w14:textFill>
                  <w14:solidFill>
                    <w14:schemeClr w14:val="tx1"/>
                  </w14:solidFill>
                </w14:textFill>
              </w:rPr>
              <w:t>存放不超2/3,无虫子、异味无污迹，完好</w:t>
            </w:r>
          </w:p>
        </w:tc>
      </w:tr>
      <w:tr w14:paraId="1B6F9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484" w:type="pct"/>
            <w:vMerge w:val="continue"/>
            <w:tcBorders>
              <w:top w:val="nil"/>
              <w:bottom w:val="nil"/>
            </w:tcBorders>
            <w:vAlign w:val="center"/>
          </w:tcPr>
          <w:p w14:paraId="7F35E45B">
            <w:pPr>
              <w:widowControl/>
              <w:jc w:val="center"/>
              <w:rPr>
                <w:rFonts w:ascii="宋体" w:hAnsi="宋体" w:cs="宋体"/>
                <w:color w:val="000000" w:themeColor="text1"/>
                <w:sz w:val="20"/>
                <w:szCs w:val="20"/>
                <w:highlight w:val="none"/>
                <w14:textFill>
                  <w14:solidFill>
                    <w14:schemeClr w14:val="tx1"/>
                  </w14:solidFill>
                </w14:textFill>
              </w:rPr>
            </w:pPr>
          </w:p>
        </w:tc>
        <w:tc>
          <w:tcPr>
            <w:tcW w:w="1851" w:type="pct"/>
            <w:gridSpan w:val="2"/>
            <w:vAlign w:val="center"/>
          </w:tcPr>
          <w:p w14:paraId="518678C2">
            <w:pPr>
              <w:pStyle w:val="11"/>
              <w:widowControl/>
              <w:spacing w:line="219" w:lineRule="auto"/>
              <w:ind w:left="100"/>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ascii="宋体" w:hAnsi="宋体" w:eastAsia="仿宋" w:cs="宋体"/>
                <w:color w:val="000000" w:themeColor="text1"/>
                <w:sz w:val="20"/>
                <w:szCs w:val="20"/>
                <w:highlight w:val="none"/>
                <w:lang w:eastAsia="zh-CN"/>
                <w14:textFill>
                  <w14:solidFill>
                    <w14:schemeClr w14:val="tx1"/>
                  </w14:solidFill>
                </w14:textFill>
              </w:rPr>
              <w:t>楼梯间</w:t>
            </w:r>
          </w:p>
        </w:tc>
        <w:tc>
          <w:tcPr>
            <w:tcW w:w="639" w:type="pct"/>
            <w:vAlign w:val="center"/>
          </w:tcPr>
          <w:p w14:paraId="2ED39480">
            <w:pPr>
              <w:pStyle w:val="11"/>
              <w:widowControl/>
              <w:spacing w:line="219" w:lineRule="auto"/>
              <w:ind w:left="94"/>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hint="eastAsia" w:ascii="宋体" w:hAnsi="宋体" w:eastAsia="仿宋" w:cs="宋体"/>
                <w:color w:val="000000" w:themeColor="text1"/>
                <w:sz w:val="20"/>
                <w:szCs w:val="20"/>
                <w:highlight w:val="none"/>
                <w:lang w:eastAsia="zh-CN"/>
                <w14:textFill>
                  <w14:solidFill>
                    <w14:schemeClr w14:val="tx1"/>
                  </w14:solidFill>
                </w14:textFill>
              </w:rPr>
              <w:t>每日一次</w:t>
            </w:r>
          </w:p>
        </w:tc>
        <w:tc>
          <w:tcPr>
            <w:tcW w:w="2025" w:type="pct"/>
            <w:vAlign w:val="center"/>
          </w:tcPr>
          <w:p w14:paraId="05F4CD2B">
            <w:pPr>
              <w:pStyle w:val="11"/>
              <w:widowControl/>
              <w:spacing w:line="219" w:lineRule="auto"/>
              <w:ind w:left="94"/>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ascii="宋体" w:hAnsi="宋体" w:eastAsia="仿宋" w:cs="宋体"/>
                <w:color w:val="000000" w:themeColor="text1"/>
                <w:sz w:val="20"/>
                <w:szCs w:val="20"/>
                <w:highlight w:val="none"/>
                <w:lang w:eastAsia="zh-CN"/>
                <w14:textFill>
                  <w14:solidFill>
                    <w14:schemeClr w14:val="tx1"/>
                  </w14:solidFill>
                </w14:textFill>
              </w:rPr>
              <w:t>无蜘蛛网、无灰尘、无污迹</w:t>
            </w:r>
          </w:p>
        </w:tc>
      </w:tr>
      <w:tr w14:paraId="6DD8EE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484" w:type="pct"/>
            <w:vMerge w:val="continue"/>
            <w:tcBorders>
              <w:top w:val="nil"/>
              <w:bottom w:val="nil"/>
            </w:tcBorders>
            <w:vAlign w:val="center"/>
          </w:tcPr>
          <w:p w14:paraId="22D4C4FB">
            <w:pPr>
              <w:widowControl/>
              <w:jc w:val="center"/>
              <w:rPr>
                <w:rFonts w:ascii="宋体" w:hAnsi="宋体" w:cs="宋体"/>
                <w:color w:val="000000" w:themeColor="text1"/>
                <w:sz w:val="20"/>
                <w:szCs w:val="20"/>
                <w:highlight w:val="none"/>
                <w14:textFill>
                  <w14:solidFill>
                    <w14:schemeClr w14:val="tx1"/>
                  </w14:solidFill>
                </w14:textFill>
              </w:rPr>
            </w:pPr>
          </w:p>
        </w:tc>
        <w:tc>
          <w:tcPr>
            <w:tcW w:w="1851" w:type="pct"/>
            <w:gridSpan w:val="2"/>
            <w:vAlign w:val="center"/>
          </w:tcPr>
          <w:p w14:paraId="5795A387">
            <w:pPr>
              <w:pStyle w:val="11"/>
              <w:widowControl/>
              <w:spacing w:line="220" w:lineRule="auto"/>
              <w:ind w:left="100"/>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ascii="宋体" w:hAnsi="宋体" w:eastAsia="仿宋" w:cs="宋体"/>
                <w:color w:val="000000" w:themeColor="text1"/>
                <w:sz w:val="20"/>
                <w:szCs w:val="20"/>
                <w:highlight w:val="none"/>
                <w:lang w:eastAsia="zh-CN"/>
                <w14:textFill>
                  <w14:solidFill>
                    <w14:schemeClr w14:val="tx1"/>
                  </w14:solidFill>
                </w14:textFill>
              </w:rPr>
              <w:t>门窗玻璃</w:t>
            </w:r>
          </w:p>
        </w:tc>
        <w:tc>
          <w:tcPr>
            <w:tcW w:w="639" w:type="pct"/>
            <w:vAlign w:val="center"/>
          </w:tcPr>
          <w:p w14:paraId="22AF63C9">
            <w:pPr>
              <w:pStyle w:val="11"/>
              <w:widowControl/>
              <w:spacing w:line="219" w:lineRule="auto"/>
              <w:ind w:left="94"/>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hint="eastAsia" w:ascii="宋体" w:hAnsi="宋体" w:eastAsia="仿宋" w:cs="宋体"/>
                <w:color w:val="000000" w:themeColor="text1"/>
                <w:sz w:val="20"/>
                <w:szCs w:val="20"/>
                <w:highlight w:val="none"/>
                <w:lang w:eastAsia="zh-CN"/>
                <w14:textFill>
                  <w14:solidFill>
                    <w14:schemeClr w14:val="tx1"/>
                  </w14:solidFill>
                </w14:textFill>
              </w:rPr>
              <w:t>每日一次</w:t>
            </w:r>
          </w:p>
        </w:tc>
        <w:tc>
          <w:tcPr>
            <w:tcW w:w="2025" w:type="pct"/>
            <w:vAlign w:val="center"/>
          </w:tcPr>
          <w:p w14:paraId="3D93E585">
            <w:pPr>
              <w:pStyle w:val="11"/>
              <w:widowControl/>
              <w:spacing w:line="219" w:lineRule="auto"/>
              <w:ind w:left="94"/>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ascii="宋体" w:hAnsi="宋体" w:eastAsia="仿宋" w:cs="宋体"/>
                <w:color w:val="000000" w:themeColor="text1"/>
                <w:sz w:val="20"/>
                <w:szCs w:val="20"/>
                <w:highlight w:val="none"/>
                <w:lang w:eastAsia="zh-CN"/>
                <w14:textFill>
                  <w14:solidFill>
                    <w14:schemeClr w14:val="tx1"/>
                  </w14:solidFill>
                </w14:textFill>
              </w:rPr>
              <w:t>无灰尘、无污迹、无胶印、无手印</w:t>
            </w:r>
          </w:p>
        </w:tc>
      </w:tr>
      <w:tr w14:paraId="7990E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484" w:type="pct"/>
            <w:vMerge w:val="continue"/>
            <w:tcBorders>
              <w:top w:val="nil"/>
              <w:bottom w:val="nil"/>
            </w:tcBorders>
            <w:vAlign w:val="center"/>
          </w:tcPr>
          <w:p w14:paraId="364037B3">
            <w:pPr>
              <w:widowControl/>
              <w:jc w:val="center"/>
              <w:rPr>
                <w:rFonts w:ascii="宋体" w:hAnsi="宋体" w:cs="宋体"/>
                <w:color w:val="000000" w:themeColor="text1"/>
                <w:sz w:val="20"/>
                <w:szCs w:val="20"/>
                <w:highlight w:val="none"/>
                <w14:textFill>
                  <w14:solidFill>
                    <w14:schemeClr w14:val="tx1"/>
                  </w14:solidFill>
                </w14:textFill>
              </w:rPr>
            </w:pPr>
          </w:p>
        </w:tc>
        <w:tc>
          <w:tcPr>
            <w:tcW w:w="1851" w:type="pct"/>
            <w:gridSpan w:val="2"/>
            <w:vAlign w:val="center"/>
          </w:tcPr>
          <w:p w14:paraId="58A58EFD">
            <w:pPr>
              <w:pStyle w:val="11"/>
              <w:widowControl/>
              <w:spacing w:line="289" w:lineRule="auto"/>
              <w:ind w:left="100" w:right="325"/>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ascii="宋体" w:hAnsi="宋体" w:eastAsia="仿宋" w:cs="宋体"/>
                <w:color w:val="000000" w:themeColor="text1"/>
                <w:sz w:val="20"/>
                <w:szCs w:val="20"/>
                <w:highlight w:val="none"/>
                <w:lang w:eastAsia="zh-CN"/>
                <w14:textFill>
                  <w14:solidFill>
                    <w14:schemeClr w14:val="tx1"/>
                  </w14:solidFill>
                </w14:textFill>
              </w:rPr>
              <w:t>疏散指示灯、标识牌、消 防栓、灭火器、地角线</w:t>
            </w:r>
          </w:p>
        </w:tc>
        <w:tc>
          <w:tcPr>
            <w:tcW w:w="639" w:type="pct"/>
            <w:vAlign w:val="center"/>
          </w:tcPr>
          <w:p w14:paraId="626B6C41">
            <w:pPr>
              <w:pStyle w:val="11"/>
              <w:widowControl/>
              <w:spacing w:line="219" w:lineRule="auto"/>
              <w:ind w:left="94"/>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hint="eastAsia" w:ascii="宋体" w:hAnsi="宋体" w:eastAsia="仿宋" w:cs="宋体"/>
                <w:color w:val="000000" w:themeColor="text1"/>
                <w:sz w:val="20"/>
                <w:szCs w:val="20"/>
                <w:highlight w:val="none"/>
                <w:lang w:eastAsia="zh-CN"/>
                <w14:textFill>
                  <w14:solidFill>
                    <w14:schemeClr w14:val="tx1"/>
                  </w14:solidFill>
                </w14:textFill>
              </w:rPr>
              <w:t>每日一次</w:t>
            </w:r>
          </w:p>
        </w:tc>
        <w:tc>
          <w:tcPr>
            <w:tcW w:w="2025" w:type="pct"/>
            <w:vAlign w:val="center"/>
          </w:tcPr>
          <w:p w14:paraId="4E24EC7A">
            <w:pPr>
              <w:pStyle w:val="11"/>
              <w:widowControl/>
              <w:spacing w:line="219" w:lineRule="auto"/>
              <w:ind w:left="94"/>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ascii="宋体" w:hAnsi="宋体" w:eastAsia="仿宋" w:cs="宋体"/>
                <w:color w:val="000000" w:themeColor="text1"/>
                <w:sz w:val="20"/>
                <w:szCs w:val="20"/>
                <w:highlight w:val="none"/>
                <w:lang w:eastAsia="zh-CN"/>
                <w14:textFill>
                  <w14:solidFill>
                    <w14:schemeClr w14:val="tx1"/>
                  </w14:solidFill>
                </w14:textFill>
              </w:rPr>
              <w:t>无灰尘、无污迹、无胶印</w:t>
            </w:r>
          </w:p>
        </w:tc>
      </w:tr>
      <w:tr w14:paraId="1CDCF2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484" w:type="pct"/>
            <w:vMerge w:val="continue"/>
            <w:tcBorders>
              <w:top w:val="nil"/>
              <w:bottom w:val="nil"/>
            </w:tcBorders>
            <w:vAlign w:val="center"/>
          </w:tcPr>
          <w:p w14:paraId="48455E6F">
            <w:pPr>
              <w:widowControl/>
              <w:jc w:val="center"/>
              <w:rPr>
                <w:rFonts w:ascii="宋体" w:hAnsi="宋体" w:cs="宋体"/>
                <w:color w:val="000000" w:themeColor="text1"/>
                <w:sz w:val="20"/>
                <w:szCs w:val="20"/>
                <w:highlight w:val="none"/>
                <w14:textFill>
                  <w14:solidFill>
                    <w14:schemeClr w14:val="tx1"/>
                  </w14:solidFill>
                </w14:textFill>
              </w:rPr>
            </w:pPr>
          </w:p>
        </w:tc>
        <w:tc>
          <w:tcPr>
            <w:tcW w:w="1851" w:type="pct"/>
            <w:gridSpan w:val="2"/>
            <w:vAlign w:val="center"/>
          </w:tcPr>
          <w:p w14:paraId="2844A0AB">
            <w:pPr>
              <w:pStyle w:val="11"/>
              <w:widowControl/>
              <w:spacing w:line="284" w:lineRule="auto"/>
              <w:ind w:left="100" w:right="230" w:firstLine="10"/>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ascii="宋体" w:hAnsi="宋体" w:eastAsia="仿宋" w:cs="宋体"/>
                <w:color w:val="000000" w:themeColor="text1"/>
                <w:sz w:val="20"/>
                <w:szCs w:val="20"/>
                <w:highlight w:val="none"/>
                <w:lang w:eastAsia="zh-CN"/>
                <w14:textFill>
                  <w14:solidFill>
                    <w14:schemeClr w14:val="tx1"/>
                  </w14:solidFill>
                </w14:textFill>
              </w:rPr>
              <w:t>天花外观、风口、灯盏、 管线</w:t>
            </w:r>
          </w:p>
        </w:tc>
        <w:tc>
          <w:tcPr>
            <w:tcW w:w="639" w:type="pct"/>
            <w:vAlign w:val="center"/>
          </w:tcPr>
          <w:p w14:paraId="6BD47984">
            <w:pPr>
              <w:pStyle w:val="11"/>
              <w:widowControl/>
              <w:spacing w:line="219" w:lineRule="auto"/>
              <w:ind w:left="94"/>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hint="eastAsia" w:ascii="宋体" w:hAnsi="宋体" w:eastAsia="仿宋" w:cs="宋体"/>
                <w:color w:val="000000" w:themeColor="text1"/>
                <w:sz w:val="20"/>
                <w:szCs w:val="20"/>
                <w:highlight w:val="none"/>
                <w:lang w:eastAsia="zh-CN"/>
                <w14:textFill>
                  <w14:solidFill>
                    <w14:schemeClr w14:val="tx1"/>
                  </w14:solidFill>
                </w14:textFill>
              </w:rPr>
              <w:t>每日一次</w:t>
            </w:r>
          </w:p>
        </w:tc>
        <w:tc>
          <w:tcPr>
            <w:tcW w:w="2025" w:type="pct"/>
            <w:vAlign w:val="center"/>
          </w:tcPr>
          <w:p w14:paraId="51469C09">
            <w:pPr>
              <w:pStyle w:val="11"/>
              <w:widowControl/>
              <w:spacing w:line="219" w:lineRule="auto"/>
              <w:ind w:left="94"/>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ascii="宋体" w:hAnsi="宋体" w:eastAsia="仿宋" w:cs="宋体"/>
                <w:color w:val="000000" w:themeColor="text1"/>
                <w:sz w:val="20"/>
                <w:szCs w:val="20"/>
                <w:highlight w:val="none"/>
                <w:lang w:eastAsia="zh-CN"/>
                <w14:textFill>
                  <w14:solidFill>
                    <w14:schemeClr w14:val="tx1"/>
                  </w14:solidFill>
                </w14:textFill>
              </w:rPr>
              <w:t>无蜘蛛网、无灰尘、无污迹</w:t>
            </w:r>
          </w:p>
        </w:tc>
      </w:tr>
      <w:tr w14:paraId="01C67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484" w:type="pct"/>
            <w:vMerge w:val="continue"/>
            <w:tcBorders>
              <w:top w:val="nil"/>
            </w:tcBorders>
            <w:vAlign w:val="center"/>
          </w:tcPr>
          <w:p w14:paraId="634DA57A">
            <w:pPr>
              <w:widowControl/>
              <w:jc w:val="center"/>
              <w:rPr>
                <w:rFonts w:ascii="宋体" w:hAnsi="宋体" w:cs="宋体"/>
                <w:color w:val="000000" w:themeColor="text1"/>
                <w:sz w:val="20"/>
                <w:szCs w:val="20"/>
                <w:highlight w:val="none"/>
                <w14:textFill>
                  <w14:solidFill>
                    <w14:schemeClr w14:val="tx1"/>
                  </w14:solidFill>
                </w14:textFill>
              </w:rPr>
            </w:pPr>
          </w:p>
        </w:tc>
        <w:tc>
          <w:tcPr>
            <w:tcW w:w="1851" w:type="pct"/>
            <w:gridSpan w:val="2"/>
            <w:vAlign w:val="center"/>
          </w:tcPr>
          <w:p w14:paraId="34D21DA6">
            <w:pPr>
              <w:pStyle w:val="11"/>
              <w:widowControl/>
              <w:spacing w:line="219" w:lineRule="auto"/>
              <w:ind w:left="100"/>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ascii="宋体" w:hAnsi="宋体" w:eastAsia="仿宋" w:cs="宋体"/>
                <w:color w:val="000000" w:themeColor="text1"/>
                <w:sz w:val="20"/>
                <w:szCs w:val="20"/>
                <w:highlight w:val="none"/>
                <w:lang w:eastAsia="zh-CN"/>
                <w14:textFill>
                  <w14:solidFill>
                    <w14:schemeClr w14:val="tx1"/>
                  </w14:solidFill>
                </w14:textFill>
              </w:rPr>
              <w:t>电梯厅垃圾桶</w:t>
            </w:r>
          </w:p>
        </w:tc>
        <w:tc>
          <w:tcPr>
            <w:tcW w:w="639" w:type="pct"/>
            <w:vAlign w:val="center"/>
          </w:tcPr>
          <w:p w14:paraId="7BC84B75">
            <w:pPr>
              <w:pStyle w:val="11"/>
              <w:widowControl/>
              <w:spacing w:line="219" w:lineRule="auto"/>
              <w:ind w:left="94"/>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hint="eastAsia" w:ascii="宋体" w:hAnsi="宋体" w:eastAsia="仿宋" w:cs="宋体"/>
                <w:color w:val="000000" w:themeColor="text1"/>
                <w:sz w:val="20"/>
                <w:szCs w:val="20"/>
                <w:highlight w:val="none"/>
                <w:lang w:eastAsia="zh-CN"/>
                <w14:textFill>
                  <w14:solidFill>
                    <w14:schemeClr w14:val="tx1"/>
                  </w14:solidFill>
                </w14:textFill>
              </w:rPr>
              <w:t>每日循环不少于3次</w:t>
            </w:r>
          </w:p>
        </w:tc>
        <w:tc>
          <w:tcPr>
            <w:tcW w:w="2025" w:type="pct"/>
            <w:vAlign w:val="center"/>
          </w:tcPr>
          <w:p w14:paraId="4E03C5C2">
            <w:pPr>
              <w:pStyle w:val="11"/>
              <w:widowControl/>
              <w:spacing w:line="219" w:lineRule="auto"/>
              <w:ind w:left="94"/>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ascii="宋体" w:hAnsi="宋体" w:eastAsia="仿宋" w:cs="宋体"/>
                <w:color w:val="000000" w:themeColor="text1"/>
                <w:sz w:val="20"/>
                <w:szCs w:val="20"/>
                <w:highlight w:val="none"/>
                <w:lang w:eastAsia="zh-CN"/>
                <w14:textFill>
                  <w14:solidFill>
                    <w14:schemeClr w14:val="tx1"/>
                  </w14:solidFill>
                </w14:textFill>
              </w:rPr>
              <w:t>无污垢、无痰迹、表面干净明亮</w:t>
            </w:r>
          </w:p>
        </w:tc>
      </w:tr>
      <w:tr w14:paraId="7EAAD5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484" w:type="pct"/>
            <w:vMerge w:val="restart"/>
            <w:tcBorders>
              <w:bottom w:val="nil"/>
            </w:tcBorders>
            <w:vAlign w:val="center"/>
          </w:tcPr>
          <w:p w14:paraId="372419B4">
            <w:pPr>
              <w:widowControl/>
              <w:jc w:val="center"/>
              <w:rPr>
                <w:rFonts w:ascii="宋体" w:hAnsi="宋体" w:cs="宋体"/>
                <w:color w:val="000000" w:themeColor="text1"/>
                <w:sz w:val="20"/>
                <w:szCs w:val="20"/>
                <w:highlight w:val="none"/>
                <w14:textFill>
                  <w14:solidFill>
                    <w14:schemeClr w14:val="tx1"/>
                  </w14:solidFill>
                </w14:textFill>
              </w:rPr>
            </w:pPr>
          </w:p>
          <w:p w14:paraId="7EFACEC1">
            <w:pPr>
              <w:widowControl/>
              <w:jc w:val="center"/>
              <w:rPr>
                <w:rFonts w:ascii="宋体" w:hAnsi="宋体" w:cs="宋体"/>
                <w:color w:val="000000" w:themeColor="text1"/>
                <w:sz w:val="20"/>
                <w:szCs w:val="20"/>
                <w:highlight w:val="none"/>
                <w14:textFill>
                  <w14:solidFill>
                    <w14:schemeClr w14:val="tx1"/>
                  </w14:solidFill>
                </w14:textFill>
              </w:rPr>
            </w:pPr>
          </w:p>
          <w:p w14:paraId="76DAB414">
            <w:pPr>
              <w:widowControl/>
              <w:jc w:val="center"/>
              <w:rPr>
                <w:rFonts w:ascii="宋体" w:hAnsi="宋体" w:cs="宋体"/>
                <w:color w:val="000000" w:themeColor="text1"/>
                <w:sz w:val="20"/>
                <w:szCs w:val="20"/>
                <w:highlight w:val="none"/>
                <w14:textFill>
                  <w14:solidFill>
                    <w14:schemeClr w14:val="tx1"/>
                  </w14:solidFill>
                </w14:textFill>
              </w:rPr>
            </w:pPr>
          </w:p>
          <w:p w14:paraId="3F3B47BF">
            <w:pPr>
              <w:pStyle w:val="11"/>
              <w:widowControl/>
              <w:ind w:left="394"/>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ascii="宋体" w:hAnsi="宋体" w:eastAsia="仿宋" w:cs="宋体"/>
                <w:color w:val="000000" w:themeColor="text1"/>
                <w:sz w:val="20"/>
                <w:szCs w:val="20"/>
                <w:highlight w:val="none"/>
                <w:lang w:eastAsia="zh-CN"/>
                <w14:textFill>
                  <w14:solidFill>
                    <w14:schemeClr w14:val="tx1"/>
                  </w14:solidFill>
                </w14:textFill>
              </w:rPr>
              <w:t>电梯</w:t>
            </w:r>
          </w:p>
        </w:tc>
        <w:tc>
          <w:tcPr>
            <w:tcW w:w="1851" w:type="pct"/>
            <w:gridSpan w:val="2"/>
            <w:vAlign w:val="center"/>
          </w:tcPr>
          <w:p w14:paraId="603C3430">
            <w:pPr>
              <w:pStyle w:val="11"/>
              <w:widowControl/>
              <w:tabs>
                <w:tab w:val="left" w:pos="4080"/>
              </w:tabs>
              <w:ind w:left="100" w:right="-3"/>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ascii="宋体" w:hAnsi="宋体" w:eastAsia="仿宋" w:cs="宋体"/>
                <w:color w:val="000000" w:themeColor="text1"/>
                <w:sz w:val="20"/>
                <w:szCs w:val="20"/>
                <w:highlight w:val="none"/>
                <w:lang w:eastAsia="zh-CN"/>
                <w14:textFill>
                  <w14:solidFill>
                    <w14:schemeClr w14:val="tx1"/>
                  </w14:solidFill>
                </w14:textFill>
              </w:rPr>
              <w:t>电梯门、轿箱内壁面及扶 手、按扭</w:t>
            </w:r>
          </w:p>
        </w:tc>
        <w:tc>
          <w:tcPr>
            <w:tcW w:w="639" w:type="pct"/>
            <w:vAlign w:val="center"/>
          </w:tcPr>
          <w:p w14:paraId="00AB126C">
            <w:pPr>
              <w:pStyle w:val="11"/>
              <w:widowControl/>
              <w:ind w:left="94"/>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hint="eastAsia" w:ascii="宋体" w:hAnsi="宋体" w:eastAsia="仿宋" w:cs="宋体"/>
                <w:color w:val="000000" w:themeColor="text1"/>
                <w:sz w:val="20"/>
                <w:szCs w:val="20"/>
                <w:highlight w:val="none"/>
                <w:lang w:eastAsia="zh-CN"/>
                <w14:textFill>
                  <w14:solidFill>
                    <w14:schemeClr w14:val="tx1"/>
                  </w14:solidFill>
                </w14:textFill>
              </w:rPr>
              <w:t>每日循环不少于3次</w:t>
            </w:r>
          </w:p>
        </w:tc>
        <w:tc>
          <w:tcPr>
            <w:tcW w:w="2025" w:type="pct"/>
            <w:vAlign w:val="center"/>
          </w:tcPr>
          <w:p w14:paraId="3DEE6BD0">
            <w:pPr>
              <w:pStyle w:val="11"/>
              <w:widowControl/>
              <w:ind w:left="94"/>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ascii="宋体" w:hAnsi="宋体" w:eastAsia="仿宋" w:cs="宋体"/>
                <w:color w:val="000000" w:themeColor="text1"/>
                <w:sz w:val="20"/>
                <w:szCs w:val="20"/>
                <w:highlight w:val="none"/>
                <w:lang w:eastAsia="zh-CN"/>
                <w14:textFill>
                  <w14:solidFill>
                    <w14:schemeClr w14:val="tx1"/>
                  </w14:solidFill>
                </w14:textFill>
              </w:rPr>
              <w:t>无灰尘、无污迹、光亮、无手印</w:t>
            </w:r>
          </w:p>
        </w:tc>
      </w:tr>
      <w:tr w14:paraId="190445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484" w:type="pct"/>
            <w:vMerge w:val="continue"/>
            <w:tcBorders>
              <w:top w:val="nil"/>
              <w:bottom w:val="nil"/>
            </w:tcBorders>
            <w:vAlign w:val="center"/>
          </w:tcPr>
          <w:p w14:paraId="7AC75A8C">
            <w:pPr>
              <w:widowControl/>
              <w:jc w:val="center"/>
              <w:rPr>
                <w:rFonts w:ascii="宋体" w:hAnsi="宋体" w:cs="宋体"/>
                <w:color w:val="000000" w:themeColor="text1"/>
                <w:sz w:val="20"/>
                <w:szCs w:val="20"/>
                <w:highlight w:val="none"/>
                <w14:textFill>
                  <w14:solidFill>
                    <w14:schemeClr w14:val="tx1"/>
                  </w14:solidFill>
                </w14:textFill>
              </w:rPr>
            </w:pPr>
          </w:p>
        </w:tc>
        <w:tc>
          <w:tcPr>
            <w:tcW w:w="1851" w:type="pct"/>
            <w:gridSpan w:val="2"/>
            <w:vAlign w:val="center"/>
          </w:tcPr>
          <w:p w14:paraId="4CE99516">
            <w:pPr>
              <w:pStyle w:val="11"/>
              <w:widowControl/>
              <w:spacing w:line="220" w:lineRule="auto"/>
              <w:ind w:left="100"/>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ascii="宋体" w:hAnsi="宋体" w:eastAsia="仿宋" w:cs="宋体"/>
                <w:color w:val="000000" w:themeColor="text1"/>
                <w:sz w:val="20"/>
                <w:szCs w:val="20"/>
                <w:highlight w:val="none"/>
                <w:lang w:eastAsia="zh-CN"/>
                <w14:textFill>
                  <w14:solidFill>
                    <w14:schemeClr w14:val="tx1"/>
                  </w14:solidFill>
                </w14:textFill>
              </w:rPr>
              <w:t>梯门轨道</w:t>
            </w:r>
          </w:p>
        </w:tc>
        <w:tc>
          <w:tcPr>
            <w:tcW w:w="639" w:type="pct"/>
            <w:vAlign w:val="center"/>
          </w:tcPr>
          <w:p w14:paraId="380939F2">
            <w:pPr>
              <w:pStyle w:val="11"/>
              <w:widowControl/>
              <w:spacing w:line="219" w:lineRule="auto"/>
              <w:ind w:left="94"/>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hint="eastAsia" w:ascii="宋体" w:hAnsi="宋体" w:eastAsia="仿宋" w:cs="宋体"/>
                <w:color w:val="000000" w:themeColor="text1"/>
                <w:sz w:val="20"/>
                <w:szCs w:val="20"/>
                <w:highlight w:val="none"/>
                <w:lang w:eastAsia="zh-CN"/>
                <w14:textFill>
                  <w14:solidFill>
                    <w14:schemeClr w14:val="tx1"/>
                  </w14:solidFill>
                </w14:textFill>
              </w:rPr>
              <w:t>每日循环不少于3次</w:t>
            </w:r>
          </w:p>
        </w:tc>
        <w:tc>
          <w:tcPr>
            <w:tcW w:w="2025" w:type="pct"/>
            <w:vAlign w:val="center"/>
          </w:tcPr>
          <w:p w14:paraId="5500C14B">
            <w:pPr>
              <w:pStyle w:val="11"/>
              <w:widowControl/>
              <w:spacing w:line="219" w:lineRule="auto"/>
              <w:ind w:left="94"/>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ascii="宋体" w:hAnsi="宋体" w:eastAsia="仿宋" w:cs="宋体"/>
                <w:color w:val="000000" w:themeColor="text1"/>
                <w:sz w:val="20"/>
                <w:szCs w:val="20"/>
                <w:highlight w:val="none"/>
                <w:lang w:eastAsia="zh-CN"/>
                <w14:textFill>
                  <w14:solidFill>
                    <w14:schemeClr w14:val="tx1"/>
                  </w14:solidFill>
                </w14:textFill>
              </w:rPr>
              <w:t>无灰尘污迹、无垃圾、光亮</w:t>
            </w:r>
          </w:p>
        </w:tc>
      </w:tr>
      <w:tr w14:paraId="68868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484" w:type="pct"/>
            <w:vMerge w:val="continue"/>
            <w:tcBorders>
              <w:top w:val="nil"/>
              <w:bottom w:val="nil"/>
            </w:tcBorders>
            <w:vAlign w:val="center"/>
          </w:tcPr>
          <w:p w14:paraId="53FB22E2">
            <w:pPr>
              <w:widowControl/>
              <w:jc w:val="center"/>
              <w:rPr>
                <w:rFonts w:ascii="宋体" w:hAnsi="宋体" w:cs="宋体"/>
                <w:color w:val="000000" w:themeColor="text1"/>
                <w:sz w:val="20"/>
                <w:szCs w:val="20"/>
                <w:highlight w:val="none"/>
                <w14:textFill>
                  <w14:solidFill>
                    <w14:schemeClr w14:val="tx1"/>
                  </w14:solidFill>
                </w14:textFill>
              </w:rPr>
            </w:pPr>
          </w:p>
        </w:tc>
        <w:tc>
          <w:tcPr>
            <w:tcW w:w="1851" w:type="pct"/>
            <w:gridSpan w:val="2"/>
            <w:vAlign w:val="center"/>
          </w:tcPr>
          <w:p w14:paraId="64762220">
            <w:pPr>
              <w:pStyle w:val="11"/>
              <w:widowControl/>
              <w:spacing w:line="220" w:lineRule="auto"/>
              <w:ind w:left="100"/>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ascii="宋体" w:hAnsi="宋体" w:eastAsia="仿宋" w:cs="宋体"/>
                <w:color w:val="000000" w:themeColor="text1"/>
                <w:sz w:val="20"/>
                <w:szCs w:val="20"/>
                <w:highlight w:val="none"/>
                <w:lang w:eastAsia="zh-CN"/>
                <w14:textFill>
                  <w14:solidFill>
                    <w14:schemeClr w14:val="tx1"/>
                  </w14:solidFill>
                </w14:textFill>
              </w:rPr>
              <w:t>天花、风口、灯具</w:t>
            </w:r>
          </w:p>
        </w:tc>
        <w:tc>
          <w:tcPr>
            <w:tcW w:w="639" w:type="pct"/>
            <w:vAlign w:val="center"/>
          </w:tcPr>
          <w:p w14:paraId="2308004A">
            <w:pPr>
              <w:pStyle w:val="11"/>
              <w:widowControl/>
              <w:spacing w:line="219" w:lineRule="auto"/>
              <w:ind w:left="94"/>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hint="eastAsia" w:ascii="宋体" w:hAnsi="宋体" w:eastAsia="仿宋" w:cs="宋体"/>
                <w:color w:val="000000" w:themeColor="text1"/>
                <w:sz w:val="20"/>
                <w:szCs w:val="20"/>
                <w:highlight w:val="none"/>
                <w:lang w:eastAsia="zh-CN"/>
                <w14:textFill>
                  <w14:solidFill>
                    <w14:schemeClr w14:val="tx1"/>
                  </w14:solidFill>
                </w14:textFill>
              </w:rPr>
              <w:t>每日循环不少于3次</w:t>
            </w:r>
          </w:p>
        </w:tc>
        <w:tc>
          <w:tcPr>
            <w:tcW w:w="2025" w:type="pct"/>
            <w:vAlign w:val="center"/>
          </w:tcPr>
          <w:p w14:paraId="04FFE87C">
            <w:pPr>
              <w:pStyle w:val="11"/>
              <w:widowControl/>
              <w:spacing w:line="219" w:lineRule="auto"/>
              <w:ind w:left="94"/>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ascii="宋体" w:hAnsi="宋体" w:eastAsia="仿宋" w:cs="宋体"/>
                <w:color w:val="000000" w:themeColor="text1"/>
                <w:sz w:val="20"/>
                <w:szCs w:val="20"/>
                <w:highlight w:val="none"/>
                <w:lang w:eastAsia="zh-CN"/>
                <w14:textFill>
                  <w14:solidFill>
                    <w14:schemeClr w14:val="tx1"/>
                  </w14:solidFill>
                </w14:textFill>
              </w:rPr>
              <w:t>无灰尘、无污迹</w:t>
            </w:r>
          </w:p>
        </w:tc>
      </w:tr>
      <w:tr w14:paraId="359A4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484" w:type="pct"/>
            <w:vMerge w:val="continue"/>
            <w:tcBorders>
              <w:top w:val="nil"/>
            </w:tcBorders>
            <w:vAlign w:val="center"/>
          </w:tcPr>
          <w:p w14:paraId="0C46A329">
            <w:pPr>
              <w:widowControl/>
              <w:jc w:val="center"/>
              <w:rPr>
                <w:rFonts w:ascii="宋体" w:hAnsi="宋体" w:cs="宋体"/>
                <w:color w:val="000000" w:themeColor="text1"/>
                <w:sz w:val="20"/>
                <w:szCs w:val="20"/>
                <w:highlight w:val="none"/>
                <w14:textFill>
                  <w14:solidFill>
                    <w14:schemeClr w14:val="tx1"/>
                  </w14:solidFill>
                </w14:textFill>
              </w:rPr>
            </w:pPr>
          </w:p>
        </w:tc>
        <w:tc>
          <w:tcPr>
            <w:tcW w:w="1851" w:type="pct"/>
            <w:gridSpan w:val="2"/>
            <w:vAlign w:val="center"/>
          </w:tcPr>
          <w:p w14:paraId="0CEE00EA">
            <w:pPr>
              <w:pStyle w:val="11"/>
              <w:widowControl/>
              <w:spacing w:line="220" w:lineRule="auto"/>
              <w:ind w:left="100"/>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ascii="宋体" w:hAnsi="宋体" w:eastAsia="仿宋" w:cs="宋体"/>
                <w:color w:val="000000" w:themeColor="text1"/>
                <w:sz w:val="20"/>
                <w:szCs w:val="20"/>
                <w:highlight w:val="none"/>
                <w:lang w:eastAsia="zh-CN"/>
                <w14:textFill>
                  <w14:solidFill>
                    <w14:schemeClr w14:val="tx1"/>
                  </w14:solidFill>
                </w14:textFill>
              </w:rPr>
              <w:t>电梯地面</w:t>
            </w:r>
          </w:p>
        </w:tc>
        <w:tc>
          <w:tcPr>
            <w:tcW w:w="639" w:type="pct"/>
            <w:vAlign w:val="center"/>
          </w:tcPr>
          <w:p w14:paraId="21A5BA25">
            <w:pPr>
              <w:pStyle w:val="11"/>
              <w:widowControl/>
              <w:spacing w:line="219" w:lineRule="auto"/>
              <w:ind w:left="94"/>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hint="eastAsia" w:ascii="宋体" w:hAnsi="宋体" w:eastAsia="仿宋" w:cs="宋体"/>
                <w:color w:val="000000" w:themeColor="text1"/>
                <w:sz w:val="20"/>
                <w:szCs w:val="20"/>
                <w:highlight w:val="none"/>
                <w:lang w:eastAsia="zh-CN"/>
                <w14:textFill>
                  <w14:solidFill>
                    <w14:schemeClr w14:val="tx1"/>
                  </w14:solidFill>
                </w14:textFill>
              </w:rPr>
              <w:t>每日循环不少于3次</w:t>
            </w:r>
          </w:p>
        </w:tc>
        <w:tc>
          <w:tcPr>
            <w:tcW w:w="2025" w:type="pct"/>
            <w:vAlign w:val="center"/>
          </w:tcPr>
          <w:p w14:paraId="6DE2EC90">
            <w:pPr>
              <w:pStyle w:val="11"/>
              <w:widowControl/>
              <w:spacing w:line="219" w:lineRule="auto"/>
              <w:ind w:left="94"/>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ascii="宋体" w:hAnsi="宋体" w:eastAsia="仿宋" w:cs="宋体"/>
                <w:color w:val="000000" w:themeColor="text1"/>
                <w:sz w:val="20"/>
                <w:szCs w:val="20"/>
                <w:highlight w:val="none"/>
                <w:lang w:eastAsia="zh-CN"/>
                <w14:textFill>
                  <w14:solidFill>
                    <w14:schemeClr w14:val="tx1"/>
                  </w14:solidFill>
                </w14:textFill>
              </w:rPr>
              <w:t>无灰尘沙粒、无污迹</w:t>
            </w:r>
          </w:p>
        </w:tc>
      </w:tr>
      <w:tr w14:paraId="751AF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484" w:type="pct"/>
            <w:vMerge w:val="restart"/>
            <w:tcBorders>
              <w:bottom w:val="nil"/>
            </w:tcBorders>
            <w:vAlign w:val="center"/>
          </w:tcPr>
          <w:p w14:paraId="7AFBB61D">
            <w:pPr>
              <w:widowControl/>
              <w:jc w:val="center"/>
              <w:rPr>
                <w:rFonts w:ascii="宋体" w:hAnsi="宋体" w:cs="宋体"/>
                <w:color w:val="000000" w:themeColor="text1"/>
                <w:sz w:val="20"/>
                <w:szCs w:val="20"/>
                <w:highlight w:val="none"/>
                <w14:textFill>
                  <w14:solidFill>
                    <w14:schemeClr w14:val="tx1"/>
                  </w14:solidFill>
                </w14:textFill>
              </w:rPr>
            </w:pPr>
            <w:r>
              <w:rPr>
                <w:rFonts w:ascii="宋体" w:hAnsi="宋体" w:cs="宋体"/>
                <w:color w:val="000000" w:themeColor="text1"/>
                <w:sz w:val="20"/>
                <w:szCs w:val="20"/>
                <w:highlight w:val="none"/>
                <w14:textFill>
                  <w14:solidFill>
                    <w14:schemeClr w14:val="tx1"/>
                  </w14:solidFill>
                </w14:textFill>
              </w:rPr>
              <w:t>卫生间及</w:t>
            </w:r>
          </w:p>
          <w:p w14:paraId="258662E2">
            <w:pPr>
              <w:widowControl/>
              <w:jc w:val="center"/>
              <w:rPr>
                <w:rFonts w:ascii="宋体" w:hAnsi="宋体" w:cs="宋体"/>
                <w:color w:val="000000" w:themeColor="text1"/>
                <w:sz w:val="20"/>
                <w:szCs w:val="20"/>
                <w:highlight w:val="none"/>
                <w14:textFill>
                  <w14:solidFill>
                    <w14:schemeClr w14:val="tx1"/>
                  </w14:solidFill>
                </w14:textFill>
              </w:rPr>
            </w:pPr>
            <w:r>
              <w:rPr>
                <w:rFonts w:ascii="宋体" w:hAnsi="宋体" w:cs="宋体"/>
                <w:color w:val="000000" w:themeColor="text1"/>
                <w:sz w:val="20"/>
                <w:szCs w:val="20"/>
                <w:highlight w:val="none"/>
                <w14:textFill>
                  <w14:solidFill>
                    <w14:schemeClr w14:val="tx1"/>
                  </w14:solidFill>
                </w14:textFill>
              </w:rPr>
              <w:t xml:space="preserve"> 母婴室</w:t>
            </w:r>
          </w:p>
        </w:tc>
        <w:tc>
          <w:tcPr>
            <w:tcW w:w="1851" w:type="pct"/>
            <w:gridSpan w:val="2"/>
            <w:vAlign w:val="center"/>
          </w:tcPr>
          <w:p w14:paraId="2F8C44C1">
            <w:pPr>
              <w:widowControl/>
              <w:jc w:val="center"/>
              <w:rPr>
                <w:rFonts w:ascii="宋体" w:hAnsi="宋体" w:cs="宋体"/>
                <w:color w:val="000000" w:themeColor="text1"/>
                <w:sz w:val="20"/>
                <w:szCs w:val="20"/>
                <w:highlight w:val="none"/>
                <w14:textFill>
                  <w14:solidFill>
                    <w14:schemeClr w14:val="tx1"/>
                  </w14:solidFill>
                </w14:textFill>
              </w:rPr>
            </w:pPr>
            <w:r>
              <w:rPr>
                <w:rFonts w:ascii="宋体" w:hAnsi="宋体" w:cs="宋体"/>
                <w:color w:val="000000" w:themeColor="text1"/>
                <w:sz w:val="20"/>
                <w:szCs w:val="20"/>
                <w:highlight w:val="none"/>
                <w14:textFill>
                  <w14:solidFill>
                    <w14:schemeClr w14:val="tx1"/>
                  </w14:solidFill>
                </w14:textFill>
              </w:rPr>
              <w:t>瓷砖墙面，隔断</w:t>
            </w:r>
          </w:p>
        </w:tc>
        <w:tc>
          <w:tcPr>
            <w:tcW w:w="639" w:type="pct"/>
            <w:vAlign w:val="center"/>
          </w:tcPr>
          <w:p w14:paraId="333672FC">
            <w:pPr>
              <w:widowControl/>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每日一次</w:t>
            </w:r>
          </w:p>
        </w:tc>
        <w:tc>
          <w:tcPr>
            <w:tcW w:w="2025" w:type="pct"/>
            <w:vAlign w:val="center"/>
          </w:tcPr>
          <w:p w14:paraId="4AE60357">
            <w:pPr>
              <w:widowControl/>
              <w:jc w:val="center"/>
              <w:rPr>
                <w:rFonts w:ascii="宋体" w:hAnsi="宋体" w:cs="宋体"/>
                <w:color w:val="000000" w:themeColor="text1"/>
                <w:sz w:val="20"/>
                <w:szCs w:val="20"/>
                <w:highlight w:val="none"/>
                <w14:textFill>
                  <w14:solidFill>
                    <w14:schemeClr w14:val="tx1"/>
                  </w14:solidFill>
                </w14:textFill>
              </w:rPr>
            </w:pPr>
            <w:r>
              <w:rPr>
                <w:rFonts w:ascii="宋体" w:hAnsi="宋体" w:cs="宋体"/>
                <w:color w:val="000000" w:themeColor="text1"/>
                <w:sz w:val="20"/>
                <w:szCs w:val="20"/>
                <w:highlight w:val="none"/>
                <w14:textFill>
                  <w14:solidFill>
                    <w14:schemeClr w14:val="tx1"/>
                  </w14:solidFill>
                </w14:textFill>
              </w:rPr>
              <w:t>无灰尘、无污迹</w:t>
            </w:r>
          </w:p>
        </w:tc>
      </w:tr>
      <w:tr w14:paraId="29A4F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484" w:type="pct"/>
            <w:vMerge w:val="continue"/>
            <w:tcBorders>
              <w:top w:val="nil"/>
              <w:bottom w:val="nil"/>
            </w:tcBorders>
            <w:vAlign w:val="center"/>
          </w:tcPr>
          <w:p w14:paraId="26E71A83">
            <w:pPr>
              <w:widowControl/>
              <w:jc w:val="center"/>
              <w:rPr>
                <w:rFonts w:ascii="宋体" w:hAnsi="宋体" w:cs="宋体"/>
                <w:color w:val="000000" w:themeColor="text1"/>
                <w:sz w:val="20"/>
                <w:szCs w:val="20"/>
                <w:highlight w:val="none"/>
                <w14:textFill>
                  <w14:solidFill>
                    <w14:schemeClr w14:val="tx1"/>
                  </w14:solidFill>
                </w14:textFill>
              </w:rPr>
            </w:pPr>
          </w:p>
        </w:tc>
        <w:tc>
          <w:tcPr>
            <w:tcW w:w="1851" w:type="pct"/>
            <w:gridSpan w:val="2"/>
            <w:vAlign w:val="center"/>
          </w:tcPr>
          <w:p w14:paraId="0AF0CDAA">
            <w:pPr>
              <w:pStyle w:val="11"/>
              <w:widowControl/>
              <w:spacing w:line="221" w:lineRule="auto"/>
              <w:ind w:left="100"/>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ascii="宋体" w:hAnsi="宋体" w:eastAsia="仿宋" w:cs="宋体"/>
                <w:color w:val="000000" w:themeColor="text1"/>
                <w:sz w:val="20"/>
                <w:szCs w:val="20"/>
                <w:highlight w:val="none"/>
                <w:lang w:eastAsia="zh-CN"/>
                <w14:textFill>
                  <w14:solidFill>
                    <w14:schemeClr w14:val="tx1"/>
                  </w14:solidFill>
                </w14:textFill>
              </w:rPr>
              <w:t>地面</w:t>
            </w:r>
          </w:p>
        </w:tc>
        <w:tc>
          <w:tcPr>
            <w:tcW w:w="639" w:type="pct"/>
            <w:vAlign w:val="center"/>
          </w:tcPr>
          <w:p w14:paraId="530E9D77">
            <w:pPr>
              <w:pStyle w:val="11"/>
              <w:widowControl/>
              <w:spacing w:line="219" w:lineRule="auto"/>
              <w:ind w:left="94"/>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hint="eastAsia" w:ascii="宋体" w:hAnsi="宋体" w:eastAsia="仿宋" w:cs="宋体"/>
                <w:color w:val="000000" w:themeColor="text1"/>
                <w:sz w:val="20"/>
                <w:szCs w:val="20"/>
                <w:highlight w:val="none"/>
                <w:lang w:eastAsia="zh-CN"/>
                <w14:textFill>
                  <w14:solidFill>
                    <w14:schemeClr w14:val="tx1"/>
                  </w14:solidFill>
                </w14:textFill>
              </w:rPr>
              <w:t>每日循环不少于3次</w:t>
            </w:r>
          </w:p>
        </w:tc>
        <w:tc>
          <w:tcPr>
            <w:tcW w:w="2025" w:type="pct"/>
            <w:vAlign w:val="center"/>
          </w:tcPr>
          <w:p w14:paraId="72BBCC99">
            <w:pPr>
              <w:pStyle w:val="11"/>
              <w:widowControl/>
              <w:spacing w:line="219" w:lineRule="auto"/>
              <w:ind w:left="94"/>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ascii="宋体" w:hAnsi="宋体" w:eastAsia="仿宋" w:cs="宋体"/>
                <w:color w:val="000000" w:themeColor="text1"/>
                <w:sz w:val="20"/>
                <w:szCs w:val="20"/>
                <w:highlight w:val="none"/>
                <w:lang w:eastAsia="zh-CN"/>
                <w14:textFill>
                  <w14:solidFill>
                    <w14:schemeClr w14:val="tx1"/>
                  </w14:solidFill>
                </w14:textFill>
              </w:rPr>
              <w:t>无灰尘、无污迹、地面干爽</w:t>
            </w:r>
          </w:p>
        </w:tc>
      </w:tr>
      <w:tr w14:paraId="1B464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484" w:type="pct"/>
            <w:vMerge w:val="continue"/>
            <w:tcBorders>
              <w:top w:val="nil"/>
              <w:bottom w:val="nil"/>
            </w:tcBorders>
            <w:vAlign w:val="center"/>
          </w:tcPr>
          <w:p w14:paraId="38E8B30D">
            <w:pPr>
              <w:widowControl/>
              <w:jc w:val="center"/>
              <w:rPr>
                <w:rFonts w:ascii="宋体" w:hAnsi="宋体" w:cs="宋体"/>
                <w:color w:val="000000" w:themeColor="text1"/>
                <w:sz w:val="20"/>
                <w:szCs w:val="20"/>
                <w:highlight w:val="none"/>
                <w14:textFill>
                  <w14:solidFill>
                    <w14:schemeClr w14:val="tx1"/>
                  </w14:solidFill>
                </w14:textFill>
              </w:rPr>
            </w:pPr>
          </w:p>
        </w:tc>
        <w:tc>
          <w:tcPr>
            <w:tcW w:w="1851" w:type="pct"/>
            <w:gridSpan w:val="2"/>
            <w:vAlign w:val="center"/>
          </w:tcPr>
          <w:p w14:paraId="5229BB82">
            <w:pPr>
              <w:pStyle w:val="11"/>
              <w:widowControl/>
              <w:spacing w:line="219" w:lineRule="auto"/>
              <w:ind w:left="100"/>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ascii="宋体" w:hAnsi="宋体" w:eastAsia="仿宋" w:cs="宋体"/>
                <w:color w:val="000000" w:themeColor="text1"/>
                <w:sz w:val="20"/>
                <w:szCs w:val="20"/>
                <w:highlight w:val="none"/>
                <w:lang w:eastAsia="zh-CN"/>
                <w14:textFill>
                  <w14:solidFill>
                    <w14:schemeClr w14:val="tx1"/>
                  </w14:solidFill>
                </w14:textFill>
              </w:rPr>
              <w:t>小便池、蹲厕、座厕（如有）</w:t>
            </w:r>
          </w:p>
        </w:tc>
        <w:tc>
          <w:tcPr>
            <w:tcW w:w="639" w:type="pct"/>
            <w:vAlign w:val="center"/>
          </w:tcPr>
          <w:p w14:paraId="260B5680">
            <w:pPr>
              <w:pStyle w:val="11"/>
              <w:widowControl/>
              <w:spacing w:line="219" w:lineRule="auto"/>
              <w:ind w:left="94"/>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hint="eastAsia" w:ascii="宋体" w:hAnsi="宋体" w:eastAsia="仿宋" w:cs="宋体"/>
                <w:color w:val="000000" w:themeColor="text1"/>
                <w:sz w:val="20"/>
                <w:szCs w:val="20"/>
                <w:highlight w:val="none"/>
                <w:lang w:eastAsia="zh-CN"/>
                <w14:textFill>
                  <w14:solidFill>
                    <w14:schemeClr w14:val="tx1"/>
                  </w14:solidFill>
                </w14:textFill>
              </w:rPr>
              <w:t>每日循环不少于3次</w:t>
            </w:r>
          </w:p>
        </w:tc>
        <w:tc>
          <w:tcPr>
            <w:tcW w:w="2025" w:type="pct"/>
            <w:vAlign w:val="center"/>
          </w:tcPr>
          <w:p w14:paraId="1C023209">
            <w:pPr>
              <w:pStyle w:val="11"/>
              <w:widowControl/>
              <w:spacing w:line="292" w:lineRule="auto"/>
              <w:ind w:left="94" w:right="670"/>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ascii="宋体" w:hAnsi="宋体" w:eastAsia="仿宋" w:cs="宋体"/>
                <w:color w:val="000000" w:themeColor="text1"/>
                <w:sz w:val="20"/>
                <w:szCs w:val="20"/>
                <w:highlight w:val="none"/>
                <w:lang w:eastAsia="zh-CN"/>
                <w14:textFill>
                  <w14:solidFill>
                    <w14:schemeClr w14:val="tx1"/>
                  </w14:solidFill>
                </w14:textFill>
              </w:rPr>
              <w:t>无灰尘、无污迹、无毛发、无污垢、无便迹、 无异味</w:t>
            </w:r>
          </w:p>
        </w:tc>
      </w:tr>
      <w:tr w14:paraId="43B49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484" w:type="pct"/>
            <w:vMerge w:val="continue"/>
            <w:tcBorders>
              <w:top w:val="nil"/>
              <w:bottom w:val="nil"/>
            </w:tcBorders>
            <w:vAlign w:val="center"/>
          </w:tcPr>
          <w:p w14:paraId="72EAE9CF">
            <w:pPr>
              <w:widowControl/>
              <w:jc w:val="center"/>
              <w:rPr>
                <w:rFonts w:ascii="宋体" w:hAnsi="宋体" w:cs="宋体"/>
                <w:color w:val="000000" w:themeColor="text1"/>
                <w:sz w:val="20"/>
                <w:szCs w:val="20"/>
                <w:highlight w:val="none"/>
                <w14:textFill>
                  <w14:solidFill>
                    <w14:schemeClr w14:val="tx1"/>
                  </w14:solidFill>
                </w14:textFill>
              </w:rPr>
            </w:pPr>
          </w:p>
        </w:tc>
        <w:tc>
          <w:tcPr>
            <w:tcW w:w="1851" w:type="pct"/>
            <w:gridSpan w:val="2"/>
            <w:vAlign w:val="center"/>
          </w:tcPr>
          <w:p w14:paraId="3918AC5A">
            <w:pPr>
              <w:pStyle w:val="11"/>
              <w:widowControl/>
              <w:spacing w:line="220" w:lineRule="auto"/>
              <w:ind w:left="100"/>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ascii="宋体" w:hAnsi="宋体" w:eastAsia="仿宋" w:cs="宋体"/>
                <w:color w:val="000000" w:themeColor="text1"/>
                <w:sz w:val="20"/>
                <w:szCs w:val="20"/>
                <w:highlight w:val="none"/>
                <w:lang w:eastAsia="zh-CN"/>
                <w14:textFill>
                  <w14:solidFill>
                    <w14:schemeClr w14:val="tx1"/>
                  </w14:solidFill>
                </w14:textFill>
              </w:rPr>
              <w:t>天花外观、风口、灯具</w:t>
            </w:r>
          </w:p>
        </w:tc>
        <w:tc>
          <w:tcPr>
            <w:tcW w:w="639" w:type="pct"/>
            <w:vAlign w:val="center"/>
          </w:tcPr>
          <w:p w14:paraId="0298BFCE">
            <w:pPr>
              <w:pStyle w:val="11"/>
              <w:widowControl/>
              <w:spacing w:line="219" w:lineRule="auto"/>
              <w:ind w:left="94"/>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hint="eastAsia" w:ascii="宋体" w:hAnsi="宋体" w:eastAsia="仿宋" w:cs="宋体"/>
                <w:color w:val="000000" w:themeColor="text1"/>
                <w:sz w:val="20"/>
                <w:szCs w:val="20"/>
                <w:highlight w:val="none"/>
                <w:lang w:eastAsia="zh-CN"/>
                <w14:textFill>
                  <w14:solidFill>
                    <w14:schemeClr w14:val="tx1"/>
                  </w14:solidFill>
                </w14:textFill>
              </w:rPr>
              <w:t>每日一次</w:t>
            </w:r>
          </w:p>
        </w:tc>
        <w:tc>
          <w:tcPr>
            <w:tcW w:w="2025" w:type="pct"/>
            <w:vAlign w:val="center"/>
          </w:tcPr>
          <w:p w14:paraId="390303C6">
            <w:pPr>
              <w:pStyle w:val="11"/>
              <w:widowControl/>
              <w:spacing w:line="219" w:lineRule="auto"/>
              <w:ind w:left="94"/>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ascii="宋体" w:hAnsi="宋体" w:eastAsia="仿宋" w:cs="宋体"/>
                <w:color w:val="000000" w:themeColor="text1"/>
                <w:sz w:val="20"/>
                <w:szCs w:val="20"/>
                <w:highlight w:val="none"/>
                <w:lang w:eastAsia="zh-CN"/>
                <w14:textFill>
                  <w14:solidFill>
                    <w14:schemeClr w14:val="tx1"/>
                  </w14:solidFill>
                </w14:textFill>
              </w:rPr>
              <w:t>无蜘蛛网、无灰尘、无污迹</w:t>
            </w:r>
          </w:p>
        </w:tc>
      </w:tr>
      <w:tr w14:paraId="17F79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484" w:type="pct"/>
            <w:vMerge w:val="continue"/>
            <w:tcBorders>
              <w:top w:val="nil"/>
              <w:bottom w:val="nil"/>
            </w:tcBorders>
            <w:vAlign w:val="center"/>
          </w:tcPr>
          <w:p w14:paraId="02092497">
            <w:pPr>
              <w:widowControl/>
              <w:jc w:val="center"/>
              <w:rPr>
                <w:rFonts w:ascii="宋体" w:hAnsi="宋体" w:cs="宋体"/>
                <w:color w:val="000000" w:themeColor="text1"/>
                <w:sz w:val="20"/>
                <w:szCs w:val="20"/>
                <w:highlight w:val="none"/>
                <w14:textFill>
                  <w14:solidFill>
                    <w14:schemeClr w14:val="tx1"/>
                  </w14:solidFill>
                </w14:textFill>
              </w:rPr>
            </w:pPr>
          </w:p>
        </w:tc>
        <w:tc>
          <w:tcPr>
            <w:tcW w:w="1851" w:type="pct"/>
            <w:gridSpan w:val="2"/>
            <w:vAlign w:val="center"/>
          </w:tcPr>
          <w:p w14:paraId="33CD7598">
            <w:pPr>
              <w:pStyle w:val="11"/>
              <w:widowControl/>
              <w:spacing w:line="219" w:lineRule="auto"/>
              <w:ind w:left="100"/>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ascii="宋体" w:hAnsi="宋体" w:eastAsia="仿宋" w:cs="宋体"/>
                <w:color w:val="000000" w:themeColor="text1"/>
                <w:sz w:val="20"/>
                <w:szCs w:val="20"/>
                <w:highlight w:val="none"/>
                <w:lang w:eastAsia="zh-CN"/>
                <w14:textFill>
                  <w14:solidFill>
                    <w14:schemeClr w14:val="tx1"/>
                  </w14:solidFill>
                </w14:textFill>
              </w:rPr>
              <w:t>洗手盆，水笼头</w:t>
            </w:r>
          </w:p>
        </w:tc>
        <w:tc>
          <w:tcPr>
            <w:tcW w:w="639" w:type="pct"/>
            <w:vAlign w:val="center"/>
          </w:tcPr>
          <w:p w14:paraId="6C251FA9">
            <w:pPr>
              <w:pStyle w:val="11"/>
              <w:widowControl/>
              <w:spacing w:line="219" w:lineRule="auto"/>
              <w:ind w:left="94"/>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hint="eastAsia" w:ascii="宋体" w:hAnsi="宋体" w:eastAsia="仿宋" w:cs="宋体"/>
                <w:color w:val="000000" w:themeColor="text1"/>
                <w:sz w:val="20"/>
                <w:szCs w:val="20"/>
                <w:highlight w:val="none"/>
                <w:lang w:eastAsia="zh-CN"/>
                <w14:textFill>
                  <w14:solidFill>
                    <w14:schemeClr w14:val="tx1"/>
                  </w14:solidFill>
                </w14:textFill>
              </w:rPr>
              <w:t>每日循环不少于3次</w:t>
            </w:r>
          </w:p>
        </w:tc>
        <w:tc>
          <w:tcPr>
            <w:tcW w:w="2025" w:type="pct"/>
            <w:vAlign w:val="center"/>
          </w:tcPr>
          <w:p w14:paraId="673C8643">
            <w:pPr>
              <w:pStyle w:val="11"/>
              <w:widowControl/>
              <w:spacing w:line="219" w:lineRule="auto"/>
              <w:ind w:left="94"/>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ascii="宋体" w:hAnsi="宋体" w:eastAsia="仿宋" w:cs="宋体"/>
                <w:color w:val="000000" w:themeColor="text1"/>
                <w:sz w:val="20"/>
                <w:szCs w:val="20"/>
                <w:highlight w:val="none"/>
                <w:lang w:eastAsia="zh-CN"/>
                <w14:textFill>
                  <w14:solidFill>
                    <w14:schemeClr w14:val="tx1"/>
                  </w14:solidFill>
                </w14:textFill>
              </w:rPr>
              <w:t>无灰尘、无水渍、无污迹、无积水</w:t>
            </w:r>
          </w:p>
        </w:tc>
      </w:tr>
      <w:tr w14:paraId="1D51A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484" w:type="pct"/>
            <w:vMerge w:val="continue"/>
            <w:tcBorders>
              <w:top w:val="nil"/>
              <w:bottom w:val="nil"/>
            </w:tcBorders>
            <w:vAlign w:val="center"/>
          </w:tcPr>
          <w:p w14:paraId="10C973B6">
            <w:pPr>
              <w:widowControl/>
              <w:jc w:val="center"/>
              <w:rPr>
                <w:rFonts w:ascii="宋体" w:hAnsi="宋体" w:cs="宋体"/>
                <w:color w:val="000000" w:themeColor="text1"/>
                <w:sz w:val="20"/>
                <w:szCs w:val="20"/>
                <w:highlight w:val="none"/>
                <w14:textFill>
                  <w14:solidFill>
                    <w14:schemeClr w14:val="tx1"/>
                  </w14:solidFill>
                </w14:textFill>
              </w:rPr>
            </w:pPr>
          </w:p>
        </w:tc>
        <w:tc>
          <w:tcPr>
            <w:tcW w:w="1851" w:type="pct"/>
            <w:gridSpan w:val="2"/>
            <w:vAlign w:val="center"/>
          </w:tcPr>
          <w:p w14:paraId="1B68D247">
            <w:pPr>
              <w:pStyle w:val="11"/>
              <w:widowControl/>
              <w:spacing w:line="220" w:lineRule="auto"/>
              <w:ind w:left="100"/>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ascii="宋体" w:hAnsi="宋体" w:eastAsia="仿宋" w:cs="宋体"/>
                <w:color w:val="000000" w:themeColor="text1"/>
                <w:sz w:val="20"/>
                <w:szCs w:val="20"/>
                <w:highlight w:val="none"/>
                <w:lang w:eastAsia="zh-CN"/>
                <w14:textFill>
                  <w14:solidFill>
                    <w14:schemeClr w14:val="tx1"/>
                  </w14:solidFill>
                </w14:textFill>
              </w:rPr>
              <w:t>镜面及台面</w:t>
            </w:r>
          </w:p>
        </w:tc>
        <w:tc>
          <w:tcPr>
            <w:tcW w:w="639" w:type="pct"/>
            <w:vAlign w:val="center"/>
          </w:tcPr>
          <w:p w14:paraId="1F57BA5F">
            <w:pPr>
              <w:pStyle w:val="11"/>
              <w:widowControl/>
              <w:spacing w:line="219" w:lineRule="auto"/>
              <w:ind w:left="94"/>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hint="eastAsia" w:ascii="宋体" w:hAnsi="宋体" w:eastAsia="仿宋" w:cs="宋体"/>
                <w:color w:val="000000" w:themeColor="text1"/>
                <w:sz w:val="20"/>
                <w:szCs w:val="20"/>
                <w:highlight w:val="none"/>
                <w:lang w:eastAsia="zh-CN"/>
                <w14:textFill>
                  <w14:solidFill>
                    <w14:schemeClr w14:val="tx1"/>
                  </w14:solidFill>
                </w14:textFill>
              </w:rPr>
              <w:t>每日一次</w:t>
            </w:r>
          </w:p>
        </w:tc>
        <w:tc>
          <w:tcPr>
            <w:tcW w:w="2025" w:type="pct"/>
            <w:vAlign w:val="center"/>
          </w:tcPr>
          <w:p w14:paraId="03959A6B">
            <w:pPr>
              <w:pStyle w:val="11"/>
              <w:widowControl/>
              <w:spacing w:line="291" w:lineRule="auto"/>
              <w:ind w:left="94" w:right="559"/>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ascii="宋体" w:hAnsi="宋体" w:eastAsia="仿宋" w:cs="宋体"/>
                <w:color w:val="000000" w:themeColor="text1"/>
                <w:sz w:val="20"/>
                <w:szCs w:val="20"/>
                <w:highlight w:val="none"/>
                <w:lang w:eastAsia="zh-CN"/>
                <w14:textFill>
                  <w14:solidFill>
                    <w14:schemeClr w14:val="tx1"/>
                  </w14:solidFill>
                </w14:textFill>
              </w:rPr>
              <w:t>无 灰尘、无水渍、无污迹、无积水、无头发、 无手印</w:t>
            </w:r>
          </w:p>
        </w:tc>
      </w:tr>
      <w:tr w14:paraId="5FE7FC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484" w:type="pct"/>
            <w:vMerge w:val="continue"/>
            <w:tcBorders>
              <w:top w:val="nil"/>
              <w:bottom w:val="nil"/>
            </w:tcBorders>
            <w:vAlign w:val="center"/>
          </w:tcPr>
          <w:p w14:paraId="619D3DDF">
            <w:pPr>
              <w:widowControl/>
              <w:jc w:val="center"/>
              <w:rPr>
                <w:rFonts w:ascii="宋体" w:hAnsi="宋体" w:cs="宋体"/>
                <w:color w:val="000000" w:themeColor="text1"/>
                <w:sz w:val="20"/>
                <w:szCs w:val="20"/>
                <w:highlight w:val="none"/>
                <w14:textFill>
                  <w14:solidFill>
                    <w14:schemeClr w14:val="tx1"/>
                  </w14:solidFill>
                </w14:textFill>
              </w:rPr>
            </w:pPr>
          </w:p>
        </w:tc>
        <w:tc>
          <w:tcPr>
            <w:tcW w:w="1851" w:type="pct"/>
            <w:gridSpan w:val="2"/>
            <w:vAlign w:val="center"/>
          </w:tcPr>
          <w:p w14:paraId="685B8FA4">
            <w:pPr>
              <w:pStyle w:val="11"/>
              <w:widowControl/>
              <w:spacing w:line="220" w:lineRule="auto"/>
              <w:ind w:left="100"/>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ascii="宋体" w:hAnsi="宋体" w:eastAsia="仿宋" w:cs="宋体"/>
                <w:color w:val="000000" w:themeColor="text1"/>
                <w:sz w:val="20"/>
                <w:szCs w:val="20"/>
                <w:highlight w:val="none"/>
                <w:lang w:eastAsia="zh-CN"/>
                <w14:textFill>
                  <w14:solidFill>
                    <w14:schemeClr w14:val="tx1"/>
                  </w14:solidFill>
                </w14:textFill>
              </w:rPr>
              <w:t>垃圾篓</w:t>
            </w:r>
          </w:p>
        </w:tc>
        <w:tc>
          <w:tcPr>
            <w:tcW w:w="639" w:type="pct"/>
            <w:vAlign w:val="center"/>
          </w:tcPr>
          <w:p w14:paraId="1BA27B8B">
            <w:pPr>
              <w:pStyle w:val="11"/>
              <w:widowControl/>
              <w:spacing w:line="216" w:lineRule="auto"/>
              <w:ind w:left="94"/>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hint="eastAsia" w:ascii="宋体" w:hAnsi="宋体" w:eastAsia="仿宋" w:cs="宋体"/>
                <w:color w:val="000000" w:themeColor="text1"/>
                <w:sz w:val="20"/>
                <w:szCs w:val="20"/>
                <w:highlight w:val="none"/>
                <w:lang w:eastAsia="zh-CN"/>
                <w14:textFill>
                  <w14:solidFill>
                    <w14:schemeClr w14:val="tx1"/>
                  </w14:solidFill>
                </w14:textFill>
              </w:rPr>
              <w:t>每日循环不少于3次</w:t>
            </w:r>
          </w:p>
        </w:tc>
        <w:tc>
          <w:tcPr>
            <w:tcW w:w="2025" w:type="pct"/>
            <w:vAlign w:val="center"/>
          </w:tcPr>
          <w:p w14:paraId="436A4BBA">
            <w:pPr>
              <w:pStyle w:val="11"/>
              <w:widowControl/>
              <w:spacing w:line="216" w:lineRule="auto"/>
              <w:ind w:left="94"/>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ascii="宋体" w:hAnsi="宋体" w:eastAsia="仿宋" w:cs="宋体"/>
                <w:color w:val="000000" w:themeColor="text1"/>
                <w:sz w:val="20"/>
                <w:szCs w:val="20"/>
                <w:highlight w:val="none"/>
                <w:lang w:eastAsia="zh-CN"/>
                <w14:textFill>
                  <w14:solidFill>
                    <w14:schemeClr w14:val="tx1"/>
                  </w14:solidFill>
                </w14:textFill>
              </w:rPr>
              <w:t>存放不超2/3,无虫子、异味、无污迹</w:t>
            </w:r>
          </w:p>
        </w:tc>
      </w:tr>
      <w:tr w14:paraId="36ADA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484" w:type="pct"/>
            <w:vMerge w:val="continue"/>
            <w:tcBorders>
              <w:top w:val="nil"/>
              <w:bottom w:val="nil"/>
            </w:tcBorders>
            <w:vAlign w:val="center"/>
          </w:tcPr>
          <w:p w14:paraId="61C71F17">
            <w:pPr>
              <w:widowControl/>
              <w:jc w:val="center"/>
              <w:rPr>
                <w:rFonts w:ascii="宋体" w:hAnsi="宋体" w:cs="宋体"/>
                <w:color w:val="000000" w:themeColor="text1"/>
                <w:sz w:val="20"/>
                <w:szCs w:val="20"/>
                <w:highlight w:val="none"/>
                <w14:textFill>
                  <w14:solidFill>
                    <w14:schemeClr w14:val="tx1"/>
                  </w14:solidFill>
                </w14:textFill>
              </w:rPr>
            </w:pPr>
          </w:p>
        </w:tc>
        <w:tc>
          <w:tcPr>
            <w:tcW w:w="1851" w:type="pct"/>
            <w:gridSpan w:val="2"/>
            <w:vAlign w:val="center"/>
          </w:tcPr>
          <w:p w14:paraId="2F009EA2">
            <w:pPr>
              <w:pStyle w:val="11"/>
              <w:widowControl/>
              <w:spacing w:line="219" w:lineRule="auto"/>
              <w:ind w:left="100"/>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ascii="宋体" w:hAnsi="宋体" w:eastAsia="仿宋" w:cs="宋体"/>
                <w:color w:val="000000" w:themeColor="text1"/>
                <w:sz w:val="20"/>
                <w:szCs w:val="20"/>
                <w:highlight w:val="none"/>
                <w:lang w:eastAsia="zh-CN"/>
                <w14:textFill>
                  <w14:solidFill>
                    <w14:schemeClr w14:val="tx1"/>
                  </w14:solidFill>
                </w14:textFill>
              </w:rPr>
              <w:t>厕纸及洗手液</w:t>
            </w:r>
          </w:p>
        </w:tc>
        <w:tc>
          <w:tcPr>
            <w:tcW w:w="639" w:type="pct"/>
            <w:vAlign w:val="center"/>
          </w:tcPr>
          <w:p w14:paraId="45D26832">
            <w:pPr>
              <w:pStyle w:val="11"/>
              <w:widowControl/>
              <w:spacing w:line="219" w:lineRule="auto"/>
              <w:ind w:left="94"/>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hint="eastAsia" w:ascii="宋体" w:hAnsi="宋体" w:eastAsia="仿宋" w:cs="宋体"/>
                <w:color w:val="000000" w:themeColor="text1"/>
                <w:sz w:val="20"/>
                <w:szCs w:val="20"/>
                <w:highlight w:val="none"/>
                <w:lang w:eastAsia="zh-CN"/>
                <w14:textFill>
                  <w14:solidFill>
                    <w14:schemeClr w14:val="tx1"/>
                  </w14:solidFill>
                </w14:textFill>
              </w:rPr>
              <w:t>每日循环不少于3次</w:t>
            </w:r>
          </w:p>
        </w:tc>
        <w:tc>
          <w:tcPr>
            <w:tcW w:w="2025" w:type="pct"/>
            <w:vAlign w:val="center"/>
          </w:tcPr>
          <w:p w14:paraId="33F41A9C">
            <w:pPr>
              <w:pStyle w:val="11"/>
              <w:widowControl/>
              <w:spacing w:line="219" w:lineRule="auto"/>
              <w:ind w:left="94"/>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ascii="宋体" w:hAnsi="宋体" w:eastAsia="仿宋" w:cs="宋体"/>
                <w:color w:val="000000" w:themeColor="text1"/>
                <w:sz w:val="20"/>
                <w:szCs w:val="20"/>
                <w:highlight w:val="none"/>
                <w:lang w:eastAsia="zh-CN"/>
                <w14:textFill>
                  <w14:solidFill>
                    <w14:schemeClr w14:val="tx1"/>
                  </w14:solidFill>
                </w14:textFill>
              </w:rPr>
              <w:t>无缺少状态</w:t>
            </w:r>
          </w:p>
        </w:tc>
      </w:tr>
      <w:tr w14:paraId="6759E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484" w:type="pct"/>
            <w:vMerge w:val="continue"/>
            <w:tcBorders>
              <w:top w:val="nil"/>
              <w:bottom w:val="nil"/>
            </w:tcBorders>
            <w:vAlign w:val="center"/>
          </w:tcPr>
          <w:p w14:paraId="3E13A288">
            <w:pPr>
              <w:widowControl/>
              <w:jc w:val="center"/>
              <w:rPr>
                <w:rFonts w:ascii="宋体" w:hAnsi="宋体" w:cs="宋体"/>
                <w:color w:val="000000" w:themeColor="text1"/>
                <w:sz w:val="20"/>
                <w:szCs w:val="20"/>
                <w:highlight w:val="none"/>
                <w14:textFill>
                  <w14:solidFill>
                    <w14:schemeClr w14:val="tx1"/>
                  </w14:solidFill>
                </w14:textFill>
              </w:rPr>
            </w:pPr>
          </w:p>
        </w:tc>
        <w:tc>
          <w:tcPr>
            <w:tcW w:w="1851" w:type="pct"/>
            <w:gridSpan w:val="2"/>
            <w:vAlign w:val="center"/>
          </w:tcPr>
          <w:p w14:paraId="124F1506">
            <w:pPr>
              <w:pStyle w:val="11"/>
              <w:widowControl/>
              <w:spacing w:line="220" w:lineRule="auto"/>
              <w:ind w:left="100"/>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ascii="宋体" w:hAnsi="宋体" w:eastAsia="仿宋" w:cs="宋体"/>
                <w:color w:val="000000" w:themeColor="text1"/>
                <w:sz w:val="20"/>
                <w:szCs w:val="20"/>
                <w:highlight w:val="none"/>
                <w:lang w:eastAsia="zh-CN"/>
                <w14:textFill>
                  <w14:solidFill>
                    <w14:schemeClr w14:val="tx1"/>
                  </w14:solidFill>
                </w14:textFill>
              </w:rPr>
              <w:t>消防设施及其它设施</w:t>
            </w:r>
          </w:p>
        </w:tc>
        <w:tc>
          <w:tcPr>
            <w:tcW w:w="639" w:type="pct"/>
            <w:vAlign w:val="center"/>
          </w:tcPr>
          <w:p w14:paraId="7EE643F1">
            <w:pPr>
              <w:pStyle w:val="11"/>
              <w:widowControl/>
              <w:spacing w:line="219" w:lineRule="auto"/>
              <w:ind w:left="94"/>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hint="eastAsia" w:ascii="宋体" w:hAnsi="宋体" w:eastAsia="仿宋" w:cs="宋体"/>
                <w:color w:val="000000" w:themeColor="text1"/>
                <w:sz w:val="20"/>
                <w:szCs w:val="20"/>
                <w:highlight w:val="none"/>
                <w:lang w:eastAsia="zh-CN"/>
                <w14:textFill>
                  <w14:solidFill>
                    <w14:schemeClr w14:val="tx1"/>
                  </w14:solidFill>
                </w14:textFill>
              </w:rPr>
              <w:t>每日一次</w:t>
            </w:r>
          </w:p>
        </w:tc>
        <w:tc>
          <w:tcPr>
            <w:tcW w:w="2025" w:type="pct"/>
            <w:vAlign w:val="center"/>
          </w:tcPr>
          <w:p w14:paraId="62C980AA">
            <w:pPr>
              <w:pStyle w:val="11"/>
              <w:widowControl/>
              <w:spacing w:line="219" w:lineRule="auto"/>
              <w:ind w:left="94"/>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ascii="宋体" w:hAnsi="宋体" w:eastAsia="仿宋" w:cs="宋体"/>
                <w:color w:val="000000" w:themeColor="text1"/>
                <w:sz w:val="20"/>
                <w:szCs w:val="20"/>
                <w:highlight w:val="none"/>
                <w:lang w:eastAsia="zh-CN"/>
                <w14:textFill>
                  <w14:solidFill>
                    <w14:schemeClr w14:val="tx1"/>
                  </w14:solidFill>
                </w14:textFill>
              </w:rPr>
              <w:t>无灰尘、无污迹、无印迹</w:t>
            </w:r>
          </w:p>
        </w:tc>
      </w:tr>
    </w:tbl>
    <w:p w14:paraId="5758EF64">
      <w:pPr>
        <w:adjustRightInd w:val="0"/>
        <w:snapToGrid w:val="0"/>
        <w:spacing w:before="156" w:beforeLines="50"/>
        <w:textAlignment w:val="baseline"/>
        <w:rPr>
          <w:rFonts w:ascii="宋体" w:hAnsi="宋体" w:cs="宋体"/>
          <w:kern w:val="2"/>
          <w:sz w:val="24"/>
          <w:szCs w:val="24"/>
          <w:highlight w:val="none"/>
        </w:rPr>
      </w:pPr>
      <w:r>
        <w:rPr>
          <w:rFonts w:hint="eastAsia" w:ascii="宋体" w:hAnsi="宋体" w:cs="宋体"/>
          <w:kern w:val="2"/>
          <w:sz w:val="24"/>
          <w:szCs w:val="24"/>
          <w:highlight w:val="none"/>
        </w:rPr>
        <w:t>（四）消防管理（1人）</w:t>
      </w:r>
    </w:p>
    <w:tbl>
      <w:tblPr>
        <w:tblStyle w:val="2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250"/>
        <w:gridCol w:w="7066"/>
      </w:tblGrid>
      <w:tr w14:paraId="659787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0" w:type="auto"/>
            <w:tcBorders>
              <w:bottom w:val="single" w:color="auto" w:sz="4" w:space="0"/>
            </w:tcBorders>
            <w:vAlign w:val="center"/>
          </w:tcPr>
          <w:p w14:paraId="09E4AB6B">
            <w:pPr>
              <w:pStyle w:val="11"/>
              <w:widowControl/>
              <w:spacing w:line="219" w:lineRule="auto"/>
              <w:ind w:left="100"/>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hint="eastAsia" w:ascii="宋体" w:hAnsi="宋体" w:eastAsia="仿宋" w:cs="宋体"/>
                <w:color w:val="000000" w:themeColor="text1"/>
                <w:sz w:val="20"/>
                <w:szCs w:val="20"/>
                <w:highlight w:val="none"/>
                <w:lang w:eastAsia="zh-CN"/>
                <w14:textFill>
                  <w14:solidFill>
                    <w14:schemeClr w14:val="tx1"/>
                  </w14:solidFill>
                </w14:textFill>
              </w:rPr>
              <w:t>项     目</w:t>
            </w:r>
          </w:p>
        </w:tc>
        <w:tc>
          <w:tcPr>
            <w:tcW w:w="0" w:type="auto"/>
            <w:vAlign w:val="center"/>
          </w:tcPr>
          <w:p w14:paraId="2490E46A">
            <w:pPr>
              <w:pStyle w:val="11"/>
              <w:widowControl/>
              <w:spacing w:line="219" w:lineRule="auto"/>
              <w:ind w:left="100"/>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hint="eastAsia" w:ascii="宋体" w:hAnsi="宋体" w:eastAsia="仿宋" w:cs="宋体"/>
                <w:color w:val="000000" w:themeColor="text1"/>
                <w:sz w:val="20"/>
                <w:szCs w:val="20"/>
                <w:highlight w:val="none"/>
                <w:lang w:eastAsia="zh-CN"/>
                <w14:textFill>
                  <w14:solidFill>
                    <w14:schemeClr w14:val="tx1"/>
                  </w14:solidFill>
                </w14:textFill>
              </w:rPr>
              <w:t>要    求</w:t>
            </w:r>
          </w:p>
        </w:tc>
      </w:tr>
      <w:tr w14:paraId="547DF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01308787">
            <w:pPr>
              <w:pStyle w:val="11"/>
              <w:widowControl/>
              <w:spacing w:line="219" w:lineRule="auto"/>
              <w:ind w:left="100"/>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hint="eastAsia" w:ascii="宋体" w:hAnsi="宋体" w:eastAsia="仿宋" w:cs="宋体"/>
                <w:color w:val="000000" w:themeColor="text1"/>
                <w:sz w:val="20"/>
                <w:szCs w:val="20"/>
                <w:highlight w:val="none"/>
                <w:lang w:eastAsia="zh-CN"/>
                <w14:textFill>
                  <w14:solidFill>
                    <w14:schemeClr w14:val="tx1"/>
                  </w14:solidFill>
                </w14:textFill>
              </w:rPr>
              <w:t>消防管理制度</w:t>
            </w:r>
          </w:p>
        </w:tc>
        <w:tc>
          <w:tcPr>
            <w:tcW w:w="0" w:type="auto"/>
            <w:tcBorders>
              <w:left w:val="single" w:color="auto" w:sz="4" w:space="0"/>
            </w:tcBorders>
            <w:vAlign w:val="center"/>
          </w:tcPr>
          <w:p w14:paraId="3DCBF4E0">
            <w:pPr>
              <w:widowControl/>
              <w:spacing w:line="219" w:lineRule="auto"/>
              <w:ind w:left="14" w:hanging="14" w:hangingChars="7"/>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1.建立健全的消防管理制度，建立消防责任制及消防应急疏散预案；</w:t>
            </w:r>
          </w:p>
        </w:tc>
      </w:tr>
      <w:tr w14:paraId="623B4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1"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00600D8C">
            <w:pPr>
              <w:pStyle w:val="11"/>
              <w:widowControl/>
              <w:spacing w:line="219" w:lineRule="auto"/>
              <w:ind w:left="100"/>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hint="eastAsia" w:ascii="宋体" w:hAnsi="宋体" w:eastAsia="仿宋" w:cs="宋体"/>
                <w:color w:val="000000" w:themeColor="text1"/>
                <w:sz w:val="20"/>
                <w:szCs w:val="20"/>
                <w:highlight w:val="none"/>
                <w:lang w:eastAsia="zh-CN"/>
                <w14:textFill>
                  <w14:solidFill>
                    <w14:schemeClr w14:val="tx1"/>
                  </w14:solidFill>
                </w14:textFill>
              </w:rPr>
              <w:t>消防设施设备管理</w:t>
            </w:r>
          </w:p>
        </w:tc>
        <w:tc>
          <w:tcPr>
            <w:tcW w:w="0" w:type="auto"/>
            <w:tcBorders>
              <w:left w:val="single" w:color="auto" w:sz="4" w:space="0"/>
            </w:tcBorders>
            <w:vAlign w:val="center"/>
          </w:tcPr>
          <w:p w14:paraId="7FF462D6">
            <w:pPr>
              <w:widowControl/>
              <w:spacing w:line="219" w:lineRule="auto"/>
              <w:ind w:left="14" w:hanging="14" w:hangingChars="7"/>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1.保证消防设施设备贴有明显标志，</w:t>
            </w:r>
          </w:p>
          <w:p w14:paraId="5D80A7AC">
            <w:pPr>
              <w:widowControl/>
              <w:spacing w:line="219" w:lineRule="auto"/>
              <w:ind w:left="14" w:hanging="14" w:hangingChars="7"/>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2.每日对消防设施进行巡视和检查，发现损坏及时上报并协助消防的维修，</w:t>
            </w:r>
          </w:p>
          <w:p w14:paraId="2BAD6A58">
            <w:pPr>
              <w:widowControl/>
              <w:spacing w:line="219" w:lineRule="auto"/>
              <w:ind w:left="14" w:hanging="14" w:hangingChars="7"/>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3.管理消防通道，所有消防通道不得堆放杂物，保持畅通无阻，</w:t>
            </w:r>
          </w:p>
          <w:p w14:paraId="36D58B49">
            <w:pPr>
              <w:widowControl/>
              <w:spacing w:line="219" w:lineRule="auto"/>
              <w:ind w:left="14" w:hanging="14" w:hangingChars="7"/>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4.负责组织消防联动测试，</w:t>
            </w:r>
          </w:p>
          <w:p w14:paraId="394D36C7">
            <w:pPr>
              <w:widowControl/>
              <w:spacing w:line="219" w:lineRule="auto"/>
              <w:ind w:left="14" w:hanging="14" w:hangingChars="7"/>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5.负责核查裙楼内所有消防器材的有效期；</w:t>
            </w:r>
          </w:p>
        </w:tc>
      </w:tr>
      <w:tr w14:paraId="0EA09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1"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16197D3A">
            <w:pPr>
              <w:pStyle w:val="11"/>
              <w:widowControl/>
              <w:spacing w:line="219" w:lineRule="auto"/>
              <w:ind w:left="100"/>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hint="eastAsia" w:ascii="宋体" w:hAnsi="宋体" w:eastAsia="仿宋" w:cs="宋体"/>
                <w:color w:val="000000" w:themeColor="text1"/>
                <w:sz w:val="20"/>
                <w:szCs w:val="20"/>
                <w:highlight w:val="none"/>
                <w:lang w:eastAsia="zh-CN"/>
                <w14:textFill>
                  <w14:solidFill>
                    <w14:schemeClr w14:val="tx1"/>
                  </w14:solidFill>
                </w14:textFill>
              </w:rPr>
              <w:t>人员培训</w:t>
            </w:r>
          </w:p>
        </w:tc>
        <w:tc>
          <w:tcPr>
            <w:tcW w:w="0" w:type="auto"/>
            <w:tcBorders>
              <w:left w:val="single" w:color="auto" w:sz="4" w:space="0"/>
            </w:tcBorders>
            <w:vAlign w:val="center"/>
          </w:tcPr>
          <w:p w14:paraId="6AE5D81C">
            <w:pPr>
              <w:widowControl/>
              <w:spacing w:line="219" w:lineRule="auto"/>
              <w:ind w:left="14" w:hanging="14" w:hangingChars="7"/>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设立消防专职人员，持证上岗，每月定期进行消防培训及训练，掌握消防基本技能、能熟练使用各种消防设施设备；</w:t>
            </w:r>
          </w:p>
        </w:tc>
      </w:tr>
      <w:tr w14:paraId="08017A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413F9E74">
            <w:pPr>
              <w:pStyle w:val="11"/>
              <w:widowControl/>
              <w:spacing w:line="219" w:lineRule="auto"/>
              <w:ind w:left="100"/>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hint="eastAsia" w:ascii="宋体" w:hAnsi="宋体" w:eastAsia="仿宋" w:cs="宋体"/>
                <w:color w:val="000000" w:themeColor="text1"/>
                <w:sz w:val="20"/>
                <w:szCs w:val="20"/>
                <w:highlight w:val="none"/>
                <w:lang w:eastAsia="zh-CN"/>
                <w14:textFill>
                  <w14:solidFill>
                    <w14:schemeClr w14:val="tx1"/>
                  </w14:solidFill>
                </w14:textFill>
              </w:rPr>
              <w:t>险情处理</w:t>
            </w:r>
          </w:p>
        </w:tc>
        <w:tc>
          <w:tcPr>
            <w:tcW w:w="0" w:type="auto"/>
            <w:tcBorders>
              <w:left w:val="single" w:color="auto" w:sz="4" w:space="0"/>
            </w:tcBorders>
            <w:vAlign w:val="center"/>
          </w:tcPr>
          <w:p w14:paraId="40AEABCC">
            <w:pPr>
              <w:pStyle w:val="11"/>
              <w:widowControl/>
              <w:spacing w:line="219" w:lineRule="auto"/>
              <w:ind w:left="14" w:hanging="14" w:hangingChars="7"/>
              <w:rPr>
                <w:rFonts w:ascii="宋体" w:hAnsi="宋体" w:eastAsia="仿宋" w:cs="宋体"/>
                <w:color w:val="000000" w:themeColor="text1"/>
                <w:sz w:val="20"/>
                <w:szCs w:val="20"/>
                <w:highlight w:val="none"/>
                <w:lang w:eastAsia="zh-CN"/>
                <w14:textFill>
                  <w14:solidFill>
                    <w14:schemeClr w14:val="tx1"/>
                  </w14:solidFill>
                </w14:textFill>
              </w:rPr>
            </w:pPr>
            <w:r>
              <w:rPr>
                <w:rFonts w:hint="eastAsia" w:ascii="宋体" w:hAnsi="宋体" w:eastAsia="仿宋" w:cs="宋体"/>
                <w:color w:val="000000" w:themeColor="text1"/>
                <w:sz w:val="20"/>
                <w:szCs w:val="20"/>
                <w:highlight w:val="none"/>
                <w:lang w:eastAsia="zh-CN"/>
                <w14:textFill>
                  <w14:solidFill>
                    <w14:schemeClr w14:val="tx1"/>
                  </w14:solidFill>
                </w14:textFill>
              </w:rPr>
              <w:t>1.发生火灾，及时报警，协助消防人员疏散、救助人员等；</w:t>
            </w:r>
          </w:p>
        </w:tc>
      </w:tr>
      <w:tr w14:paraId="0787DD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9"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3BD539A0">
            <w:pPr>
              <w:pStyle w:val="11"/>
              <w:widowControl/>
              <w:spacing w:line="219" w:lineRule="auto"/>
              <w:ind w:left="100"/>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hint="eastAsia" w:ascii="宋体" w:hAnsi="宋体" w:eastAsia="仿宋" w:cs="宋体"/>
                <w:color w:val="000000" w:themeColor="text1"/>
                <w:sz w:val="20"/>
                <w:szCs w:val="20"/>
                <w:highlight w:val="none"/>
                <w:lang w:eastAsia="zh-CN"/>
                <w14:textFill>
                  <w14:solidFill>
                    <w14:schemeClr w14:val="tx1"/>
                  </w14:solidFill>
                </w14:textFill>
              </w:rPr>
              <w:t>商户消防管理</w:t>
            </w:r>
          </w:p>
        </w:tc>
        <w:tc>
          <w:tcPr>
            <w:tcW w:w="0" w:type="auto"/>
            <w:tcBorders>
              <w:left w:val="single" w:color="auto" w:sz="4" w:space="0"/>
            </w:tcBorders>
            <w:vAlign w:val="center"/>
          </w:tcPr>
          <w:p w14:paraId="7E108810">
            <w:pPr>
              <w:widowControl/>
              <w:spacing w:line="219" w:lineRule="auto"/>
              <w:ind w:left="14" w:hanging="14" w:hangingChars="7"/>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1.负责与商户签署《消防责任书》与《安全责任书》，</w:t>
            </w:r>
          </w:p>
          <w:p w14:paraId="5B40BEF4">
            <w:pPr>
              <w:widowControl/>
              <w:spacing w:line="219" w:lineRule="auto"/>
              <w:ind w:left="14" w:hanging="14" w:hangingChars="7"/>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2.检查商户的消防设施是否符合要求，对不符合要求的督促进行整改；</w:t>
            </w:r>
          </w:p>
          <w:p w14:paraId="5DEA7B45">
            <w:pPr>
              <w:widowControl/>
              <w:spacing w:line="219" w:lineRule="auto"/>
              <w:ind w:left="14" w:hanging="14" w:hangingChars="7"/>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3.组织商户员工参加年度消防演练与年度疏散演练；</w:t>
            </w:r>
          </w:p>
        </w:tc>
      </w:tr>
    </w:tbl>
    <w:p w14:paraId="27EFA334">
      <w:pPr>
        <w:adjustRightInd w:val="0"/>
        <w:snapToGrid w:val="0"/>
        <w:spacing w:before="156" w:beforeLines="50"/>
        <w:textAlignment w:val="baseline"/>
        <w:rPr>
          <w:rFonts w:ascii="宋体" w:hAnsi="宋体" w:cs="宋体"/>
          <w:kern w:val="2"/>
          <w:sz w:val="24"/>
          <w:szCs w:val="24"/>
          <w:highlight w:val="none"/>
        </w:rPr>
      </w:pPr>
      <w:r>
        <w:rPr>
          <w:rFonts w:hint="eastAsia" w:ascii="宋体" w:hAnsi="宋体" w:cs="宋体"/>
          <w:kern w:val="2"/>
          <w:sz w:val="24"/>
          <w:szCs w:val="24"/>
          <w:highlight w:val="none"/>
        </w:rPr>
        <w:t>（五）设施设备维护（</w:t>
      </w:r>
      <w:r>
        <w:rPr>
          <w:rFonts w:ascii="宋体" w:hAnsi="宋体" w:cs="宋体"/>
          <w:kern w:val="2"/>
          <w:sz w:val="24"/>
          <w:szCs w:val="24"/>
          <w:highlight w:val="none"/>
        </w:rPr>
        <w:t>2</w:t>
      </w:r>
      <w:r>
        <w:rPr>
          <w:rFonts w:hint="eastAsia" w:ascii="宋体" w:hAnsi="宋体" w:cs="宋体"/>
          <w:kern w:val="2"/>
          <w:sz w:val="24"/>
          <w:szCs w:val="24"/>
          <w:highlight w:val="none"/>
        </w:rPr>
        <w:t>人）</w:t>
      </w:r>
    </w:p>
    <w:tbl>
      <w:tblPr>
        <w:tblStyle w:val="2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150"/>
        <w:gridCol w:w="7166"/>
      </w:tblGrid>
      <w:tr w14:paraId="062182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0" w:type="auto"/>
            <w:tcBorders>
              <w:bottom w:val="single" w:color="auto" w:sz="4" w:space="0"/>
            </w:tcBorders>
            <w:vAlign w:val="center"/>
          </w:tcPr>
          <w:p w14:paraId="2F54C541">
            <w:pPr>
              <w:pStyle w:val="11"/>
              <w:widowControl/>
              <w:spacing w:line="219" w:lineRule="auto"/>
              <w:ind w:left="100"/>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hint="eastAsia" w:ascii="宋体" w:hAnsi="宋体" w:eastAsia="仿宋" w:cs="宋体"/>
                <w:color w:val="000000" w:themeColor="text1"/>
                <w:sz w:val="20"/>
                <w:szCs w:val="20"/>
                <w:highlight w:val="none"/>
                <w:lang w:eastAsia="zh-CN"/>
                <w14:textFill>
                  <w14:solidFill>
                    <w14:schemeClr w14:val="tx1"/>
                  </w14:solidFill>
                </w14:textFill>
              </w:rPr>
              <w:t>项     目</w:t>
            </w:r>
          </w:p>
        </w:tc>
        <w:tc>
          <w:tcPr>
            <w:tcW w:w="0" w:type="auto"/>
            <w:vAlign w:val="center"/>
          </w:tcPr>
          <w:p w14:paraId="62202468">
            <w:pPr>
              <w:pStyle w:val="11"/>
              <w:widowControl/>
              <w:spacing w:line="219" w:lineRule="auto"/>
              <w:ind w:left="100"/>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hint="eastAsia" w:ascii="宋体" w:hAnsi="宋体" w:eastAsia="仿宋" w:cs="宋体"/>
                <w:color w:val="000000" w:themeColor="text1"/>
                <w:sz w:val="20"/>
                <w:szCs w:val="20"/>
                <w:highlight w:val="none"/>
                <w:lang w:eastAsia="zh-CN"/>
                <w14:textFill>
                  <w14:solidFill>
                    <w14:schemeClr w14:val="tx1"/>
                  </w14:solidFill>
                </w14:textFill>
              </w:rPr>
              <w:t>要    求</w:t>
            </w:r>
          </w:p>
        </w:tc>
      </w:tr>
      <w:tr w14:paraId="30B46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7" w:hRule="atLeast"/>
          <w:jc w:val="center"/>
        </w:trPr>
        <w:tc>
          <w:tcPr>
            <w:tcW w:w="0" w:type="auto"/>
            <w:tcBorders>
              <w:bottom w:val="single" w:color="auto" w:sz="4" w:space="0"/>
            </w:tcBorders>
            <w:vAlign w:val="center"/>
          </w:tcPr>
          <w:p w14:paraId="4EA39DDB">
            <w:pPr>
              <w:pStyle w:val="11"/>
              <w:widowControl/>
              <w:spacing w:line="219" w:lineRule="auto"/>
              <w:ind w:left="100"/>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hint="eastAsia" w:ascii="宋体" w:hAnsi="宋体" w:eastAsia="仿宋" w:cs="宋体"/>
                <w:color w:val="000000" w:themeColor="text1"/>
                <w:sz w:val="20"/>
                <w:szCs w:val="20"/>
                <w:highlight w:val="none"/>
                <w:lang w:eastAsia="zh-CN"/>
                <w14:textFill>
                  <w14:solidFill>
                    <w14:schemeClr w14:val="tx1"/>
                  </w14:solidFill>
                </w14:textFill>
              </w:rPr>
              <w:t>日常维修</w:t>
            </w:r>
          </w:p>
        </w:tc>
        <w:tc>
          <w:tcPr>
            <w:tcW w:w="0" w:type="auto"/>
            <w:vAlign w:val="center"/>
          </w:tcPr>
          <w:p w14:paraId="75EBBAEA">
            <w:pPr>
              <w:widowControl/>
              <w:spacing w:line="219" w:lineRule="auto"/>
              <w:ind w:left="14" w:hanging="14" w:hangingChars="7"/>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1.配备2名专职工程人员，实行24小时维修值班服务，接到报修1小时内赶至现场处理，小修、中修不过夜，维修及时率90%以上，</w:t>
            </w:r>
          </w:p>
          <w:p w14:paraId="6F6E9379">
            <w:pPr>
              <w:widowControl/>
              <w:spacing w:line="219" w:lineRule="auto"/>
              <w:ind w:left="14" w:hanging="14" w:hangingChars="7"/>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2.若涉及带电设备维护、维修需派具有电工证并经过安全培训的人员，</w:t>
            </w:r>
          </w:p>
          <w:p w14:paraId="001C7B87">
            <w:pPr>
              <w:widowControl/>
              <w:spacing w:line="219" w:lineRule="auto"/>
              <w:ind w:left="14" w:hanging="14" w:hangingChars="7"/>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3.工程人员应穿戴符合规范的个人防护用具，并具备相应的安全培训，</w:t>
            </w:r>
          </w:p>
          <w:p w14:paraId="5FBB932D">
            <w:pPr>
              <w:widowControl/>
              <w:spacing w:line="219" w:lineRule="auto"/>
              <w:ind w:left="14" w:hanging="14" w:hangingChars="7"/>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4.工作现场应设置明显的安全警示标识，以提醒他人注意安全，</w:t>
            </w:r>
          </w:p>
          <w:p w14:paraId="3A0A1AD6">
            <w:pPr>
              <w:widowControl/>
              <w:spacing w:line="219" w:lineRule="auto"/>
              <w:ind w:left="14" w:hanging="14" w:hangingChars="7"/>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5.工作过程中应遵守相关的安全操作规范，并定期检查和维护维修设备；</w:t>
            </w:r>
          </w:p>
        </w:tc>
      </w:tr>
      <w:tr w14:paraId="4EFDA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jc w:val="center"/>
        </w:trPr>
        <w:tc>
          <w:tcPr>
            <w:tcW w:w="0" w:type="auto"/>
            <w:tcBorders>
              <w:bottom w:val="single" w:color="auto" w:sz="4" w:space="0"/>
            </w:tcBorders>
            <w:shd w:val="clear" w:color="auto" w:fill="auto"/>
            <w:vAlign w:val="center"/>
          </w:tcPr>
          <w:p w14:paraId="138AE263">
            <w:pPr>
              <w:pStyle w:val="11"/>
              <w:widowControl/>
              <w:spacing w:line="219" w:lineRule="auto"/>
              <w:ind w:left="100"/>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hint="eastAsia" w:ascii="宋体" w:hAnsi="宋体" w:eastAsia="仿宋" w:cs="宋体"/>
                <w:color w:val="000000" w:themeColor="text1"/>
                <w:sz w:val="20"/>
                <w:szCs w:val="20"/>
                <w:highlight w:val="none"/>
                <w:lang w:eastAsia="zh-CN"/>
                <w14:textFill>
                  <w14:solidFill>
                    <w14:schemeClr w14:val="tx1"/>
                  </w14:solidFill>
                </w14:textFill>
              </w:rPr>
              <w:t>电梯设备管理要求</w:t>
            </w:r>
          </w:p>
        </w:tc>
        <w:tc>
          <w:tcPr>
            <w:tcW w:w="0" w:type="auto"/>
            <w:shd w:val="clear" w:color="auto" w:fill="auto"/>
            <w:vAlign w:val="center"/>
          </w:tcPr>
          <w:p w14:paraId="521BBD5D">
            <w:pPr>
              <w:widowControl/>
              <w:spacing w:line="219" w:lineRule="auto"/>
              <w:ind w:left="14" w:hanging="14" w:hangingChars="7"/>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1.负责裙楼15部专用电梯（8部自动扶梯、5部客梯、2部货梯）的日常使用，保证商场每日正常营业时间电梯设备的正常运行，</w:t>
            </w:r>
          </w:p>
          <w:p w14:paraId="0D3C8AFB">
            <w:pPr>
              <w:widowControl/>
              <w:spacing w:line="219" w:lineRule="auto"/>
              <w:ind w:left="14" w:hanging="14" w:hangingChars="7"/>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2.响应商户季节性的用梯需求，</w:t>
            </w:r>
          </w:p>
          <w:p w14:paraId="66AC6BC4">
            <w:pPr>
              <w:widowControl/>
              <w:spacing w:line="219" w:lineRule="auto"/>
              <w:ind w:left="14" w:hanging="14" w:hangingChars="7"/>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3.负责联系电梯维保厂商，反馈电梯维修需求，</w:t>
            </w:r>
          </w:p>
          <w:p w14:paraId="7FAF1AF6">
            <w:pPr>
              <w:widowControl/>
              <w:spacing w:line="219" w:lineRule="auto"/>
              <w:ind w:left="14" w:hanging="14" w:hangingChars="7"/>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4.电梯维保厂商现场检修时旁站协助，</w:t>
            </w:r>
          </w:p>
          <w:p w14:paraId="7BAA4A9F">
            <w:pPr>
              <w:widowControl/>
              <w:spacing w:line="219" w:lineRule="auto"/>
              <w:ind w:left="14" w:hanging="14" w:hangingChars="7"/>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5.管理顾客不规范的用梯行为；</w:t>
            </w:r>
          </w:p>
        </w:tc>
      </w:tr>
      <w:tr w14:paraId="5D542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1" w:hRule="atLeast"/>
          <w:jc w:val="center"/>
        </w:trPr>
        <w:tc>
          <w:tcPr>
            <w:tcW w:w="0" w:type="auto"/>
            <w:tcBorders>
              <w:bottom w:val="single" w:color="auto" w:sz="4" w:space="0"/>
            </w:tcBorders>
            <w:shd w:val="clear" w:color="auto" w:fill="auto"/>
            <w:vAlign w:val="center"/>
          </w:tcPr>
          <w:p w14:paraId="751563AA">
            <w:pPr>
              <w:pStyle w:val="11"/>
              <w:widowControl/>
              <w:spacing w:line="219" w:lineRule="auto"/>
              <w:ind w:left="100"/>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hint="eastAsia" w:ascii="宋体" w:hAnsi="宋体" w:eastAsia="仿宋" w:cs="宋体"/>
                <w:color w:val="000000" w:themeColor="text1"/>
                <w:sz w:val="20"/>
                <w:szCs w:val="20"/>
                <w:highlight w:val="none"/>
                <w:lang w:eastAsia="zh-CN"/>
                <w14:textFill>
                  <w14:solidFill>
                    <w14:schemeClr w14:val="tx1"/>
                  </w14:solidFill>
                </w14:textFill>
              </w:rPr>
              <w:t>空调设备管理要求</w:t>
            </w:r>
          </w:p>
        </w:tc>
        <w:tc>
          <w:tcPr>
            <w:tcW w:w="0" w:type="auto"/>
            <w:shd w:val="clear" w:color="auto" w:fill="auto"/>
            <w:vAlign w:val="center"/>
          </w:tcPr>
          <w:p w14:paraId="509D75D4">
            <w:pPr>
              <w:widowControl/>
              <w:spacing w:line="219" w:lineRule="auto"/>
              <w:ind w:left="14" w:hanging="14" w:hangingChars="7"/>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1.负责裙楼空调系统的日常使用，保证商场每日正常营业时间空调设备的正常运行，</w:t>
            </w:r>
          </w:p>
          <w:p w14:paraId="43BE36A2">
            <w:pPr>
              <w:widowControl/>
              <w:spacing w:line="219" w:lineRule="auto"/>
              <w:ind w:left="14" w:hanging="14" w:hangingChars="7"/>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2.响应商户季节性的空调需求，根据天气实时调节公区空调，</w:t>
            </w:r>
          </w:p>
          <w:p w14:paraId="7342BEEA">
            <w:pPr>
              <w:widowControl/>
              <w:spacing w:line="219" w:lineRule="auto"/>
              <w:ind w:left="14" w:hanging="14" w:hangingChars="7"/>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3.负责联系空调维保厂商，反馈空调维修需求，协助商户空调的维修，</w:t>
            </w:r>
          </w:p>
          <w:p w14:paraId="62A2FD95">
            <w:pPr>
              <w:widowControl/>
              <w:spacing w:line="219" w:lineRule="auto"/>
              <w:ind w:left="14" w:hanging="14" w:hangingChars="7"/>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4.协助空调维保厂商现场检修，</w:t>
            </w:r>
          </w:p>
          <w:p w14:paraId="21E73098">
            <w:pPr>
              <w:widowControl/>
              <w:spacing w:line="219" w:lineRule="auto"/>
              <w:ind w:left="14" w:hanging="14" w:hangingChars="7"/>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5.配合进行空调系统的年度清洗工作，</w:t>
            </w:r>
          </w:p>
          <w:p w14:paraId="3D400D89">
            <w:pPr>
              <w:widowControl/>
              <w:spacing w:line="219" w:lineRule="auto"/>
              <w:ind w:left="14" w:hanging="14" w:hangingChars="7"/>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6.管理商户不规范的使用空调的行为；</w:t>
            </w:r>
          </w:p>
        </w:tc>
      </w:tr>
      <w:tr w14:paraId="4F60C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5" w:hRule="atLeast"/>
          <w:jc w:val="center"/>
        </w:trPr>
        <w:tc>
          <w:tcPr>
            <w:tcW w:w="0" w:type="auto"/>
            <w:tcBorders>
              <w:bottom w:val="single" w:color="auto" w:sz="4" w:space="0"/>
            </w:tcBorders>
            <w:shd w:val="clear" w:color="auto" w:fill="auto"/>
            <w:vAlign w:val="center"/>
          </w:tcPr>
          <w:p w14:paraId="7FFD93C9">
            <w:pPr>
              <w:pStyle w:val="11"/>
              <w:widowControl/>
              <w:spacing w:line="219" w:lineRule="auto"/>
              <w:ind w:left="100"/>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hint="eastAsia" w:ascii="宋体" w:hAnsi="宋体" w:eastAsia="仿宋" w:cs="宋体"/>
                <w:color w:val="000000" w:themeColor="text1"/>
                <w:sz w:val="20"/>
                <w:szCs w:val="20"/>
                <w:highlight w:val="none"/>
                <w:lang w:eastAsia="zh-CN"/>
                <w14:textFill>
                  <w14:solidFill>
                    <w14:schemeClr w14:val="tx1"/>
                  </w14:solidFill>
                </w14:textFill>
              </w:rPr>
              <w:t>能源管理要求</w:t>
            </w:r>
          </w:p>
        </w:tc>
        <w:tc>
          <w:tcPr>
            <w:tcW w:w="0" w:type="auto"/>
            <w:shd w:val="clear" w:color="auto" w:fill="auto"/>
            <w:vAlign w:val="center"/>
          </w:tcPr>
          <w:p w14:paraId="3E1B8F5D">
            <w:pPr>
              <w:widowControl/>
              <w:spacing w:line="219" w:lineRule="auto"/>
              <w:ind w:left="14" w:hanging="14" w:hangingChars="7"/>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1.根据运营要求管理公区灯光、广告灯箱的开启，</w:t>
            </w:r>
          </w:p>
          <w:p w14:paraId="4257BAAD">
            <w:pPr>
              <w:widowControl/>
              <w:spacing w:line="219" w:lineRule="auto"/>
              <w:ind w:left="14" w:hanging="14" w:hangingChars="7"/>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2.准备突发停水停电的应对预案，提前通知并协助商户应对，</w:t>
            </w:r>
          </w:p>
          <w:p w14:paraId="3AA15B29">
            <w:pPr>
              <w:widowControl/>
              <w:spacing w:line="219" w:lineRule="auto"/>
              <w:ind w:left="14" w:hanging="14" w:hangingChars="7"/>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3.提供有效节约水电能源的措施并实施，</w:t>
            </w:r>
          </w:p>
          <w:p w14:paraId="5B330557">
            <w:pPr>
              <w:widowControl/>
              <w:spacing w:line="219" w:lineRule="auto"/>
              <w:ind w:left="14" w:hanging="14" w:hangingChars="7"/>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4.对裙楼燃气的使用进行监管，每日检查并登记燃气报警器与闭店时的燃气情况；</w:t>
            </w:r>
          </w:p>
        </w:tc>
      </w:tr>
      <w:tr w14:paraId="28900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0" w:type="auto"/>
            <w:tcBorders>
              <w:bottom w:val="single" w:color="auto" w:sz="4" w:space="0"/>
            </w:tcBorders>
            <w:shd w:val="clear" w:color="auto" w:fill="auto"/>
            <w:vAlign w:val="center"/>
          </w:tcPr>
          <w:p w14:paraId="4E83CDBA">
            <w:pPr>
              <w:pStyle w:val="11"/>
              <w:widowControl/>
              <w:spacing w:line="219" w:lineRule="auto"/>
              <w:ind w:left="100"/>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hint="eastAsia" w:ascii="宋体" w:hAnsi="宋体" w:eastAsia="仿宋" w:cs="宋体"/>
                <w:color w:val="000000" w:themeColor="text1"/>
                <w:sz w:val="20"/>
                <w:szCs w:val="20"/>
                <w:highlight w:val="none"/>
                <w:lang w:eastAsia="zh-CN"/>
                <w14:textFill>
                  <w14:solidFill>
                    <w14:schemeClr w14:val="tx1"/>
                  </w14:solidFill>
                </w14:textFill>
              </w:rPr>
              <w:t>日常巡查</w:t>
            </w:r>
          </w:p>
        </w:tc>
        <w:tc>
          <w:tcPr>
            <w:tcW w:w="0" w:type="auto"/>
            <w:shd w:val="clear" w:color="auto" w:fill="auto"/>
            <w:vAlign w:val="center"/>
          </w:tcPr>
          <w:p w14:paraId="31784990">
            <w:pPr>
              <w:widowControl/>
              <w:spacing w:line="219" w:lineRule="auto"/>
              <w:ind w:left="14" w:hanging="14" w:hangingChars="7"/>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1.裙楼公共设施设备和业主自用设施设备的日常巡查，</w:t>
            </w:r>
          </w:p>
          <w:p w14:paraId="6EAAEFDA">
            <w:pPr>
              <w:widowControl/>
              <w:spacing w:line="219" w:lineRule="auto"/>
              <w:ind w:left="14" w:hanging="14" w:hangingChars="7"/>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2.设备维护费用提出申请给业主审批，协助业主组织实施，</w:t>
            </w:r>
          </w:p>
          <w:p w14:paraId="2EC07688">
            <w:pPr>
              <w:widowControl/>
              <w:spacing w:line="219" w:lineRule="auto"/>
              <w:ind w:left="14" w:hanging="14" w:hangingChars="7"/>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3.检查各类设备井的关闭，防止他人破坏；</w:t>
            </w:r>
          </w:p>
        </w:tc>
      </w:tr>
      <w:tr w14:paraId="2B99F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4" w:hRule="atLeast"/>
          <w:jc w:val="center"/>
        </w:trPr>
        <w:tc>
          <w:tcPr>
            <w:tcW w:w="0" w:type="auto"/>
            <w:tcBorders>
              <w:bottom w:val="single" w:color="auto" w:sz="4" w:space="0"/>
            </w:tcBorders>
            <w:shd w:val="clear" w:color="auto" w:fill="auto"/>
            <w:vAlign w:val="center"/>
          </w:tcPr>
          <w:p w14:paraId="39876A2F">
            <w:pPr>
              <w:pStyle w:val="11"/>
              <w:widowControl/>
              <w:spacing w:line="219" w:lineRule="auto"/>
              <w:ind w:left="100"/>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hint="eastAsia" w:ascii="宋体" w:hAnsi="宋体" w:eastAsia="仿宋" w:cs="宋体"/>
                <w:color w:val="000000" w:themeColor="text1"/>
                <w:sz w:val="20"/>
                <w:szCs w:val="20"/>
                <w:highlight w:val="none"/>
                <w:lang w:eastAsia="zh-CN"/>
                <w14:textFill>
                  <w14:solidFill>
                    <w14:schemeClr w14:val="tx1"/>
                  </w14:solidFill>
                </w14:textFill>
              </w:rPr>
              <w:t>其他设备管理要求</w:t>
            </w:r>
          </w:p>
        </w:tc>
        <w:tc>
          <w:tcPr>
            <w:tcW w:w="0" w:type="auto"/>
            <w:shd w:val="clear" w:color="auto" w:fill="auto"/>
            <w:vAlign w:val="center"/>
          </w:tcPr>
          <w:p w14:paraId="1B015216">
            <w:pPr>
              <w:widowControl/>
              <w:spacing w:line="219" w:lineRule="auto"/>
              <w:ind w:left="14" w:hanging="14" w:hangingChars="7"/>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1.负责裙楼物业内幕墙、门禁系统、消防系统等设施设备的日常巡视工作，巡查发现故障及时上报业主，</w:t>
            </w:r>
          </w:p>
          <w:p w14:paraId="1CB6D4A2">
            <w:pPr>
              <w:widowControl/>
              <w:spacing w:line="219" w:lineRule="auto"/>
              <w:ind w:left="14" w:hanging="14" w:hangingChars="7"/>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2.配合维保厂商对幕墙、消防、门禁、显示屏等进行维护保养，</w:t>
            </w:r>
          </w:p>
          <w:p w14:paraId="2D081EFF">
            <w:pPr>
              <w:widowControl/>
              <w:spacing w:line="219" w:lineRule="auto"/>
              <w:ind w:left="14" w:hanging="14" w:hangingChars="7"/>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3.定期组织清淘排水管、隔油池等排污排水管井，保障排水、污水管道井等保持通畅，保证相关设施的正常运行；</w:t>
            </w:r>
          </w:p>
        </w:tc>
      </w:tr>
      <w:tr w14:paraId="413A61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4C779928">
            <w:pPr>
              <w:pStyle w:val="11"/>
              <w:widowControl/>
              <w:spacing w:line="219" w:lineRule="auto"/>
              <w:ind w:left="100"/>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hint="eastAsia" w:ascii="宋体" w:hAnsi="宋体" w:eastAsia="仿宋" w:cs="宋体"/>
                <w:color w:val="000000" w:themeColor="text1"/>
                <w:sz w:val="20"/>
                <w:szCs w:val="20"/>
                <w:highlight w:val="none"/>
                <w:lang w:eastAsia="zh-CN"/>
                <w14:textFill>
                  <w14:solidFill>
                    <w14:schemeClr w14:val="tx1"/>
                  </w14:solidFill>
                </w14:textFill>
              </w:rPr>
              <w:t>商户设备管理</w:t>
            </w:r>
          </w:p>
        </w:tc>
        <w:tc>
          <w:tcPr>
            <w:tcW w:w="0" w:type="auto"/>
            <w:tcBorders>
              <w:left w:val="single" w:color="auto" w:sz="4" w:space="0"/>
            </w:tcBorders>
            <w:vAlign w:val="center"/>
          </w:tcPr>
          <w:p w14:paraId="233B6BA6">
            <w:pPr>
              <w:widowControl/>
              <w:spacing w:line="219" w:lineRule="auto"/>
              <w:ind w:left="14" w:hanging="14" w:hangingChars="7"/>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1.接受商户对设备故障的报修，尽量保障商户的正常营业，降低损失，</w:t>
            </w:r>
          </w:p>
          <w:p w14:paraId="399D8A29">
            <w:pPr>
              <w:widowControl/>
              <w:spacing w:line="219" w:lineRule="auto"/>
              <w:ind w:left="14" w:hanging="14" w:hangingChars="7"/>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2.管理商户的水电燃气的正常运行，</w:t>
            </w:r>
          </w:p>
          <w:p w14:paraId="6BCA0BFA">
            <w:pPr>
              <w:widowControl/>
              <w:spacing w:line="219" w:lineRule="auto"/>
              <w:ind w:left="14" w:hanging="14" w:hangingChars="7"/>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3.管理商户进出的能源设备移交；</w:t>
            </w:r>
          </w:p>
        </w:tc>
      </w:tr>
      <w:tr w14:paraId="1801E7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9"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77C678D7">
            <w:pPr>
              <w:pStyle w:val="11"/>
              <w:widowControl/>
              <w:spacing w:line="219" w:lineRule="auto"/>
              <w:ind w:left="100"/>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hint="eastAsia" w:ascii="宋体" w:hAnsi="宋体" w:eastAsia="仿宋" w:cs="宋体"/>
                <w:color w:val="000000" w:themeColor="text1"/>
                <w:sz w:val="20"/>
                <w:szCs w:val="20"/>
                <w:highlight w:val="none"/>
                <w:lang w:eastAsia="zh-CN"/>
                <w14:textFill>
                  <w14:solidFill>
                    <w14:schemeClr w14:val="tx1"/>
                  </w14:solidFill>
                </w14:textFill>
              </w:rPr>
              <w:t>垃圾站管理</w:t>
            </w:r>
          </w:p>
        </w:tc>
        <w:tc>
          <w:tcPr>
            <w:tcW w:w="0" w:type="auto"/>
            <w:tcBorders>
              <w:left w:val="single" w:color="auto" w:sz="4" w:space="0"/>
            </w:tcBorders>
            <w:vAlign w:val="center"/>
          </w:tcPr>
          <w:p w14:paraId="1416D6FB">
            <w:pPr>
              <w:widowControl/>
              <w:spacing w:line="219" w:lineRule="auto"/>
              <w:ind w:left="14" w:hanging="14" w:hangingChars="7"/>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1.管理餐饮垃圾回收，保证餐厨垃圾的有效外运，</w:t>
            </w:r>
          </w:p>
          <w:p w14:paraId="4B420CDC">
            <w:pPr>
              <w:widowControl/>
              <w:spacing w:line="219" w:lineRule="auto"/>
              <w:ind w:left="14" w:hanging="14" w:hangingChars="7"/>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2.管理建筑垃圾站，保证建筑垃圾的有效外运，</w:t>
            </w:r>
          </w:p>
          <w:p w14:paraId="3FF43E2C">
            <w:pPr>
              <w:widowControl/>
              <w:spacing w:line="219" w:lineRule="auto"/>
              <w:ind w:left="14" w:hanging="14" w:hangingChars="7"/>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3.管理生活垃圾，保证生活垃圾的有效归集外运。</w:t>
            </w:r>
          </w:p>
        </w:tc>
      </w:tr>
    </w:tbl>
    <w:p w14:paraId="44E9521D">
      <w:pPr>
        <w:adjustRightInd w:val="0"/>
        <w:snapToGrid w:val="0"/>
        <w:spacing w:before="156" w:beforeLines="50"/>
        <w:textAlignment w:val="baseline"/>
        <w:rPr>
          <w:rFonts w:ascii="宋体" w:hAnsi="宋体" w:cs="宋体"/>
          <w:kern w:val="2"/>
          <w:sz w:val="24"/>
          <w:szCs w:val="24"/>
          <w:highlight w:val="none"/>
        </w:rPr>
      </w:pPr>
      <w:r>
        <w:rPr>
          <w:rFonts w:hint="eastAsia" w:ascii="宋体" w:hAnsi="宋体" w:cs="宋体"/>
          <w:kern w:val="2"/>
          <w:sz w:val="24"/>
          <w:szCs w:val="24"/>
          <w:highlight w:val="none"/>
        </w:rPr>
        <w:t>（六）设备房管理与值守（</w:t>
      </w:r>
      <w:r>
        <w:rPr>
          <w:rFonts w:ascii="宋体" w:hAnsi="宋体" w:cs="宋体"/>
          <w:kern w:val="2"/>
          <w:sz w:val="24"/>
          <w:szCs w:val="24"/>
          <w:highlight w:val="none"/>
        </w:rPr>
        <w:t>8</w:t>
      </w:r>
      <w:r>
        <w:rPr>
          <w:rFonts w:hint="eastAsia" w:ascii="宋体" w:hAnsi="宋体" w:cs="宋体"/>
          <w:kern w:val="2"/>
          <w:sz w:val="24"/>
          <w:szCs w:val="24"/>
          <w:highlight w:val="none"/>
        </w:rPr>
        <w:t>人）</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7"/>
        <w:gridCol w:w="7525"/>
      </w:tblGrid>
      <w:tr w14:paraId="452D6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585" w:type="pct"/>
            <w:vAlign w:val="center"/>
          </w:tcPr>
          <w:p w14:paraId="46000990">
            <w:pPr>
              <w:pStyle w:val="11"/>
              <w:widowControl/>
              <w:spacing w:line="219" w:lineRule="auto"/>
              <w:ind w:left="100"/>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ascii="宋体" w:hAnsi="宋体" w:eastAsia="仿宋" w:cs="宋体"/>
                <w:color w:val="000000" w:themeColor="text1"/>
                <w:sz w:val="20"/>
                <w:szCs w:val="20"/>
                <w:highlight w:val="none"/>
                <w:lang w:eastAsia="zh-CN"/>
                <w14:textFill>
                  <w14:solidFill>
                    <w14:schemeClr w14:val="tx1"/>
                  </w14:solidFill>
                </w14:textFill>
              </w:rPr>
              <w:t>项  目</w:t>
            </w:r>
          </w:p>
        </w:tc>
        <w:tc>
          <w:tcPr>
            <w:tcW w:w="4415" w:type="pct"/>
            <w:vAlign w:val="center"/>
          </w:tcPr>
          <w:p w14:paraId="0A7BA9CA">
            <w:pPr>
              <w:pStyle w:val="11"/>
              <w:widowControl/>
              <w:spacing w:line="219" w:lineRule="auto"/>
              <w:ind w:left="100"/>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hint="eastAsia" w:ascii="宋体" w:hAnsi="宋体" w:eastAsia="仿宋" w:cs="宋体"/>
                <w:color w:val="000000" w:themeColor="text1"/>
                <w:sz w:val="20"/>
                <w:szCs w:val="20"/>
                <w:highlight w:val="none"/>
                <w:lang w:eastAsia="zh-CN"/>
                <w14:textFill>
                  <w14:solidFill>
                    <w14:schemeClr w14:val="tx1"/>
                  </w14:solidFill>
                </w14:textFill>
              </w:rPr>
              <w:t>要    求</w:t>
            </w:r>
          </w:p>
        </w:tc>
      </w:tr>
      <w:tr w14:paraId="0472E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0" w:hRule="exact"/>
        </w:trPr>
        <w:tc>
          <w:tcPr>
            <w:tcW w:w="585" w:type="pct"/>
            <w:vAlign w:val="center"/>
          </w:tcPr>
          <w:p w14:paraId="78EF4D29">
            <w:pPr>
              <w:pStyle w:val="11"/>
              <w:widowControl/>
              <w:spacing w:line="219" w:lineRule="auto"/>
              <w:ind w:left="100"/>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hint="eastAsia" w:ascii="宋体" w:hAnsi="宋体" w:eastAsia="仿宋" w:cs="宋体"/>
                <w:color w:val="000000" w:themeColor="text1"/>
                <w:sz w:val="20"/>
                <w:szCs w:val="20"/>
                <w:highlight w:val="none"/>
                <w:lang w:eastAsia="zh-CN"/>
                <w14:textFill>
                  <w14:solidFill>
                    <w14:schemeClr w14:val="tx1"/>
                  </w14:solidFill>
                </w14:textFill>
              </w:rPr>
              <w:t>配电房</w:t>
            </w:r>
          </w:p>
          <w:p w14:paraId="0F700A05">
            <w:pPr>
              <w:pStyle w:val="11"/>
              <w:widowControl/>
              <w:spacing w:line="219" w:lineRule="auto"/>
              <w:ind w:left="100"/>
              <w:jc w:val="center"/>
              <w:rPr>
                <w:rFonts w:ascii="宋体" w:hAnsi="宋体" w:eastAsia="仿宋" w:cs="宋体"/>
                <w:color w:val="000000" w:themeColor="text1"/>
                <w:sz w:val="20"/>
                <w:szCs w:val="20"/>
                <w:highlight w:val="none"/>
                <w:lang w:eastAsia="zh-CN"/>
                <w14:textFill>
                  <w14:solidFill>
                    <w14:schemeClr w14:val="tx1"/>
                  </w14:solidFill>
                </w14:textFill>
              </w:rPr>
            </w:pPr>
          </w:p>
        </w:tc>
        <w:tc>
          <w:tcPr>
            <w:tcW w:w="4415" w:type="pct"/>
            <w:vAlign w:val="center"/>
          </w:tcPr>
          <w:p w14:paraId="583D197D">
            <w:pPr>
              <w:widowControl/>
              <w:spacing w:line="219" w:lineRule="auto"/>
              <w:ind w:left="280" w:hanging="280" w:hangingChars="140"/>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1.配电房实行24小时执守制度，每班执守人员不得少于1人，保证中设广场配电间服务不间断；</w:t>
            </w:r>
          </w:p>
          <w:p w14:paraId="3B07A8AD">
            <w:pPr>
              <w:widowControl/>
              <w:spacing w:line="219" w:lineRule="auto"/>
              <w:ind w:left="280" w:hanging="280" w:hangingChars="140"/>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2.配电房实行登记制，非工作人员出入必须做好登记；</w:t>
            </w:r>
          </w:p>
          <w:p w14:paraId="2FDECDA4">
            <w:pPr>
              <w:widowControl/>
              <w:spacing w:line="219" w:lineRule="auto"/>
              <w:ind w:left="280" w:hanging="280" w:hangingChars="140"/>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3.保持配电房处在合适的运行要求；</w:t>
            </w:r>
          </w:p>
          <w:p w14:paraId="1183C96C">
            <w:pPr>
              <w:widowControl/>
              <w:spacing w:line="219" w:lineRule="auto"/>
              <w:ind w:left="280" w:hanging="280" w:hangingChars="140"/>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4.建立健全的管理制度，建立管理责任制及应急预案；</w:t>
            </w:r>
          </w:p>
          <w:p w14:paraId="07D2FA99">
            <w:pPr>
              <w:widowControl/>
              <w:spacing w:line="219" w:lineRule="auto"/>
              <w:ind w:left="280" w:hanging="280" w:hangingChars="140"/>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5.对设施进行巡视和检查，发现损坏及时上报并协助维护，可应对设备突发情况，</w:t>
            </w:r>
          </w:p>
          <w:p w14:paraId="43E46233">
            <w:pPr>
              <w:widowControl/>
              <w:spacing w:line="219" w:lineRule="auto"/>
              <w:ind w:left="280" w:hanging="280" w:hangingChars="140"/>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6.</w:t>
            </w:r>
            <w:r>
              <w:rPr>
                <w:rFonts w:ascii="宋体" w:hAnsi="宋体" w:cs="宋体"/>
                <w:color w:val="000000" w:themeColor="text1"/>
                <w:sz w:val="20"/>
                <w:szCs w:val="20"/>
                <w:highlight w:val="none"/>
                <w14:textFill>
                  <w14:solidFill>
                    <w14:schemeClr w14:val="tx1"/>
                  </w14:solidFill>
                </w14:textFill>
              </w:rPr>
              <w:t>4名</w:t>
            </w:r>
            <w:r>
              <w:rPr>
                <w:rFonts w:hint="eastAsia" w:ascii="宋体" w:hAnsi="宋体" w:cs="宋体"/>
                <w:color w:val="000000" w:themeColor="text1"/>
                <w:sz w:val="20"/>
                <w:szCs w:val="20"/>
                <w:highlight w:val="none"/>
                <w14:textFill>
                  <w14:solidFill>
                    <w14:schemeClr w14:val="tx1"/>
                  </w14:solidFill>
                </w14:textFill>
              </w:rPr>
              <w:t>执守人员持特种作业证上岗，证件张贴上墙，必须做到人证一致；</w:t>
            </w:r>
          </w:p>
          <w:p w14:paraId="2B981539">
            <w:pPr>
              <w:widowControl/>
              <w:spacing w:line="219" w:lineRule="auto"/>
              <w:ind w:left="280" w:hanging="280" w:hangingChars="140"/>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7.如技术能力达不到该岗位要求，甲方有权要求乙方更换服务人员。</w:t>
            </w:r>
          </w:p>
        </w:tc>
      </w:tr>
      <w:tr w14:paraId="0BFE0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exact"/>
        </w:trPr>
        <w:tc>
          <w:tcPr>
            <w:tcW w:w="585" w:type="pct"/>
            <w:vAlign w:val="center"/>
          </w:tcPr>
          <w:p w14:paraId="46D1B545">
            <w:pPr>
              <w:pStyle w:val="11"/>
              <w:widowControl/>
              <w:spacing w:line="219" w:lineRule="auto"/>
              <w:ind w:left="100"/>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hint="eastAsia" w:ascii="宋体" w:hAnsi="宋体" w:eastAsia="仿宋" w:cs="宋体"/>
                <w:color w:val="000000" w:themeColor="text1"/>
                <w:sz w:val="20"/>
                <w:szCs w:val="20"/>
                <w:highlight w:val="none"/>
                <w:lang w:eastAsia="zh-CN"/>
                <w14:textFill>
                  <w14:solidFill>
                    <w14:schemeClr w14:val="tx1"/>
                  </w14:solidFill>
                </w14:textFill>
              </w:rPr>
              <w:t>水泵房</w:t>
            </w:r>
          </w:p>
        </w:tc>
        <w:tc>
          <w:tcPr>
            <w:tcW w:w="4415" w:type="pct"/>
            <w:vAlign w:val="center"/>
          </w:tcPr>
          <w:p w14:paraId="7623FCEB">
            <w:pPr>
              <w:widowControl/>
              <w:spacing w:line="219" w:lineRule="auto"/>
              <w:ind w:left="280" w:hanging="280" w:hangingChars="140"/>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1.水泵房实行24小时执守制度，每班执守人员不得少于1人，保证中设广场水泵房服务不间断；</w:t>
            </w:r>
          </w:p>
          <w:p w14:paraId="5DAAAFF1">
            <w:pPr>
              <w:widowControl/>
              <w:spacing w:line="219" w:lineRule="auto"/>
              <w:ind w:left="280" w:hanging="280" w:hangingChars="140"/>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2.水泵房实行登记制，非工作人员出入必须做好登记；</w:t>
            </w:r>
          </w:p>
          <w:p w14:paraId="782C9208">
            <w:pPr>
              <w:widowControl/>
              <w:spacing w:line="219" w:lineRule="auto"/>
              <w:ind w:left="280" w:hanging="280" w:hangingChars="140"/>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3.保持水泵房处在合适的运行要求；</w:t>
            </w:r>
          </w:p>
          <w:p w14:paraId="60EB22CF">
            <w:pPr>
              <w:widowControl/>
              <w:spacing w:line="219" w:lineRule="auto"/>
              <w:ind w:left="280" w:hanging="280" w:hangingChars="140"/>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4.建立健全的管理制度，建立管理责任制及应急预案；</w:t>
            </w:r>
          </w:p>
          <w:p w14:paraId="37A33A3D">
            <w:pPr>
              <w:widowControl/>
              <w:spacing w:line="219" w:lineRule="auto"/>
              <w:ind w:left="280" w:hanging="280" w:hangingChars="140"/>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5.对设施进行巡视和检查，发现损坏及时上报并协助维护，可应对设备突发情况，</w:t>
            </w:r>
          </w:p>
        </w:tc>
      </w:tr>
      <w:tr w14:paraId="0499B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exact"/>
        </w:trPr>
        <w:tc>
          <w:tcPr>
            <w:tcW w:w="585" w:type="pct"/>
            <w:vAlign w:val="center"/>
          </w:tcPr>
          <w:p w14:paraId="2AF555FA">
            <w:pPr>
              <w:pStyle w:val="11"/>
              <w:widowControl/>
              <w:spacing w:line="219" w:lineRule="auto"/>
              <w:ind w:left="100"/>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hint="eastAsia" w:ascii="宋体" w:hAnsi="宋体" w:eastAsia="仿宋" w:cs="宋体"/>
                <w:color w:val="000000" w:themeColor="text1"/>
                <w:sz w:val="20"/>
                <w:szCs w:val="20"/>
                <w:highlight w:val="none"/>
                <w:lang w:eastAsia="zh-CN"/>
                <w14:textFill>
                  <w14:solidFill>
                    <w14:schemeClr w14:val="tx1"/>
                  </w14:solidFill>
                </w14:textFill>
              </w:rPr>
              <w:t>隔油机房</w:t>
            </w:r>
          </w:p>
        </w:tc>
        <w:tc>
          <w:tcPr>
            <w:tcW w:w="4415" w:type="pct"/>
            <w:vAlign w:val="center"/>
          </w:tcPr>
          <w:p w14:paraId="20F02C0B">
            <w:pPr>
              <w:widowControl/>
              <w:spacing w:line="219" w:lineRule="auto"/>
              <w:ind w:left="280" w:hanging="280" w:hangingChars="140"/>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1.管理隔油机房，防止无关人员的进出，</w:t>
            </w:r>
          </w:p>
          <w:p w14:paraId="38D65BC4">
            <w:pPr>
              <w:widowControl/>
              <w:spacing w:line="219" w:lineRule="auto"/>
              <w:ind w:left="280" w:hanging="280" w:hangingChars="140"/>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2.每日检查隔油机房设备，保证隔油设备的有效运转，</w:t>
            </w:r>
          </w:p>
          <w:p w14:paraId="128B49C5">
            <w:pPr>
              <w:widowControl/>
              <w:spacing w:line="219" w:lineRule="auto"/>
              <w:ind w:left="280" w:hanging="280" w:hangingChars="140"/>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3.定期对隔油池进行清掏；</w:t>
            </w:r>
          </w:p>
        </w:tc>
      </w:tr>
      <w:tr w14:paraId="3EABB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exact"/>
        </w:trPr>
        <w:tc>
          <w:tcPr>
            <w:tcW w:w="585" w:type="pct"/>
            <w:vAlign w:val="center"/>
          </w:tcPr>
          <w:p w14:paraId="18E8C000">
            <w:pPr>
              <w:pStyle w:val="11"/>
              <w:widowControl/>
              <w:spacing w:line="219" w:lineRule="auto"/>
              <w:ind w:left="100"/>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hint="eastAsia" w:ascii="宋体" w:hAnsi="宋体" w:eastAsia="仿宋" w:cs="宋体"/>
                <w:color w:val="000000" w:themeColor="text1"/>
                <w:sz w:val="20"/>
                <w:szCs w:val="20"/>
                <w:highlight w:val="none"/>
                <w:lang w:eastAsia="zh-CN"/>
                <w14:textFill>
                  <w14:solidFill>
                    <w14:schemeClr w14:val="tx1"/>
                  </w14:solidFill>
                </w14:textFill>
              </w:rPr>
              <w:t>监控室</w:t>
            </w:r>
          </w:p>
          <w:p w14:paraId="341A707B">
            <w:pPr>
              <w:pStyle w:val="11"/>
              <w:widowControl/>
              <w:spacing w:line="219" w:lineRule="auto"/>
              <w:ind w:left="100"/>
              <w:jc w:val="center"/>
              <w:rPr>
                <w:rFonts w:ascii="宋体" w:hAnsi="宋体" w:eastAsia="仿宋" w:cs="宋体"/>
                <w:color w:val="000000" w:themeColor="text1"/>
                <w:sz w:val="20"/>
                <w:szCs w:val="20"/>
                <w:highlight w:val="none"/>
                <w:lang w:eastAsia="zh-CN"/>
                <w14:textFill>
                  <w14:solidFill>
                    <w14:schemeClr w14:val="tx1"/>
                  </w14:solidFill>
                </w14:textFill>
              </w:rPr>
            </w:pPr>
          </w:p>
        </w:tc>
        <w:tc>
          <w:tcPr>
            <w:tcW w:w="4415" w:type="pct"/>
            <w:vAlign w:val="center"/>
          </w:tcPr>
          <w:p w14:paraId="7559E62A">
            <w:pPr>
              <w:widowControl/>
              <w:spacing w:line="219" w:lineRule="auto"/>
              <w:ind w:left="280" w:hanging="280" w:hangingChars="140"/>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1.管理裙楼监控室，实行24小时执守制度，每班执守人员不得少于1人，</w:t>
            </w:r>
          </w:p>
          <w:p w14:paraId="14DFBE0A">
            <w:pPr>
              <w:widowControl/>
              <w:spacing w:line="219" w:lineRule="auto"/>
              <w:ind w:left="280" w:hanging="280" w:hangingChars="140"/>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2.监控室实行登记制，非工作人员出入必须做好登记，</w:t>
            </w:r>
          </w:p>
          <w:p w14:paraId="668A44F2">
            <w:pPr>
              <w:widowControl/>
              <w:spacing w:line="219" w:lineRule="auto"/>
              <w:ind w:left="280" w:hanging="280" w:hangingChars="140"/>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3.经业主允许同意下协助外部单位调看监控信息，做有记录，有调看监控审批单；</w:t>
            </w:r>
          </w:p>
          <w:p w14:paraId="6183E469">
            <w:pPr>
              <w:widowControl/>
              <w:spacing w:line="219" w:lineRule="auto"/>
              <w:ind w:left="280" w:hanging="280" w:hangingChars="140"/>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4.建立健全的管理制度，建立管理责任制及应急预案；</w:t>
            </w:r>
          </w:p>
          <w:p w14:paraId="1BDE6A96">
            <w:pPr>
              <w:widowControl/>
              <w:spacing w:line="219" w:lineRule="auto"/>
              <w:ind w:left="280" w:hanging="280" w:hangingChars="140"/>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5.保障监控室的正常运行，对裙楼内各监控设施进行巡视和检查，发现损坏及时上报并协助维护，可应对设备突发情况。</w:t>
            </w:r>
          </w:p>
        </w:tc>
      </w:tr>
    </w:tbl>
    <w:p w14:paraId="6968AF24">
      <w:pPr>
        <w:adjustRightInd w:val="0"/>
        <w:snapToGrid w:val="0"/>
        <w:spacing w:before="156" w:beforeLines="50"/>
        <w:textAlignment w:val="baseline"/>
        <w:rPr>
          <w:rFonts w:ascii="宋体" w:hAnsi="宋体" w:cs="宋体"/>
          <w:kern w:val="2"/>
          <w:sz w:val="24"/>
          <w:szCs w:val="24"/>
          <w:highlight w:val="none"/>
        </w:rPr>
      </w:pPr>
      <w:r>
        <w:rPr>
          <w:rFonts w:hint="eastAsia" w:ascii="宋体" w:hAnsi="宋体" w:cs="宋体"/>
          <w:kern w:val="2"/>
          <w:sz w:val="24"/>
          <w:szCs w:val="24"/>
          <w:highlight w:val="none"/>
        </w:rPr>
        <w:t>（七）装修管理</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0"/>
        <w:gridCol w:w="7072"/>
      </w:tblGrid>
      <w:tr w14:paraId="533A2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51" w:type="pct"/>
            <w:vAlign w:val="center"/>
          </w:tcPr>
          <w:p w14:paraId="7013F462">
            <w:pPr>
              <w:pStyle w:val="11"/>
              <w:widowControl/>
              <w:spacing w:line="219" w:lineRule="auto"/>
              <w:ind w:left="100"/>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hint="eastAsia" w:ascii="宋体" w:hAnsi="宋体" w:eastAsia="仿宋" w:cs="宋体"/>
                <w:color w:val="000000" w:themeColor="text1"/>
                <w:sz w:val="20"/>
                <w:szCs w:val="20"/>
                <w:highlight w:val="none"/>
                <w:lang w:eastAsia="zh-CN"/>
                <w14:textFill>
                  <w14:solidFill>
                    <w14:schemeClr w14:val="tx1"/>
                  </w14:solidFill>
                </w14:textFill>
              </w:rPr>
              <w:t>项     目</w:t>
            </w:r>
          </w:p>
        </w:tc>
        <w:tc>
          <w:tcPr>
            <w:tcW w:w="4149" w:type="pct"/>
            <w:vAlign w:val="center"/>
          </w:tcPr>
          <w:p w14:paraId="48933A8E">
            <w:pPr>
              <w:pStyle w:val="11"/>
              <w:widowControl/>
              <w:spacing w:line="219" w:lineRule="auto"/>
              <w:ind w:left="100"/>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hint="eastAsia" w:ascii="宋体" w:hAnsi="宋体" w:eastAsia="仿宋" w:cs="宋体"/>
                <w:color w:val="000000" w:themeColor="text1"/>
                <w:sz w:val="20"/>
                <w:szCs w:val="20"/>
                <w:highlight w:val="none"/>
                <w:lang w:eastAsia="zh-CN"/>
                <w14:textFill>
                  <w14:solidFill>
                    <w14:schemeClr w14:val="tx1"/>
                  </w14:solidFill>
                </w14:textFill>
              </w:rPr>
              <w:t>要    求</w:t>
            </w:r>
          </w:p>
        </w:tc>
      </w:tr>
      <w:tr w14:paraId="21159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exact"/>
        </w:trPr>
        <w:tc>
          <w:tcPr>
            <w:tcW w:w="851" w:type="pct"/>
            <w:vAlign w:val="center"/>
          </w:tcPr>
          <w:p w14:paraId="7866CA33">
            <w:pPr>
              <w:pStyle w:val="11"/>
              <w:widowControl/>
              <w:spacing w:line="219" w:lineRule="auto"/>
              <w:ind w:left="100"/>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hint="eastAsia" w:ascii="宋体" w:hAnsi="宋体" w:eastAsia="仿宋" w:cs="宋体"/>
                <w:color w:val="000000" w:themeColor="text1"/>
                <w:sz w:val="20"/>
                <w:szCs w:val="20"/>
                <w:highlight w:val="none"/>
                <w:lang w:eastAsia="zh-CN"/>
                <w14:textFill>
                  <w14:solidFill>
                    <w14:schemeClr w14:val="tx1"/>
                  </w14:solidFill>
                </w14:textFill>
              </w:rPr>
              <w:t>装修条件</w:t>
            </w:r>
          </w:p>
          <w:p w14:paraId="1A680E13">
            <w:pPr>
              <w:pStyle w:val="11"/>
              <w:widowControl/>
              <w:spacing w:line="219" w:lineRule="auto"/>
              <w:ind w:left="100"/>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hint="eastAsia" w:ascii="宋体" w:hAnsi="宋体" w:eastAsia="仿宋" w:cs="宋体"/>
                <w:color w:val="000000" w:themeColor="text1"/>
                <w:sz w:val="20"/>
                <w:szCs w:val="20"/>
                <w:highlight w:val="none"/>
                <w:lang w:eastAsia="zh-CN"/>
                <w14:textFill>
                  <w14:solidFill>
                    <w14:schemeClr w14:val="tx1"/>
                  </w14:solidFill>
                </w14:textFill>
              </w:rPr>
              <w:t>的满足</w:t>
            </w:r>
          </w:p>
        </w:tc>
        <w:tc>
          <w:tcPr>
            <w:tcW w:w="4149" w:type="pct"/>
            <w:vAlign w:val="center"/>
          </w:tcPr>
          <w:p w14:paraId="24F0B902">
            <w:pPr>
              <w:widowControl/>
              <w:spacing w:line="219" w:lineRule="auto"/>
              <w:ind w:left="280" w:hanging="280" w:hangingChars="140"/>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1.组织对租商户装修区域进行现场收铺，核对工程条件；</w:t>
            </w:r>
          </w:p>
          <w:p w14:paraId="41F64DDB">
            <w:pPr>
              <w:widowControl/>
              <w:spacing w:line="219" w:lineRule="auto"/>
              <w:ind w:left="280" w:hanging="280" w:hangingChars="140"/>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2.对商户所需的合理条件提出满足方案并协助实施；</w:t>
            </w:r>
          </w:p>
        </w:tc>
      </w:tr>
      <w:tr w14:paraId="21ECB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7" w:hRule="exact"/>
        </w:trPr>
        <w:tc>
          <w:tcPr>
            <w:tcW w:w="851" w:type="pct"/>
            <w:vAlign w:val="center"/>
          </w:tcPr>
          <w:p w14:paraId="53B5CCBB">
            <w:pPr>
              <w:pStyle w:val="11"/>
              <w:widowControl/>
              <w:spacing w:line="219" w:lineRule="auto"/>
              <w:ind w:left="100"/>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hint="eastAsia" w:ascii="宋体" w:hAnsi="宋体" w:eastAsia="仿宋" w:cs="宋体"/>
                <w:color w:val="000000" w:themeColor="text1"/>
                <w:sz w:val="20"/>
                <w:szCs w:val="20"/>
                <w:highlight w:val="none"/>
                <w:lang w:eastAsia="zh-CN"/>
                <w14:textFill>
                  <w14:solidFill>
                    <w14:schemeClr w14:val="tx1"/>
                  </w14:solidFill>
                </w14:textFill>
              </w:rPr>
              <w:t>装修现场</w:t>
            </w:r>
          </w:p>
          <w:p w14:paraId="007BF855">
            <w:pPr>
              <w:pStyle w:val="11"/>
              <w:widowControl/>
              <w:spacing w:line="219" w:lineRule="auto"/>
              <w:ind w:left="100"/>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hint="eastAsia" w:ascii="宋体" w:hAnsi="宋体" w:eastAsia="仿宋" w:cs="宋体"/>
                <w:color w:val="000000" w:themeColor="text1"/>
                <w:sz w:val="20"/>
                <w:szCs w:val="20"/>
                <w:highlight w:val="none"/>
                <w:lang w:eastAsia="zh-CN"/>
                <w14:textFill>
                  <w14:solidFill>
                    <w14:schemeClr w14:val="tx1"/>
                  </w14:solidFill>
                </w14:textFill>
              </w:rPr>
              <w:t>的管理</w:t>
            </w:r>
          </w:p>
        </w:tc>
        <w:tc>
          <w:tcPr>
            <w:tcW w:w="4149" w:type="pct"/>
            <w:vAlign w:val="center"/>
          </w:tcPr>
          <w:p w14:paraId="2EF2728D">
            <w:pPr>
              <w:widowControl/>
              <w:spacing w:line="219" w:lineRule="auto"/>
              <w:ind w:left="280" w:hanging="280" w:hangingChars="140"/>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1.检查是否有违反《装修手册》的行为，</w:t>
            </w:r>
          </w:p>
          <w:p w14:paraId="2621625E">
            <w:pPr>
              <w:widowControl/>
              <w:spacing w:line="219" w:lineRule="auto"/>
              <w:ind w:left="280" w:hanging="280" w:hangingChars="140"/>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2.检查是否按照装修方案进行了实施，</w:t>
            </w:r>
          </w:p>
          <w:p w14:paraId="69C778A4">
            <w:pPr>
              <w:widowControl/>
              <w:spacing w:line="219" w:lineRule="auto"/>
              <w:ind w:left="280" w:hanging="280" w:hangingChars="140"/>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3.检查是否有违反消防管理要求与安全管理要求的行为，</w:t>
            </w:r>
          </w:p>
          <w:p w14:paraId="246C0E86">
            <w:pPr>
              <w:widowControl/>
              <w:spacing w:line="219" w:lineRule="auto"/>
              <w:ind w:left="280" w:hanging="280" w:hangingChars="140"/>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4.负责组织业主方对装修现场进行竣工验收，</w:t>
            </w:r>
          </w:p>
          <w:p w14:paraId="6075EBDE">
            <w:pPr>
              <w:widowControl/>
              <w:spacing w:line="219" w:lineRule="auto"/>
              <w:ind w:left="280" w:hanging="280" w:hangingChars="140"/>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5.负责管理设备材料的进出场运送，</w:t>
            </w:r>
          </w:p>
          <w:p w14:paraId="26E67E8A">
            <w:pPr>
              <w:widowControl/>
              <w:spacing w:line="219" w:lineRule="auto"/>
              <w:ind w:left="280" w:hanging="280" w:hangingChars="140"/>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6.负责管理装修垃圾的进出场运送，</w:t>
            </w:r>
          </w:p>
          <w:p w14:paraId="73913445">
            <w:pPr>
              <w:widowControl/>
              <w:spacing w:line="219" w:lineRule="auto"/>
              <w:ind w:left="280" w:hanging="280" w:hangingChars="140"/>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7.负责检查装修材料是否合规，</w:t>
            </w:r>
          </w:p>
          <w:p w14:paraId="248F277D">
            <w:pPr>
              <w:widowControl/>
              <w:spacing w:line="219" w:lineRule="auto"/>
              <w:ind w:left="280" w:hanging="280" w:hangingChars="140"/>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8.负责整个装修过程的管理（包括但不限于闭水试验、隐蔽工程等）；</w:t>
            </w:r>
          </w:p>
          <w:p w14:paraId="22EAB9F5">
            <w:pPr>
              <w:widowControl/>
              <w:spacing w:line="219" w:lineRule="auto"/>
              <w:ind w:left="280" w:hanging="280" w:hangingChars="140"/>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8.负责装修结束后组织运营共同验收。</w:t>
            </w:r>
          </w:p>
        </w:tc>
      </w:tr>
      <w:tr w14:paraId="6760F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exact"/>
        </w:trPr>
        <w:tc>
          <w:tcPr>
            <w:tcW w:w="851" w:type="pct"/>
            <w:vAlign w:val="center"/>
          </w:tcPr>
          <w:p w14:paraId="10BA0050">
            <w:pPr>
              <w:pStyle w:val="11"/>
              <w:widowControl/>
              <w:spacing w:line="219" w:lineRule="auto"/>
              <w:ind w:left="100"/>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hint="eastAsia" w:ascii="宋体" w:hAnsi="宋体" w:eastAsia="仿宋" w:cs="宋体"/>
                <w:color w:val="000000" w:themeColor="text1"/>
                <w:sz w:val="20"/>
                <w:szCs w:val="20"/>
                <w:highlight w:val="none"/>
                <w:lang w:eastAsia="zh-CN"/>
                <w14:textFill>
                  <w14:solidFill>
                    <w14:schemeClr w14:val="tx1"/>
                  </w14:solidFill>
                </w14:textFill>
              </w:rPr>
              <w:t>装修人员</w:t>
            </w:r>
          </w:p>
          <w:p w14:paraId="4AAAABD1">
            <w:pPr>
              <w:pStyle w:val="11"/>
              <w:widowControl/>
              <w:spacing w:line="219" w:lineRule="auto"/>
              <w:ind w:left="100"/>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hint="eastAsia" w:ascii="宋体" w:hAnsi="宋体" w:eastAsia="仿宋" w:cs="宋体"/>
                <w:color w:val="000000" w:themeColor="text1"/>
                <w:sz w:val="20"/>
                <w:szCs w:val="20"/>
                <w:highlight w:val="none"/>
                <w:lang w:eastAsia="zh-CN"/>
                <w14:textFill>
                  <w14:solidFill>
                    <w14:schemeClr w14:val="tx1"/>
                  </w14:solidFill>
                </w14:textFill>
              </w:rPr>
              <w:t>的管理</w:t>
            </w:r>
          </w:p>
        </w:tc>
        <w:tc>
          <w:tcPr>
            <w:tcW w:w="4149" w:type="pct"/>
            <w:vAlign w:val="center"/>
          </w:tcPr>
          <w:p w14:paraId="108E57F5">
            <w:pPr>
              <w:widowControl/>
              <w:spacing w:line="219" w:lineRule="auto"/>
              <w:ind w:left="280" w:hanging="280" w:hangingChars="140"/>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1.对商户装修进行造册登记管理，</w:t>
            </w:r>
          </w:p>
          <w:p w14:paraId="3FD0FC1D">
            <w:pPr>
              <w:widowControl/>
              <w:spacing w:line="219" w:lineRule="auto"/>
              <w:ind w:left="280" w:hanging="280" w:hangingChars="140"/>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2.核对装修人员是否具备相应的资质，</w:t>
            </w:r>
          </w:p>
          <w:p w14:paraId="4F64C185">
            <w:pPr>
              <w:widowControl/>
              <w:spacing w:line="219" w:lineRule="auto"/>
              <w:ind w:left="280" w:hanging="280" w:hangingChars="140"/>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3.核查装修期间是否有违禁行为；</w:t>
            </w:r>
          </w:p>
        </w:tc>
      </w:tr>
      <w:tr w14:paraId="7F75A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exact"/>
        </w:trPr>
        <w:tc>
          <w:tcPr>
            <w:tcW w:w="851" w:type="pct"/>
            <w:vAlign w:val="center"/>
          </w:tcPr>
          <w:p w14:paraId="0DA845A9">
            <w:pPr>
              <w:pStyle w:val="11"/>
              <w:widowControl/>
              <w:spacing w:line="219" w:lineRule="auto"/>
              <w:ind w:left="100"/>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hint="eastAsia" w:ascii="宋体" w:hAnsi="宋体" w:eastAsia="仿宋" w:cs="宋体"/>
                <w:color w:val="000000" w:themeColor="text1"/>
                <w:sz w:val="20"/>
                <w:szCs w:val="20"/>
                <w:highlight w:val="none"/>
                <w:lang w:eastAsia="zh-CN"/>
                <w14:textFill>
                  <w14:solidFill>
                    <w14:schemeClr w14:val="tx1"/>
                  </w14:solidFill>
                </w14:textFill>
              </w:rPr>
              <w:t>资料的保存</w:t>
            </w:r>
          </w:p>
        </w:tc>
        <w:tc>
          <w:tcPr>
            <w:tcW w:w="4149" w:type="pct"/>
            <w:vAlign w:val="center"/>
          </w:tcPr>
          <w:p w14:paraId="0B851BFF">
            <w:pPr>
              <w:widowControl/>
              <w:spacing w:line="219" w:lineRule="auto"/>
              <w:ind w:left="280" w:hanging="280" w:hangingChars="140"/>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1.负责装修工程竣工图纸的审核、保存，</w:t>
            </w:r>
          </w:p>
          <w:p w14:paraId="0C8FB093">
            <w:pPr>
              <w:widowControl/>
              <w:spacing w:line="219" w:lineRule="auto"/>
              <w:ind w:left="280" w:hanging="280" w:hangingChars="140"/>
              <w:rPr>
                <w:rFonts w:ascii="宋体" w:hAnsi="宋体" w:cs="宋体"/>
                <w:color w:val="000000" w:themeColor="text1"/>
                <w:sz w:val="20"/>
                <w:szCs w:val="20"/>
                <w:highlight w:val="none"/>
                <w14:textFill>
                  <w14:solidFill>
                    <w14:schemeClr w14:val="tx1"/>
                  </w14:solidFill>
                </w14:textFill>
              </w:rPr>
            </w:pPr>
            <w:r>
              <w:rPr>
                <w:rFonts w:ascii="宋体" w:hAnsi="宋体" w:cs="宋体"/>
                <w:color w:val="000000" w:themeColor="text1"/>
                <w:sz w:val="20"/>
                <w:szCs w:val="20"/>
                <w:highlight w:val="none"/>
                <w14:textFill>
                  <w14:solidFill>
                    <w14:schemeClr w14:val="tx1"/>
                  </w14:solidFill>
                </w14:textFill>
              </w:rPr>
              <w:t>2</w:t>
            </w:r>
            <w:r>
              <w:rPr>
                <w:rFonts w:hint="eastAsia" w:ascii="宋体" w:hAnsi="宋体" w:cs="宋体"/>
                <w:color w:val="000000" w:themeColor="text1"/>
                <w:sz w:val="20"/>
                <w:szCs w:val="20"/>
                <w:highlight w:val="none"/>
                <w14:textFill>
                  <w14:solidFill>
                    <w14:schemeClr w14:val="tx1"/>
                  </w14:solidFill>
                </w14:textFill>
              </w:rPr>
              <w:t>.负责竣工验收资料的留存。</w:t>
            </w:r>
          </w:p>
        </w:tc>
      </w:tr>
    </w:tbl>
    <w:p w14:paraId="609F261B">
      <w:pPr>
        <w:adjustRightInd w:val="0"/>
        <w:snapToGrid w:val="0"/>
        <w:spacing w:before="156" w:beforeLines="50"/>
        <w:textAlignment w:val="baseline"/>
        <w:rPr>
          <w:rFonts w:ascii="宋体" w:hAnsi="宋体" w:cs="宋体"/>
          <w:kern w:val="2"/>
          <w:sz w:val="24"/>
          <w:szCs w:val="24"/>
          <w:highlight w:val="none"/>
        </w:rPr>
      </w:pPr>
      <w:r>
        <w:rPr>
          <w:rFonts w:hint="eastAsia" w:ascii="宋体" w:hAnsi="宋体" w:cs="宋体"/>
          <w:kern w:val="2"/>
          <w:sz w:val="24"/>
          <w:szCs w:val="24"/>
          <w:highlight w:val="none"/>
        </w:rPr>
        <w:t>（八）前台服务</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5"/>
        <w:gridCol w:w="7247"/>
      </w:tblGrid>
      <w:tr w14:paraId="69CE3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748" w:type="pct"/>
            <w:vAlign w:val="center"/>
          </w:tcPr>
          <w:p w14:paraId="5485CA20">
            <w:pPr>
              <w:pStyle w:val="11"/>
              <w:widowControl/>
              <w:spacing w:line="219" w:lineRule="auto"/>
              <w:ind w:left="100"/>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ascii="宋体" w:hAnsi="宋体" w:eastAsia="仿宋" w:cs="宋体"/>
                <w:color w:val="000000" w:themeColor="text1"/>
                <w:sz w:val="20"/>
                <w:szCs w:val="20"/>
                <w:highlight w:val="none"/>
                <w:lang w:eastAsia="zh-CN"/>
                <w14:textFill>
                  <w14:solidFill>
                    <w14:schemeClr w14:val="tx1"/>
                  </w14:solidFill>
                </w14:textFill>
              </w:rPr>
              <w:t>项     目</w:t>
            </w:r>
          </w:p>
        </w:tc>
        <w:tc>
          <w:tcPr>
            <w:tcW w:w="4252" w:type="pct"/>
            <w:vAlign w:val="center"/>
          </w:tcPr>
          <w:p w14:paraId="2BA8122E">
            <w:pPr>
              <w:pStyle w:val="11"/>
              <w:widowControl/>
              <w:spacing w:line="219" w:lineRule="auto"/>
              <w:ind w:left="100"/>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hint="eastAsia" w:ascii="宋体" w:hAnsi="宋体" w:eastAsia="仿宋" w:cs="宋体"/>
                <w:color w:val="000000" w:themeColor="text1"/>
                <w:sz w:val="20"/>
                <w:szCs w:val="20"/>
                <w:highlight w:val="none"/>
                <w:lang w:eastAsia="zh-CN"/>
                <w14:textFill>
                  <w14:solidFill>
                    <w14:schemeClr w14:val="tx1"/>
                  </w14:solidFill>
                </w14:textFill>
              </w:rPr>
              <w:t>要    求</w:t>
            </w:r>
          </w:p>
        </w:tc>
      </w:tr>
      <w:tr w14:paraId="6867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exact"/>
        </w:trPr>
        <w:tc>
          <w:tcPr>
            <w:tcW w:w="748" w:type="pct"/>
            <w:vAlign w:val="center"/>
          </w:tcPr>
          <w:p w14:paraId="28636AAD">
            <w:pPr>
              <w:pStyle w:val="11"/>
              <w:widowControl/>
              <w:spacing w:line="219" w:lineRule="auto"/>
              <w:ind w:left="100"/>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hint="eastAsia" w:ascii="宋体" w:hAnsi="宋体" w:eastAsia="仿宋" w:cs="宋体"/>
                <w:color w:val="000000" w:themeColor="text1"/>
                <w:sz w:val="20"/>
                <w:szCs w:val="20"/>
                <w:highlight w:val="none"/>
                <w:lang w:eastAsia="zh-CN"/>
                <w14:textFill>
                  <w14:solidFill>
                    <w14:schemeClr w14:val="tx1"/>
                  </w14:solidFill>
                </w14:textFill>
              </w:rPr>
              <w:t>顾客服务</w:t>
            </w:r>
          </w:p>
        </w:tc>
        <w:tc>
          <w:tcPr>
            <w:tcW w:w="4252" w:type="pct"/>
            <w:vAlign w:val="center"/>
          </w:tcPr>
          <w:p w14:paraId="090025EC">
            <w:pPr>
              <w:widowControl/>
              <w:spacing w:line="219" w:lineRule="auto"/>
              <w:ind w:left="100"/>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1.提供顾客的咨询服务，</w:t>
            </w:r>
          </w:p>
          <w:p w14:paraId="65BB959D">
            <w:pPr>
              <w:widowControl/>
              <w:spacing w:line="219" w:lineRule="auto"/>
              <w:ind w:left="100"/>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2.接受顾客的投诉服务并及时联系商户或业主进行处理；</w:t>
            </w:r>
          </w:p>
        </w:tc>
      </w:tr>
      <w:tr w14:paraId="28FB1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exact"/>
        </w:trPr>
        <w:tc>
          <w:tcPr>
            <w:tcW w:w="748" w:type="pct"/>
            <w:vAlign w:val="center"/>
          </w:tcPr>
          <w:p w14:paraId="6AB6C8F4">
            <w:pPr>
              <w:pStyle w:val="11"/>
              <w:widowControl/>
              <w:spacing w:line="219" w:lineRule="auto"/>
              <w:ind w:left="100"/>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hint="eastAsia" w:ascii="宋体" w:hAnsi="宋体" w:eastAsia="仿宋" w:cs="宋体"/>
                <w:color w:val="000000" w:themeColor="text1"/>
                <w:sz w:val="20"/>
                <w:szCs w:val="20"/>
                <w:highlight w:val="none"/>
                <w:lang w:eastAsia="zh-CN"/>
                <w14:textFill>
                  <w14:solidFill>
                    <w14:schemeClr w14:val="tx1"/>
                  </w14:solidFill>
                </w14:textFill>
              </w:rPr>
              <w:t>商户服务</w:t>
            </w:r>
          </w:p>
        </w:tc>
        <w:tc>
          <w:tcPr>
            <w:tcW w:w="4252" w:type="pct"/>
            <w:vAlign w:val="center"/>
          </w:tcPr>
          <w:p w14:paraId="01481B2D">
            <w:pPr>
              <w:widowControl/>
              <w:spacing w:line="219" w:lineRule="auto"/>
              <w:ind w:left="100"/>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1.管理商户能源的日常使用，断水断电时及时服务，</w:t>
            </w:r>
          </w:p>
          <w:p w14:paraId="46473B5B">
            <w:pPr>
              <w:widowControl/>
              <w:spacing w:line="219" w:lineRule="auto"/>
              <w:ind w:left="100"/>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2.管理商户能源费用的预缴，确保金额应收尽收；</w:t>
            </w:r>
          </w:p>
          <w:p w14:paraId="35BCD9C4">
            <w:pPr>
              <w:widowControl/>
              <w:spacing w:line="219" w:lineRule="auto"/>
              <w:ind w:left="100"/>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3.受理商户区域内设备的报修，检查情况并监督维修过程，及时反馈结果；</w:t>
            </w:r>
          </w:p>
        </w:tc>
      </w:tr>
      <w:tr w14:paraId="2CF50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exact"/>
        </w:trPr>
        <w:tc>
          <w:tcPr>
            <w:tcW w:w="748" w:type="pct"/>
            <w:vAlign w:val="center"/>
          </w:tcPr>
          <w:p w14:paraId="43144522">
            <w:pPr>
              <w:pStyle w:val="11"/>
              <w:widowControl/>
              <w:spacing w:line="219" w:lineRule="auto"/>
              <w:ind w:left="100"/>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hint="eastAsia" w:ascii="宋体" w:hAnsi="宋体" w:eastAsia="仿宋" w:cs="宋体"/>
                <w:color w:val="000000" w:themeColor="text1"/>
                <w:sz w:val="20"/>
                <w:szCs w:val="20"/>
                <w:highlight w:val="none"/>
                <w:lang w:eastAsia="zh-CN"/>
                <w14:textFill>
                  <w14:solidFill>
                    <w14:schemeClr w14:val="tx1"/>
                  </w14:solidFill>
                </w14:textFill>
              </w:rPr>
              <w:t>外部接待</w:t>
            </w:r>
          </w:p>
        </w:tc>
        <w:tc>
          <w:tcPr>
            <w:tcW w:w="4252" w:type="pct"/>
            <w:vAlign w:val="center"/>
          </w:tcPr>
          <w:p w14:paraId="7BACFF4A">
            <w:pPr>
              <w:widowControl/>
              <w:spacing w:line="219" w:lineRule="auto"/>
              <w:ind w:left="100"/>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1.对接社区与街道的各类现场管理，向商户传达各类管理要求，</w:t>
            </w:r>
          </w:p>
          <w:p w14:paraId="36CAC733">
            <w:pPr>
              <w:widowControl/>
              <w:spacing w:line="219" w:lineRule="auto"/>
              <w:ind w:left="100"/>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2.对接市场监督局等社会机构的现场检查及指导工作。</w:t>
            </w:r>
          </w:p>
          <w:p w14:paraId="1C48B92F">
            <w:pPr>
              <w:widowControl/>
              <w:spacing w:line="219" w:lineRule="auto"/>
              <w:ind w:left="100"/>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3.对接其他上级单位或政府单位的现场检查及指导工作。</w:t>
            </w:r>
          </w:p>
        </w:tc>
      </w:tr>
    </w:tbl>
    <w:p w14:paraId="5900EEA3">
      <w:pPr>
        <w:adjustRightInd w:val="0"/>
        <w:snapToGrid w:val="0"/>
        <w:spacing w:before="156" w:beforeLines="50"/>
        <w:textAlignment w:val="baseline"/>
        <w:rPr>
          <w:rFonts w:ascii="宋体" w:hAnsi="宋体" w:cs="宋体"/>
          <w:kern w:val="2"/>
          <w:sz w:val="24"/>
          <w:szCs w:val="24"/>
          <w:highlight w:val="none"/>
        </w:rPr>
      </w:pPr>
      <w:r>
        <w:rPr>
          <w:rFonts w:hint="eastAsia" w:ascii="宋体" w:hAnsi="宋体" w:cs="宋体"/>
          <w:kern w:val="2"/>
          <w:sz w:val="24"/>
          <w:szCs w:val="24"/>
          <w:highlight w:val="none"/>
        </w:rPr>
        <w:t>（九）档案资料管理</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4"/>
        <w:gridCol w:w="7128"/>
      </w:tblGrid>
      <w:tr w14:paraId="3EDEF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18" w:type="pct"/>
            <w:vAlign w:val="center"/>
          </w:tcPr>
          <w:p w14:paraId="13CFCEBD">
            <w:pPr>
              <w:pStyle w:val="11"/>
              <w:widowControl/>
              <w:spacing w:line="219" w:lineRule="auto"/>
              <w:ind w:left="100"/>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hint="eastAsia" w:ascii="宋体" w:hAnsi="宋体" w:eastAsia="仿宋" w:cs="宋体"/>
                <w:color w:val="000000" w:themeColor="text1"/>
                <w:sz w:val="20"/>
                <w:szCs w:val="20"/>
                <w:highlight w:val="none"/>
                <w:lang w:eastAsia="zh-CN"/>
                <w14:textFill>
                  <w14:solidFill>
                    <w14:schemeClr w14:val="tx1"/>
                  </w14:solidFill>
                </w14:textFill>
              </w:rPr>
              <w:t>项     目</w:t>
            </w:r>
          </w:p>
        </w:tc>
        <w:tc>
          <w:tcPr>
            <w:tcW w:w="4182" w:type="pct"/>
            <w:vAlign w:val="center"/>
          </w:tcPr>
          <w:p w14:paraId="263AF53D">
            <w:pPr>
              <w:pStyle w:val="11"/>
              <w:widowControl/>
              <w:spacing w:line="219" w:lineRule="auto"/>
              <w:ind w:left="100"/>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hint="eastAsia" w:ascii="宋体" w:hAnsi="宋体" w:eastAsia="仿宋" w:cs="宋体"/>
                <w:color w:val="000000" w:themeColor="text1"/>
                <w:sz w:val="20"/>
                <w:szCs w:val="20"/>
                <w:highlight w:val="none"/>
                <w:lang w:eastAsia="zh-CN"/>
                <w14:textFill>
                  <w14:solidFill>
                    <w14:schemeClr w14:val="tx1"/>
                  </w14:solidFill>
                </w14:textFill>
              </w:rPr>
              <w:t>要    求</w:t>
            </w:r>
          </w:p>
        </w:tc>
      </w:tr>
      <w:tr w14:paraId="0F4DF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exact"/>
        </w:trPr>
        <w:tc>
          <w:tcPr>
            <w:tcW w:w="818" w:type="pct"/>
            <w:vAlign w:val="center"/>
          </w:tcPr>
          <w:p w14:paraId="09D2CCBB">
            <w:pPr>
              <w:pStyle w:val="11"/>
              <w:widowControl/>
              <w:spacing w:line="219" w:lineRule="auto"/>
              <w:ind w:left="100"/>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hint="eastAsia" w:ascii="宋体" w:hAnsi="宋体" w:eastAsia="仿宋" w:cs="宋体"/>
                <w:color w:val="000000" w:themeColor="text1"/>
                <w:sz w:val="20"/>
                <w:szCs w:val="20"/>
                <w:highlight w:val="none"/>
                <w:lang w:eastAsia="zh-CN"/>
                <w14:textFill>
                  <w14:solidFill>
                    <w14:schemeClr w14:val="tx1"/>
                  </w14:solidFill>
                </w14:textFill>
              </w:rPr>
              <w:t>物业管理档案</w:t>
            </w:r>
          </w:p>
        </w:tc>
        <w:tc>
          <w:tcPr>
            <w:tcW w:w="4182" w:type="pct"/>
            <w:vAlign w:val="center"/>
          </w:tcPr>
          <w:p w14:paraId="7704D435">
            <w:pPr>
              <w:pStyle w:val="11"/>
              <w:widowControl/>
              <w:spacing w:line="219" w:lineRule="auto"/>
              <w:ind w:left="100"/>
              <w:jc w:val="left"/>
              <w:rPr>
                <w:rFonts w:ascii="宋体" w:hAnsi="宋体" w:eastAsia="仿宋" w:cs="宋体"/>
                <w:color w:val="000000" w:themeColor="text1"/>
                <w:sz w:val="20"/>
                <w:szCs w:val="20"/>
                <w:highlight w:val="none"/>
                <w:lang w:eastAsia="zh-CN"/>
                <w14:textFill>
                  <w14:solidFill>
                    <w14:schemeClr w14:val="tx1"/>
                  </w14:solidFill>
                </w14:textFill>
              </w:rPr>
            </w:pPr>
            <w:r>
              <w:rPr>
                <w:rFonts w:hint="eastAsia" w:ascii="宋体" w:hAnsi="宋体" w:eastAsia="仿宋" w:cs="宋体"/>
                <w:color w:val="000000" w:themeColor="text1"/>
                <w:sz w:val="20"/>
                <w:szCs w:val="20"/>
                <w:highlight w:val="none"/>
                <w:lang w:eastAsia="zh-CN"/>
                <w14:textFill>
                  <w14:solidFill>
                    <w14:schemeClr w14:val="tx1"/>
                  </w14:solidFill>
                </w14:textFill>
              </w:rPr>
              <w:t>1.保存各类管理资料的使用和更新，</w:t>
            </w:r>
          </w:p>
        </w:tc>
      </w:tr>
      <w:tr w14:paraId="69432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96" w:hRule="exact"/>
        </w:trPr>
        <w:tc>
          <w:tcPr>
            <w:tcW w:w="818" w:type="pct"/>
            <w:vAlign w:val="center"/>
          </w:tcPr>
          <w:p w14:paraId="3C1F0337">
            <w:pPr>
              <w:pStyle w:val="11"/>
              <w:widowControl/>
              <w:spacing w:line="219" w:lineRule="auto"/>
              <w:ind w:left="100"/>
              <w:jc w:val="center"/>
              <w:rPr>
                <w:rFonts w:ascii="宋体" w:hAnsi="宋体" w:eastAsia="仿宋" w:cs="宋体"/>
                <w:color w:val="000000" w:themeColor="text1"/>
                <w:sz w:val="20"/>
                <w:szCs w:val="20"/>
                <w:highlight w:val="none"/>
                <w:lang w:eastAsia="zh-CN"/>
                <w14:textFill>
                  <w14:solidFill>
                    <w14:schemeClr w14:val="tx1"/>
                  </w14:solidFill>
                </w14:textFill>
              </w:rPr>
            </w:pPr>
            <w:r>
              <w:rPr>
                <w:rFonts w:hint="eastAsia" w:ascii="宋体" w:hAnsi="宋体" w:eastAsia="仿宋" w:cs="宋体"/>
                <w:color w:val="000000" w:themeColor="text1"/>
                <w:sz w:val="20"/>
                <w:szCs w:val="20"/>
                <w:highlight w:val="none"/>
                <w:lang w:eastAsia="zh-CN"/>
                <w14:textFill>
                  <w14:solidFill>
                    <w14:schemeClr w14:val="tx1"/>
                  </w14:solidFill>
                </w14:textFill>
              </w:rPr>
              <w:t>资料移交</w:t>
            </w:r>
          </w:p>
        </w:tc>
        <w:tc>
          <w:tcPr>
            <w:tcW w:w="4182" w:type="pct"/>
            <w:vAlign w:val="center"/>
          </w:tcPr>
          <w:p w14:paraId="0CCB2B27">
            <w:pPr>
              <w:pStyle w:val="11"/>
              <w:widowControl/>
              <w:spacing w:line="219" w:lineRule="auto"/>
              <w:ind w:left="100"/>
              <w:jc w:val="left"/>
              <w:rPr>
                <w:rFonts w:ascii="宋体" w:hAnsi="宋体" w:eastAsia="仿宋" w:cs="宋体"/>
                <w:color w:val="000000" w:themeColor="text1"/>
                <w:sz w:val="20"/>
                <w:szCs w:val="20"/>
                <w:highlight w:val="none"/>
                <w:lang w:eastAsia="zh-CN"/>
                <w14:textFill>
                  <w14:solidFill>
                    <w14:schemeClr w14:val="tx1"/>
                  </w14:solidFill>
                </w14:textFill>
              </w:rPr>
            </w:pPr>
            <w:r>
              <w:rPr>
                <w:rFonts w:hint="eastAsia" w:ascii="宋体" w:hAnsi="宋体" w:eastAsia="仿宋" w:cs="宋体"/>
                <w:color w:val="000000" w:themeColor="text1"/>
                <w:sz w:val="20"/>
                <w:szCs w:val="20"/>
                <w:highlight w:val="none"/>
                <w:lang w:eastAsia="zh-CN"/>
                <w14:textFill>
                  <w14:solidFill>
                    <w14:schemeClr w14:val="tx1"/>
                  </w14:solidFill>
                </w14:textFill>
              </w:rPr>
              <w:t>1.合同期满后，若合同不再续签，乙方应将物业管理的有关资料档案无条件移交给业主。</w:t>
            </w:r>
          </w:p>
        </w:tc>
      </w:tr>
    </w:tbl>
    <w:p w14:paraId="5021151D">
      <w:pPr>
        <w:spacing w:before="156" w:beforeLines="50"/>
        <w:rPr>
          <w:rFonts w:ascii="宋体" w:hAnsi="宋体" w:cs="宋体"/>
          <w:kern w:val="2"/>
          <w:sz w:val="24"/>
          <w:szCs w:val="24"/>
          <w:highlight w:val="none"/>
        </w:rPr>
      </w:pPr>
    </w:p>
    <w:p w14:paraId="2033DBC5">
      <w:pPr>
        <w:spacing w:line="440" w:lineRule="exact"/>
        <w:ind w:left="448" w:hanging="448" w:hangingChars="140"/>
        <w:rPr>
          <w:highlight w:val="none"/>
        </w:rPr>
      </w:pPr>
    </w:p>
    <w:p w14:paraId="0082CD11">
      <w:pPr>
        <w:rPr>
          <w:highlight w:val="none"/>
        </w:rPr>
      </w:pPr>
    </w:p>
    <w:p w14:paraId="5D91BE0A">
      <w:pPr>
        <w:adjustRightInd w:val="0"/>
        <w:snapToGrid w:val="0"/>
        <w:ind w:left="336" w:hanging="336" w:hangingChars="140"/>
        <w:textAlignment w:val="baseline"/>
        <w:rPr>
          <w:rFonts w:ascii="宋体" w:hAnsi="宋体" w:eastAsia="宋体" w:cs="宋体"/>
          <w:kern w:val="2"/>
          <w:sz w:val="24"/>
          <w:szCs w:val="24"/>
          <w:highlight w:val="none"/>
        </w:rPr>
      </w:pPr>
    </w:p>
    <w:p w14:paraId="2C1B67E5">
      <w:pPr>
        <w:adjustRightInd w:val="0"/>
        <w:snapToGrid w:val="0"/>
        <w:ind w:left="336" w:hanging="336" w:hangingChars="140"/>
        <w:textAlignment w:val="baseline"/>
        <w:rPr>
          <w:rFonts w:ascii="宋体" w:hAnsi="宋体" w:eastAsia="宋体" w:cs="宋体"/>
          <w:kern w:val="2"/>
          <w:sz w:val="24"/>
          <w:szCs w:val="24"/>
          <w:highlight w:val="none"/>
        </w:rPr>
      </w:pPr>
    </w:p>
    <w:p w14:paraId="2E082646">
      <w:pPr>
        <w:adjustRightInd w:val="0"/>
        <w:snapToGrid w:val="0"/>
        <w:ind w:left="336" w:hanging="336" w:hangingChars="140"/>
        <w:textAlignment w:val="baseline"/>
        <w:rPr>
          <w:rFonts w:ascii="宋体" w:hAnsi="宋体" w:eastAsia="宋体" w:cs="宋体"/>
          <w:kern w:val="2"/>
          <w:sz w:val="24"/>
          <w:szCs w:val="24"/>
          <w:highlight w:val="none"/>
        </w:rPr>
      </w:pPr>
    </w:p>
    <w:p w14:paraId="69D8F1CA">
      <w:pPr>
        <w:adjustRightInd w:val="0"/>
        <w:snapToGrid w:val="0"/>
        <w:ind w:left="336" w:hanging="336" w:hangingChars="140"/>
        <w:textAlignment w:val="baseline"/>
        <w:rPr>
          <w:rFonts w:ascii="宋体" w:hAnsi="宋体" w:eastAsia="宋体" w:cs="宋体"/>
          <w:kern w:val="2"/>
          <w:sz w:val="24"/>
          <w:szCs w:val="24"/>
          <w:highlight w:val="none"/>
        </w:rPr>
      </w:pPr>
    </w:p>
    <w:p w14:paraId="7A2D983B">
      <w:pPr>
        <w:adjustRightInd w:val="0"/>
        <w:snapToGrid w:val="0"/>
        <w:ind w:left="336" w:hanging="336" w:hangingChars="140"/>
        <w:textAlignment w:val="baseline"/>
        <w:rPr>
          <w:rFonts w:ascii="宋体" w:hAnsi="宋体" w:eastAsia="宋体" w:cs="宋体"/>
          <w:kern w:val="2"/>
          <w:sz w:val="24"/>
          <w:szCs w:val="24"/>
          <w:highlight w:val="none"/>
        </w:rPr>
      </w:pPr>
    </w:p>
    <w:p w14:paraId="65955BBA">
      <w:pPr>
        <w:adjustRightInd w:val="0"/>
        <w:snapToGrid w:val="0"/>
        <w:ind w:left="336" w:hanging="336" w:hangingChars="140"/>
        <w:textAlignment w:val="baseline"/>
        <w:rPr>
          <w:rFonts w:ascii="宋体" w:hAnsi="宋体" w:eastAsia="宋体" w:cs="宋体"/>
          <w:kern w:val="2"/>
          <w:sz w:val="24"/>
          <w:szCs w:val="24"/>
          <w:highlight w:val="none"/>
        </w:rPr>
      </w:pPr>
    </w:p>
    <w:p w14:paraId="7385CB23">
      <w:pPr>
        <w:adjustRightInd w:val="0"/>
        <w:snapToGrid w:val="0"/>
        <w:ind w:left="336" w:hanging="336" w:hangingChars="140"/>
        <w:textAlignment w:val="baseline"/>
        <w:rPr>
          <w:rFonts w:ascii="宋体" w:hAnsi="宋体" w:eastAsia="宋体" w:cs="宋体"/>
          <w:kern w:val="2"/>
          <w:sz w:val="24"/>
          <w:szCs w:val="24"/>
          <w:highlight w:val="none"/>
        </w:rPr>
      </w:pPr>
    </w:p>
    <w:p w14:paraId="16767378">
      <w:pPr>
        <w:adjustRightInd w:val="0"/>
        <w:snapToGrid w:val="0"/>
        <w:ind w:left="336" w:hanging="336" w:hangingChars="140"/>
        <w:textAlignment w:val="baseline"/>
        <w:rPr>
          <w:rFonts w:ascii="宋体" w:hAnsi="宋体" w:eastAsia="宋体" w:cs="宋体"/>
          <w:kern w:val="2"/>
          <w:sz w:val="24"/>
          <w:szCs w:val="24"/>
          <w:highlight w:val="none"/>
        </w:rPr>
      </w:pPr>
    </w:p>
    <w:p w14:paraId="6763D335">
      <w:pPr>
        <w:adjustRightInd w:val="0"/>
        <w:snapToGrid w:val="0"/>
        <w:ind w:left="336" w:hanging="336" w:hangingChars="140"/>
        <w:textAlignment w:val="baseline"/>
        <w:rPr>
          <w:rFonts w:ascii="宋体" w:hAnsi="宋体" w:eastAsia="宋体" w:cs="宋体"/>
          <w:kern w:val="2"/>
          <w:sz w:val="24"/>
          <w:szCs w:val="24"/>
          <w:highlight w:val="none"/>
        </w:rPr>
      </w:pPr>
    </w:p>
    <w:p w14:paraId="57EFF179">
      <w:pPr>
        <w:adjustRightInd w:val="0"/>
        <w:snapToGrid w:val="0"/>
        <w:ind w:left="336" w:hanging="336" w:hangingChars="140"/>
        <w:textAlignment w:val="baseline"/>
        <w:rPr>
          <w:rFonts w:ascii="宋体" w:hAnsi="宋体" w:eastAsia="宋体" w:cs="宋体"/>
          <w:kern w:val="2"/>
          <w:sz w:val="24"/>
          <w:szCs w:val="24"/>
          <w:highlight w:val="none"/>
        </w:rPr>
      </w:pPr>
    </w:p>
    <w:p w14:paraId="0DE8CCD2">
      <w:pPr>
        <w:adjustRightInd w:val="0"/>
        <w:snapToGrid w:val="0"/>
        <w:ind w:left="336" w:hanging="336" w:hangingChars="140"/>
        <w:textAlignment w:val="baseline"/>
        <w:rPr>
          <w:rFonts w:ascii="宋体" w:hAnsi="宋体" w:eastAsia="宋体" w:cs="宋体"/>
          <w:kern w:val="2"/>
          <w:sz w:val="24"/>
          <w:szCs w:val="24"/>
          <w:highlight w:val="none"/>
        </w:rPr>
      </w:pPr>
    </w:p>
    <w:p w14:paraId="061BC5F7">
      <w:pPr>
        <w:adjustRightInd w:val="0"/>
        <w:snapToGrid w:val="0"/>
        <w:ind w:left="336" w:hanging="336" w:hangingChars="140"/>
        <w:textAlignment w:val="baseline"/>
        <w:rPr>
          <w:rFonts w:ascii="宋体" w:hAnsi="宋体" w:eastAsia="宋体" w:cs="宋体"/>
          <w:kern w:val="2"/>
          <w:sz w:val="24"/>
          <w:szCs w:val="24"/>
          <w:highlight w:val="none"/>
        </w:rPr>
      </w:pPr>
    </w:p>
    <w:p w14:paraId="26A9529D">
      <w:pPr>
        <w:adjustRightInd w:val="0"/>
        <w:snapToGrid w:val="0"/>
        <w:ind w:left="336" w:hanging="336" w:hangingChars="140"/>
        <w:textAlignment w:val="baseline"/>
        <w:rPr>
          <w:rFonts w:ascii="宋体" w:hAnsi="宋体" w:eastAsia="宋体" w:cs="宋体"/>
          <w:kern w:val="2"/>
          <w:sz w:val="24"/>
          <w:szCs w:val="24"/>
          <w:highlight w:val="none"/>
        </w:rPr>
      </w:pPr>
    </w:p>
    <w:p w14:paraId="66F5B27F">
      <w:pPr>
        <w:adjustRightInd w:val="0"/>
        <w:snapToGrid w:val="0"/>
        <w:ind w:left="336" w:hanging="336" w:hangingChars="140"/>
        <w:textAlignment w:val="baseline"/>
        <w:rPr>
          <w:rFonts w:ascii="宋体" w:hAnsi="宋体" w:eastAsia="宋体" w:cs="宋体"/>
          <w:kern w:val="2"/>
          <w:sz w:val="24"/>
          <w:szCs w:val="24"/>
          <w:highlight w:val="none"/>
        </w:rPr>
      </w:pPr>
    </w:p>
    <w:p w14:paraId="3B6B7CE3">
      <w:pPr>
        <w:adjustRightInd w:val="0"/>
        <w:snapToGrid w:val="0"/>
        <w:ind w:left="336" w:hanging="336" w:hangingChars="140"/>
        <w:textAlignment w:val="baseline"/>
        <w:rPr>
          <w:rFonts w:ascii="宋体" w:hAnsi="宋体" w:eastAsia="宋体" w:cs="宋体"/>
          <w:kern w:val="2"/>
          <w:sz w:val="24"/>
          <w:szCs w:val="24"/>
          <w:highlight w:val="none"/>
        </w:rPr>
      </w:pPr>
    </w:p>
    <w:p w14:paraId="770BF81B">
      <w:pPr>
        <w:adjustRightInd w:val="0"/>
        <w:snapToGrid w:val="0"/>
        <w:ind w:left="336" w:hanging="336" w:hangingChars="140"/>
        <w:textAlignment w:val="baseline"/>
        <w:rPr>
          <w:rFonts w:ascii="宋体" w:hAnsi="宋体" w:eastAsia="宋体" w:cs="宋体"/>
          <w:kern w:val="2"/>
          <w:sz w:val="24"/>
          <w:szCs w:val="24"/>
          <w:highlight w:val="none"/>
        </w:rPr>
      </w:pPr>
    </w:p>
    <w:p w14:paraId="4F1F91DA">
      <w:pPr>
        <w:adjustRightInd w:val="0"/>
        <w:snapToGrid w:val="0"/>
        <w:ind w:left="336" w:hanging="336" w:hangingChars="140"/>
        <w:textAlignment w:val="baseline"/>
        <w:rPr>
          <w:rFonts w:ascii="宋体" w:hAnsi="宋体" w:eastAsia="宋体" w:cs="宋体"/>
          <w:kern w:val="2"/>
          <w:sz w:val="24"/>
          <w:szCs w:val="24"/>
          <w:highlight w:val="none"/>
        </w:rPr>
      </w:pPr>
    </w:p>
    <w:p w14:paraId="134990A4">
      <w:pPr>
        <w:adjustRightInd w:val="0"/>
        <w:snapToGrid w:val="0"/>
        <w:ind w:left="336" w:hanging="336" w:hangingChars="140"/>
        <w:textAlignment w:val="baseline"/>
        <w:rPr>
          <w:rFonts w:ascii="宋体" w:hAnsi="宋体" w:eastAsia="宋体" w:cs="宋体"/>
          <w:kern w:val="2"/>
          <w:sz w:val="24"/>
          <w:szCs w:val="24"/>
          <w:highlight w:val="none"/>
        </w:rPr>
      </w:pPr>
    </w:p>
    <w:p w14:paraId="67382319">
      <w:pPr>
        <w:adjustRightInd w:val="0"/>
        <w:snapToGrid w:val="0"/>
        <w:ind w:left="336" w:hanging="336" w:hangingChars="140"/>
        <w:textAlignment w:val="baseline"/>
        <w:rPr>
          <w:rFonts w:ascii="宋体" w:hAnsi="宋体" w:eastAsia="宋体" w:cs="宋体"/>
          <w:kern w:val="2"/>
          <w:sz w:val="24"/>
          <w:szCs w:val="24"/>
          <w:highlight w:val="none"/>
        </w:rPr>
      </w:pPr>
    </w:p>
    <w:p w14:paraId="01D71538">
      <w:pPr>
        <w:adjustRightInd w:val="0"/>
        <w:snapToGrid w:val="0"/>
        <w:ind w:left="336" w:hanging="336" w:hangingChars="140"/>
        <w:textAlignment w:val="baseline"/>
        <w:rPr>
          <w:rFonts w:ascii="宋体" w:hAnsi="宋体" w:eastAsia="宋体" w:cs="宋体"/>
          <w:kern w:val="2"/>
          <w:sz w:val="24"/>
          <w:szCs w:val="24"/>
          <w:highlight w:val="none"/>
        </w:rPr>
      </w:pPr>
    </w:p>
    <w:p w14:paraId="7ACE1FE4">
      <w:pPr>
        <w:adjustRightInd w:val="0"/>
        <w:snapToGrid w:val="0"/>
        <w:ind w:left="336" w:hanging="336" w:hangingChars="140"/>
        <w:textAlignment w:val="baseline"/>
        <w:rPr>
          <w:rFonts w:ascii="宋体" w:hAnsi="宋体" w:eastAsia="宋体" w:cs="宋体"/>
          <w:kern w:val="2"/>
          <w:sz w:val="24"/>
          <w:szCs w:val="24"/>
          <w:highlight w:val="none"/>
        </w:rPr>
      </w:pPr>
    </w:p>
    <w:p w14:paraId="6E5BA848">
      <w:pPr>
        <w:pStyle w:val="14"/>
        <w:spacing w:before="0" w:after="0"/>
        <w:rPr>
          <w:highlight w:val="none"/>
        </w:rPr>
      </w:pPr>
      <w:r>
        <w:rPr>
          <w:rFonts w:hint="eastAsia"/>
          <w:highlight w:val="none"/>
        </w:rPr>
        <w:t>第六章　响应文件格式</w:t>
      </w:r>
    </w:p>
    <w:p w14:paraId="6282E9DE">
      <w:pPr>
        <w:spacing w:line="360" w:lineRule="auto"/>
        <w:rPr>
          <w:rFonts w:ascii="黑体" w:hAnsi="黑体" w:eastAsia="黑体" w:cs="黑体"/>
          <w:highlight w:val="none"/>
        </w:rPr>
      </w:pPr>
      <w:r>
        <w:rPr>
          <w:rFonts w:hint="eastAsia" w:ascii="黑体" w:hAnsi="黑体" w:eastAsia="黑体" w:cs="黑体"/>
          <w:highlight w:val="none"/>
        </w:rPr>
        <w:br w:type="page"/>
      </w:r>
    </w:p>
    <w:p w14:paraId="46F09782">
      <w:pPr>
        <w:spacing w:line="360" w:lineRule="auto"/>
        <w:jc w:val="center"/>
        <w:rPr>
          <w:rFonts w:ascii="黑体" w:hAnsi="黑体" w:eastAsia="黑体" w:cs="黑体"/>
          <w:highlight w:val="none"/>
        </w:rPr>
      </w:pPr>
    </w:p>
    <w:p w14:paraId="236041F6">
      <w:pPr>
        <w:spacing w:line="360" w:lineRule="auto"/>
        <w:jc w:val="center"/>
        <w:rPr>
          <w:rFonts w:ascii="黑体" w:hAnsi="黑体" w:eastAsia="黑体" w:cs="黑体"/>
          <w:highlight w:val="none"/>
        </w:rPr>
      </w:pPr>
    </w:p>
    <w:p w14:paraId="14121F2A">
      <w:pPr>
        <w:spacing w:line="360" w:lineRule="auto"/>
        <w:jc w:val="center"/>
        <w:rPr>
          <w:highlight w:val="none"/>
        </w:rPr>
      </w:pPr>
    </w:p>
    <w:p w14:paraId="595D95F9">
      <w:pPr>
        <w:spacing w:line="360" w:lineRule="auto"/>
        <w:jc w:val="center"/>
        <w:rPr>
          <w:highlight w:val="none"/>
        </w:rPr>
      </w:pPr>
      <w:r>
        <w:rPr>
          <w:rFonts w:hint="eastAsia"/>
          <w:highlight w:val="none"/>
          <w:u w:val="single"/>
        </w:rPr>
        <w:t>　</w:t>
      </w:r>
      <w:r>
        <w:rPr>
          <w:rFonts w:hint="eastAsia" w:ascii="仿宋" w:hAnsi="仿宋"/>
          <w:spacing w:val="-14"/>
          <w:highlight w:val="none"/>
          <w:u w:val="single"/>
        </w:rPr>
        <w:t>中机国际中设广场裙楼物业管理服务采购</w:t>
      </w:r>
      <w:r>
        <w:rPr>
          <w:rFonts w:hint="eastAsia"/>
          <w:highlight w:val="none"/>
          <w:u w:val="single"/>
        </w:rPr>
        <w:t>　</w:t>
      </w:r>
    </w:p>
    <w:p w14:paraId="3D16A87B">
      <w:pPr>
        <w:spacing w:line="360" w:lineRule="auto"/>
        <w:ind w:firstLine="640"/>
        <w:jc w:val="center"/>
        <w:rPr>
          <w:highlight w:val="none"/>
        </w:rPr>
      </w:pPr>
    </w:p>
    <w:p w14:paraId="4B36C9AB">
      <w:pPr>
        <w:spacing w:line="360" w:lineRule="auto"/>
        <w:ind w:firstLine="640"/>
        <w:jc w:val="center"/>
        <w:rPr>
          <w:highlight w:val="none"/>
        </w:rPr>
      </w:pPr>
    </w:p>
    <w:p w14:paraId="657834D1">
      <w:pPr>
        <w:spacing w:line="360" w:lineRule="auto"/>
        <w:ind w:firstLine="640"/>
        <w:jc w:val="center"/>
        <w:rPr>
          <w:highlight w:val="none"/>
        </w:rPr>
      </w:pPr>
    </w:p>
    <w:p w14:paraId="1CBE513E">
      <w:pPr>
        <w:spacing w:line="360" w:lineRule="auto"/>
        <w:ind w:firstLine="640"/>
        <w:jc w:val="center"/>
        <w:rPr>
          <w:highlight w:val="none"/>
        </w:rPr>
      </w:pPr>
    </w:p>
    <w:p w14:paraId="5E030B83">
      <w:pPr>
        <w:spacing w:line="360" w:lineRule="auto"/>
        <w:ind w:firstLine="640"/>
        <w:jc w:val="center"/>
        <w:rPr>
          <w:highlight w:val="none"/>
        </w:rPr>
      </w:pPr>
    </w:p>
    <w:p w14:paraId="4D230A99">
      <w:pPr>
        <w:spacing w:line="360" w:lineRule="auto"/>
        <w:ind w:firstLine="640"/>
        <w:jc w:val="center"/>
        <w:rPr>
          <w:highlight w:val="none"/>
        </w:rPr>
      </w:pPr>
    </w:p>
    <w:p w14:paraId="766764F9">
      <w:pPr>
        <w:spacing w:line="360" w:lineRule="auto"/>
        <w:jc w:val="center"/>
        <w:rPr>
          <w:sz w:val="52"/>
          <w:szCs w:val="52"/>
          <w:highlight w:val="none"/>
        </w:rPr>
      </w:pPr>
      <w:r>
        <w:rPr>
          <w:rFonts w:hint="eastAsia"/>
          <w:sz w:val="52"/>
          <w:szCs w:val="52"/>
          <w:highlight w:val="none"/>
        </w:rPr>
        <w:t>响　应　文　件</w:t>
      </w:r>
    </w:p>
    <w:p w14:paraId="4BC141FE">
      <w:pPr>
        <w:spacing w:line="360" w:lineRule="auto"/>
        <w:ind w:firstLine="640"/>
        <w:jc w:val="center"/>
        <w:rPr>
          <w:highlight w:val="none"/>
        </w:rPr>
      </w:pPr>
    </w:p>
    <w:p w14:paraId="02ADF456">
      <w:pPr>
        <w:spacing w:line="360" w:lineRule="auto"/>
        <w:ind w:firstLine="640"/>
        <w:jc w:val="center"/>
        <w:rPr>
          <w:highlight w:val="none"/>
        </w:rPr>
      </w:pPr>
    </w:p>
    <w:p w14:paraId="5667DEC4">
      <w:pPr>
        <w:spacing w:line="360" w:lineRule="auto"/>
        <w:ind w:firstLine="640"/>
        <w:jc w:val="center"/>
        <w:rPr>
          <w:highlight w:val="none"/>
        </w:rPr>
      </w:pPr>
    </w:p>
    <w:p w14:paraId="7B4ECA4D">
      <w:pPr>
        <w:spacing w:line="360" w:lineRule="auto"/>
        <w:ind w:firstLine="640"/>
        <w:jc w:val="center"/>
        <w:rPr>
          <w:highlight w:val="none"/>
        </w:rPr>
      </w:pPr>
    </w:p>
    <w:p w14:paraId="2BFC4A3B">
      <w:pPr>
        <w:spacing w:line="360" w:lineRule="auto"/>
        <w:ind w:firstLine="640"/>
        <w:jc w:val="center"/>
        <w:rPr>
          <w:highlight w:val="none"/>
        </w:rPr>
      </w:pPr>
    </w:p>
    <w:p w14:paraId="50246581">
      <w:pPr>
        <w:spacing w:line="360" w:lineRule="auto"/>
        <w:ind w:firstLine="640"/>
        <w:jc w:val="center"/>
        <w:rPr>
          <w:highlight w:val="none"/>
        </w:rPr>
      </w:pPr>
    </w:p>
    <w:p w14:paraId="132592D8">
      <w:pPr>
        <w:spacing w:line="360" w:lineRule="auto"/>
        <w:rPr>
          <w:highlight w:val="none"/>
        </w:rPr>
      </w:pPr>
      <w:r>
        <w:rPr>
          <w:rFonts w:hint="eastAsia"/>
          <w:highlight w:val="none"/>
        </w:rPr>
        <w:t>　　　供应商：</w:t>
      </w:r>
    </w:p>
    <w:p w14:paraId="38E7BC44">
      <w:pPr>
        <w:spacing w:line="360" w:lineRule="auto"/>
        <w:jc w:val="center"/>
        <w:rPr>
          <w:highlight w:val="none"/>
        </w:rPr>
      </w:pPr>
      <w:r>
        <w:rPr>
          <w:rFonts w:hint="eastAsia"/>
          <w:highlight w:val="none"/>
          <w:u w:val="single"/>
        </w:rPr>
        <w:t>　　</w:t>
      </w:r>
      <w:r>
        <w:rPr>
          <w:rFonts w:hint="eastAsia"/>
          <w:highlight w:val="none"/>
        </w:rPr>
        <w:t>年</w:t>
      </w:r>
      <w:r>
        <w:rPr>
          <w:rFonts w:hint="eastAsia"/>
          <w:highlight w:val="none"/>
          <w:u w:val="single"/>
        </w:rPr>
        <w:t>　　</w:t>
      </w:r>
      <w:r>
        <w:rPr>
          <w:rFonts w:hint="eastAsia"/>
          <w:highlight w:val="none"/>
        </w:rPr>
        <w:t>月</w:t>
      </w:r>
      <w:r>
        <w:rPr>
          <w:rFonts w:hint="eastAsia"/>
          <w:highlight w:val="none"/>
          <w:u w:val="single"/>
        </w:rPr>
        <w:t>　　</w:t>
      </w:r>
      <w:r>
        <w:rPr>
          <w:rFonts w:hint="eastAsia"/>
          <w:highlight w:val="none"/>
        </w:rPr>
        <w:t>日</w:t>
      </w:r>
    </w:p>
    <w:p w14:paraId="75AD4EDF">
      <w:pPr>
        <w:rPr>
          <w:highlight w:val="none"/>
        </w:rPr>
      </w:pPr>
      <w:r>
        <w:rPr>
          <w:rFonts w:hint="eastAsia"/>
          <w:highlight w:val="none"/>
        </w:rPr>
        <w:br w:type="page"/>
      </w:r>
    </w:p>
    <w:p w14:paraId="2EE9E147">
      <w:pPr>
        <w:pStyle w:val="15"/>
        <w:spacing w:before="0" w:after="0"/>
        <w:rPr>
          <w:rFonts w:ascii="仿宋" w:hAnsi="仿宋" w:eastAsia="仿宋"/>
          <w:highlight w:val="none"/>
        </w:rPr>
      </w:pPr>
      <w:r>
        <w:rPr>
          <w:rFonts w:hint="eastAsia"/>
          <w:highlight w:val="none"/>
        </w:rPr>
        <w:t>　</w:t>
      </w:r>
      <w:r>
        <w:rPr>
          <w:rFonts w:hint="eastAsia" w:ascii="仿宋" w:hAnsi="仿宋" w:eastAsia="仿宋"/>
          <w:b/>
          <w:bCs/>
          <w:highlight w:val="none"/>
        </w:rPr>
        <w:t>　目录</w:t>
      </w:r>
    </w:p>
    <w:p w14:paraId="41CDFF1B">
      <w:pPr>
        <w:spacing w:line="360" w:lineRule="auto"/>
        <w:rPr>
          <w:rFonts w:ascii="仿宋" w:hAnsi="仿宋"/>
          <w:sz w:val="24"/>
          <w:szCs w:val="24"/>
          <w:highlight w:val="none"/>
        </w:rPr>
      </w:pPr>
      <w:r>
        <w:rPr>
          <w:rFonts w:hint="eastAsia" w:ascii="仿宋" w:hAnsi="仿宋"/>
          <w:sz w:val="24"/>
          <w:szCs w:val="24"/>
          <w:highlight w:val="none"/>
        </w:rPr>
        <w:t>　　一、响应函</w:t>
      </w:r>
    </w:p>
    <w:p w14:paraId="4DC97D9A">
      <w:pPr>
        <w:spacing w:line="360" w:lineRule="auto"/>
        <w:rPr>
          <w:rFonts w:ascii="仿宋" w:hAnsi="仿宋"/>
          <w:sz w:val="24"/>
          <w:szCs w:val="24"/>
          <w:highlight w:val="none"/>
        </w:rPr>
      </w:pPr>
      <w:r>
        <w:rPr>
          <w:rFonts w:hint="eastAsia" w:ascii="仿宋" w:hAnsi="仿宋"/>
          <w:sz w:val="24"/>
          <w:szCs w:val="24"/>
          <w:highlight w:val="none"/>
        </w:rPr>
        <w:t>　　二、授权委托书（如有委托代理人）</w:t>
      </w:r>
    </w:p>
    <w:p w14:paraId="3E98E0B2">
      <w:pPr>
        <w:spacing w:line="360" w:lineRule="auto"/>
        <w:rPr>
          <w:rFonts w:ascii="仿宋" w:hAnsi="仿宋"/>
          <w:sz w:val="24"/>
          <w:szCs w:val="24"/>
          <w:highlight w:val="none"/>
        </w:rPr>
      </w:pPr>
      <w:r>
        <w:rPr>
          <w:rFonts w:hint="eastAsia" w:ascii="仿宋" w:hAnsi="仿宋"/>
          <w:sz w:val="24"/>
          <w:szCs w:val="24"/>
          <w:highlight w:val="none"/>
        </w:rPr>
        <w:t>　　三、联合体协议书（如有）</w:t>
      </w:r>
    </w:p>
    <w:p w14:paraId="1DF39E06">
      <w:pPr>
        <w:spacing w:line="360" w:lineRule="auto"/>
        <w:rPr>
          <w:rFonts w:ascii="仿宋" w:hAnsi="仿宋"/>
          <w:sz w:val="24"/>
          <w:szCs w:val="24"/>
          <w:highlight w:val="none"/>
        </w:rPr>
      </w:pPr>
      <w:r>
        <w:rPr>
          <w:rFonts w:hint="eastAsia" w:ascii="仿宋" w:hAnsi="仿宋"/>
          <w:sz w:val="24"/>
          <w:szCs w:val="24"/>
          <w:highlight w:val="none"/>
        </w:rPr>
        <w:t>　　四、响应保证金（如有）</w:t>
      </w:r>
    </w:p>
    <w:p w14:paraId="0E0BFC05">
      <w:pPr>
        <w:spacing w:line="360" w:lineRule="auto"/>
        <w:rPr>
          <w:rFonts w:ascii="仿宋" w:hAnsi="仿宋"/>
          <w:sz w:val="24"/>
          <w:szCs w:val="24"/>
          <w:highlight w:val="none"/>
        </w:rPr>
      </w:pPr>
      <w:r>
        <w:rPr>
          <w:rFonts w:hint="eastAsia" w:ascii="仿宋" w:hAnsi="仿宋"/>
          <w:sz w:val="24"/>
          <w:szCs w:val="24"/>
          <w:highlight w:val="none"/>
        </w:rPr>
        <w:t>　　五、商务和技术偏差表</w:t>
      </w:r>
    </w:p>
    <w:p w14:paraId="51E2199F">
      <w:pPr>
        <w:spacing w:line="360" w:lineRule="auto"/>
        <w:rPr>
          <w:rFonts w:ascii="仿宋" w:hAnsi="仿宋"/>
          <w:sz w:val="24"/>
          <w:szCs w:val="24"/>
          <w:highlight w:val="none"/>
        </w:rPr>
      </w:pPr>
      <w:r>
        <w:rPr>
          <w:rFonts w:hint="eastAsia" w:ascii="仿宋" w:hAnsi="仿宋"/>
          <w:sz w:val="24"/>
          <w:szCs w:val="24"/>
          <w:highlight w:val="none"/>
        </w:rPr>
        <w:t>　　六、报价表</w:t>
      </w:r>
    </w:p>
    <w:p w14:paraId="1AD064BD">
      <w:pPr>
        <w:spacing w:line="360" w:lineRule="auto"/>
        <w:rPr>
          <w:rFonts w:ascii="仿宋" w:hAnsi="仿宋"/>
          <w:sz w:val="24"/>
          <w:szCs w:val="24"/>
          <w:highlight w:val="none"/>
        </w:rPr>
      </w:pPr>
      <w:r>
        <w:rPr>
          <w:rFonts w:hint="eastAsia" w:ascii="仿宋" w:hAnsi="仿宋"/>
          <w:sz w:val="24"/>
          <w:szCs w:val="24"/>
          <w:highlight w:val="none"/>
        </w:rPr>
        <w:t>　　七、资格审查资料</w:t>
      </w:r>
    </w:p>
    <w:p w14:paraId="7D5682E4">
      <w:pPr>
        <w:spacing w:line="360" w:lineRule="auto"/>
        <w:rPr>
          <w:rFonts w:ascii="仿宋" w:hAnsi="仿宋"/>
          <w:sz w:val="24"/>
          <w:szCs w:val="24"/>
          <w:highlight w:val="none"/>
        </w:rPr>
      </w:pPr>
      <w:r>
        <w:rPr>
          <w:rFonts w:hint="eastAsia" w:ascii="仿宋" w:hAnsi="仿宋"/>
          <w:sz w:val="24"/>
          <w:szCs w:val="24"/>
          <w:highlight w:val="none"/>
        </w:rPr>
        <w:t>　　八、响应方案</w:t>
      </w:r>
    </w:p>
    <w:p w14:paraId="05851586">
      <w:pPr>
        <w:spacing w:line="360" w:lineRule="auto"/>
        <w:rPr>
          <w:rFonts w:ascii="仿宋" w:hAnsi="仿宋"/>
          <w:sz w:val="24"/>
          <w:szCs w:val="24"/>
          <w:highlight w:val="none"/>
        </w:rPr>
      </w:pPr>
      <w:r>
        <w:rPr>
          <w:rFonts w:hint="eastAsia" w:ascii="仿宋" w:hAnsi="仿宋"/>
          <w:sz w:val="24"/>
          <w:szCs w:val="24"/>
          <w:highlight w:val="none"/>
        </w:rPr>
        <w:t>　</w:t>
      </w:r>
    </w:p>
    <w:p w14:paraId="318B9AA2">
      <w:pPr>
        <w:spacing w:line="360" w:lineRule="auto"/>
        <w:rPr>
          <w:rFonts w:ascii="仿宋" w:hAnsi="仿宋"/>
          <w:sz w:val="24"/>
          <w:szCs w:val="24"/>
          <w:highlight w:val="none"/>
        </w:rPr>
      </w:pPr>
      <w:r>
        <w:rPr>
          <w:rFonts w:hint="eastAsia" w:ascii="仿宋" w:hAnsi="仿宋"/>
          <w:sz w:val="24"/>
          <w:szCs w:val="24"/>
          <w:highlight w:val="none"/>
        </w:rPr>
        <w:br w:type="page"/>
      </w:r>
    </w:p>
    <w:p w14:paraId="63C38B39">
      <w:pPr>
        <w:pStyle w:val="15"/>
        <w:spacing w:before="0" w:after="0"/>
        <w:jc w:val="center"/>
        <w:rPr>
          <w:rFonts w:ascii="仿宋" w:hAnsi="仿宋" w:eastAsia="仿宋"/>
          <w:b/>
          <w:bCs/>
          <w:highlight w:val="none"/>
        </w:rPr>
      </w:pPr>
      <w:r>
        <w:rPr>
          <w:rFonts w:hint="eastAsia" w:ascii="仿宋" w:hAnsi="仿宋" w:eastAsia="仿宋"/>
          <w:b/>
          <w:bCs/>
          <w:highlight w:val="none"/>
        </w:rPr>
        <w:t>一、响应函</w:t>
      </w:r>
    </w:p>
    <w:p w14:paraId="04DDAC92">
      <w:pPr>
        <w:spacing w:line="360" w:lineRule="auto"/>
        <w:rPr>
          <w:rFonts w:ascii="仿宋" w:hAnsi="仿宋"/>
          <w:sz w:val="24"/>
          <w:szCs w:val="24"/>
          <w:highlight w:val="none"/>
        </w:rPr>
      </w:pPr>
      <w:r>
        <w:rPr>
          <w:rFonts w:hint="eastAsia" w:ascii="仿宋" w:hAnsi="仿宋"/>
          <w:sz w:val="24"/>
          <w:szCs w:val="24"/>
          <w:highlight w:val="none"/>
        </w:rPr>
        <w:t>中机国际工程设计研究院有限责任公司：</w:t>
      </w:r>
    </w:p>
    <w:p w14:paraId="7ECC2606">
      <w:pPr>
        <w:spacing w:line="360" w:lineRule="auto"/>
        <w:rPr>
          <w:rFonts w:ascii="仿宋" w:hAnsi="仿宋"/>
          <w:sz w:val="24"/>
          <w:szCs w:val="24"/>
          <w:highlight w:val="none"/>
        </w:rPr>
      </w:pPr>
      <w:r>
        <w:rPr>
          <w:rFonts w:hint="eastAsia" w:ascii="仿宋" w:hAnsi="仿宋"/>
          <w:sz w:val="24"/>
          <w:szCs w:val="24"/>
          <w:highlight w:val="none"/>
        </w:rPr>
        <w:t>　　1．我方已仔细研究了</w:t>
      </w:r>
      <w:r>
        <w:rPr>
          <w:rFonts w:hint="eastAsia" w:ascii="仿宋" w:hAnsi="仿宋"/>
          <w:sz w:val="24"/>
          <w:szCs w:val="24"/>
          <w:highlight w:val="none"/>
          <w:u w:val="single"/>
        </w:rPr>
        <w:t>　　　　　　</w:t>
      </w:r>
      <w:r>
        <w:rPr>
          <w:rFonts w:hint="eastAsia" w:ascii="仿宋" w:hAnsi="仿宋"/>
          <w:sz w:val="24"/>
          <w:szCs w:val="24"/>
          <w:highlight w:val="none"/>
        </w:rPr>
        <w:t>（项目名称）采购文件的全部内容，愿意以含税价人民币（大写）</w:t>
      </w:r>
      <w:r>
        <w:rPr>
          <w:rFonts w:hint="eastAsia" w:ascii="仿宋" w:hAnsi="仿宋"/>
          <w:sz w:val="24"/>
          <w:szCs w:val="24"/>
          <w:highlight w:val="none"/>
          <w:u w:val="single"/>
        </w:rPr>
        <w:t>　　　　</w:t>
      </w:r>
      <w:r>
        <w:rPr>
          <w:rFonts w:hint="eastAsia" w:ascii="仿宋" w:hAnsi="仿宋"/>
          <w:sz w:val="24"/>
          <w:szCs w:val="24"/>
          <w:highlight w:val="none"/>
        </w:rPr>
        <w:t>（￥</w:t>
      </w:r>
    </w:p>
    <w:p w14:paraId="2D403E02">
      <w:pPr>
        <w:spacing w:line="360" w:lineRule="auto"/>
        <w:rPr>
          <w:rFonts w:ascii="仿宋" w:hAnsi="仿宋"/>
          <w:sz w:val="24"/>
          <w:szCs w:val="24"/>
          <w:highlight w:val="none"/>
        </w:rPr>
      </w:pPr>
      <w:r>
        <w:rPr>
          <w:rFonts w:hint="eastAsia" w:ascii="仿宋" w:hAnsi="仿宋"/>
          <w:sz w:val="24"/>
          <w:szCs w:val="24"/>
          <w:highlight w:val="none"/>
          <w:u w:val="single"/>
        </w:rPr>
        <w:t>　　　　</w:t>
      </w:r>
      <w:r>
        <w:rPr>
          <w:rFonts w:hint="eastAsia" w:ascii="仿宋" w:hAnsi="仿宋"/>
          <w:sz w:val="24"/>
          <w:szCs w:val="24"/>
          <w:highlight w:val="none"/>
        </w:rPr>
        <w:t>）的报价（其中不含税价为：</w:t>
      </w:r>
      <w:r>
        <w:rPr>
          <w:rFonts w:hint="eastAsia" w:ascii="仿宋" w:hAnsi="仿宋"/>
          <w:sz w:val="24"/>
          <w:szCs w:val="24"/>
          <w:highlight w:val="none"/>
          <w:u w:val="single"/>
        </w:rPr>
        <w:t>　　　　</w:t>
      </w:r>
      <w:r>
        <w:rPr>
          <w:rFonts w:hint="eastAsia" w:ascii="仿宋" w:hAnsi="仿宋"/>
          <w:sz w:val="24"/>
          <w:szCs w:val="24"/>
          <w:highlight w:val="none"/>
        </w:rPr>
        <w:t>；增值税税额为：</w:t>
      </w:r>
      <w:r>
        <w:rPr>
          <w:rFonts w:hint="eastAsia" w:ascii="仿宋" w:hAnsi="仿宋"/>
          <w:sz w:val="24"/>
          <w:szCs w:val="24"/>
          <w:highlight w:val="none"/>
          <w:u w:val="single"/>
        </w:rPr>
        <w:t>　　　　</w:t>
      </w:r>
      <w:r>
        <w:rPr>
          <w:rFonts w:hint="eastAsia" w:ascii="仿宋" w:hAnsi="仿宋"/>
          <w:sz w:val="24"/>
          <w:szCs w:val="24"/>
          <w:highlight w:val="none"/>
        </w:rPr>
        <w:t>）完成/提供本项目工程/货物/服务，并按合同约定履行义务。</w:t>
      </w:r>
    </w:p>
    <w:p w14:paraId="3920552E">
      <w:pPr>
        <w:spacing w:line="360" w:lineRule="auto"/>
        <w:rPr>
          <w:rFonts w:ascii="仿宋" w:hAnsi="仿宋"/>
          <w:sz w:val="24"/>
          <w:szCs w:val="24"/>
          <w:highlight w:val="none"/>
        </w:rPr>
      </w:pPr>
      <w:r>
        <w:rPr>
          <w:rFonts w:hint="eastAsia" w:ascii="仿宋" w:hAnsi="仿宋"/>
          <w:sz w:val="24"/>
          <w:szCs w:val="24"/>
          <w:highlight w:val="none"/>
        </w:rPr>
        <w:t>　　2.我方的响应文件包括下列内容：</w:t>
      </w:r>
    </w:p>
    <w:p w14:paraId="14BC265A">
      <w:pPr>
        <w:spacing w:line="360" w:lineRule="auto"/>
        <w:rPr>
          <w:rFonts w:ascii="仿宋" w:hAnsi="仿宋"/>
          <w:sz w:val="24"/>
          <w:szCs w:val="24"/>
          <w:highlight w:val="none"/>
        </w:rPr>
      </w:pPr>
      <w:r>
        <w:rPr>
          <w:rFonts w:hint="eastAsia" w:ascii="仿宋" w:hAnsi="仿宋"/>
          <w:sz w:val="24"/>
          <w:szCs w:val="24"/>
          <w:highlight w:val="none"/>
        </w:rPr>
        <w:t>　　（1）响应函；</w:t>
      </w:r>
    </w:p>
    <w:p w14:paraId="05AC50CC">
      <w:pPr>
        <w:spacing w:line="360" w:lineRule="auto"/>
        <w:rPr>
          <w:rFonts w:ascii="仿宋" w:hAnsi="仿宋"/>
          <w:sz w:val="24"/>
          <w:szCs w:val="24"/>
          <w:highlight w:val="none"/>
        </w:rPr>
      </w:pPr>
      <w:r>
        <w:rPr>
          <w:rFonts w:hint="eastAsia" w:ascii="仿宋" w:hAnsi="仿宋"/>
          <w:sz w:val="24"/>
          <w:szCs w:val="24"/>
          <w:highlight w:val="none"/>
        </w:rPr>
        <w:t>　　（2）授权委托书（如有）；</w:t>
      </w:r>
    </w:p>
    <w:p w14:paraId="66CC27EB">
      <w:pPr>
        <w:spacing w:line="360" w:lineRule="auto"/>
        <w:rPr>
          <w:rFonts w:ascii="仿宋" w:hAnsi="仿宋"/>
          <w:sz w:val="24"/>
          <w:szCs w:val="24"/>
          <w:highlight w:val="none"/>
        </w:rPr>
      </w:pPr>
      <w:r>
        <w:rPr>
          <w:rFonts w:hint="eastAsia" w:ascii="仿宋" w:hAnsi="仿宋"/>
          <w:sz w:val="24"/>
          <w:szCs w:val="24"/>
          <w:highlight w:val="none"/>
        </w:rPr>
        <w:t>　　（3）联合体协议书（如有）；</w:t>
      </w:r>
    </w:p>
    <w:p w14:paraId="09D1375B">
      <w:pPr>
        <w:spacing w:line="360" w:lineRule="auto"/>
        <w:rPr>
          <w:rFonts w:ascii="仿宋" w:hAnsi="仿宋"/>
          <w:sz w:val="24"/>
          <w:szCs w:val="24"/>
          <w:highlight w:val="none"/>
        </w:rPr>
      </w:pPr>
      <w:r>
        <w:rPr>
          <w:rFonts w:hint="eastAsia" w:ascii="仿宋" w:hAnsi="仿宋"/>
          <w:sz w:val="24"/>
          <w:szCs w:val="24"/>
          <w:highlight w:val="none"/>
        </w:rPr>
        <w:t>　　（4）响应保证金（如有）；</w:t>
      </w:r>
    </w:p>
    <w:p w14:paraId="5E8A57C2">
      <w:pPr>
        <w:spacing w:line="360" w:lineRule="auto"/>
        <w:rPr>
          <w:rFonts w:ascii="仿宋" w:hAnsi="仿宋"/>
          <w:sz w:val="24"/>
          <w:szCs w:val="24"/>
          <w:highlight w:val="none"/>
        </w:rPr>
      </w:pPr>
      <w:r>
        <w:rPr>
          <w:rFonts w:hint="eastAsia" w:ascii="仿宋" w:hAnsi="仿宋"/>
          <w:sz w:val="24"/>
          <w:szCs w:val="24"/>
          <w:highlight w:val="none"/>
        </w:rPr>
        <w:t>　　（5）商务和技术偏差表；</w:t>
      </w:r>
    </w:p>
    <w:p w14:paraId="7B41ECF1">
      <w:pPr>
        <w:spacing w:line="360" w:lineRule="auto"/>
        <w:rPr>
          <w:rFonts w:ascii="仿宋" w:hAnsi="仿宋"/>
          <w:sz w:val="24"/>
          <w:szCs w:val="24"/>
          <w:highlight w:val="none"/>
        </w:rPr>
      </w:pPr>
      <w:r>
        <w:rPr>
          <w:rFonts w:hint="eastAsia" w:ascii="仿宋" w:hAnsi="仿宋"/>
          <w:sz w:val="24"/>
          <w:szCs w:val="24"/>
          <w:highlight w:val="none"/>
        </w:rPr>
        <w:t>　　（6）报价表；</w:t>
      </w:r>
    </w:p>
    <w:p w14:paraId="4948A010">
      <w:pPr>
        <w:spacing w:line="360" w:lineRule="auto"/>
        <w:rPr>
          <w:rFonts w:ascii="仿宋" w:hAnsi="仿宋"/>
          <w:sz w:val="24"/>
          <w:szCs w:val="24"/>
          <w:highlight w:val="none"/>
        </w:rPr>
      </w:pPr>
      <w:r>
        <w:rPr>
          <w:rFonts w:hint="eastAsia" w:ascii="仿宋" w:hAnsi="仿宋"/>
          <w:sz w:val="24"/>
          <w:szCs w:val="24"/>
          <w:highlight w:val="none"/>
        </w:rPr>
        <w:t>　　（7）资格审查资料；</w:t>
      </w:r>
    </w:p>
    <w:p w14:paraId="48253F69">
      <w:pPr>
        <w:spacing w:line="360" w:lineRule="auto"/>
        <w:rPr>
          <w:rFonts w:ascii="仿宋" w:hAnsi="仿宋"/>
          <w:sz w:val="24"/>
          <w:szCs w:val="24"/>
          <w:highlight w:val="none"/>
        </w:rPr>
      </w:pPr>
      <w:r>
        <w:rPr>
          <w:rFonts w:hint="eastAsia" w:ascii="仿宋" w:hAnsi="仿宋"/>
          <w:sz w:val="24"/>
          <w:szCs w:val="24"/>
          <w:highlight w:val="none"/>
        </w:rPr>
        <w:t>　　（8）响应方案；</w:t>
      </w:r>
    </w:p>
    <w:p w14:paraId="29D6BB2D">
      <w:pPr>
        <w:spacing w:line="360" w:lineRule="auto"/>
        <w:rPr>
          <w:rFonts w:ascii="仿宋" w:hAnsi="仿宋"/>
          <w:sz w:val="24"/>
          <w:szCs w:val="24"/>
          <w:highlight w:val="none"/>
        </w:rPr>
      </w:pPr>
      <w:r>
        <w:rPr>
          <w:rFonts w:hint="eastAsia" w:ascii="仿宋" w:hAnsi="仿宋"/>
          <w:sz w:val="24"/>
          <w:szCs w:val="24"/>
          <w:highlight w:val="none"/>
        </w:rPr>
        <w:t>　　响应文件的上述组成部分如存在内容不一致的，以响应函为准。</w:t>
      </w:r>
    </w:p>
    <w:p w14:paraId="5021CB39">
      <w:pPr>
        <w:spacing w:line="360" w:lineRule="auto"/>
        <w:rPr>
          <w:rFonts w:ascii="仿宋" w:hAnsi="仿宋"/>
          <w:sz w:val="24"/>
          <w:szCs w:val="24"/>
          <w:highlight w:val="none"/>
        </w:rPr>
      </w:pPr>
      <w:r>
        <w:rPr>
          <w:rFonts w:hint="eastAsia" w:ascii="仿宋" w:hAnsi="仿宋"/>
          <w:sz w:val="24"/>
          <w:szCs w:val="24"/>
          <w:highlight w:val="none"/>
        </w:rPr>
        <w:t>　　3．我方承诺除商务和技术偏差表列出的偏差外，我方响应采购文件的全部要求。</w:t>
      </w:r>
    </w:p>
    <w:p w14:paraId="63A5A174">
      <w:pPr>
        <w:spacing w:line="360" w:lineRule="auto"/>
        <w:rPr>
          <w:rFonts w:ascii="仿宋" w:hAnsi="仿宋"/>
          <w:sz w:val="24"/>
          <w:szCs w:val="24"/>
          <w:highlight w:val="none"/>
        </w:rPr>
      </w:pPr>
      <w:r>
        <w:rPr>
          <w:rFonts w:hint="eastAsia" w:ascii="仿宋" w:hAnsi="仿宋"/>
          <w:sz w:val="24"/>
          <w:szCs w:val="24"/>
          <w:highlight w:val="none"/>
        </w:rPr>
        <w:t>　　4．我方承诺在采购文件规定的响应文件有效期内不撤销响应文件。</w:t>
      </w:r>
    </w:p>
    <w:p w14:paraId="3D96EC2F">
      <w:pPr>
        <w:spacing w:line="360" w:lineRule="auto"/>
        <w:rPr>
          <w:rFonts w:ascii="仿宋" w:hAnsi="仿宋"/>
          <w:sz w:val="24"/>
          <w:szCs w:val="24"/>
          <w:highlight w:val="none"/>
        </w:rPr>
      </w:pPr>
      <w:r>
        <w:rPr>
          <w:rFonts w:hint="eastAsia" w:ascii="仿宋" w:hAnsi="仿宋"/>
          <w:sz w:val="24"/>
          <w:szCs w:val="24"/>
          <w:highlight w:val="none"/>
        </w:rPr>
        <w:t>　　5．如我方成交，我方承诺：</w:t>
      </w:r>
    </w:p>
    <w:p w14:paraId="39847C8F">
      <w:pPr>
        <w:spacing w:line="360" w:lineRule="auto"/>
        <w:rPr>
          <w:rFonts w:ascii="仿宋" w:hAnsi="仿宋"/>
          <w:sz w:val="24"/>
          <w:szCs w:val="24"/>
          <w:highlight w:val="none"/>
        </w:rPr>
      </w:pPr>
      <w:r>
        <w:rPr>
          <w:rFonts w:hint="eastAsia" w:ascii="仿宋" w:hAnsi="仿宋"/>
          <w:sz w:val="24"/>
          <w:szCs w:val="24"/>
          <w:highlight w:val="none"/>
        </w:rPr>
        <w:t>　　（1）在收到成交通知书后，在成交通知书规定的期限内与你方签订合同；</w:t>
      </w:r>
    </w:p>
    <w:p w14:paraId="076F0777">
      <w:pPr>
        <w:spacing w:line="360" w:lineRule="auto"/>
        <w:rPr>
          <w:rFonts w:ascii="仿宋" w:hAnsi="仿宋"/>
          <w:sz w:val="24"/>
          <w:szCs w:val="24"/>
          <w:highlight w:val="none"/>
        </w:rPr>
      </w:pPr>
      <w:r>
        <w:rPr>
          <w:rFonts w:hint="eastAsia" w:ascii="仿宋" w:hAnsi="仿宋"/>
          <w:sz w:val="24"/>
          <w:szCs w:val="24"/>
          <w:highlight w:val="none"/>
        </w:rPr>
        <w:t>　　（2）在签订合同时不向你方提出附加条件；</w:t>
      </w:r>
    </w:p>
    <w:p w14:paraId="3A1B9DE2">
      <w:pPr>
        <w:spacing w:line="360" w:lineRule="auto"/>
        <w:rPr>
          <w:rFonts w:ascii="仿宋" w:hAnsi="仿宋"/>
          <w:sz w:val="24"/>
          <w:szCs w:val="24"/>
          <w:highlight w:val="none"/>
        </w:rPr>
      </w:pPr>
      <w:r>
        <w:rPr>
          <w:rFonts w:hint="eastAsia" w:ascii="仿宋" w:hAnsi="仿宋"/>
          <w:sz w:val="24"/>
          <w:szCs w:val="24"/>
          <w:highlight w:val="none"/>
        </w:rPr>
        <w:t>　　（3）按照采购文件要求递交履约保证金；</w:t>
      </w:r>
    </w:p>
    <w:p w14:paraId="63C09929">
      <w:pPr>
        <w:spacing w:line="360" w:lineRule="auto"/>
        <w:rPr>
          <w:rFonts w:ascii="仿宋" w:hAnsi="仿宋"/>
          <w:sz w:val="24"/>
          <w:szCs w:val="24"/>
          <w:highlight w:val="none"/>
        </w:rPr>
      </w:pPr>
      <w:r>
        <w:rPr>
          <w:rFonts w:hint="eastAsia" w:ascii="仿宋" w:hAnsi="仿宋"/>
          <w:sz w:val="24"/>
          <w:szCs w:val="24"/>
          <w:highlight w:val="none"/>
        </w:rPr>
        <w:t>　　（4）在合同约定的期限内完成合同规定的全部义务。</w:t>
      </w:r>
    </w:p>
    <w:p w14:paraId="17F294A6">
      <w:pPr>
        <w:spacing w:line="360" w:lineRule="auto"/>
        <w:rPr>
          <w:rFonts w:ascii="仿宋" w:hAnsi="仿宋"/>
          <w:sz w:val="24"/>
          <w:szCs w:val="24"/>
          <w:highlight w:val="none"/>
        </w:rPr>
      </w:pPr>
      <w:r>
        <w:rPr>
          <w:rFonts w:hint="eastAsia" w:ascii="仿宋" w:hAnsi="仿宋"/>
          <w:sz w:val="24"/>
          <w:szCs w:val="24"/>
          <w:highlight w:val="none"/>
        </w:rPr>
        <w:t>　　6．我方在此声明，所递交的响应文件及有关资料内容完整、真实和准确，且不存在第一章“谈判采购公告/谈判采购邀请书”中规定的供应商不得存在的情形。</w:t>
      </w:r>
    </w:p>
    <w:p w14:paraId="107057E5">
      <w:pPr>
        <w:spacing w:line="360" w:lineRule="auto"/>
        <w:rPr>
          <w:rFonts w:ascii="仿宋" w:hAnsi="仿宋"/>
          <w:sz w:val="24"/>
          <w:szCs w:val="24"/>
          <w:highlight w:val="none"/>
        </w:rPr>
      </w:pPr>
      <w:r>
        <w:rPr>
          <w:rFonts w:hint="eastAsia" w:ascii="仿宋" w:hAnsi="仿宋"/>
          <w:sz w:val="24"/>
          <w:szCs w:val="24"/>
          <w:highlight w:val="none"/>
        </w:rPr>
        <w:t>　　7．　　（其他补充说明）。</w:t>
      </w:r>
    </w:p>
    <w:p w14:paraId="3BCD5992">
      <w:pPr>
        <w:spacing w:line="360" w:lineRule="auto"/>
        <w:rPr>
          <w:rFonts w:ascii="仿宋" w:hAnsi="仿宋"/>
          <w:sz w:val="24"/>
          <w:szCs w:val="24"/>
          <w:highlight w:val="none"/>
        </w:rPr>
      </w:pPr>
      <w:r>
        <w:rPr>
          <w:rFonts w:hint="eastAsia" w:ascii="仿宋" w:hAnsi="仿宋"/>
          <w:sz w:val="24"/>
          <w:szCs w:val="24"/>
          <w:highlight w:val="none"/>
        </w:rPr>
        <w:t>　　供应商：　　（盖单位章）</w:t>
      </w:r>
    </w:p>
    <w:p w14:paraId="17C97B4F">
      <w:pPr>
        <w:spacing w:line="360" w:lineRule="auto"/>
        <w:rPr>
          <w:rFonts w:ascii="仿宋" w:hAnsi="仿宋"/>
          <w:sz w:val="24"/>
          <w:szCs w:val="24"/>
          <w:highlight w:val="none"/>
        </w:rPr>
      </w:pPr>
      <w:r>
        <w:rPr>
          <w:rFonts w:hint="eastAsia" w:ascii="仿宋" w:hAnsi="仿宋"/>
          <w:sz w:val="24"/>
          <w:szCs w:val="24"/>
          <w:highlight w:val="none"/>
        </w:rPr>
        <w:t>　　法定代表人（单位负责人）或其授权的代理人：（签字）</w:t>
      </w:r>
    </w:p>
    <w:p w14:paraId="3C31DC1A">
      <w:pPr>
        <w:spacing w:line="360" w:lineRule="auto"/>
        <w:rPr>
          <w:rFonts w:ascii="仿宋" w:hAnsi="仿宋"/>
          <w:sz w:val="24"/>
          <w:szCs w:val="24"/>
          <w:highlight w:val="none"/>
        </w:rPr>
      </w:pPr>
      <w:r>
        <w:rPr>
          <w:rFonts w:hint="eastAsia" w:ascii="仿宋" w:hAnsi="仿宋"/>
          <w:sz w:val="24"/>
          <w:szCs w:val="24"/>
          <w:highlight w:val="none"/>
        </w:rPr>
        <w:t>　　地址：</w:t>
      </w:r>
    </w:p>
    <w:p w14:paraId="5B95C98D">
      <w:pPr>
        <w:spacing w:line="360" w:lineRule="auto"/>
        <w:rPr>
          <w:rFonts w:ascii="仿宋" w:hAnsi="仿宋"/>
          <w:sz w:val="24"/>
          <w:szCs w:val="24"/>
          <w:highlight w:val="none"/>
        </w:rPr>
      </w:pPr>
      <w:r>
        <w:rPr>
          <w:rFonts w:hint="eastAsia" w:ascii="仿宋" w:hAnsi="仿宋"/>
          <w:sz w:val="24"/>
          <w:szCs w:val="24"/>
          <w:highlight w:val="none"/>
        </w:rPr>
        <w:t>　　电子邮箱：</w:t>
      </w:r>
    </w:p>
    <w:p w14:paraId="3CEA698C">
      <w:pPr>
        <w:spacing w:line="360" w:lineRule="auto"/>
        <w:rPr>
          <w:rFonts w:ascii="仿宋" w:hAnsi="仿宋"/>
          <w:sz w:val="24"/>
          <w:szCs w:val="24"/>
          <w:highlight w:val="none"/>
        </w:rPr>
      </w:pPr>
      <w:r>
        <w:rPr>
          <w:rFonts w:hint="eastAsia" w:ascii="仿宋" w:hAnsi="仿宋"/>
          <w:sz w:val="24"/>
          <w:szCs w:val="24"/>
          <w:highlight w:val="none"/>
        </w:rPr>
        <w:t>　　电话：</w:t>
      </w:r>
    </w:p>
    <w:p w14:paraId="6B6C2233">
      <w:pPr>
        <w:spacing w:line="360" w:lineRule="auto"/>
        <w:rPr>
          <w:rFonts w:ascii="仿宋" w:hAnsi="仿宋"/>
          <w:sz w:val="24"/>
          <w:szCs w:val="24"/>
          <w:highlight w:val="none"/>
        </w:rPr>
      </w:pPr>
      <w:r>
        <w:rPr>
          <w:rFonts w:hint="eastAsia" w:ascii="仿宋" w:hAnsi="仿宋"/>
          <w:sz w:val="24"/>
          <w:szCs w:val="24"/>
          <w:highlight w:val="none"/>
        </w:rPr>
        <w:t>　　传真：</w:t>
      </w:r>
    </w:p>
    <w:p w14:paraId="44C3536C">
      <w:pPr>
        <w:spacing w:line="360" w:lineRule="auto"/>
        <w:rPr>
          <w:rFonts w:ascii="仿宋" w:hAnsi="仿宋"/>
          <w:sz w:val="24"/>
          <w:szCs w:val="24"/>
          <w:highlight w:val="none"/>
        </w:rPr>
      </w:pPr>
      <w:r>
        <w:rPr>
          <w:rFonts w:hint="eastAsia" w:ascii="仿宋" w:hAnsi="仿宋"/>
          <w:sz w:val="24"/>
          <w:szCs w:val="24"/>
          <w:highlight w:val="none"/>
        </w:rPr>
        <w:t>　　邮政编码：</w:t>
      </w:r>
    </w:p>
    <w:p w14:paraId="554F7ACD">
      <w:pPr>
        <w:spacing w:line="360" w:lineRule="auto"/>
        <w:jc w:val="right"/>
        <w:rPr>
          <w:rFonts w:ascii="仿宋" w:hAnsi="仿宋"/>
          <w:sz w:val="24"/>
          <w:szCs w:val="24"/>
          <w:highlight w:val="none"/>
        </w:rPr>
      </w:pPr>
      <w:r>
        <w:rPr>
          <w:rFonts w:hint="eastAsia" w:ascii="仿宋" w:hAnsi="仿宋"/>
          <w:sz w:val="24"/>
          <w:szCs w:val="24"/>
          <w:highlight w:val="none"/>
          <w:u w:val="single"/>
        </w:rPr>
        <w:t>　　</w:t>
      </w:r>
      <w:r>
        <w:rPr>
          <w:rFonts w:hint="eastAsia" w:ascii="仿宋" w:hAnsi="仿宋"/>
          <w:sz w:val="24"/>
          <w:szCs w:val="24"/>
          <w:highlight w:val="none"/>
        </w:rPr>
        <w:t>年</w:t>
      </w:r>
      <w:r>
        <w:rPr>
          <w:rFonts w:hint="eastAsia" w:ascii="仿宋" w:hAnsi="仿宋"/>
          <w:sz w:val="24"/>
          <w:szCs w:val="24"/>
          <w:highlight w:val="none"/>
          <w:u w:val="single"/>
        </w:rPr>
        <w:t>　　</w:t>
      </w:r>
      <w:r>
        <w:rPr>
          <w:rFonts w:hint="eastAsia" w:ascii="仿宋" w:hAnsi="仿宋"/>
          <w:sz w:val="24"/>
          <w:szCs w:val="24"/>
          <w:highlight w:val="none"/>
        </w:rPr>
        <w:t>月</w:t>
      </w:r>
      <w:r>
        <w:rPr>
          <w:rFonts w:hint="eastAsia" w:ascii="仿宋" w:hAnsi="仿宋"/>
          <w:sz w:val="24"/>
          <w:szCs w:val="24"/>
          <w:highlight w:val="none"/>
          <w:u w:val="single"/>
        </w:rPr>
        <w:t>　　</w:t>
      </w:r>
      <w:r>
        <w:rPr>
          <w:rFonts w:hint="eastAsia" w:ascii="仿宋" w:hAnsi="仿宋"/>
          <w:sz w:val="24"/>
          <w:szCs w:val="24"/>
          <w:highlight w:val="none"/>
        </w:rPr>
        <w:t>日</w:t>
      </w:r>
    </w:p>
    <w:p w14:paraId="41849B44">
      <w:pPr>
        <w:spacing w:line="360" w:lineRule="auto"/>
        <w:rPr>
          <w:rFonts w:ascii="仿宋" w:hAnsi="仿宋"/>
          <w:sz w:val="24"/>
          <w:szCs w:val="24"/>
          <w:highlight w:val="none"/>
        </w:rPr>
      </w:pPr>
      <w:r>
        <w:rPr>
          <w:rFonts w:hint="eastAsia" w:ascii="仿宋" w:hAnsi="仿宋"/>
          <w:sz w:val="24"/>
          <w:szCs w:val="24"/>
          <w:highlight w:val="none"/>
        </w:rPr>
        <w:br w:type="page"/>
      </w:r>
    </w:p>
    <w:p w14:paraId="0CA13F39">
      <w:pPr>
        <w:pStyle w:val="15"/>
        <w:spacing w:before="0" w:after="0"/>
        <w:jc w:val="center"/>
        <w:rPr>
          <w:rFonts w:ascii="仿宋" w:hAnsi="仿宋" w:eastAsia="仿宋"/>
          <w:b/>
          <w:bCs/>
          <w:highlight w:val="none"/>
        </w:rPr>
      </w:pPr>
      <w:r>
        <w:rPr>
          <w:rFonts w:hint="eastAsia" w:ascii="仿宋" w:hAnsi="仿宋" w:eastAsia="仿宋"/>
          <w:b/>
          <w:bCs/>
          <w:highlight w:val="none"/>
        </w:rPr>
        <w:t>二、授权委托书</w:t>
      </w:r>
    </w:p>
    <w:p w14:paraId="7B97E16F">
      <w:pPr>
        <w:spacing w:line="360" w:lineRule="auto"/>
        <w:jc w:val="center"/>
        <w:rPr>
          <w:rFonts w:ascii="仿宋" w:hAnsi="仿宋"/>
          <w:sz w:val="24"/>
          <w:szCs w:val="24"/>
          <w:highlight w:val="none"/>
        </w:rPr>
      </w:pPr>
      <w:r>
        <w:rPr>
          <w:rFonts w:hint="eastAsia" w:ascii="仿宋" w:hAnsi="仿宋"/>
          <w:sz w:val="24"/>
          <w:szCs w:val="24"/>
          <w:highlight w:val="none"/>
        </w:rPr>
        <w:t>（适用于有委托代理人的情况）</w:t>
      </w:r>
    </w:p>
    <w:p w14:paraId="330F08F4">
      <w:pPr>
        <w:spacing w:line="360" w:lineRule="auto"/>
        <w:rPr>
          <w:rFonts w:ascii="仿宋" w:hAnsi="仿宋"/>
          <w:sz w:val="24"/>
          <w:szCs w:val="24"/>
          <w:highlight w:val="none"/>
        </w:rPr>
      </w:pPr>
      <w:r>
        <w:rPr>
          <w:rFonts w:hint="eastAsia" w:ascii="仿宋" w:hAnsi="仿宋"/>
          <w:sz w:val="24"/>
          <w:szCs w:val="24"/>
          <w:highlight w:val="none"/>
        </w:rPr>
        <w:t>　　本人</w:t>
      </w:r>
      <w:r>
        <w:rPr>
          <w:rFonts w:hint="eastAsia" w:ascii="仿宋" w:hAnsi="仿宋"/>
          <w:sz w:val="24"/>
          <w:szCs w:val="24"/>
          <w:highlight w:val="none"/>
          <w:u w:val="single"/>
        </w:rPr>
        <w:t>　　　　</w:t>
      </w:r>
      <w:r>
        <w:rPr>
          <w:rFonts w:hint="eastAsia" w:ascii="仿宋" w:hAnsi="仿宋"/>
          <w:sz w:val="24"/>
          <w:szCs w:val="24"/>
          <w:highlight w:val="none"/>
        </w:rPr>
        <w:t>（姓名）系</w:t>
      </w:r>
      <w:r>
        <w:rPr>
          <w:rFonts w:hint="eastAsia" w:ascii="仿宋" w:hAnsi="仿宋"/>
          <w:sz w:val="24"/>
          <w:szCs w:val="24"/>
          <w:highlight w:val="none"/>
          <w:u w:val="single"/>
        </w:rPr>
        <w:t>　　　　　　　　　　</w:t>
      </w:r>
      <w:r>
        <w:rPr>
          <w:rFonts w:hint="eastAsia" w:ascii="仿宋" w:hAnsi="仿宋"/>
          <w:sz w:val="24"/>
          <w:szCs w:val="24"/>
          <w:highlight w:val="none"/>
        </w:rPr>
        <w:t>（供应商名称）的法定代表人（单位负责人），现委托</w:t>
      </w:r>
      <w:r>
        <w:rPr>
          <w:rFonts w:hint="eastAsia" w:ascii="仿宋" w:hAnsi="仿宋"/>
          <w:sz w:val="24"/>
          <w:szCs w:val="24"/>
          <w:highlight w:val="none"/>
          <w:u w:val="single"/>
        </w:rPr>
        <w:t>　　　　</w:t>
      </w:r>
      <w:r>
        <w:rPr>
          <w:rFonts w:hint="eastAsia" w:ascii="仿宋" w:hAnsi="仿宋"/>
          <w:sz w:val="24"/>
          <w:szCs w:val="24"/>
          <w:highlight w:val="none"/>
        </w:rPr>
        <w:t>（姓名）为我方代理人。代理人根据授权，以我方名义签署、澄清确认、递交、撤回、修改</w:t>
      </w:r>
      <w:r>
        <w:rPr>
          <w:rFonts w:hint="eastAsia" w:ascii="仿宋" w:hAnsi="仿宋"/>
          <w:sz w:val="24"/>
          <w:szCs w:val="24"/>
          <w:highlight w:val="none"/>
          <w:u w:val="single"/>
        </w:rPr>
        <w:t>　　　　　　　　</w:t>
      </w:r>
      <w:r>
        <w:rPr>
          <w:rFonts w:hint="eastAsia" w:ascii="仿宋" w:hAnsi="仿宋"/>
          <w:sz w:val="24"/>
          <w:szCs w:val="24"/>
          <w:highlight w:val="none"/>
        </w:rPr>
        <w:t>谈判采购项目响应文件、签订合同和处理有关事宜，其法律后果由我方承担。</w:t>
      </w:r>
    </w:p>
    <w:p w14:paraId="681374FA">
      <w:pPr>
        <w:spacing w:line="360" w:lineRule="auto"/>
        <w:jc w:val="left"/>
        <w:rPr>
          <w:rFonts w:ascii="仿宋" w:hAnsi="仿宋"/>
          <w:sz w:val="24"/>
          <w:szCs w:val="24"/>
          <w:highlight w:val="none"/>
        </w:rPr>
      </w:pPr>
      <w:r>
        <w:rPr>
          <w:rFonts w:hint="eastAsia" w:ascii="仿宋" w:hAnsi="仿宋"/>
          <w:sz w:val="24"/>
          <w:szCs w:val="24"/>
          <w:highlight w:val="none"/>
        </w:rPr>
        <w:t>　　委托期限：自本委托书签署之日起至止。</w:t>
      </w:r>
      <w:r>
        <w:rPr>
          <w:rFonts w:hint="eastAsia" w:ascii="仿宋" w:hAnsi="仿宋"/>
          <w:sz w:val="24"/>
          <w:szCs w:val="24"/>
          <w:highlight w:val="none"/>
          <w:u w:val="single"/>
        </w:rPr>
        <w:t>　　　　　</w:t>
      </w:r>
      <w:r>
        <w:rPr>
          <w:rFonts w:hint="eastAsia" w:ascii="仿宋" w:hAnsi="仿宋"/>
          <w:sz w:val="24"/>
          <w:szCs w:val="24"/>
          <w:highlight w:val="none"/>
        </w:rPr>
        <w:t>谈判采购项目签订采购合同之日止。</w:t>
      </w:r>
    </w:p>
    <w:p w14:paraId="1C7D21DC">
      <w:pPr>
        <w:spacing w:line="360" w:lineRule="auto"/>
        <w:rPr>
          <w:rFonts w:ascii="仿宋" w:hAnsi="仿宋"/>
          <w:sz w:val="24"/>
          <w:szCs w:val="24"/>
          <w:highlight w:val="none"/>
        </w:rPr>
      </w:pPr>
      <w:r>
        <w:rPr>
          <w:rFonts w:hint="eastAsia" w:ascii="仿宋" w:hAnsi="仿宋"/>
          <w:sz w:val="24"/>
          <w:szCs w:val="24"/>
          <w:highlight w:val="none"/>
        </w:rPr>
        <w:t>　　代理人无转委托权。</w:t>
      </w:r>
    </w:p>
    <w:p w14:paraId="60BD9C27">
      <w:pPr>
        <w:spacing w:line="360" w:lineRule="auto"/>
        <w:rPr>
          <w:rFonts w:ascii="仿宋" w:hAnsi="仿宋"/>
          <w:sz w:val="24"/>
          <w:szCs w:val="24"/>
          <w:highlight w:val="none"/>
        </w:rPr>
      </w:pPr>
      <w:r>
        <w:rPr>
          <w:rFonts w:hint="eastAsia" w:ascii="仿宋" w:hAnsi="仿宋"/>
          <w:sz w:val="24"/>
          <w:szCs w:val="24"/>
          <w:highlight w:val="none"/>
        </w:rPr>
        <w:t>　　</w:t>
      </w:r>
    </w:p>
    <w:p w14:paraId="2FC97901">
      <w:pPr>
        <w:spacing w:line="360" w:lineRule="auto"/>
        <w:rPr>
          <w:rFonts w:ascii="仿宋" w:hAnsi="仿宋"/>
          <w:sz w:val="24"/>
          <w:szCs w:val="24"/>
          <w:highlight w:val="none"/>
        </w:rPr>
      </w:pPr>
      <w:r>
        <w:rPr>
          <w:rFonts w:hint="eastAsia" w:ascii="仿宋" w:hAnsi="仿宋"/>
          <w:sz w:val="24"/>
          <w:szCs w:val="24"/>
          <w:highlight w:val="none"/>
        </w:rPr>
        <w:t>　　</w:t>
      </w:r>
    </w:p>
    <w:p w14:paraId="48EE67E0">
      <w:pPr>
        <w:spacing w:line="360" w:lineRule="auto"/>
        <w:rPr>
          <w:rFonts w:ascii="仿宋" w:hAnsi="仿宋"/>
          <w:sz w:val="24"/>
          <w:szCs w:val="24"/>
          <w:highlight w:val="none"/>
        </w:rPr>
      </w:pPr>
      <w:r>
        <w:rPr>
          <w:rFonts w:hint="eastAsia" w:ascii="仿宋" w:hAnsi="仿宋"/>
          <w:sz w:val="24"/>
          <w:szCs w:val="24"/>
          <w:highlight w:val="none"/>
        </w:rPr>
        <w:t>　　</w:t>
      </w:r>
    </w:p>
    <w:p w14:paraId="05B35C7D">
      <w:pPr>
        <w:spacing w:line="360" w:lineRule="auto"/>
        <w:rPr>
          <w:rFonts w:ascii="仿宋" w:hAnsi="仿宋"/>
          <w:sz w:val="24"/>
          <w:szCs w:val="24"/>
          <w:highlight w:val="none"/>
        </w:rPr>
      </w:pPr>
      <w:r>
        <w:rPr>
          <w:rFonts w:hint="eastAsia" w:ascii="仿宋" w:hAnsi="仿宋"/>
          <w:sz w:val="24"/>
          <w:szCs w:val="24"/>
          <w:highlight w:val="none"/>
        </w:rPr>
        <w:t>　　供应商：　　（盖单位章）</w:t>
      </w:r>
    </w:p>
    <w:p w14:paraId="0F33DE8E">
      <w:pPr>
        <w:spacing w:line="360" w:lineRule="auto"/>
        <w:rPr>
          <w:rFonts w:ascii="仿宋" w:hAnsi="仿宋"/>
          <w:sz w:val="24"/>
          <w:szCs w:val="24"/>
          <w:highlight w:val="none"/>
        </w:rPr>
      </w:pPr>
      <w:r>
        <w:rPr>
          <w:rFonts w:hint="eastAsia" w:ascii="仿宋" w:hAnsi="仿宋"/>
          <w:sz w:val="24"/>
          <w:szCs w:val="24"/>
          <w:highlight w:val="none"/>
        </w:rPr>
        <w:t>　　法定代表人（单位负责人）：　　（签字）</w:t>
      </w:r>
    </w:p>
    <w:p w14:paraId="7A1DEDD1">
      <w:pPr>
        <w:spacing w:line="360" w:lineRule="auto"/>
        <w:rPr>
          <w:rFonts w:ascii="仿宋" w:hAnsi="仿宋"/>
          <w:sz w:val="24"/>
          <w:szCs w:val="24"/>
          <w:highlight w:val="none"/>
        </w:rPr>
      </w:pPr>
      <w:r>
        <w:rPr>
          <w:rFonts w:hint="eastAsia" w:ascii="仿宋" w:hAnsi="仿宋"/>
          <w:sz w:val="24"/>
          <w:szCs w:val="24"/>
          <w:highlight w:val="none"/>
        </w:rPr>
        <w:t>　　身份证号码：</w:t>
      </w:r>
    </w:p>
    <w:p w14:paraId="2995CD7B">
      <w:pPr>
        <w:spacing w:line="360" w:lineRule="auto"/>
        <w:rPr>
          <w:rFonts w:ascii="仿宋" w:hAnsi="仿宋"/>
          <w:sz w:val="24"/>
          <w:szCs w:val="24"/>
          <w:highlight w:val="none"/>
        </w:rPr>
      </w:pPr>
      <w:r>
        <w:rPr>
          <w:rFonts w:hint="eastAsia" w:ascii="仿宋" w:hAnsi="仿宋"/>
          <w:sz w:val="24"/>
          <w:szCs w:val="24"/>
          <w:highlight w:val="none"/>
        </w:rPr>
        <w:t>　　委托代理人：　　　　　　　　　（签字）</w:t>
      </w:r>
    </w:p>
    <w:p w14:paraId="2DCD44C7">
      <w:pPr>
        <w:spacing w:line="360" w:lineRule="auto"/>
        <w:rPr>
          <w:rFonts w:ascii="仿宋" w:hAnsi="仿宋"/>
          <w:sz w:val="24"/>
          <w:szCs w:val="24"/>
          <w:highlight w:val="none"/>
        </w:rPr>
      </w:pPr>
      <w:r>
        <w:rPr>
          <w:rFonts w:hint="eastAsia" w:ascii="仿宋" w:hAnsi="仿宋"/>
          <w:sz w:val="24"/>
          <w:szCs w:val="24"/>
          <w:highlight w:val="none"/>
        </w:rPr>
        <w:t>　　身份证号码：</w:t>
      </w:r>
    </w:p>
    <w:p w14:paraId="0426E4F4">
      <w:pPr>
        <w:spacing w:line="360" w:lineRule="auto"/>
        <w:jc w:val="right"/>
        <w:rPr>
          <w:rFonts w:ascii="仿宋" w:hAnsi="仿宋"/>
          <w:sz w:val="24"/>
          <w:szCs w:val="24"/>
          <w:highlight w:val="none"/>
        </w:rPr>
      </w:pPr>
      <w:r>
        <w:rPr>
          <w:rFonts w:hint="eastAsia" w:ascii="仿宋" w:hAnsi="仿宋"/>
          <w:sz w:val="24"/>
          <w:szCs w:val="24"/>
          <w:highlight w:val="none"/>
          <w:u w:val="single"/>
        </w:rPr>
        <w:t>　　</w:t>
      </w:r>
      <w:r>
        <w:rPr>
          <w:rFonts w:hint="eastAsia" w:ascii="仿宋" w:hAnsi="仿宋"/>
          <w:sz w:val="24"/>
          <w:szCs w:val="24"/>
          <w:highlight w:val="none"/>
        </w:rPr>
        <w:t>年</w:t>
      </w:r>
      <w:r>
        <w:rPr>
          <w:rFonts w:hint="eastAsia" w:ascii="仿宋" w:hAnsi="仿宋"/>
          <w:sz w:val="24"/>
          <w:szCs w:val="24"/>
          <w:highlight w:val="none"/>
          <w:u w:val="single"/>
        </w:rPr>
        <w:t>　　</w:t>
      </w:r>
      <w:r>
        <w:rPr>
          <w:rFonts w:hint="eastAsia" w:ascii="仿宋" w:hAnsi="仿宋"/>
          <w:sz w:val="24"/>
          <w:szCs w:val="24"/>
          <w:highlight w:val="none"/>
        </w:rPr>
        <w:t>月</w:t>
      </w:r>
      <w:r>
        <w:rPr>
          <w:rFonts w:hint="eastAsia" w:ascii="仿宋" w:hAnsi="仿宋"/>
          <w:sz w:val="24"/>
          <w:szCs w:val="24"/>
          <w:highlight w:val="none"/>
          <w:u w:val="single"/>
        </w:rPr>
        <w:t>　　</w:t>
      </w:r>
      <w:r>
        <w:rPr>
          <w:rFonts w:hint="eastAsia" w:ascii="仿宋" w:hAnsi="仿宋"/>
          <w:sz w:val="24"/>
          <w:szCs w:val="24"/>
          <w:highlight w:val="none"/>
        </w:rPr>
        <w:t>日</w:t>
      </w:r>
    </w:p>
    <w:p w14:paraId="26E97785">
      <w:pPr>
        <w:spacing w:line="360" w:lineRule="auto"/>
        <w:jc w:val="right"/>
        <w:rPr>
          <w:rFonts w:ascii="仿宋" w:hAnsi="仿宋"/>
          <w:sz w:val="24"/>
          <w:szCs w:val="24"/>
          <w:highlight w:val="none"/>
        </w:rPr>
      </w:pPr>
    </w:p>
    <w:p w14:paraId="03E988D5">
      <w:pPr>
        <w:spacing w:line="360" w:lineRule="auto"/>
        <w:jc w:val="right"/>
        <w:rPr>
          <w:rFonts w:ascii="仿宋" w:hAnsi="仿宋"/>
          <w:sz w:val="24"/>
          <w:szCs w:val="24"/>
          <w:highlight w:val="none"/>
        </w:rPr>
      </w:pPr>
    </w:p>
    <w:p w14:paraId="0D2216AA">
      <w:pPr>
        <w:spacing w:line="360" w:lineRule="auto"/>
        <w:jc w:val="right"/>
        <w:rPr>
          <w:rFonts w:ascii="仿宋" w:hAnsi="仿宋"/>
          <w:sz w:val="24"/>
          <w:szCs w:val="24"/>
          <w:highlight w:val="none"/>
        </w:rPr>
      </w:pPr>
    </w:p>
    <w:p w14:paraId="6409DBB3">
      <w:pPr>
        <w:spacing w:line="360" w:lineRule="auto"/>
        <w:jc w:val="right"/>
        <w:rPr>
          <w:rFonts w:ascii="仿宋" w:hAnsi="仿宋"/>
          <w:sz w:val="24"/>
          <w:szCs w:val="24"/>
          <w:highlight w:val="none"/>
        </w:rPr>
      </w:pPr>
      <w:r>
        <w:rPr>
          <w:rFonts w:hint="eastAsia" w:ascii="仿宋" w:hAnsi="仿宋"/>
          <w:sz w:val="24"/>
          <w:szCs w:val="24"/>
          <w:highlight w:val="none"/>
        </w:rPr>
        <w:t>附：法定代表人（单位负责人）身份证复印件及委托代理人身份证复印件。</w:t>
      </w:r>
    </w:p>
    <w:p w14:paraId="1313AAC5">
      <w:pPr>
        <w:spacing w:line="360" w:lineRule="auto"/>
        <w:rPr>
          <w:rFonts w:ascii="仿宋" w:hAnsi="仿宋"/>
          <w:sz w:val="24"/>
          <w:szCs w:val="24"/>
          <w:highlight w:val="none"/>
        </w:rPr>
      </w:pPr>
      <w:r>
        <w:rPr>
          <w:rFonts w:hint="eastAsia" w:ascii="仿宋" w:hAnsi="仿宋"/>
          <w:sz w:val="24"/>
          <w:szCs w:val="24"/>
          <w:highlight w:val="none"/>
        </w:rPr>
        <w:br w:type="page"/>
      </w:r>
    </w:p>
    <w:p w14:paraId="67F68E48">
      <w:pPr>
        <w:pStyle w:val="15"/>
        <w:spacing w:before="0" w:after="0"/>
        <w:jc w:val="center"/>
        <w:rPr>
          <w:rFonts w:ascii="仿宋" w:hAnsi="仿宋" w:eastAsia="仿宋"/>
          <w:b/>
          <w:bCs/>
          <w:highlight w:val="none"/>
        </w:rPr>
      </w:pPr>
      <w:r>
        <w:rPr>
          <w:rFonts w:hint="eastAsia" w:ascii="仿宋" w:hAnsi="仿宋" w:eastAsia="仿宋"/>
          <w:b/>
          <w:bCs/>
          <w:highlight w:val="none"/>
        </w:rPr>
        <w:t>三、联合体协议书</w:t>
      </w:r>
    </w:p>
    <w:p w14:paraId="48B7D05F">
      <w:pPr>
        <w:spacing w:line="360" w:lineRule="auto"/>
        <w:jc w:val="center"/>
        <w:rPr>
          <w:rFonts w:ascii="仿宋" w:hAnsi="仿宋"/>
          <w:sz w:val="24"/>
          <w:szCs w:val="24"/>
          <w:highlight w:val="none"/>
        </w:rPr>
      </w:pPr>
      <w:r>
        <w:rPr>
          <w:rFonts w:hint="eastAsia" w:ascii="仿宋" w:hAnsi="仿宋"/>
          <w:sz w:val="24"/>
          <w:szCs w:val="24"/>
          <w:highlight w:val="none"/>
        </w:rPr>
        <w:t>（适用于供应商组成联合体的情况）</w:t>
      </w:r>
    </w:p>
    <w:p w14:paraId="207B2B9E">
      <w:pPr>
        <w:spacing w:line="360" w:lineRule="auto"/>
        <w:rPr>
          <w:rFonts w:ascii="仿宋" w:hAnsi="仿宋"/>
          <w:sz w:val="24"/>
          <w:szCs w:val="24"/>
          <w:highlight w:val="none"/>
        </w:rPr>
      </w:pPr>
      <w:r>
        <w:rPr>
          <w:rFonts w:hint="eastAsia" w:ascii="仿宋" w:hAnsi="仿宋"/>
          <w:sz w:val="24"/>
          <w:szCs w:val="24"/>
          <w:highlight w:val="none"/>
        </w:rPr>
        <w:t>　　</w:t>
      </w:r>
      <w:r>
        <w:rPr>
          <w:rFonts w:hint="eastAsia" w:ascii="仿宋" w:hAnsi="仿宋"/>
          <w:sz w:val="24"/>
          <w:szCs w:val="24"/>
          <w:highlight w:val="none"/>
          <w:u w:val="single"/>
        </w:rPr>
        <w:t>　　　　</w:t>
      </w:r>
      <w:r>
        <w:rPr>
          <w:rFonts w:hint="eastAsia" w:ascii="仿宋" w:hAnsi="仿宋"/>
          <w:sz w:val="24"/>
          <w:szCs w:val="24"/>
          <w:highlight w:val="none"/>
        </w:rPr>
        <w:t>（所有成员单位名称）自愿组成</w:t>
      </w:r>
      <w:r>
        <w:rPr>
          <w:rFonts w:hint="eastAsia" w:ascii="仿宋" w:hAnsi="仿宋"/>
          <w:sz w:val="24"/>
          <w:szCs w:val="24"/>
          <w:highlight w:val="none"/>
          <w:u w:val="single"/>
        </w:rPr>
        <w:t>　　　　</w:t>
      </w:r>
      <w:r>
        <w:rPr>
          <w:rFonts w:hint="eastAsia" w:ascii="仿宋" w:hAnsi="仿宋"/>
          <w:sz w:val="24"/>
          <w:szCs w:val="24"/>
          <w:highlight w:val="none"/>
        </w:rPr>
        <w:t>（联合体名称）联合体，共同参加</w:t>
      </w:r>
      <w:r>
        <w:rPr>
          <w:rFonts w:hint="eastAsia" w:ascii="仿宋" w:hAnsi="仿宋"/>
          <w:sz w:val="24"/>
          <w:szCs w:val="24"/>
          <w:highlight w:val="none"/>
          <w:u w:val="single"/>
        </w:rPr>
        <w:t>　　　　</w:t>
      </w:r>
      <w:r>
        <w:rPr>
          <w:rFonts w:hint="eastAsia" w:ascii="仿宋" w:hAnsi="仿宋"/>
          <w:sz w:val="24"/>
          <w:szCs w:val="24"/>
          <w:highlight w:val="none"/>
        </w:rPr>
        <w:t>（项目名称）谈判活动。现就组成联合体事宜订立如下协议。</w:t>
      </w:r>
    </w:p>
    <w:p w14:paraId="3BCC8F06">
      <w:pPr>
        <w:spacing w:line="360" w:lineRule="auto"/>
        <w:rPr>
          <w:rFonts w:ascii="仿宋" w:hAnsi="仿宋"/>
          <w:sz w:val="24"/>
          <w:szCs w:val="24"/>
          <w:highlight w:val="none"/>
        </w:rPr>
      </w:pPr>
      <w:r>
        <w:rPr>
          <w:rFonts w:hint="eastAsia" w:ascii="仿宋" w:hAnsi="仿宋"/>
          <w:sz w:val="24"/>
          <w:szCs w:val="24"/>
          <w:highlight w:val="none"/>
        </w:rPr>
        <w:t>　　1.</w:t>
      </w:r>
      <w:r>
        <w:rPr>
          <w:rFonts w:hint="eastAsia" w:ascii="仿宋" w:hAnsi="仿宋"/>
          <w:sz w:val="24"/>
          <w:szCs w:val="24"/>
          <w:highlight w:val="none"/>
          <w:u w:val="single"/>
        </w:rPr>
        <w:t>　　　　</w:t>
      </w:r>
      <w:r>
        <w:rPr>
          <w:rFonts w:hint="eastAsia" w:ascii="仿宋" w:hAnsi="仿宋"/>
          <w:sz w:val="24"/>
          <w:szCs w:val="24"/>
          <w:highlight w:val="none"/>
        </w:rPr>
        <w:t>（某成员单位名称）为</w:t>
      </w:r>
      <w:r>
        <w:rPr>
          <w:rFonts w:hint="eastAsia" w:ascii="仿宋" w:hAnsi="仿宋"/>
          <w:sz w:val="24"/>
          <w:szCs w:val="24"/>
          <w:highlight w:val="none"/>
          <w:u w:val="single"/>
        </w:rPr>
        <w:t>　　　　</w:t>
      </w:r>
      <w:r>
        <w:rPr>
          <w:rFonts w:hint="eastAsia" w:ascii="仿宋" w:hAnsi="仿宋"/>
          <w:sz w:val="24"/>
          <w:szCs w:val="24"/>
          <w:highlight w:val="none"/>
        </w:rPr>
        <w:t>（联合体名称）牵头人。</w:t>
      </w:r>
    </w:p>
    <w:p w14:paraId="67F6B9EF">
      <w:pPr>
        <w:spacing w:line="360" w:lineRule="auto"/>
        <w:rPr>
          <w:rFonts w:ascii="仿宋" w:hAnsi="仿宋"/>
          <w:sz w:val="24"/>
          <w:szCs w:val="24"/>
          <w:highlight w:val="none"/>
        </w:rPr>
      </w:pPr>
      <w:r>
        <w:rPr>
          <w:rFonts w:hint="eastAsia" w:ascii="仿宋" w:hAnsi="仿宋"/>
          <w:sz w:val="24"/>
          <w:szCs w:val="24"/>
          <w:highlight w:val="none"/>
        </w:rPr>
        <w:t>　　2.联合体各成员授权牵头人代表联合体参加谈判采购活动，签署文件，递交和接收相关的资料、信息及指示，进行合同谈判活动，负责合同实施阶段的组织和协调工作，以及处理与本采购项目有关的一切事宜。</w:t>
      </w:r>
    </w:p>
    <w:p w14:paraId="6A804133">
      <w:pPr>
        <w:spacing w:line="360" w:lineRule="auto"/>
        <w:rPr>
          <w:rFonts w:ascii="仿宋" w:hAnsi="仿宋"/>
          <w:sz w:val="24"/>
          <w:szCs w:val="24"/>
          <w:highlight w:val="none"/>
        </w:rPr>
      </w:pPr>
      <w:r>
        <w:rPr>
          <w:rFonts w:hint="eastAsia" w:ascii="仿宋" w:hAnsi="仿宋"/>
          <w:sz w:val="24"/>
          <w:szCs w:val="24"/>
          <w:highlight w:val="none"/>
        </w:rPr>
        <w:t>　　3.联合体牵头人在本项目中签署的一切文件和处理的一切事宜，联合体各成员均予以承认。联合体各成员将严格按照采购文件、响应文件和合同的要求全面履行义务，并向采购人承担连带责任。</w:t>
      </w:r>
    </w:p>
    <w:p w14:paraId="48163FB5">
      <w:pPr>
        <w:spacing w:line="360" w:lineRule="auto"/>
        <w:rPr>
          <w:rFonts w:ascii="仿宋" w:hAnsi="仿宋"/>
          <w:sz w:val="24"/>
          <w:szCs w:val="24"/>
          <w:highlight w:val="none"/>
        </w:rPr>
      </w:pPr>
      <w:r>
        <w:rPr>
          <w:rFonts w:hint="eastAsia" w:ascii="仿宋" w:hAnsi="仿宋"/>
          <w:sz w:val="24"/>
          <w:szCs w:val="24"/>
          <w:highlight w:val="none"/>
        </w:rPr>
        <w:t>　　4.联合体各方承诺不以自己名义单独或参加其他联合体参与本谈判采购项目。</w:t>
      </w:r>
    </w:p>
    <w:p w14:paraId="3ED3BB99">
      <w:pPr>
        <w:spacing w:line="360" w:lineRule="auto"/>
        <w:rPr>
          <w:rFonts w:ascii="仿宋" w:hAnsi="仿宋"/>
          <w:sz w:val="24"/>
          <w:szCs w:val="24"/>
          <w:highlight w:val="none"/>
        </w:rPr>
      </w:pPr>
      <w:r>
        <w:rPr>
          <w:rFonts w:hint="eastAsia" w:ascii="仿宋" w:hAnsi="仿宋"/>
          <w:sz w:val="24"/>
          <w:szCs w:val="24"/>
          <w:highlight w:val="none"/>
        </w:rPr>
        <w:t>　　5.联合体各成员单位内部的职责分工如下：</w:t>
      </w:r>
    </w:p>
    <w:p w14:paraId="1CE29398">
      <w:pPr>
        <w:spacing w:line="360" w:lineRule="auto"/>
        <w:rPr>
          <w:rFonts w:ascii="仿宋" w:hAnsi="仿宋"/>
          <w:sz w:val="24"/>
          <w:szCs w:val="24"/>
          <w:highlight w:val="none"/>
        </w:rPr>
      </w:pPr>
      <w:r>
        <w:rPr>
          <w:rFonts w:hint="eastAsia" w:ascii="仿宋" w:hAnsi="仿宋"/>
          <w:sz w:val="24"/>
          <w:szCs w:val="24"/>
          <w:highlight w:val="none"/>
        </w:rPr>
        <w:t>　　</w:t>
      </w:r>
    </w:p>
    <w:p w14:paraId="6BFC2C08">
      <w:pPr>
        <w:spacing w:line="360" w:lineRule="auto"/>
        <w:rPr>
          <w:rFonts w:ascii="仿宋" w:hAnsi="仿宋"/>
          <w:sz w:val="24"/>
          <w:szCs w:val="24"/>
          <w:highlight w:val="none"/>
        </w:rPr>
      </w:pPr>
      <w:r>
        <w:rPr>
          <w:rFonts w:hint="eastAsia" w:ascii="仿宋" w:hAnsi="仿宋"/>
          <w:sz w:val="24"/>
          <w:szCs w:val="24"/>
          <w:highlight w:val="none"/>
        </w:rPr>
        <w:t>　　6.本协议书自所有成员单位法定代表人（单位负责人）或其授权的代理人签字并加盖单位章之日起生效，合同履行完毕后自动失效。</w:t>
      </w:r>
    </w:p>
    <w:p w14:paraId="136D8D38">
      <w:pPr>
        <w:spacing w:line="360" w:lineRule="auto"/>
        <w:rPr>
          <w:rFonts w:ascii="仿宋" w:hAnsi="仿宋"/>
          <w:sz w:val="24"/>
          <w:szCs w:val="24"/>
          <w:highlight w:val="none"/>
        </w:rPr>
      </w:pPr>
      <w:r>
        <w:rPr>
          <w:rFonts w:hint="eastAsia" w:ascii="仿宋" w:hAnsi="仿宋"/>
          <w:sz w:val="24"/>
          <w:szCs w:val="24"/>
          <w:highlight w:val="none"/>
        </w:rPr>
        <w:t>　　7.本协议书一式</w:t>
      </w:r>
      <w:r>
        <w:rPr>
          <w:rFonts w:hint="eastAsia" w:ascii="仿宋" w:hAnsi="仿宋"/>
          <w:sz w:val="24"/>
          <w:szCs w:val="24"/>
          <w:highlight w:val="none"/>
          <w:u w:val="single"/>
        </w:rPr>
        <w:t>　　</w:t>
      </w:r>
      <w:r>
        <w:rPr>
          <w:rFonts w:hint="eastAsia" w:ascii="仿宋" w:hAnsi="仿宋"/>
          <w:sz w:val="24"/>
          <w:szCs w:val="24"/>
          <w:highlight w:val="none"/>
        </w:rPr>
        <w:t>份，联合体成员和采购人各执一份。</w:t>
      </w:r>
    </w:p>
    <w:p w14:paraId="29F7534B">
      <w:pPr>
        <w:spacing w:line="360" w:lineRule="auto"/>
        <w:rPr>
          <w:rFonts w:ascii="仿宋" w:hAnsi="仿宋"/>
          <w:sz w:val="24"/>
          <w:szCs w:val="24"/>
          <w:highlight w:val="none"/>
        </w:rPr>
      </w:pPr>
      <w:r>
        <w:rPr>
          <w:rFonts w:hint="eastAsia" w:ascii="仿宋" w:hAnsi="仿宋"/>
          <w:sz w:val="24"/>
          <w:szCs w:val="24"/>
          <w:highlight w:val="none"/>
        </w:rPr>
        <w:t>　　（注：本协议书由委托代理人签字的，应附授权委托书。）</w:t>
      </w:r>
    </w:p>
    <w:p w14:paraId="6842160E">
      <w:pPr>
        <w:spacing w:line="360" w:lineRule="auto"/>
        <w:rPr>
          <w:rFonts w:ascii="仿宋" w:hAnsi="仿宋"/>
          <w:sz w:val="24"/>
          <w:szCs w:val="24"/>
          <w:highlight w:val="none"/>
        </w:rPr>
      </w:pPr>
      <w:r>
        <w:rPr>
          <w:rFonts w:hint="eastAsia" w:ascii="仿宋" w:hAnsi="仿宋"/>
          <w:sz w:val="24"/>
          <w:szCs w:val="24"/>
          <w:highlight w:val="none"/>
        </w:rPr>
        <w:t>　　</w:t>
      </w:r>
    </w:p>
    <w:p w14:paraId="30889AD7">
      <w:pPr>
        <w:spacing w:line="360" w:lineRule="auto"/>
        <w:rPr>
          <w:rFonts w:ascii="仿宋" w:hAnsi="仿宋"/>
          <w:sz w:val="24"/>
          <w:szCs w:val="24"/>
          <w:highlight w:val="none"/>
        </w:rPr>
      </w:pPr>
      <w:r>
        <w:rPr>
          <w:rFonts w:hint="eastAsia" w:ascii="仿宋" w:hAnsi="仿宋"/>
          <w:sz w:val="24"/>
          <w:szCs w:val="24"/>
          <w:highlight w:val="none"/>
        </w:rPr>
        <w:t>　　联合体牵头人名称：　　　　　（盖单位章）</w:t>
      </w:r>
    </w:p>
    <w:p w14:paraId="11A6C57F">
      <w:pPr>
        <w:spacing w:line="360" w:lineRule="auto"/>
        <w:rPr>
          <w:rFonts w:ascii="仿宋" w:hAnsi="仿宋"/>
          <w:sz w:val="24"/>
          <w:szCs w:val="24"/>
          <w:highlight w:val="none"/>
        </w:rPr>
      </w:pPr>
      <w:r>
        <w:rPr>
          <w:rFonts w:hint="eastAsia" w:ascii="仿宋" w:hAnsi="仿宋"/>
          <w:sz w:val="24"/>
          <w:szCs w:val="24"/>
          <w:highlight w:val="none"/>
        </w:rPr>
        <w:t>　　法定代表人或其授权的代理人：　　（签字）</w:t>
      </w:r>
    </w:p>
    <w:p w14:paraId="04BB2F43">
      <w:pPr>
        <w:spacing w:line="360" w:lineRule="auto"/>
        <w:rPr>
          <w:rFonts w:ascii="仿宋" w:hAnsi="仿宋"/>
          <w:sz w:val="24"/>
          <w:szCs w:val="24"/>
          <w:highlight w:val="none"/>
        </w:rPr>
      </w:pPr>
      <w:r>
        <w:rPr>
          <w:rFonts w:hint="eastAsia" w:ascii="仿宋" w:hAnsi="仿宋"/>
          <w:sz w:val="24"/>
          <w:szCs w:val="24"/>
          <w:highlight w:val="none"/>
        </w:rPr>
        <w:t>　　联合体成员名称：　　　　　　（盖单位章）</w:t>
      </w:r>
    </w:p>
    <w:p w14:paraId="44AB375B">
      <w:pPr>
        <w:spacing w:line="360" w:lineRule="auto"/>
        <w:rPr>
          <w:rFonts w:ascii="仿宋" w:hAnsi="仿宋"/>
          <w:sz w:val="24"/>
          <w:szCs w:val="24"/>
          <w:highlight w:val="none"/>
        </w:rPr>
      </w:pPr>
      <w:r>
        <w:rPr>
          <w:rFonts w:hint="eastAsia" w:ascii="仿宋" w:hAnsi="仿宋"/>
          <w:sz w:val="24"/>
          <w:szCs w:val="24"/>
          <w:highlight w:val="none"/>
        </w:rPr>
        <w:t>　　法定代表人或其授权的代理人：　　（签字）</w:t>
      </w:r>
    </w:p>
    <w:p w14:paraId="0B2C2FF5">
      <w:pPr>
        <w:spacing w:line="360" w:lineRule="auto"/>
        <w:rPr>
          <w:rFonts w:ascii="仿宋" w:hAnsi="仿宋"/>
          <w:sz w:val="24"/>
          <w:szCs w:val="24"/>
          <w:highlight w:val="none"/>
        </w:rPr>
      </w:pPr>
      <w:r>
        <w:rPr>
          <w:rFonts w:hint="eastAsia" w:ascii="仿宋" w:hAnsi="仿宋"/>
          <w:sz w:val="24"/>
          <w:szCs w:val="24"/>
          <w:highlight w:val="none"/>
        </w:rPr>
        <w:t>　　联合体成员名称：　　　　　　（盖单位章）</w:t>
      </w:r>
    </w:p>
    <w:p w14:paraId="52561C81">
      <w:pPr>
        <w:spacing w:line="360" w:lineRule="auto"/>
        <w:rPr>
          <w:rFonts w:ascii="仿宋" w:hAnsi="仿宋"/>
          <w:sz w:val="24"/>
          <w:szCs w:val="24"/>
          <w:highlight w:val="none"/>
        </w:rPr>
      </w:pPr>
      <w:r>
        <w:rPr>
          <w:rFonts w:hint="eastAsia" w:ascii="仿宋" w:hAnsi="仿宋"/>
          <w:sz w:val="24"/>
          <w:szCs w:val="24"/>
          <w:highlight w:val="none"/>
        </w:rPr>
        <w:t>　　法定代表人或其授权的代理人：　　（签字）</w:t>
      </w:r>
    </w:p>
    <w:p w14:paraId="2C8F9AA4">
      <w:pPr>
        <w:spacing w:line="360" w:lineRule="auto"/>
        <w:jc w:val="right"/>
        <w:rPr>
          <w:rFonts w:ascii="仿宋" w:hAnsi="仿宋"/>
          <w:sz w:val="24"/>
          <w:szCs w:val="24"/>
          <w:highlight w:val="none"/>
        </w:rPr>
      </w:pPr>
      <w:r>
        <w:rPr>
          <w:rFonts w:hint="eastAsia" w:ascii="仿宋" w:hAnsi="仿宋"/>
          <w:sz w:val="24"/>
          <w:szCs w:val="24"/>
          <w:highlight w:val="none"/>
          <w:u w:val="single"/>
        </w:rPr>
        <w:t>　　</w:t>
      </w:r>
      <w:r>
        <w:rPr>
          <w:rFonts w:hint="eastAsia" w:ascii="仿宋" w:hAnsi="仿宋"/>
          <w:sz w:val="24"/>
          <w:szCs w:val="24"/>
          <w:highlight w:val="none"/>
        </w:rPr>
        <w:t>年</w:t>
      </w:r>
      <w:r>
        <w:rPr>
          <w:rFonts w:hint="eastAsia" w:ascii="仿宋" w:hAnsi="仿宋"/>
          <w:sz w:val="24"/>
          <w:szCs w:val="24"/>
          <w:highlight w:val="none"/>
          <w:u w:val="single"/>
        </w:rPr>
        <w:t>　　</w:t>
      </w:r>
      <w:r>
        <w:rPr>
          <w:rFonts w:hint="eastAsia" w:ascii="仿宋" w:hAnsi="仿宋"/>
          <w:sz w:val="24"/>
          <w:szCs w:val="24"/>
          <w:highlight w:val="none"/>
        </w:rPr>
        <w:t>月</w:t>
      </w:r>
      <w:r>
        <w:rPr>
          <w:rFonts w:hint="eastAsia" w:ascii="仿宋" w:hAnsi="仿宋"/>
          <w:sz w:val="24"/>
          <w:szCs w:val="24"/>
          <w:highlight w:val="none"/>
          <w:u w:val="single"/>
        </w:rPr>
        <w:t>　　</w:t>
      </w:r>
      <w:r>
        <w:rPr>
          <w:rFonts w:hint="eastAsia" w:ascii="仿宋" w:hAnsi="仿宋"/>
          <w:sz w:val="24"/>
          <w:szCs w:val="24"/>
          <w:highlight w:val="none"/>
        </w:rPr>
        <w:t>日</w:t>
      </w:r>
    </w:p>
    <w:p w14:paraId="34861BEB">
      <w:pPr>
        <w:spacing w:line="360" w:lineRule="auto"/>
        <w:rPr>
          <w:rFonts w:ascii="仿宋" w:hAnsi="仿宋"/>
          <w:sz w:val="24"/>
          <w:szCs w:val="24"/>
          <w:highlight w:val="none"/>
        </w:rPr>
      </w:pPr>
      <w:r>
        <w:rPr>
          <w:rFonts w:hint="eastAsia" w:ascii="仿宋" w:hAnsi="仿宋"/>
          <w:sz w:val="24"/>
          <w:szCs w:val="24"/>
          <w:highlight w:val="none"/>
        </w:rPr>
        <w:br w:type="page"/>
      </w:r>
    </w:p>
    <w:p w14:paraId="1C107D9D">
      <w:pPr>
        <w:pStyle w:val="15"/>
        <w:spacing w:before="0" w:after="0"/>
        <w:jc w:val="center"/>
        <w:rPr>
          <w:rFonts w:ascii="仿宋" w:hAnsi="仿宋" w:eastAsia="仿宋"/>
          <w:b/>
          <w:bCs/>
          <w:highlight w:val="none"/>
        </w:rPr>
      </w:pPr>
      <w:r>
        <w:rPr>
          <w:rFonts w:hint="eastAsia" w:ascii="仿宋" w:hAnsi="仿宋" w:eastAsia="仿宋"/>
          <w:b/>
          <w:bCs/>
          <w:highlight w:val="none"/>
        </w:rPr>
        <w:t>四、响应保证金</w:t>
      </w:r>
    </w:p>
    <w:p w14:paraId="392C04B5">
      <w:pPr>
        <w:spacing w:line="360" w:lineRule="auto"/>
        <w:jc w:val="center"/>
        <w:rPr>
          <w:rFonts w:ascii="仿宋" w:hAnsi="仿宋"/>
          <w:sz w:val="24"/>
          <w:szCs w:val="24"/>
          <w:highlight w:val="none"/>
        </w:rPr>
      </w:pPr>
      <w:r>
        <w:rPr>
          <w:rFonts w:hint="eastAsia" w:ascii="仿宋" w:hAnsi="仿宋"/>
          <w:sz w:val="24"/>
          <w:szCs w:val="24"/>
          <w:highlight w:val="none"/>
        </w:rPr>
        <w:t>（适用于递交响应保证金的情况）</w:t>
      </w:r>
    </w:p>
    <w:p w14:paraId="4AE69B2D">
      <w:pPr>
        <w:spacing w:line="360" w:lineRule="auto"/>
        <w:rPr>
          <w:rFonts w:ascii="仿宋" w:hAnsi="仿宋"/>
          <w:sz w:val="24"/>
          <w:szCs w:val="24"/>
          <w:highlight w:val="none"/>
        </w:rPr>
      </w:pPr>
      <w:r>
        <w:rPr>
          <w:rFonts w:hint="eastAsia" w:ascii="仿宋" w:hAnsi="仿宋"/>
          <w:sz w:val="24"/>
          <w:szCs w:val="24"/>
          <w:highlight w:val="none"/>
        </w:rPr>
        <w:t>　　1.采用转账方式的，供应商应在此提供转账凭证复印件。</w:t>
      </w:r>
    </w:p>
    <w:p w14:paraId="28247826">
      <w:pPr>
        <w:spacing w:line="360" w:lineRule="auto"/>
        <w:rPr>
          <w:rFonts w:ascii="仿宋" w:hAnsi="仿宋"/>
          <w:sz w:val="24"/>
          <w:szCs w:val="24"/>
          <w:highlight w:val="none"/>
        </w:rPr>
      </w:pPr>
      <w:r>
        <w:rPr>
          <w:rFonts w:hint="eastAsia" w:ascii="仿宋" w:hAnsi="仿宋"/>
          <w:sz w:val="24"/>
          <w:szCs w:val="24"/>
          <w:highlight w:val="none"/>
        </w:rPr>
        <w:t>　　2.采用支票、汇票等方式的，供应商应在此提供支票、汇票等的复印件，原件应单独递交。</w:t>
      </w:r>
    </w:p>
    <w:p w14:paraId="129B2CA4">
      <w:pPr>
        <w:spacing w:line="360" w:lineRule="auto"/>
        <w:rPr>
          <w:rFonts w:ascii="仿宋" w:hAnsi="仿宋"/>
          <w:sz w:val="24"/>
          <w:szCs w:val="24"/>
          <w:highlight w:val="none"/>
        </w:rPr>
      </w:pPr>
      <w:r>
        <w:rPr>
          <w:rFonts w:hint="eastAsia" w:ascii="仿宋" w:hAnsi="仿宋"/>
          <w:sz w:val="24"/>
          <w:szCs w:val="24"/>
          <w:highlight w:val="none"/>
        </w:rPr>
        <w:t>　　3.采用银行或担保机构担保函方式的，格式如下：</w:t>
      </w:r>
    </w:p>
    <w:p w14:paraId="75A07E43">
      <w:pPr>
        <w:spacing w:line="360" w:lineRule="auto"/>
        <w:rPr>
          <w:rFonts w:ascii="仿宋" w:hAnsi="仿宋"/>
          <w:sz w:val="24"/>
          <w:szCs w:val="24"/>
          <w:highlight w:val="none"/>
        </w:rPr>
      </w:pPr>
      <w:r>
        <w:rPr>
          <w:rFonts w:hint="eastAsia" w:ascii="仿宋" w:hAnsi="仿宋"/>
          <w:sz w:val="24"/>
          <w:szCs w:val="24"/>
          <w:highlight w:val="none"/>
        </w:rPr>
        <w:t>中机国际工程设计研究院有限责任公司：</w:t>
      </w:r>
    </w:p>
    <w:p w14:paraId="0AAF31C2">
      <w:pPr>
        <w:spacing w:line="360" w:lineRule="auto"/>
        <w:rPr>
          <w:rFonts w:ascii="仿宋" w:hAnsi="仿宋"/>
          <w:sz w:val="24"/>
          <w:szCs w:val="24"/>
          <w:highlight w:val="none"/>
        </w:rPr>
      </w:pPr>
      <w:r>
        <w:rPr>
          <w:rFonts w:hint="eastAsia" w:ascii="仿宋" w:hAnsi="仿宋"/>
          <w:sz w:val="24"/>
          <w:szCs w:val="24"/>
          <w:highlight w:val="none"/>
        </w:rPr>
        <w:t>　　鉴于</w:t>
      </w:r>
      <w:r>
        <w:rPr>
          <w:rFonts w:hint="eastAsia" w:ascii="仿宋" w:hAnsi="仿宋"/>
          <w:sz w:val="24"/>
          <w:szCs w:val="24"/>
          <w:highlight w:val="none"/>
          <w:u w:val="single"/>
        </w:rPr>
        <w:t>　　　　</w:t>
      </w:r>
      <w:r>
        <w:rPr>
          <w:rFonts w:hint="eastAsia" w:ascii="仿宋" w:hAnsi="仿宋"/>
          <w:sz w:val="24"/>
          <w:szCs w:val="24"/>
          <w:highlight w:val="none"/>
        </w:rPr>
        <w:t>（供应商名称）（以下称“供应商”）于</w:t>
      </w:r>
      <w:r>
        <w:rPr>
          <w:rFonts w:hint="eastAsia" w:ascii="仿宋" w:hAnsi="仿宋"/>
          <w:sz w:val="24"/>
          <w:szCs w:val="24"/>
          <w:highlight w:val="none"/>
          <w:u w:val="single"/>
        </w:rPr>
        <w:t>　　</w:t>
      </w:r>
      <w:r>
        <w:rPr>
          <w:rFonts w:hint="eastAsia" w:ascii="仿宋" w:hAnsi="仿宋"/>
          <w:sz w:val="24"/>
          <w:szCs w:val="24"/>
          <w:highlight w:val="none"/>
        </w:rPr>
        <w:t>年</w:t>
      </w:r>
      <w:r>
        <w:rPr>
          <w:rFonts w:hint="eastAsia" w:ascii="仿宋" w:hAnsi="仿宋"/>
          <w:sz w:val="24"/>
          <w:szCs w:val="24"/>
          <w:highlight w:val="none"/>
          <w:u w:val="single"/>
        </w:rPr>
        <w:t>　　</w:t>
      </w:r>
      <w:r>
        <w:rPr>
          <w:rFonts w:hint="eastAsia" w:ascii="仿宋" w:hAnsi="仿宋"/>
          <w:sz w:val="24"/>
          <w:szCs w:val="24"/>
          <w:highlight w:val="none"/>
        </w:rPr>
        <w:t>月</w:t>
      </w:r>
      <w:r>
        <w:rPr>
          <w:rFonts w:hint="eastAsia" w:ascii="仿宋" w:hAnsi="仿宋"/>
          <w:sz w:val="24"/>
          <w:szCs w:val="24"/>
          <w:highlight w:val="none"/>
          <w:u w:val="single"/>
        </w:rPr>
        <w:t>　　</w:t>
      </w:r>
      <w:r>
        <w:rPr>
          <w:rFonts w:hint="eastAsia" w:ascii="仿宋" w:hAnsi="仿宋"/>
          <w:sz w:val="24"/>
          <w:szCs w:val="24"/>
          <w:highlight w:val="none"/>
        </w:rPr>
        <w:t>日参加</w:t>
      </w:r>
      <w:r>
        <w:rPr>
          <w:rFonts w:hint="eastAsia" w:ascii="仿宋" w:hAnsi="仿宋"/>
          <w:sz w:val="24"/>
          <w:szCs w:val="24"/>
          <w:highlight w:val="none"/>
          <w:u w:val="single"/>
        </w:rPr>
        <w:t>　　　　</w:t>
      </w:r>
      <w:r>
        <w:rPr>
          <w:rFonts w:hint="eastAsia" w:ascii="仿宋" w:hAnsi="仿宋"/>
          <w:sz w:val="24"/>
          <w:szCs w:val="24"/>
          <w:highlight w:val="none"/>
        </w:rPr>
        <w:t>（项目名称）谈判采购活动，</w:t>
      </w:r>
      <w:r>
        <w:rPr>
          <w:rFonts w:hint="eastAsia" w:ascii="仿宋" w:hAnsi="仿宋"/>
          <w:sz w:val="24"/>
          <w:szCs w:val="24"/>
          <w:highlight w:val="none"/>
          <w:u w:val="single"/>
        </w:rPr>
        <w:t>　　　　</w:t>
      </w:r>
      <w:r>
        <w:rPr>
          <w:rFonts w:hint="eastAsia" w:ascii="仿宋" w:hAnsi="仿宋"/>
          <w:sz w:val="24"/>
          <w:szCs w:val="24"/>
          <w:highlight w:val="none"/>
        </w:rPr>
        <w:t>　　（担保人名称）（以下称“我方”）无条件地、不可撤销地保证：若供应商在响应文件有效期内撤销响应文件，或成交后无正当理由不与采购人订立合同，或在签订合同时向采购人提出附加条件，或不按照采购文件要求递交履约保证金，或者发生采购文件明确规定不予退还响应保证金的其他情形，我方承担保证责任。收到你方书面通知后，我方在7日内向你方无条件支付人民币（大写）。</w:t>
      </w:r>
    </w:p>
    <w:p w14:paraId="6BB53880">
      <w:pPr>
        <w:spacing w:line="360" w:lineRule="auto"/>
        <w:rPr>
          <w:rFonts w:ascii="仿宋" w:hAnsi="仿宋"/>
          <w:sz w:val="24"/>
          <w:szCs w:val="24"/>
          <w:highlight w:val="none"/>
        </w:rPr>
      </w:pPr>
      <w:r>
        <w:rPr>
          <w:rFonts w:hint="eastAsia" w:ascii="仿宋" w:hAnsi="仿宋"/>
          <w:sz w:val="24"/>
          <w:szCs w:val="24"/>
          <w:highlight w:val="none"/>
        </w:rPr>
        <w:t>　　本保函在响应文件有效期内保持有效。要求我方承担保证责任的通知应在响应文件有效期内送达我方。</w:t>
      </w:r>
    </w:p>
    <w:p w14:paraId="68C7E6F4">
      <w:pPr>
        <w:spacing w:line="360" w:lineRule="auto"/>
        <w:rPr>
          <w:rFonts w:ascii="仿宋" w:hAnsi="仿宋"/>
          <w:sz w:val="24"/>
          <w:szCs w:val="24"/>
          <w:highlight w:val="none"/>
        </w:rPr>
      </w:pPr>
      <w:r>
        <w:rPr>
          <w:rFonts w:hint="eastAsia" w:ascii="仿宋" w:hAnsi="仿宋"/>
          <w:sz w:val="24"/>
          <w:szCs w:val="24"/>
          <w:highlight w:val="none"/>
        </w:rPr>
        <w:t>　　担保人名称：　　（盖单位章）</w:t>
      </w:r>
    </w:p>
    <w:p w14:paraId="7C284EE2">
      <w:pPr>
        <w:spacing w:line="360" w:lineRule="auto"/>
        <w:rPr>
          <w:rFonts w:ascii="仿宋" w:hAnsi="仿宋"/>
          <w:sz w:val="24"/>
          <w:szCs w:val="24"/>
          <w:highlight w:val="none"/>
        </w:rPr>
      </w:pPr>
      <w:r>
        <w:rPr>
          <w:rFonts w:hint="eastAsia" w:ascii="仿宋" w:hAnsi="仿宋"/>
          <w:sz w:val="24"/>
          <w:szCs w:val="24"/>
          <w:highlight w:val="none"/>
        </w:rPr>
        <w:t>　　地址：</w:t>
      </w:r>
    </w:p>
    <w:p w14:paraId="2F49755A">
      <w:pPr>
        <w:spacing w:line="360" w:lineRule="auto"/>
        <w:rPr>
          <w:rFonts w:ascii="仿宋" w:hAnsi="仿宋"/>
          <w:sz w:val="24"/>
          <w:szCs w:val="24"/>
          <w:highlight w:val="none"/>
        </w:rPr>
      </w:pPr>
      <w:r>
        <w:rPr>
          <w:rFonts w:hint="eastAsia" w:ascii="仿宋" w:hAnsi="仿宋"/>
          <w:sz w:val="24"/>
          <w:szCs w:val="24"/>
          <w:highlight w:val="none"/>
        </w:rPr>
        <w:t>　　邮政编码：</w:t>
      </w:r>
    </w:p>
    <w:p w14:paraId="04FC0538">
      <w:pPr>
        <w:spacing w:line="360" w:lineRule="auto"/>
        <w:rPr>
          <w:rFonts w:ascii="仿宋" w:hAnsi="仿宋"/>
          <w:sz w:val="24"/>
          <w:szCs w:val="24"/>
          <w:highlight w:val="none"/>
        </w:rPr>
      </w:pPr>
      <w:r>
        <w:rPr>
          <w:rFonts w:hint="eastAsia" w:ascii="仿宋" w:hAnsi="仿宋"/>
          <w:sz w:val="24"/>
          <w:szCs w:val="24"/>
          <w:highlight w:val="none"/>
        </w:rPr>
        <w:t>　　电话：</w:t>
      </w:r>
    </w:p>
    <w:p w14:paraId="070145A6">
      <w:pPr>
        <w:spacing w:line="360" w:lineRule="auto"/>
        <w:jc w:val="right"/>
        <w:rPr>
          <w:rFonts w:ascii="仿宋" w:hAnsi="仿宋"/>
          <w:sz w:val="24"/>
          <w:szCs w:val="24"/>
          <w:highlight w:val="none"/>
        </w:rPr>
      </w:pPr>
      <w:r>
        <w:rPr>
          <w:rFonts w:hint="eastAsia" w:ascii="仿宋" w:hAnsi="仿宋"/>
          <w:sz w:val="24"/>
          <w:szCs w:val="24"/>
          <w:highlight w:val="none"/>
          <w:u w:val="single"/>
        </w:rPr>
        <w:t>　　</w:t>
      </w:r>
      <w:r>
        <w:rPr>
          <w:rFonts w:hint="eastAsia" w:ascii="仿宋" w:hAnsi="仿宋"/>
          <w:sz w:val="24"/>
          <w:szCs w:val="24"/>
          <w:highlight w:val="none"/>
        </w:rPr>
        <w:t>年</w:t>
      </w:r>
      <w:r>
        <w:rPr>
          <w:rFonts w:hint="eastAsia" w:ascii="仿宋" w:hAnsi="仿宋"/>
          <w:sz w:val="24"/>
          <w:szCs w:val="24"/>
          <w:highlight w:val="none"/>
          <w:u w:val="single"/>
        </w:rPr>
        <w:t>　　</w:t>
      </w:r>
      <w:r>
        <w:rPr>
          <w:rFonts w:hint="eastAsia" w:ascii="仿宋" w:hAnsi="仿宋"/>
          <w:sz w:val="24"/>
          <w:szCs w:val="24"/>
          <w:highlight w:val="none"/>
        </w:rPr>
        <w:t>月</w:t>
      </w:r>
      <w:r>
        <w:rPr>
          <w:rFonts w:hint="eastAsia" w:ascii="仿宋" w:hAnsi="仿宋"/>
          <w:sz w:val="24"/>
          <w:szCs w:val="24"/>
          <w:highlight w:val="none"/>
          <w:u w:val="single"/>
        </w:rPr>
        <w:t>　　</w:t>
      </w:r>
      <w:r>
        <w:rPr>
          <w:rFonts w:hint="eastAsia" w:ascii="仿宋" w:hAnsi="仿宋"/>
          <w:sz w:val="24"/>
          <w:szCs w:val="24"/>
          <w:highlight w:val="none"/>
        </w:rPr>
        <w:t>日</w:t>
      </w:r>
    </w:p>
    <w:p w14:paraId="65931DF2">
      <w:pPr>
        <w:spacing w:line="360" w:lineRule="auto"/>
        <w:rPr>
          <w:rFonts w:ascii="仿宋" w:hAnsi="仿宋"/>
          <w:sz w:val="24"/>
          <w:szCs w:val="24"/>
          <w:highlight w:val="none"/>
        </w:rPr>
      </w:pPr>
      <w:r>
        <w:rPr>
          <w:rFonts w:hint="eastAsia" w:ascii="仿宋" w:hAnsi="仿宋"/>
          <w:sz w:val="24"/>
          <w:szCs w:val="24"/>
          <w:highlight w:val="none"/>
        </w:rPr>
        <w:br w:type="page"/>
      </w:r>
    </w:p>
    <w:p w14:paraId="00DBDDCF">
      <w:pPr>
        <w:pStyle w:val="15"/>
        <w:spacing w:before="0" w:after="0"/>
        <w:jc w:val="center"/>
        <w:rPr>
          <w:rFonts w:ascii="仿宋" w:hAnsi="仿宋" w:eastAsia="仿宋"/>
          <w:b/>
          <w:bCs/>
          <w:highlight w:val="none"/>
        </w:rPr>
      </w:pPr>
      <w:r>
        <w:rPr>
          <w:rFonts w:hint="eastAsia" w:ascii="仿宋" w:hAnsi="仿宋" w:eastAsia="仿宋"/>
          <w:b/>
          <w:bCs/>
          <w:highlight w:val="none"/>
        </w:rPr>
        <w:t>五、商务和技术偏差表</w:t>
      </w:r>
    </w:p>
    <w:p w14:paraId="6055FDB5">
      <w:pPr>
        <w:spacing w:line="360" w:lineRule="auto"/>
        <w:rPr>
          <w:rFonts w:ascii="仿宋" w:hAnsi="仿宋"/>
          <w:sz w:val="24"/>
          <w:szCs w:val="24"/>
          <w:highlight w:val="none"/>
        </w:rPr>
      </w:pPr>
    </w:p>
    <w:tbl>
      <w:tblPr>
        <w:tblStyle w:val="8"/>
        <w:tblW w:w="8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6"/>
        <w:gridCol w:w="2277"/>
        <w:gridCol w:w="1981"/>
        <w:gridCol w:w="1896"/>
        <w:gridCol w:w="1848"/>
      </w:tblGrid>
      <w:tr w14:paraId="258C8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56" w:type="dxa"/>
            <w:vAlign w:val="center"/>
          </w:tcPr>
          <w:p w14:paraId="0216FF9F">
            <w:pPr>
              <w:spacing w:line="360" w:lineRule="auto"/>
              <w:jc w:val="center"/>
              <w:rPr>
                <w:rFonts w:ascii="仿宋" w:hAnsi="仿宋"/>
                <w:sz w:val="24"/>
                <w:szCs w:val="24"/>
                <w:highlight w:val="none"/>
              </w:rPr>
            </w:pPr>
            <w:r>
              <w:rPr>
                <w:rFonts w:hint="eastAsia" w:ascii="仿宋" w:hAnsi="仿宋"/>
                <w:sz w:val="24"/>
                <w:szCs w:val="24"/>
                <w:highlight w:val="none"/>
              </w:rPr>
              <w:t>序号</w:t>
            </w:r>
          </w:p>
        </w:tc>
        <w:tc>
          <w:tcPr>
            <w:tcW w:w="2277" w:type="dxa"/>
            <w:vAlign w:val="center"/>
          </w:tcPr>
          <w:p w14:paraId="2B9E8699">
            <w:pPr>
              <w:spacing w:line="360" w:lineRule="auto"/>
              <w:jc w:val="center"/>
              <w:rPr>
                <w:rFonts w:ascii="仿宋" w:hAnsi="仿宋"/>
                <w:sz w:val="24"/>
                <w:szCs w:val="24"/>
                <w:highlight w:val="none"/>
              </w:rPr>
            </w:pPr>
            <w:r>
              <w:rPr>
                <w:rFonts w:hint="eastAsia" w:ascii="仿宋" w:hAnsi="仿宋"/>
                <w:sz w:val="24"/>
                <w:szCs w:val="24"/>
                <w:highlight w:val="none"/>
              </w:rPr>
              <w:t>采购文件章节及条款号</w:t>
            </w:r>
          </w:p>
        </w:tc>
        <w:tc>
          <w:tcPr>
            <w:tcW w:w="1981" w:type="dxa"/>
            <w:vAlign w:val="center"/>
          </w:tcPr>
          <w:p w14:paraId="50B159CB">
            <w:pPr>
              <w:spacing w:line="360" w:lineRule="auto"/>
              <w:jc w:val="center"/>
              <w:rPr>
                <w:rFonts w:ascii="仿宋" w:hAnsi="仿宋"/>
                <w:sz w:val="24"/>
                <w:szCs w:val="24"/>
                <w:highlight w:val="none"/>
              </w:rPr>
            </w:pPr>
            <w:r>
              <w:rPr>
                <w:rFonts w:hint="eastAsia" w:ascii="仿宋" w:hAnsi="仿宋"/>
                <w:sz w:val="24"/>
                <w:szCs w:val="24"/>
                <w:highlight w:val="none"/>
              </w:rPr>
              <w:t>响应文件章节及条款号</w:t>
            </w:r>
          </w:p>
        </w:tc>
        <w:tc>
          <w:tcPr>
            <w:tcW w:w="1896" w:type="dxa"/>
            <w:vAlign w:val="center"/>
          </w:tcPr>
          <w:p w14:paraId="793AA5E9">
            <w:pPr>
              <w:spacing w:line="360" w:lineRule="auto"/>
              <w:jc w:val="center"/>
              <w:rPr>
                <w:rFonts w:ascii="仿宋" w:hAnsi="仿宋"/>
                <w:sz w:val="24"/>
                <w:szCs w:val="24"/>
                <w:highlight w:val="none"/>
              </w:rPr>
            </w:pPr>
            <w:r>
              <w:rPr>
                <w:rFonts w:hint="eastAsia" w:ascii="仿宋" w:hAnsi="仿宋"/>
                <w:sz w:val="24"/>
                <w:szCs w:val="24"/>
                <w:highlight w:val="none"/>
              </w:rPr>
              <w:t>偏差说明</w:t>
            </w:r>
          </w:p>
        </w:tc>
        <w:tc>
          <w:tcPr>
            <w:tcW w:w="1848" w:type="dxa"/>
            <w:vAlign w:val="center"/>
          </w:tcPr>
          <w:p w14:paraId="0AB86E80">
            <w:pPr>
              <w:spacing w:line="360" w:lineRule="auto"/>
              <w:jc w:val="center"/>
              <w:rPr>
                <w:rFonts w:ascii="仿宋" w:hAnsi="仿宋"/>
                <w:sz w:val="24"/>
                <w:szCs w:val="24"/>
                <w:highlight w:val="none"/>
              </w:rPr>
            </w:pPr>
            <w:r>
              <w:rPr>
                <w:rFonts w:hint="eastAsia" w:ascii="仿宋" w:hAnsi="仿宋"/>
                <w:sz w:val="24"/>
                <w:szCs w:val="24"/>
                <w:highlight w:val="none"/>
              </w:rPr>
              <w:t>备注</w:t>
            </w:r>
          </w:p>
        </w:tc>
      </w:tr>
      <w:tr w14:paraId="69419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556" w:type="dxa"/>
            <w:vAlign w:val="center"/>
          </w:tcPr>
          <w:p w14:paraId="6C7AB90B">
            <w:pPr>
              <w:spacing w:line="360" w:lineRule="auto"/>
              <w:rPr>
                <w:rFonts w:ascii="仿宋" w:hAnsi="仿宋"/>
                <w:sz w:val="24"/>
                <w:szCs w:val="24"/>
                <w:highlight w:val="none"/>
              </w:rPr>
            </w:pPr>
            <w:r>
              <w:rPr>
                <w:rFonts w:hint="eastAsia" w:ascii="仿宋" w:hAnsi="仿宋"/>
                <w:sz w:val="24"/>
                <w:szCs w:val="24"/>
                <w:highlight w:val="none"/>
              </w:rPr>
              <w:t>１</w:t>
            </w:r>
          </w:p>
        </w:tc>
        <w:tc>
          <w:tcPr>
            <w:tcW w:w="2277" w:type="dxa"/>
            <w:vAlign w:val="center"/>
          </w:tcPr>
          <w:p w14:paraId="7DAFB33D">
            <w:pPr>
              <w:spacing w:line="360" w:lineRule="auto"/>
              <w:rPr>
                <w:rFonts w:ascii="仿宋" w:hAnsi="仿宋"/>
                <w:sz w:val="24"/>
                <w:szCs w:val="24"/>
                <w:highlight w:val="none"/>
              </w:rPr>
            </w:pPr>
          </w:p>
        </w:tc>
        <w:tc>
          <w:tcPr>
            <w:tcW w:w="1981" w:type="dxa"/>
            <w:vAlign w:val="center"/>
          </w:tcPr>
          <w:p w14:paraId="6C6B8608">
            <w:pPr>
              <w:spacing w:line="360" w:lineRule="auto"/>
              <w:rPr>
                <w:rFonts w:ascii="仿宋" w:hAnsi="仿宋"/>
                <w:sz w:val="24"/>
                <w:szCs w:val="24"/>
                <w:highlight w:val="none"/>
              </w:rPr>
            </w:pPr>
          </w:p>
        </w:tc>
        <w:tc>
          <w:tcPr>
            <w:tcW w:w="1896" w:type="dxa"/>
            <w:vAlign w:val="center"/>
          </w:tcPr>
          <w:p w14:paraId="3C63A2F3">
            <w:pPr>
              <w:spacing w:line="360" w:lineRule="auto"/>
              <w:rPr>
                <w:rFonts w:ascii="仿宋" w:hAnsi="仿宋"/>
                <w:sz w:val="24"/>
                <w:szCs w:val="24"/>
                <w:highlight w:val="none"/>
              </w:rPr>
            </w:pPr>
          </w:p>
        </w:tc>
        <w:tc>
          <w:tcPr>
            <w:tcW w:w="1848" w:type="dxa"/>
            <w:vAlign w:val="center"/>
          </w:tcPr>
          <w:p w14:paraId="6295141C">
            <w:pPr>
              <w:spacing w:line="360" w:lineRule="auto"/>
              <w:rPr>
                <w:rFonts w:ascii="仿宋" w:hAnsi="仿宋"/>
                <w:sz w:val="24"/>
                <w:szCs w:val="24"/>
                <w:highlight w:val="none"/>
              </w:rPr>
            </w:pPr>
          </w:p>
        </w:tc>
      </w:tr>
      <w:tr w14:paraId="2310A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556" w:type="dxa"/>
            <w:vAlign w:val="center"/>
          </w:tcPr>
          <w:p w14:paraId="507278B6">
            <w:pPr>
              <w:spacing w:line="360" w:lineRule="auto"/>
              <w:rPr>
                <w:rFonts w:ascii="仿宋" w:hAnsi="仿宋"/>
                <w:sz w:val="24"/>
                <w:szCs w:val="24"/>
                <w:highlight w:val="none"/>
              </w:rPr>
            </w:pPr>
            <w:r>
              <w:rPr>
                <w:rFonts w:hint="eastAsia" w:ascii="仿宋" w:hAnsi="仿宋"/>
                <w:sz w:val="24"/>
                <w:szCs w:val="24"/>
                <w:highlight w:val="none"/>
              </w:rPr>
              <w:t>２</w:t>
            </w:r>
          </w:p>
        </w:tc>
        <w:tc>
          <w:tcPr>
            <w:tcW w:w="2277" w:type="dxa"/>
            <w:vAlign w:val="center"/>
          </w:tcPr>
          <w:p w14:paraId="49DBE6DE">
            <w:pPr>
              <w:spacing w:line="360" w:lineRule="auto"/>
              <w:rPr>
                <w:rFonts w:ascii="仿宋" w:hAnsi="仿宋"/>
                <w:sz w:val="24"/>
                <w:szCs w:val="24"/>
                <w:highlight w:val="none"/>
              </w:rPr>
            </w:pPr>
          </w:p>
        </w:tc>
        <w:tc>
          <w:tcPr>
            <w:tcW w:w="1981" w:type="dxa"/>
            <w:vAlign w:val="center"/>
          </w:tcPr>
          <w:p w14:paraId="32D5FDC6">
            <w:pPr>
              <w:spacing w:line="360" w:lineRule="auto"/>
              <w:rPr>
                <w:rFonts w:ascii="仿宋" w:hAnsi="仿宋"/>
                <w:sz w:val="24"/>
                <w:szCs w:val="24"/>
                <w:highlight w:val="none"/>
              </w:rPr>
            </w:pPr>
          </w:p>
        </w:tc>
        <w:tc>
          <w:tcPr>
            <w:tcW w:w="1896" w:type="dxa"/>
            <w:vAlign w:val="center"/>
          </w:tcPr>
          <w:p w14:paraId="0C665D85">
            <w:pPr>
              <w:spacing w:line="360" w:lineRule="auto"/>
              <w:rPr>
                <w:rFonts w:ascii="仿宋" w:hAnsi="仿宋"/>
                <w:sz w:val="24"/>
                <w:szCs w:val="24"/>
                <w:highlight w:val="none"/>
              </w:rPr>
            </w:pPr>
          </w:p>
        </w:tc>
        <w:tc>
          <w:tcPr>
            <w:tcW w:w="1848" w:type="dxa"/>
            <w:vAlign w:val="center"/>
          </w:tcPr>
          <w:p w14:paraId="134AF1C3">
            <w:pPr>
              <w:spacing w:line="360" w:lineRule="auto"/>
              <w:rPr>
                <w:rFonts w:ascii="仿宋" w:hAnsi="仿宋"/>
                <w:sz w:val="24"/>
                <w:szCs w:val="24"/>
                <w:highlight w:val="none"/>
              </w:rPr>
            </w:pPr>
          </w:p>
        </w:tc>
      </w:tr>
      <w:tr w14:paraId="6E1B7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556" w:type="dxa"/>
            <w:vAlign w:val="center"/>
          </w:tcPr>
          <w:p w14:paraId="60898949">
            <w:pPr>
              <w:spacing w:line="360" w:lineRule="auto"/>
              <w:rPr>
                <w:rFonts w:ascii="仿宋" w:hAnsi="仿宋"/>
                <w:sz w:val="24"/>
                <w:szCs w:val="24"/>
                <w:highlight w:val="none"/>
              </w:rPr>
            </w:pPr>
            <w:r>
              <w:rPr>
                <w:rFonts w:hint="eastAsia" w:ascii="仿宋" w:hAnsi="仿宋"/>
                <w:sz w:val="24"/>
                <w:szCs w:val="24"/>
                <w:highlight w:val="none"/>
              </w:rPr>
              <w:t>３</w:t>
            </w:r>
          </w:p>
        </w:tc>
        <w:tc>
          <w:tcPr>
            <w:tcW w:w="2277" w:type="dxa"/>
            <w:vAlign w:val="center"/>
          </w:tcPr>
          <w:p w14:paraId="47D43EB3">
            <w:pPr>
              <w:spacing w:line="360" w:lineRule="auto"/>
              <w:rPr>
                <w:rFonts w:ascii="仿宋" w:hAnsi="仿宋"/>
                <w:sz w:val="24"/>
                <w:szCs w:val="24"/>
                <w:highlight w:val="none"/>
              </w:rPr>
            </w:pPr>
          </w:p>
        </w:tc>
        <w:tc>
          <w:tcPr>
            <w:tcW w:w="1981" w:type="dxa"/>
            <w:vAlign w:val="center"/>
          </w:tcPr>
          <w:p w14:paraId="0DD4424A">
            <w:pPr>
              <w:spacing w:line="360" w:lineRule="auto"/>
              <w:rPr>
                <w:rFonts w:ascii="仿宋" w:hAnsi="仿宋"/>
                <w:sz w:val="24"/>
                <w:szCs w:val="24"/>
                <w:highlight w:val="none"/>
              </w:rPr>
            </w:pPr>
          </w:p>
        </w:tc>
        <w:tc>
          <w:tcPr>
            <w:tcW w:w="1896" w:type="dxa"/>
            <w:vAlign w:val="center"/>
          </w:tcPr>
          <w:p w14:paraId="3332510A">
            <w:pPr>
              <w:spacing w:line="360" w:lineRule="auto"/>
              <w:rPr>
                <w:rFonts w:ascii="仿宋" w:hAnsi="仿宋"/>
                <w:sz w:val="24"/>
                <w:szCs w:val="24"/>
                <w:highlight w:val="none"/>
              </w:rPr>
            </w:pPr>
          </w:p>
        </w:tc>
        <w:tc>
          <w:tcPr>
            <w:tcW w:w="1848" w:type="dxa"/>
            <w:vAlign w:val="center"/>
          </w:tcPr>
          <w:p w14:paraId="3F246726">
            <w:pPr>
              <w:spacing w:line="360" w:lineRule="auto"/>
              <w:rPr>
                <w:rFonts w:ascii="仿宋" w:hAnsi="仿宋"/>
                <w:sz w:val="24"/>
                <w:szCs w:val="24"/>
                <w:highlight w:val="none"/>
              </w:rPr>
            </w:pPr>
          </w:p>
        </w:tc>
      </w:tr>
      <w:tr w14:paraId="5236E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556" w:type="dxa"/>
            <w:vAlign w:val="center"/>
          </w:tcPr>
          <w:p w14:paraId="0219572D">
            <w:pPr>
              <w:spacing w:line="360" w:lineRule="auto"/>
              <w:rPr>
                <w:rFonts w:ascii="仿宋" w:hAnsi="仿宋"/>
                <w:sz w:val="24"/>
                <w:szCs w:val="24"/>
                <w:highlight w:val="none"/>
              </w:rPr>
            </w:pPr>
            <w:r>
              <w:rPr>
                <w:rFonts w:hint="eastAsia" w:ascii="仿宋" w:hAnsi="仿宋"/>
                <w:sz w:val="24"/>
                <w:szCs w:val="24"/>
                <w:highlight w:val="none"/>
              </w:rPr>
              <w:t>４</w:t>
            </w:r>
          </w:p>
        </w:tc>
        <w:tc>
          <w:tcPr>
            <w:tcW w:w="2277" w:type="dxa"/>
            <w:vAlign w:val="center"/>
          </w:tcPr>
          <w:p w14:paraId="4A5395CB">
            <w:pPr>
              <w:spacing w:line="360" w:lineRule="auto"/>
              <w:rPr>
                <w:rFonts w:ascii="仿宋" w:hAnsi="仿宋"/>
                <w:sz w:val="24"/>
                <w:szCs w:val="24"/>
                <w:highlight w:val="none"/>
              </w:rPr>
            </w:pPr>
          </w:p>
        </w:tc>
        <w:tc>
          <w:tcPr>
            <w:tcW w:w="1981" w:type="dxa"/>
            <w:vAlign w:val="center"/>
          </w:tcPr>
          <w:p w14:paraId="31C90496">
            <w:pPr>
              <w:spacing w:line="360" w:lineRule="auto"/>
              <w:rPr>
                <w:rFonts w:ascii="仿宋" w:hAnsi="仿宋"/>
                <w:sz w:val="24"/>
                <w:szCs w:val="24"/>
                <w:highlight w:val="none"/>
              </w:rPr>
            </w:pPr>
          </w:p>
        </w:tc>
        <w:tc>
          <w:tcPr>
            <w:tcW w:w="1896" w:type="dxa"/>
            <w:vAlign w:val="center"/>
          </w:tcPr>
          <w:p w14:paraId="429DFBCA">
            <w:pPr>
              <w:spacing w:line="360" w:lineRule="auto"/>
              <w:rPr>
                <w:rFonts w:ascii="仿宋" w:hAnsi="仿宋"/>
                <w:sz w:val="24"/>
                <w:szCs w:val="24"/>
                <w:highlight w:val="none"/>
              </w:rPr>
            </w:pPr>
          </w:p>
        </w:tc>
        <w:tc>
          <w:tcPr>
            <w:tcW w:w="1848" w:type="dxa"/>
            <w:vAlign w:val="center"/>
          </w:tcPr>
          <w:p w14:paraId="63AA0C45">
            <w:pPr>
              <w:spacing w:line="360" w:lineRule="auto"/>
              <w:rPr>
                <w:rFonts w:ascii="仿宋" w:hAnsi="仿宋"/>
                <w:sz w:val="24"/>
                <w:szCs w:val="24"/>
                <w:highlight w:val="none"/>
              </w:rPr>
            </w:pPr>
          </w:p>
        </w:tc>
      </w:tr>
      <w:tr w14:paraId="2EFBB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556" w:type="dxa"/>
            <w:vAlign w:val="center"/>
          </w:tcPr>
          <w:p w14:paraId="68C4391C">
            <w:pPr>
              <w:spacing w:line="360" w:lineRule="auto"/>
              <w:rPr>
                <w:rFonts w:ascii="仿宋" w:hAnsi="仿宋"/>
                <w:sz w:val="24"/>
                <w:szCs w:val="24"/>
                <w:highlight w:val="none"/>
              </w:rPr>
            </w:pPr>
            <w:r>
              <w:rPr>
                <w:rFonts w:hint="eastAsia" w:ascii="仿宋" w:hAnsi="仿宋"/>
                <w:sz w:val="24"/>
                <w:szCs w:val="24"/>
                <w:highlight w:val="none"/>
              </w:rPr>
              <w:t>５</w:t>
            </w:r>
          </w:p>
        </w:tc>
        <w:tc>
          <w:tcPr>
            <w:tcW w:w="2277" w:type="dxa"/>
            <w:vAlign w:val="center"/>
          </w:tcPr>
          <w:p w14:paraId="5058BBF7">
            <w:pPr>
              <w:spacing w:line="360" w:lineRule="auto"/>
              <w:rPr>
                <w:rFonts w:ascii="仿宋" w:hAnsi="仿宋"/>
                <w:sz w:val="24"/>
                <w:szCs w:val="24"/>
                <w:highlight w:val="none"/>
              </w:rPr>
            </w:pPr>
          </w:p>
        </w:tc>
        <w:tc>
          <w:tcPr>
            <w:tcW w:w="1981" w:type="dxa"/>
            <w:vAlign w:val="center"/>
          </w:tcPr>
          <w:p w14:paraId="5A40169A">
            <w:pPr>
              <w:spacing w:line="360" w:lineRule="auto"/>
              <w:rPr>
                <w:rFonts w:ascii="仿宋" w:hAnsi="仿宋"/>
                <w:sz w:val="24"/>
                <w:szCs w:val="24"/>
                <w:highlight w:val="none"/>
              </w:rPr>
            </w:pPr>
          </w:p>
        </w:tc>
        <w:tc>
          <w:tcPr>
            <w:tcW w:w="1896" w:type="dxa"/>
            <w:vAlign w:val="center"/>
          </w:tcPr>
          <w:p w14:paraId="33D5F89D">
            <w:pPr>
              <w:spacing w:line="360" w:lineRule="auto"/>
              <w:rPr>
                <w:rFonts w:ascii="仿宋" w:hAnsi="仿宋"/>
                <w:sz w:val="24"/>
                <w:szCs w:val="24"/>
                <w:highlight w:val="none"/>
              </w:rPr>
            </w:pPr>
          </w:p>
        </w:tc>
        <w:tc>
          <w:tcPr>
            <w:tcW w:w="1848" w:type="dxa"/>
            <w:vAlign w:val="center"/>
          </w:tcPr>
          <w:p w14:paraId="1B653669">
            <w:pPr>
              <w:spacing w:line="360" w:lineRule="auto"/>
              <w:rPr>
                <w:rFonts w:ascii="仿宋" w:hAnsi="仿宋"/>
                <w:sz w:val="24"/>
                <w:szCs w:val="24"/>
                <w:highlight w:val="none"/>
              </w:rPr>
            </w:pPr>
          </w:p>
        </w:tc>
      </w:tr>
      <w:tr w14:paraId="244FA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556" w:type="dxa"/>
            <w:vAlign w:val="center"/>
          </w:tcPr>
          <w:p w14:paraId="1C0F87FC">
            <w:pPr>
              <w:spacing w:line="360" w:lineRule="auto"/>
              <w:rPr>
                <w:rFonts w:ascii="仿宋" w:hAnsi="仿宋"/>
                <w:sz w:val="24"/>
                <w:szCs w:val="24"/>
                <w:highlight w:val="none"/>
              </w:rPr>
            </w:pPr>
          </w:p>
        </w:tc>
        <w:tc>
          <w:tcPr>
            <w:tcW w:w="2277" w:type="dxa"/>
            <w:vAlign w:val="center"/>
          </w:tcPr>
          <w:p w14:paraId="3E97BCB6">
            <w:pPr>
              <w:spacing w:line="360" w:lineRule="auto"/>
              <w:rPr>
                <w:rFonts w:ascii="仿宋" w:hAnsi="仿宋"/>
                <w:sz w:val="24"/>
                <w:szCs w:val="24"/>
                <w:highlight w:val="none"/>
              </w:rPr>
            </w:pPr>
          </w:p>
        </w:tc>
        <w:tc>
          <w:tcPr>
            <w:tcW w:w="1981" w:type="dxa"/>
            <w:vAlign w:val="center"/>
          </w:tcPr>
          <w:p w14:paraId="1FCC0D9B">
            <w:pPr>
              <w:spacing w:line="360" w:lineRule="auto"/>
              <w:rPr>
                <w:rFonts w:ascii="仿宋" w:hAnsi="仿宋"/>
                <w:sz w:val="24"/>
                <w:szCs w:val="24"/>
                <w:highlight w:val="none"/>
              </w:rPr>
            </w:pPr>
          </w:p>
        </w:tc>
        <w:tc>
          <w:tcPr>
            <w:tcW w:w="1896" w:type="dxa"/>
            <w:vAlign w:val="center"/>
          </w:tcPr>
          <w:p w14:paraId="1ED21A7F">
            <w:pPr>
              <w:spacing w:line="360" w:lineRule="auto"/>
              <w:rPr>
                <w:rFonts w:ascii="仿宋" w:hAnsi="仿宋"/>
                <w:sz w:val="24"/>
                <w:szCs w:val="24"/>
                <w:highlight w:val="none"/>
              </w:rPr>
            </w:pPr>
          </w:p>
        </w:tc>
        <w:tc>
          <w:tcPr>
            <w:tcW w:w="1848" w:type="dxa"/>
            <w:vAlign w:val="center"/>
          </w:tcPr>
          <w:p w14:paraId="405406C3">
            <w:pPr>
              <w:spacing w:line="360" w:lineRule="auto"/>
              <w:rPr>
                <w:rFonts w:ascii="仿宋" w:hAnsi="仿宋"/>
                <w:sz w:val="24"/>
                <w:szCs w:val="24"/>
                <w:highlight w:val="none"/>
              </w:rPr>
            </w:pPr>
          </w:p>
        </w:tc>
      </w:tr>
      <w:tr w14:paraId="5B0F7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556" w:type="dxa"/>
            <w:vAlign w:val="center"/>
          </w:tcPr>
          <w:p w14:paraId="7D59FA87">
            <w:pPr>
              <w:spacing w:line="360" w:lineRule="auto"/>
              <w:rPr>
                <w:rFonts w:ascii="仿宋" w:hAnsi="仿宋"/>
                <w:sz w:val="24"/>
                <w:szCs w:val="24"/>
                <w:highlight w:val="none"/>
              </w:rPr>
            </w:pPr>
          </w:p>
        </w:tc>
        <w:tc>
          <w:tcPr>
            <w:tcW w:w="2277" w:type="dxa"/>
            <w:vAlign w:val="center"/>
          </w:tcPr>
          <w:p w14:paraId="5224AEB1">
            <w:pPr>
              <w:spacing w:line="360" w:lineRule="auto"/>
              <w:rPr>
                <w:rFonts w:ascii="仿宋" w:hAnsi="仿宋"/>
                <w:sz w:val="24"/>
                <w:szCs w:val="24"/>
                <w:highlight w:val="none"/>
              </w:rPr>
            </w:pPr>
          </w:p>
        </w:tc>
        <w:tc>
          <w:tcPr>
            <w:tcW w:w="1981" w:type="dxa"/>
            <w:vAlign w:val="center"/>
          </w:tcPr>
          <w:p w14:paraId="1F8D5221">
            <w:pPr>
              <w:spacing w:line="360" w:lineRule="auto"/>
              <w:rPr>
                <w:rFonts w:ascii="仿宋" w:hAnsi="仿宋"/>
                <w:sz w:val="24"/>
                <w:szCs w:val="24"/>
                <w:highlight w:val="none"/>
              </w:rPr>
            </w:pPr>
          </w:p>
        </w:tc>
        <w:tc>
          <w:tcPr>
            <w:tcW w:w="1896" w:type="dxa"/>
            <w:vAlign w:val="center"/>
          </w:tcPr>
          <w:p w14:paraId="313F5FAE">
            <w:pPr>
              <w:spacing w:line="360" w:lineRule="auto"/>
              <w:rPr>
                <w:rFonts w:ascii="仿宋" w:hAnsi="仿宋"/>
                <w:sz w:val="24"/>
                <w:szCs w:val="24"/>
                <w:highlight w:val="none"/>
              </w:rPr>
            </w:pPr>
          </w:p>
        </w:tc>
        <w:tc>
          <w:tcPr>
            <w:tcW w:w="1848" w:type="dxa"/>
            <w:vAlign w:val="center"/>
          </w:tcPr>
          <w:p w14:paraId="2CCC966E">
            <w:pPr>
              <w:spacing w:line="360" w:lineRule="auto"/>
              <w:rPr>
                <w:rFonts w:ascii="仿宋" w:hAnsi="仿宋"/>
                <w:sz w:val="24"/>
                <w:szCs w:val="24"/>
                <w:highlight w:val="none"/>
              </w:rPr>
            </w:pPr>
          </w:p>
        </w:tc>
      </w:tr>
      <w:tr w14:paraId="412F5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556" w:type="dxa"/>
            <w:vAlign w:val="center"/>
          </w:tcPr>
          <w:p w14:paraId="488F5628">
            <w:pPr>
              <w:spacing w:line="360" w:lineRule="auto"/>
              <w:rPr>
                <w:rFonts w:ascii="仿宋" w:hAnsi="仿宋"/>
                <w:sz w:val="24"/>
                <w:szCs w:val="24"/>
                <w:highlight w:val="none"/>
              </w:rPr>
            </w:pPr>
          </w:p>
        </w:tc>
        <w:tc>
          <w:tcPr>
            <w:tcW w:w="2277" w:type="dxa"/>
            <w:vAlign w:val="center"/>
          </w:tcPr>
          <w:p w14:paraId="64E18B8D">
            <w:pPr>
              <w:spacing w:line="360" w:lineRule="auto"/>
              <w:rPr>
                <w:rFonts w:ascii="仿宋" w:hAnsi="仿宋"/>
                <w:sz w:val="24"/>
                <w:szCs w:val="24"/>
                <w:highlight w:val="none"/>
              </w:rPr>
            </w:pPr>
          </w:p>
        </w:tc>
        <w:tc>
          <w:tcPr>
            <w:tcW w:w="1981" w:type="dxa"/>
            <w:vAlign w:val="center"/>
          </w:tcPr>
          <w:p w14:paraId="77B70A2C">
            <w:pPr>
              <w:spacing w:line="360" w:lineRule="auto"/>
              <w:rPr>
                <w:rFonts w:ascii="仿宋" w:hAnsi="仿宋"/>
                <w:sz w:val="24"/>
                <w:szCs w:val="24"/>
                <w:highlight w:val="none"/>
              </w:rPr>
            </w:pPr>
          </w:p>
        </w:tc>
        <w:tc>
          <w:tcPr>
            <w:tcW w:w="1896" w:type="dxa"/>
            <w:vAlign w:val="center"/>
          </w:tcPr>
          <w:p w14:paraId="50BE6931">
            <w:pPr>
              <w:spacing w:line="360" w:lineRule="auto"/>
              <w:rPr>
                <w:rFonts w:ascii="仿宋" w:hAnsi="仿宋"/>
                <w:sz w:val="24"/>
                <w:szCs w:val="24"/>
                <w:highlight w:val="none"/>
              </w:rPr>
            </w:pPr>
          </w:p>
        </w:tc>
        <w:tc>
          <w:tcPr>
            <w:tcW w:w="1848" w:type="dxa"/>
            <w:vAlign w:val="center"/>
          </w:tcPr>
          <w:p w14:paraId="7BA4A848">
            <w:pPr>
              <w:spacing w:line="360" w:lineRule="auto"/>
              <w:rPr>
                <w:rFonts w:ascii="仿宋" w:hAnsi="仿宋"/>
                <w:sz w:val="24"/>
                <w:szCs w:val="24"/>
                <w:highlight w:val="none"/>
              </w:rPr>
            </w:pPr>
          </w:p>
        </w:tc>
      </w:tr>
    </w:tbl>
    <w:p w14:paraId="2DABE3D2">
      <w:pPr>
        <w:spacing w:line="360" w:lineRule="auto"/>
        <w:jc w:val="right"/>
        <w:rPr>
          <w:rFonts w:ascii="仿宋" w:hAnsi="仿宋"/>
          <w:sz w:val="24"/>
          <w:szCs w:val="24"/>
          <w:highlight w:val="none"/>
        </w:rPr>
      </w:pPr>
      <w:r>
        <w:rPr>
          <w:rFonts w:hint="eastAsia" w:ascii="仿宋" w:hAnsi="仿宋"/>
          <w:sz w:val="24"/>
          <w:szCs w:val="24"/>
          <w:highlight w:val="none"/>
        </w:rPr>
        <w:t>　　供应商名称：</w:t>
      </w:r>
      <w:r>
        <w:rPr>
          <w:rFonts w:hint="eastAsia" w:ascii="仿宋" w:hAnsi="仿宋"/>
          <w:sz w:val="24"/>
          <w:szCs w:val="24"/>
          <w:highlight w:val="none"/>
          <w:u w:val="single"/>
        </w:rPr>
        <w:t>　　　　　　</w:t>
      </w:r>
      <w:r>
        <w:rPr>
          <w:rFonts w:hint="eastAsia" w:ascii="仿宋" w:hAnsi="仿宋"/>
          <w:sz w:val="24"/>
          <w:szCs w:val="24"/>
          <w:highlight w:val="none"/>
        </w:rPr>
        <w:t>（盖单位章）</w:t>
      </w:r>
    </w:p>
    <w:p w14:paraId="76B6A1D3">
      <w:pPr>
        <w:spacing w:line="360" w:lineRule="auto"/>
        <w:rPr>
          <w:rFonts w:ascii="仿宋" w:hAnsi="仿宋"/>
          <w:sz w:val="24"/>
          <w:szCs w:val="24"/>
          <w:highlight w:val="none"/>
        </w:rPr>
      </w:pPr>
      <w:r>
        <w:rPr>
          <w:rFonts w:hint="eastAsia" w:ascii="仿宋" w:hAnsi="仿宋"/>
          <w:sz w:val="24"/>
          <w:szCs w:val="24"/>
          <w:highlight w:val="none"/>
        </w:rPr>
        <w:br w:type="page"/>
      </w:r>
    </w:p>
    <w:p w14:paraId="6F4461A2">
      <w:pPr>
        <w:pStyle w:val="15"/>
        <w:spacing w:before="0" w:after="0"/>
        <w:jc w:val="center"/>
        <w:rPr>
          <w:rFonts w:ascii="仿宋" w:hAnsi="仿宋" w:eastAsia="仿宋"/>
          <w:b/>
          <w:bCs/>
          <w:highlight w:val="none"/>
        </w:rPr>
      </w:pPr>
      <w:r>
        <w:rPr>
          <w:rFonts w:hint="eastAsia" w:ascii="仿宋" w:hAnsi="仿宋" w:eastAsia="仿宋"/>
          <w:b/>
          <w:bCs/>
          <w:highlight w:val="none"/>
        </w:rPr>
        <w:t>六、报价表</w:t>
      </w:r>
    </w:p>
    <w:p w14:paraId="0F6F56B9">
      <w:pPr>
        <w:spacing w:line="360" w:lineRule="auto"/>
        <w:rPr>
          <w:rFonts w:ascii="仿宋" w:hAnsi="仿宋"/>
          <w:sz w:val="24"/>
          <w:szCs w:val="24"/>
          <w:highlight w:val="none"/>
        </w:rPr>
      </w:pPr>
      <w:r>
        <w:rPr>
          <w:rFonts w:hint="eastAsia" w:ascii="仿宋" w:hAnsi="仿宋"/>
          <w:sz w:val="24"/>
          <w:szCs w:val="24"/>
          <w:highlight w:val="none"/>
        </w:rPr>
        <w:t>报价人名称：                     金额单位：人民币元</w:t>
      </w:r>
    </w:p>
    <w:tbl>
      <w:tblPr>
        <w:tblStyle w:val="7"/>
        <w:tblW w:w="9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678"/>
        <w:gridCol w:w="1453"/>
        <w:gridCol w:w="1482"/>
        <w:gridCol w:w="1497"/>
        <w:gridCol w:w="2481"/>
      </w:tblGrid>
      <w:tr w14:paraId="0996B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05" w:type="dxa"/>
            <w:vAlign w:val="center"/>
          </w:tcPr>
          <w:p w14:paraId="7EE02125">
            <w:pPr>
              <w:spacing w:line="360" w:lineRule="auto"/>
              <w:jc w:val="center"/>
              <w:rPr>
                <w:rFonts w:ascii="仿宋" w:hAnsi="仿宋"/>
                <w:sz w:val="24"/>
                <w:szCs w:val="24"/>
                <w:highlight w:val="none"/>
              </w:rPr>
            </w:pPr>
            <w:r>
              <w:rPr>
                <w:rFonts w:hint="eastAsia" w:ascii="仿宋" w:hAnsi="仿宋"/>
                <w:sz w:val="24"/>
                <w:szCs w:val="24"/>
                <w:highlight w:val="none"/>
              </w:rPr>
              <w:t>序号</w:t>
            </w:r>
          </w:p>
        </w:tc>
        <w:tc>
          <w:tcPr>
            <w:tcW w:w="1678" w:type="dxa"/>
            <w:vAlign w:val="center"/>
          </w:tcPr>
          <w:p w14:paraId="7764912F">
            <w:pPr>
              <w:spacing w:line="360" w:lineRule="auto"/>
              <w:jc w:val="center"/>
              <w:rPr>
                <w:rFonts w:ascii="仿宋" w:hAnsi="仿宋"/>
                <w:sz w:val="24"/>
                <w:szCs w:val="24"/>
                <w:highlight w:val="none"/>
                <w:vertAlign w:val="superscript"/>
              </w:rPr>
            </w:pPr>
            <w:r>
              <w:rPr>
                <w:rFonts w:hint="eastAsia" w:ascii="仿宋" w:hAnsi="仿宋"/>
                <w:sz w:val="24"/>
                <w:szCs w:val="24"/>
                <w:highlight w:val="none"/>
              </w:rPr>
              <w:t>区域</w:t>
            </w:r>
          </w:p>
        </w:tc>
        <w:tc>
          <w:tcPr>
            <w:tcW w:w="1453" w:type="dxa"/>
            <w:vAlign w:val="center"/>
          </w:tcPr>
          <w:p w14:paraId="6822A4F1">
            <w:pPr>
              <w:spacing w:line="360" w:lineRule="auto"/>
              <w:jc w:val="center"/>
              <w:rPr>
                <w:rFonts w:ascii="仿宋" w:hAnsi="仿宋"/>
                <w:sz w:val="24"/>
                <w:szCs w:val="24"/>
                <w:highlight w:val="none"/>
              </w:rPr>
            </w:pPr>
            <w:r>
              <w:rPr>
                <w:rFonts w:hint="eastAsia" w:ascii="仿宋" w:hAnsi="仿宋"/>
                <w:sz w:val="24"/>
                <w:szCs w:val="24"/>
                <w:highlight w:val="none"/>
              </w:rPr>
              <w:t>面积（m</w:t>
            </w:r>
            <w:r>
              <w:rPr>
                <w:rFonts w:hint="eastAsia" w:ascii="仿宋" w:hAnsi="仿宋"/>
                <w:sz w:val="24"/>
                <w:szCs w:val="24"/>
                <w:highlight w:val="none"/>
                <w:vertAlign w:val="superscript"/>
              </w:rPr>
              <w:t>2</w:t>
            </w:r>
            <w:r>
              <w:rPr>
                <w:rFonts w:hint="eastAsia" w:ascii="仿宋" w:hAnsi="仿宋"/>
                <w:sz w:val="24"/>
                <w:szCs w:val="24"/>
                <w:highlight w:val="none"/>
              </w:rPr>
              <w:t>）</w:t>
            </w:r>
          </w:p>
        </w:tc>
        <w:tc>
          <w:tcPr>
            <w:tcW w:w="1482" w:type="dxa"/>
            <w:vAlign w:val="center"/>
          </w:tcPr>
          <w:p w14:paraId="141EAEE9">
            <w:pPr>
              <w:spacing w:line="360" w:lineRule="auto"/>
              <w:jc w:val="center"/>
              <w:rPr>
                <w:rFonts w:ascii="仿宋" w:hAnsi="仿宋"/>
                <w:sz w:val="24"/>
                <w:szCs w:val="24"/>
                <w:highlight w:val="none"/>
              </w:rPr>
            </w:pPr>
            <w:r>
              <w:rPr>
                <w:rFonts w:hint="eastAsia" w:ascii="仿宋" w:hAnsi="仿宋"/>
                <w:sz w:val="24"/>
                <w:szCs w:val="24"/>
                <w:highlight w:val="none"/>
              </w:rPr>
              <w:t>单价</w:t>
            </w:r>
          </w:p>
          <w:p w14:paraId="7828CFB2">
            <w:pPr>
              <w:spacing w:line="360" w:lineRule="auto"/>
              <w:jc w:val="center"/>
              <w:rPr>
                <w:rFonts w:ascii="仿宋" w:hAnsi="仿宋"/>
                <w:sz w:val="24"/>
                <w:szCs w:val="24"/>
                <w:highlight w:val="none"/>
              </w:rPr>
            </w:pPr>
            <w:r>
              <w:rPr>
                <w:rFonts w:hint="eastAsia" w:ascii="仿宋" w:hAnsi="仿宋"/>
                <w:sz w:val="24"/>
                <w:szCs w:val="24"/>
                <w:highlight w:val="none"/>
              </w:rPr>
              <w:t>（元/月/m</w:t>
            </w:r>
            <w:r>
              <w:rPr>
                <w:rFonts w:hint="eastAsia" w:ascii="仿宋" w:hAnsi="仿宋"/>
                <w:sz w:val="24"/>
                <w:szCs w:val="24"/>
                <w:highlight w:val="none"/>
                <w:vertAlign w:val="superscript"/>
              </w:rPr>
              <w:t>2</w:t>
            </w:r>
            <w:r>
              <w:rPr>
                <w:rFonts w:hint="eastAsia" w:ascii="仿宋" w:hAnsi="仿宋"/>
                <w:sz w:val="24"/>
                <w:szCs w:val="24"/>
                <w:highlight w:val="none"/>
              </w:rPr>
              <w:t>）</w:t>
            </w:r>
          </w:p>
        </w:tc>
        <w:tc>
          <w:tcPr>
            <w:tcW w:w="1497" w:type="dxa"/>
            <w:vAlign w:val="center"/>
          </w:tcPr>
          <w:p w14:paraId="50B4E290">
            <w:pPr>
              <w:spacing w:line="360" w:lineRule="auto"/>
              <w:jc w:val="center"/>
              <w:rPr>
                <w:rFonts w:ascii="仿宋" w:hAnsi="仿宋"/>
                <w:sz w:val="24"/>
                <w:szCs w:val="24"/>
                <w:highlight w:val="none"/>
              </w:rPr>
            </w:pPr>
            <w:r>
              <w:rPr>
                <w:rFonts w:hint="eastAsia" w:ascii="仿宋" w:hAnsi="仿宋"/>
                <w:sz w:val="24"/>
                <w:szCs w:val="24"/>
                <w:highlight w:val="none"/>
              </w:rPr>
              <w:t>总价</w:t>
            </w:r>
          </w:p>
          <w:p w14:paraId="466494BD">
            <w:pPr>
              <w:spacing w:line="360" w:lineRule="auto"/>
              <w:jc w:val="center"/>
              <w:rPr>
                <w:rFonts w:ascii="仿宋" w:hAnsi="仿宋"/>
                <w:sz w:val="24"/>
                <w:szCs w:val="24"/>
                <w:highlight w:val="none"/>
              </w:rPr>
            </w:pPr>
            <w:r>
              <w:rPr>
                <w:rFonts w:hint="eastAsia" w:ascii="仿宋" w:hAnsi="仿宋"/>
                <w:sz w:val="24"/>
                <w:szCs w:val="24"/>
                <w:highlight w:val="none"/>
              </w:rPr>
              <w:t>（元/月）</w:t>
            </w:r>
          </w:p>
        </w:tc>
        <w:tc>
          <w:tcPr>
            <w:tcW w:w="2481" w:type="dxa"/>
            <w:vAlign w:val="center"/>
          </w:tcPr>
          <w:p w14:paraId="1BAAFC1E">
            <w:pPr>
              <w:spacing w:line="360" w:lineRule="auto"/>
              <w:jc w:val="center"/>
              <w:rPr>
                <w:rFonts w:ascii="仿宋" w:hAnsi="仿宋"/>
                <w:sz w:val="24"/>
                <w:szCs w:val="24"/>
                <w:highlight w:val="none"/>
              </w:rPr>
            </w:pPr>
            <w:r>
              <w:rPr>
                <w:rFonts w:hint="eastAsia" w:ascii="仿宋" w:hAnsi="仿宋"/>
                <w:sz w:val="24"/>
                <w:szCs w:val="24"/>
                <w:highlight w:val="none"/>
              </w:rPr>
              <w:t>备注（包干价）</w:t>
            </w:r>
          </w:p>
        </w:tc>
      </w:tr>
      <w:tr w14:paraId="72D7F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705" w:type="dxa"/>
            <w:vAlign w:val="center"/>
          </w:tcPr>
          <w:p w14:paraId="76BBFE6C">
            <w:pPr>
              <w:spacing w:line="360" w:lineRule="auto"/>
              <w:jc w:val="center"/>
              <w:rPr>
                <w:rFonts w:ascii="仿宋" w:hAnsi="仿宋"/>
                <w:sz w:val="24"/>
                <w:szCs w:val="24"/>
                <w:highlight w:val="none"/>
              </w:rPr>
            </w:pPr>
            <w:r>
              <w:rPr>
                <w:rFonts w:hint="eastAsia" w:ascii="仿宋" w:hAnsi="仿宋"/>
                <w:sz w:val="24"/>
                <w:szCs w:val="24"/>
                <w:highlight w:val="none"/>
              </w:rPr>
              <w:t>1</w:t>
            </w:r>
          </w:p>
        </w:tc>
        <w:tc>
          <w:tcPr>
            <w:tcW w:w="1678" w:type="dxa"/>
            <w:vAlign w:val="center"/>
          </w:tcPr>
          <w:p w14:paraId="251C7D88">
            <w:pPr>
              <w:spacing w:line="360" w:lineRule="auto"/>
              <w:jc w:val="center"/>
              <w:rPr>
                <w:rFonts w:ascii="仿宋" w:hAnsi="仿宋"/>
                <w:sz w:val="24"/>
                <w:szCs w:val="24"/>
                <w:highlight w:val="none"/>
              </w:rPr>
            </w:pPr>
            <w:r>
              <w:rPr>
                <w:rFonts w:hint="eastAsia" w:ascii="仿宋" w:hAnsi="仿宋"/>
                <w:sz w:val="24"/>
                <w:szCs w:val="24"/>
                <w:highlight w:val="none"/>
              </w:rPr>
              <w:t>业主自用面积</w:t>
            </w:r>
          </w:p>
        </w:tc>
        <w:tc>
          <w:tcPr>
            <w:tcW w:w="1453" w:type="dxa"/>
            <w:vAlign w:val="center"/>
          </w:tcPr>
          <w:p w14:paraId="51088D77">
            <w:pPr>
              <w:widowControl/>
              <w:spacing w:line="360" w:lineRule="auto"/>
              <w:jc w:val="center"/>
              <w:textAlignment w:val="center"/>
              <w:rPr>
                <w:rFonts w:ascii="仿宋" w:hAnsi="仿宋"/>
                <w:sz w:val="24"/>
                <w:szCs w:val="24"/>
                <w:highlight w:val="none"/>
              </w:rPr>
            </w:pPr>
            <w:r>
              <w:rPr>
                <w:rFonts w:ascii="仿宋" w:hAnsi="仿宋"/>
                <w:sz w:val="24"/>
                <w:szCs w:val="24"/>
                <w:highlight w:val="none"/>
              </w:rPr>
              <w:t>380</w:t>
            </w:r>
          </w:p>
        </w:tc>
        <w:tc>
          <w:tcPr>
            <w:tcW w:w="1482" w:type="dxa"/>
            <w:vAlign w:val="center"/>
          </w:tcPr>
          <w:p w14:paraId="5027FDDF">
            <w:pPr>
              <w:widowControl/>
              <w:spacing w:line="360" w:lineRule="auto"/>
              <w:jc w:val="center"/>
              <w:textAlignment w:val="center"/>
              <w:rPr>
                <w:rFonts w:ascii="仿宋" w:hAnsi="仿宋"/>
                <w:sz w:val="24"/>
                <w:szCs w:val="24"/>
                <w:highlight w:val="none"/>
              </w:rPr>
            </w:pPr>
          </w:p>
        </w:tc>
        <w:tc>
          <w:tcPr>
            <w:tcW w:w="1497" w:type="dxa"/>
            <w:vAlign w:val="center"/>
          </w:tcPr>
          <w:p w14:paraId="29434694">
            <w:pPr>
              <w:widowControl/>
              <w:spacing w:line="360" w:lineRule="auto"/>
              <w:jc w:val="center"/>
              <w:textAlignment w:val="center"/>
              <w:rPr>
                <w:rFonts w:ascii="仿宋" w:hAnsi="仿宋"/>
                <w:sz w:val="24"/>
                <w:szCs w:val="24"/>
                <w:highlight w:val="none"/>
              </w:rPr>
            </w:pPr>
          </w:p>
        </w:tc>
        <w:tc>
          <w:tcPr>
            <w:tcW w:w="2481" w:type="dxa"/>
            <w:vAlign w:val="center"/>
          </w:tcPr>
          <w:p w14:paraId="14F76B31">
            <w:pPr>
              <w:spacing w:line="360" w:lineRule="auto"/>
              <w:jc w:val="center"/>
              <w:rPr>
                <w:rFonts w:ascii="仿宋" w:hAnsi="仿宋"/>
                <w:sz w:val="24"/>
                <w:szCs w:val="24"/>
                <w:highlight w:val="none"/>
              </w:rPr>
            </w:pPr>
            <w:r>
              <w:rPr>
                <w:rFonts w:hint="eastAsia" w:ascii="仿宋" w:hAnsi="仿宋"/>
                <w:sz w:val="24"/>
                <w:szCs w:val="24"/>
                <w:highlight w:val="none"/>
              </w:rPr>
              <w:t>除卫生间纸巾和垃圾袋外的一切相关费用</w:t>
            </w:r>
          </w:p>
        </w:tc>
      </w:tr>
      <w:tr w14:paraId="6DBDE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05" w:type="dxa"/>
            <w:vAlign w:val="center"/>
          </w:tcPr>
          <w:p w14:paraId="635CD3C5">
            <w:pPr>
              <w:spacing w:line="360" w:lineRule="auto"/>
              <w:jc w:val="center"/>
              <w:rPr>
                <w:rFonts w:ascii="仿宋" w:hAnsi="仿宋"/>
                <w:sz w:val="24"/>
                <w:szCs w:val="24"/>
                <w:highlight w:val="none"/>
              </w:rPr>
            </w:pPr>
            <w:r>
              <w:rPr>
                <w:rFonts w:hint="eastAsia" w:ascii="仿宋" w:hAnsi="仿宋"/>
                <w:sz w:val="24"/>
                <w:szCs w:val="24"/>
                <w:highlight w:val="none"/>
              </w:rPr>
              <w:t>2</w:t>
            </w:r>
          </w:p>
        </w:tc>
        <w:tc>
          <w:tcPr>
            <w:tcW w:w="1678" w:type="dxa"/>
            <w:vAlign w:val="center"/>
          </w:tcPr>
          <w:p w14:paraId="7B351397">
            <w:pPr>
              <w:spacing w:line="360" w:lineRule="auto"/>
              <w:jc w:val="center"/>
              <w:rPr>
                <w:rFonts w:ascii="仿宋" w:hAnsi="仿宋"/>
                <w:sz w:val="24"/>
                <w:szCs w:val="24"/>
                <w:highlight w:val="none"/>
              </w:rPr>
            </w:pPr>
            <w:r>
              <w:rPr>
                <w:rFonts w:hint="eastAsia" w:ascii="仿宋" w:hAnsi="仿宋"/>
                <w:sz w:val="24"/>
                <w:szCs w:val="24"/>
                <w:highlight w:val="none"/>
              </w:rPr>
              <w:t>商业租赁面积</w:t>
            </w:r>
          </w:p>
        </w:tc>
        <w:tc>
          <w:tcPr>
            <w:tcW w:w="1453" w:type="dxa"/>
            <w:vAlign w:val="center"/>
          </w:tcPr>
          <w:p w14:paraId="3E3D7EB1">
            <w:pPr>
              <w:widowControl/>
              <w:spacing w:line="360" w:lineRule="auto"/>
              <w:jc w:val="center"/>
              <w:textAlignment w:val="center"/>
              <w:rPr>
                <w:rFonts w:ascii="仿宋" w:hAnsi="仿宋"/>
                <w:sz w:val="24"/>
                <w:szCs w:val="24"/>
                <w:highlight w:val="none"/>
              </w:rPr>
            </w:pPr>
            <w:r>
              <w:rPr>
                <w:rFonts w:ascii="仿宋" w:hAnsi="仿宋"/>
                <w:sz w:val="24"/>
                <w:szCs w:val="24"/>
                <w:highlight w:val="none"/>
              </w:rPr>
              <w:t>18946.46</w:t>
            </w:r>
          </w:p>
        </w:tc>
        <w:tc>
          <w:tcPr>
            <w:tcW w:w="1482" w:type="dxa"/>
            <w:vAlign w:val="center"/>
          </w:tcPr>
          <w:p w14:paraId="5832296F">
            <w:pPr>
              <w:widowControl/>
              <w:spacing w:line="360" w:lineRule="auto"/>
              <w:jc w:val="center"/>
              <w:textAlignment w:val="center"/>
              <w:rPr>
                <w:rFonts w:ascii="仿宋" w:hAnsi="仿宋"/>
                <w:sz w:val="24"/>
                <w:szCs w:val="24"/>
                <w:highlight w:val="none"/>
              </w:rPr>
            </w:pPr>
          </w:p>
        </w:tc>
        <w:tc>
          <w:tcPr>
            <w:tcW w:w="1497" w:type="dxa"/>
            <w:vAlign w:val="center"/>
          </w:tcPr>
          <w:p w14:paraId="176C7F10">
            <w:pPr>
              <w:widowControl/>
              <w:spacing w:line="360" w:lineRule="auto"/>
              <w:jc w:val="center"/>
              <w:textAlignment w:val="center"/>
              <w:rPr>
                <w:rFonts w:ascii="仿宋" w:hAnsi="仿宋"/>
                <w:sz w:val="24"/>
                <w:szCs w:val="24"/>
                <w:highlight w:val="none"/>
              </w:rPr>
            </w:pPr>
          </w:p>
        </w:tc>
        <w:tc>
          <w:tcPr>
            <w:tcW w:w="2481" w:type="dxa"/>
            <w:vAlign w:val="center"/>
          </w:tcPr>
          <w:p w14:paraId="38534654">
            <w:pPr>
              <w:spacing w:line="360" w:lineRule="auto"/>
              <w:jc w:val="center"/>
              <w:rPr>
                <w:rFonts w:ascii="仿宋" w:hAnsi="仿宋"/>
                <w:sz w:val="24"/>
                <w:szCs w:val="24"/>
                <w:highlight w:val="none"/>
              </w:rPr>
            </w:pPr>
            <w:r>
              <w:rPr>
                <w:rFonts w:hint="eastAsia" w:ascii="仿宋" w:hAnsi="仿宋"/>
                <w:sz w:val="24"/>
                <w:szCs w:val="24"/>
                <w:highlight w:val="none"/>
              </w:rPr>
              <w:t>除卫生间纸巾和垃圾袋外的一切相关费用</w:t>
            </w:r>
          </w:p>
        </w:tc>
      </w:tr>
      <w:tr w14:paraId="320D8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705" w:type="dxa"/>
            <w:vAlign w:val="center"/>
          </w:tcPr>
          <w:p w14:paraId="7424E130">
            <w:pPr>
              <w:spacing w:line="360" w:lineRule="auto"/>
              <w:jc w:val="center"/>
              <w:rPr>
                <w:rFonts w:ascii="仿宋" w:hAnsi="仿宋"/>
                <w:sz w:val="24"/>
                <w:szCs w:val="24"/>
                <w:highlight w:val="none"/>
              </w:rPr>
            </w:pPr>
            <w:r>
              <w:rPr>
                <w:rFonts w:ascii="仿宋" w:hAnsi="仿宋"/>
                <w:sz w:val="24"/>
                <w:szCs w:val="24"/>
                <w:highlight w:val="none"/>
              </w:rPr>
              <w:t>3</w:t>
            </w:r>
          </w:p>
        </w:tc>
        <w:tc>
          <w:tcPr>
            <w:tcW w:w="1678" w:type="dxa"/>
            <w:vAlign w:val="center"/>
          </w:tcPr>
          <w:p w14:paraId="45DFF5D5">
            <w:pPr>
              <w:spacing w:line="360" w:lineRule="auto"/>
              <w:jc w:val="center"/>
              <w:rPr>
                <w:rFonts w:ascii="仿宋" w:hAnsi="仿宋"/>
                <w:sz w:val="24"/>
                <w:szCs w:val="24"/>
                <w:highlight w:val="none"/>
              </w:rPr>
            </w:pPr>
            <w:r>
              <w:rPr>
                <w:rFonts w:hint="eastAsia" w:ascii="仿宋" w:hAnsi="仿宋"/>
                <w:sz w:val="24"/>
                <w:szCs w:val="24"/>
                <w:highlight w:val="none"/>
              </w:rPr>
              <w:t>月度合计</w:t>
            </w:r>
          </w:p>
        </w:tc>
        <w:tc>
          <w:tcPr>
            <w:tcW w:w="2935" w:type="dxa"/>
            <w:gridSpan w:val="2"/>
            <w:vAlign w:val="center"/>
          </w:tcPr>
          <w:p w14:paraId="3BE6CEE9">
            <w:pPr>
              <w:spacing w:line="360" w:lineRule="auto"/>
              <w:jc w:val="center"/>
              <w:rPr>
                <w:rFonts w:ascii="仿宋" w:hAnsi="仿宋"/>
                <w:sz w:val="24"/>
                <w:szCs w:val="24"/>
                <w:highlight w:val="none"/>
              </w:rPr>
            </w:pPr>
          </w:p>
        </w:tc>
        <w:tc>
          <w:tcPr>
            <w:tcW w:w="3978" w:type="dxa"/>
            <w:gridSpan w:val="2"/>
            <w:vAlign w:val="center"/>
          </w:tcPr>
          <w:p w14:paraId="209C9504">
            <w:pPr>
              <w:spacing w:line="360" w:lineRule="auto"/>
              <w:jc w:val="left"/>
              <w:rPr>
                <w:rFonts w:ascii="仿宋" w:hAnsi="仿宋"/>
                <w:sz w:val="24"/>
                <w:szCs w:val="24"/>
                <w:highlight w:val="none"/>
              </w:rPr>
            </w:pPr>
            <w:r>
              <w:rPr>
                <w:rFonts w:hint="eastAsia" w:ascii="仿宋" w:hAnsi="仿宋"/>
                <w:sz w:val="24"/>
                <w:szCs w:val="24"/>
                <w:highlight w:val="none"/>
              </w:rPr>
              <w:t xml:space="preserve">大写 </w:t>
            </w:r>
          </w:p>
        </w:tc>
      </w:tr>
      <w:tr w14:paraId="69F74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705" w:type="dxa"/>
            <w:vAlign w:val="center"/>
          </w:tcPr>
          <w:p w14:paraId="137DFA40">
            <w:pPr>
              <w:spacing w:line="360" w:lineRule="auto"/>
              <w:jc w:val="center"/>
              <w:rPr>
                <w:rFonts w:ascii="仿宋" w:hAnsi="仿宋"/>
                <w:sz w:val="24"/>
                <w:szCs w:val="24"/>
                <w:highlight w:val="none"/>
              </w:rPr>
            </w:pPr>
            <w:r>
              <w:rPr>
                <w:rFonts w:ascii="仿宋" w:hAnsi="仿宋"/>
                <w:sz w:val="24"/>
                <w:szCs w:val="24"/>
                <w:highlight w:val="none"/>
              </w:rPr>
              <w:t>4</w:t>
            </w:r>
          </w:p>
        </w:tc>
        <w:tc>
          <w:tcPr>
            <w:tcW w:w="1678" w:type="dxa"/>
            <w:vAlign w:val="center"/>
          </w:tcPr>
          <w:p w14:paraId="62F62B1C">
            <w:pPr>
              <w:spacing w:line="360" w:lineRule="auto"/>
              <w:jc w:val="center"/>
              <w:rPr>
                <w:rFonts w:ascii="仿宋" w:hAnsi="仿宋"/>
                <w:sz w:val="24"/>
                <w:szCs w:val="24"/>
                <w:highlight w:val="none"/>
              </w:rPr>
            </w:pPr>
            <w:r>
              <w:rPr>
                <w:rFonts w:hint="eastAsia" w:ascii="仿宋" w:hAnsi="仿宋"/>
                <w:sz w:val="24"/>
                <w:szCs w:val="24"/>
                <w:highlight w:val="none"/>
              </w:rPr>
              <w:t>年度合计</w:t>
            </w:r>
          </w:p>
        </w:tc>
        <w:tc>
          <w:tcPr>
            <w:tcW w:w="2935" w:type="dxa"/>
            <w:gridSpan w:val="2"/>
            <w:vAlign w:val="center"/>
          </w:tcPr>
          <w:p w14:paraId="18E0C46A">
            <w:pPr>
              <w:spacing w:line="360" w:lineRule="auto"/>
              <w:jc w:val="center"/>
              <w:rPr>
                <w:rFonts w:ascii="仿宋" w:hAnsi="仿宋"/>
                <w:sz w:val="24"/>
                <w:szCs w:val="24"/>
                <w:highlight w:val="none"/>
              </w:rPr>
            </w:pPr>
          </w:p>
        </w:tc>
        <w:tc>
          <w:tcPr>
            <w:tcW w:w="3978" w:type="dxa"/>
            <w:gridSpan w:val="2"/>
            <w:vAlign w:val="center"/>
          </w:tcPr>
          <w:p w14:paraId="01DBD7ED">
            <w:pPr>
              <w:spacing w:line="360" w:lineRule="auto"/>
              <w:jc w:val="left"/>
              <w:rPr>
                <w:rFonts w:ascii="仿宋" w:hAnsi="仿宋"/>
                <w:sz w:val="24"/>
                <w:szCs w:val="24"/>
                <w:highlight w:val="none"/>
              </w:rPr>
            </w:pPr>
            <w:r>
              <w:rPr>
                <w:rFonts w:hint="eastAsia" w:ascii="仿宋" w:hAnsi="仿宋"/>
                <w:sz w:val="24"/>
                <w:szCs w:val="24"/>
                <w:highlight w:val="none"/>
              </w:rPr>
              <w:t>大写</w:t>
            </w:r>
          </w:p>
        </w:tc>
      </w:tr>
      <w:tr w14:paraId="05BCA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705" w:type="dxa"/>
            <w:vAlign w:val="center"/>
          </w:tcPr>
          <w:p w14:paraId="6B9F28D9">
            <w:pPr>
              <w:spacing w:line="360" w:lineRule="auto"/>
              <w:jc w:val="center"/>
              <w:rPr>
                <w:rFonts w:ascii="仿宋" w:hAnsi="仿宋"/>
                <w:sz w:val="24"/>
                <w:szCs w:val="24"/>
                <w:highlight w:val="none"/>
              </w:rPr>
            </w:pPr>
            <w:r>
              <w:rPr>
                <w:rFonts w:ascii="仿宋" w:hAnsi="仿宋"/>
                <w:sz w:val="24"/>
                <w:szCs w:val="24"/>
                <w:highlight w:val="none"/>
              </w:rPr>
              <w:t>5</w:t>
            </w:r>
          </w:p>
        </w:tc>
        <w:tc>
          <w:tcPr>
            <w:tcW w:w="1678" w:type="dxa"/>
            <w:vAlign w:val="center"/>
          </w:tcPr>
          <w:p w14:paraId="53EEFCB3">
            <w:pPr>
              <w:spacing w:line="360" w:lineRule="auto"/>
              <w:jc w:val="center"/>
              <w:rPr>
                <w:rFonts w:ascii="仿宋" w:hAnsi="仿宋"/>
                <w:sz w:val="24"/>
                <w:szCs w:val="24"/>
                <w:highlight w:val="none"/>
              </w:rPr>
            </w:pPr>
            <w:r>
              <w:rPr>
                <w:rFonts w:hint="eastAsia" w:ascii="仿宋" w:hAnsi="仿宋"/>
                <w:sz w:val="24"/>
                <w:szCs w:val="24"/>
                <w:highlight w:val="none"/>
              </w:rPr>
              <w:t>三年</w:t>
            </w:r>
            <w:r>
              <w:rPr>
                <w:rFonts w:ascii="仿宋" w:hAnsi="仿宋"/>
                <w:sz w:val="24"/>
                <w:szCs w:val="24"/>
                <w:highlight w:val="none"/>
              </w:rPr>
              <w:t>合计</w:t>
            </w:r>
          </w:p>
        </w:tc>
        <w:tc>
          <w:tcPr>
            <w:tcW w:w="2935" w:type="dxa"/>
            <w:gridSpan w:val="2"/>
            <w:vAlign w:val="center"/>
          </w:tcPr>
          <w:p w14:paraId="12614036">
            <w:pPr>
              <w:spacing w:line="360" w:lineRule="auto"/>
              <w:jc w:val="center"/>
              <w:rPr>
                <w:rFonts w:ascii="仿宋" w:hAnsi="仿宋"/>
                <w:sz w:val="24"/>
                <w:szCs w:val="24"/>
                <w:highlight w:val="none"/>
              </w:rPr>
            </w:pPr>
          </w:p>
        </w:tc>
        <w:tc>
          <w:tcPr>
            <w:tcW w:w="3978" w:type="dxa"/>
            <w:gridSpan w:val="2"/>
            <w:vAlign w:val="center"/>
          </w:tcPr>
          <w:p w14:paraId="37E921A6">
            <w:pPr>
              <w:spacing w:line="360" w:lineRule="auto"/>
              <w:jc w:val="left"/>
              <w:rPr>
                <w:rFonts w:ascii="仿宋" w:hAnsi="仿宋"/>
                <w:sz w:val="24"/>
                <w:szCs w:val="24"/>
                <w:highlight w:val="none"/>
              </w:rPr>
            </w:pPr>
            <w:r>
              <w:rPr>
                <w:rFonts w:hint="eastAsia" w:ascii="仿宋" w:hAnsi="仿宋"/>
                <w:sz w:val="24"/>
                <w:szCs w:val="24"/>
                <w:highlight w:val="none"/>
              </w:rPr>
              <w:t>大写</w:t>
            </w:r>
          </w:p>
        </w:tc>
      </w:tr>
      <w:tr w14:paraId="055E4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9296" w:type="dxa"/>
            <w:gridSpan w:val="6"/>
            <w:vAlign w:val="center"/>
          </w:tcPr>
          <w:p w14:paraId="4B473237">
            <w:pPr>
              <w:spacing w:line="360" w:lineRule="auto"/>
              <w:rPr>
                <w:rFonts w:ascii="仿宋" w:hAnsi="仿宋"/>
                <w:sz w:val="24"/>
                <w:szCs w:val="24"/>
                <w:highlight w:val="none"/>
              </w:rPr>
            </w:pPr>
            <w:r>
              <w:rPr>
                <w:rFonts w:hint="eastAsia" w:ascii="仿宋" w:hAnsi="仿宋"/>
                <w:sz w:val="24"/>
                <w:szCs w:val="24"/>
                <w:highlight w:val="none"/>
              </w:rPr>
              <w:t>备注：以上报价包括但不限于管理项目需要的物业器材、人工费、服装费、食宿费、卫生保洁器具、保安对讲器材、利润、税金（税率6%）、乙方员工意外险等。业主自用面积可根据实际调整，按月结算。</w:t>
            </w:r>
          </w:p>
        </w:tc>
      </w:tr>
    </w:tbl>
    <w:p w14:paraId="1078111C">
      <w:pPr>
        <w:spacing w:line="360" w:lineRule="auto"/>
        <w:rPr>
          <w:rFonts w:ascii="仿宋" w:hAnsi="仿宋"/>
          <w:sz w:val="24"/>
          <w:szCs w:val="24"/>
          <w:highlight w:val="none"/>
        </w:rPr>
      </w:pPr>
    </w:p>
    <w:p w14:paraId="032B8E13">
      <w:pPr>
        <w:spacing w:line="360" w:lineRule="auto"/>
        <w:rPr>
          <w:rFonts w:ascii="仿宋" w:hAnsi="仿宋"/>
          <w:sz w:val="24"/>
          <w:szCs w:val="24"/>
          <w:highlight w:val="none"/>
        </w:rPr>
      </w:pPr>
      <w:r>
        <w:rPr>
          <w:rFonts w:hint="eastAsia" w:ascii="仿宋" w:hAnsi="仿宋"/>
          <w:sz w:val="24"/>
          <w:szCs w:val="24"/>
          <w:highlight w:val="none"/>
        </w:rPr>
        <w:br w:type="page"/>
      </w:r>
    </w:p>
    <w:p w14:paraId="497B3742">
      <w:pPr>
        <w:pStyle w:val="15"/>
        <w:spacing w:before="0" w:after="0"/>
        <w:jc w:val="center"/>
        <w:rPr>
          <w:rFonts w:ascii="仿宋" w:hAnsi="仿宋" w:eastAsia="仿宋"/>
          <w:b/>
          <w:bCs/>
          <w:highlight w:val="none"/>
        </w:rPr>
      </w:pPr>
      <w:r>
        <w:rPr>
          <w:rFonts w:hint="eastAsia" w:ascii="仿宋" w:hAnsi="仿宋" w:eastAsia="仿宋"/>
          <w:b/>
          <w:bCs/>
          <w:highlight w:val="none"/>
        </w:rPr>
        <w:t>七、资格审查资料</w:t>
      </w:r>
    </w:p>
    <w:p w14:paraId="33F00706">
      <w:pPr>
        <w:spacing w:line="360" w:lineRule="auto"/>
        <w:rPr>
          <w:rFonts w:ascii="仿宋" w:hAnsi="仿宋" w:cs="黑体"/>
          <w:sz w:val="24"/>
          <w:szCs w:val="24"/>
          <w:highlight w:val="none"/>
        </w:rPr>
      </w:pPr>
      <w:r>
        <w:rPr>
          <w:rFonts w:hint="eastAsia" w:ascii="仿宋" w:hAnsi="仿宋" w:cs="黑体"/>
          <w:sz w:val="24"/>
          <w:szCs w:val="24"/>
          <w:highlight w:val="none"/>
        </w:rPr>
        <w:t>　　（一）基本情况</w:t>
      </w:r>
    </w:p>
    <w:p w14:paraId="7174FCB1">
      <w:pPr>
        <w:spacing w:line="360" w:lineRule="auto"/>
        <w:rPr>
          <w:rFonts w:ascii="仿宋" w:hAnsi="仿宋"/>
          <w:sz w:val="24"/>
          <w:szCs w:val="24"/>
          <w:highlight w:val="none"/>
        </w:rPr>
      </w:pPr>
      <w:r>
        <w:rPr>
          <w:rFonts w:hint="eastAsia" w:ascii="仿宋" w:hAnsi="仿宋"/>
          <w:sz w:val="24"/>
          <w:szCs w:val="24"/>
          <w:highlight w:val="none"/>
        </w:rPr>
        <w:t>　　供应商应根据供应商须知前附表第3.5（1）项和第3.5（2）项的要求提供主体资格证明及相关资质证明材料。</w:t>
      </w:r>
    </w:p>
    <w:p w14:paraId="5A000B5A">
      <w:pPr>
        <w:spacing w:line="360" w:lineRule="auto"/>
        <w:rPr>
          <w:rFonts w:ascii="仿宋" w:hAnsi="仿宋"/>
          <w:sz w:val="24"/>
          <w:szCs w:val="24"/>
          <w:highlight w:val="none"/>
        </w:rPr>
      </w:pPr>
      <w:r>
        <w:rPr>
          <w:rFonts w:hint="eastAsia" w:ascii="仿宋" w:hAnsi="仿宋"/>
          <w:sz w:val="24"/>
          <w:szCs w:val="24"/>
          <w:highlight w:val="none"/>
        </w:rPr>
        <w:t>　　供应商还应根据供应商须知前附表第3.5（5）项、第3.5（7）项和第3.5（8）项的要求提供其他相关证明材料。</w:t>
      </w:r>
    </w:p>
    <w:p w14:paraId="5616F614">
      <w:pPr>
        <w:spacing w:line="360" w:lineRule="auto"/>
        <w:rPr>
          <w:rFonts w:ascii="仿宋" w:hAnsi="仿宋" w:cs="黑体"/>
          <w:sz w:val="24"/>
          <w:szCs w:val="24"/>
          <w:highlight w:val="none"/>
        </w:rPr>
      </w:pPr>
      <w:r>
        <w:rPr>
          <w:rFonts w:hint="eastAsia" w:ascii="仿宋" w:hAnsi="仿宋" w:cs="黑体"/>
          <w:sz w:val="24"/>
          <w:szCs w:val="24"/>
          <w:highlight w:val="none"/>
        </w:rPr>
        <w:br w:type="page"/>
      </w:r>
    </w:p>
    <w:p w14:paraId="5ED6CDB3">
      <w:pPr>
        <w:spacing w:line="360" w:lineRule="auto"/>
        <w:rPr>
          <w:rFonts w:ascii="仿宋" w:hAnsi="仿宋" w:cs="黑体"/>
          <w:sz w:val="24"/>
          <w:szCs w:val="24"/>
          <w:highlight w:val="none"/>
        </w:rPr>
      </w:pPr>
      <w:r>
        <w:rPr>
          <w:rFonts w:hint="eastAsia" w:ascii="仿宋" w:hAnsi="仿宋" w:cs="黑体"/>
          <w:sz w:val="24"/>
          <w:szCs w:val="24"/>
          <w:highlight w:val="none"/>
        </w:rPr>
        <w:t>　　（二）近年财务状况</w:t>
      </w:r>
    </w:p>
    <w:p w14:paraId="64F681E8">
      <w:pPr>
        <w:spacing w:line="360" w:lineRule="auto"/>
        <w:rPr>
          <w:rFonts w:ascii="仿宋" w:hAnsi="仿宋"/>
          <w:sz w:val="24"/>
          <w:szCs w:val="24"/>
          <w:highlight w:val="none"/>
        </w:rPr>
      </w:pPr>
      <w:r>
        <w:rPr>
          <w:rFonts w:hint="eastAsia" w:ascii="仿宋" w:hAnsi="仿宋"/>
          <w:sz w:val="24"/>
          <w:szCs w:val="24"/>
          <w:highlight w:val="none"/>
        </w:rPr>
        <w:t>　　供应商应根据供应商须知前附表第3.5（3）项的要求提供近年财务会计报表复印件。</w:t>
      </w:r>
    </w:p>
    <w:p w14:paraId="595A4A40">
      <w:pPr>
        <w:spacing w:line="360" w:lineRule="auto"/>
        <w:rPr>
          <w:rFonts w:ascii="仿宋" w:hAnsi="仿宋" w:cs="黑体"/>
          <w:sz w:val="24"/>
          <w:szCs w:val="24"/>
          <w:highlight w:val="none"/>
        </w:rPr>
        <w:sectPr>
          <w:pgSz w:w="11906" w:h="16838"/>
          <w:pgMar w:top="1440" w:right="1800" w:bottom="1440" w:left="1800" w:header="851" w:footer="992" w:gutter="0"/>
          <w:cols w:space="425" w:num="1"/>
          <w:docGrid w:type="lines" w:linePitch="312" w:charSpace="0"/>
        </w:sectPr>
      </w:pPr>
    </w:p>
    <w:p w14:paraId="47126645">
      <w:pPr>
        <w:spacing w:line="360" w:lineRule="auto"/>
        <w:rPr>
          <w:rFonts w:ascii="仿宋" w:hAnsi="仿宋" w:cs="黑体"/>
          <w:sz w:val="24"/>
          <w:szCs w:val="24"/>
          <w:highlight w:val="none"/>
        </w:rPr>
      </w:pPr>
      <w:r>
        <w:rPr>
          <w:rFonts w:hint="eastAsia" w:ascii="仿宋" w:hAnsi="仿宋" w:cs="黑体"/>
          <w:sz w:val="24"/>
          <w:szCs w:val="24"/>
          <w:highlight w:val="none"/>
        </w:rPr>
        <w:t>　　（三）近年的类似项目情况表</w:t>
      </w:r>
    </w:p>
    <w:p w14:paraId="0C7E422A">
      <w:pPr>
        <w:spacing w:line="360" w:lineRule="auto"/>
        <w:rPr>
          <w:rFonts w:ascii="仿宋" w:hAnsi="仿宋" w:cs="黑体"/>
          <w:sz w:val="24"/>
          <w:szCs w:val="24"/>
          <w:highlight w:val="none"/>
        </w:rPr>
      </w:pPr>
    </w:p>
    <w:tbl>
      <w:tblPr>
        <w:tblStyle w:val="8"/>
        <w:tblW w:w="140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4"/>
        <w:gridCol w:w="2268"/>
        <w:gridCol w:w="1974"/>
        <w:gridCol w:w="2072"/>
        <w:gridCol w:w="1615"/>
        <w:gridCol w:w="1240"/>
        <w:gridCol w:w="1207"/>
        <w:gridCol w:w="3035"/>
      </w:tblGrid>
      <w:tr w14:paraId="15B43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604" w:type="dxa"/>
            <w:vAlign w:val="center"/>
          </w:tcPr>
          <w:p w14:paraId="1F242BF4">
            <w:pPr>
              <w:spacing w:line="360" w:lineRule="auto"/>
              <w:jc w:val="center"/>
              <w:rPr>
                <w:rFonts w:ascii="仿宋" w:hAnsi="仿宋"/>
                <w:sz w:val="24"/>
                <w:szCs w:val="24"/>
                <w:highlight w:val="none"/>
              </w:rPr>
            </w:pPr>
            <w:r>
              <w:rPr>
                <w:rFonts w:hint="eastAsia" w:ascii="仿宋" w:hAnsi="仿宋"/>
                <w:sz w:val="24"/>
                <w:szCs w:val="24"/>
                <w:highlight w:val="none"/>
              </w:rPr>
              <w:t>序号</w:t>
            </w:r>
          </w:p>
        </w:tc>
        <w:tc>
          <w:tcPr>
            <w:tcW w:w="2268" w:type="dxa"/>
            <w:vAlign w:val="center"/>
          </w:tcPr>
          <w:p w14:paraId="5187EFAA">
            <w:pPr>
              <w:spacing w:line="360" w:lineRule="auto"/>
              <w:rPr>
                <w:rFonts w:ascii="仿宋" w:hAnsi="仿宋"/>
                <w:sz w:val="24"/>
                <w:szCs w:val="24"/>
                <w:highlight w:val="none"/>
              </w:rPr>
            </w:pPr>
            <w:r>
              <w:rPr>
                <w:rFonts w:hint="eastAsia" w:ascii="仿宋" w:hAnsi="仿宋"/>
                <w:sz w:val="24"/>
                <w:szCs w:val="24"/>
                <w:highlight w:val="none"/>
              </w:rPr>
              <w:t>服务内容</w:t>
            </w:r>
          </w:p>
        </w:tc>
        <w:tc>
          <w:tcPr>
            <w:tcW w:w="1974" w:type="dxa"/>
            <w:vAlign w:val="center"/>
          </w:tcPr>
          <w:p w14:paraId="3003FE3B">
            <w:pPr>
              <w:spacing w:line="360" w:lineRule="auto"/>
              <w:rPr>
                <w:rFonts w:ascii="仿宋" w:hAnsi="仿宋"/>
                <w:sz w:val="24"/>
                <w:szCs w:val="24"/>
                <w:highlight w:val="none"/>
              </w:rPr>
            </w:pPr>
            <w:r>
              <w:rPr>
                <w:rFonts w:hint="eastAsia" w:ascii="仿宋" w:hAnsi="仿宋"/>
                <w:sz w:val="24"/>
                <w:szCs w:val="24"/>
                <w:highlight w:val="none"/>
              </w:rPr>
              <w:t>发包人名称</w:t>
            </w:r>
          </w:p>
        </w:tc>
        <w:tc>
          <w:tcPr>
            <w:tcW w:w="2072" w:type="dxa"/>
            <w:vAlign w:val="center"/>
          </w:tcPr>
          <w:p w14:paraId="54E4B7B2">
            <w:pPr>
              <w:spacing w:line="360" w:lineRule="auto"/>
              <w:rPr>
                <w:rFonts w:ascii="仿宋" w:hAnsi="仿宋"/>
                <w:sz w:val="24"/>
                <w:szCs w:val="24"/>
                <w:highlight w:val="none"/>
              </w:rPr>
            </w:pPr>
            <w:r>
              <w:rPr>
                <w:rFonts w:hint="eastAsia" w:ascii="仿宋" w:hAnsi="仿宋"/>
                <w:sz w:val="24"/>
                <w:szCs w:val="24"/>
                <w:highlight w:val="none"/>
              </w:rPr>
              <w:t>发包人联系人及电话</w:t>
            </w:r>
          </w:p>
        </w:tc>
        <w:tc>
          <w:tcPr>
            <w:tcW w:w="1615" w:type="dxa"/>
            <w:vAlign w:val="center"/>
          </w:tcPr>
          <w:p w14:paraId="182D757B">
            <w:pPr>
              <w:spacing w:line="360" w:lineRule="auto"/>
              <w:rPr>
                <w:rFonts w:ascii="仿宋" w:hAnsi="仿宋"/>
                <w:sz w:val="24"/>
                <w:szCs w:val="24"/>
                <w:highlight w:val="none"/>
              </w:rPr>
            </w:pPr>
            <w:r>
              <w:rPr>
                <w:rFonts w:hint="eastAsia" w:ascii="仿宋" w:hAnsi="仿宋"/>
                <w:sz w:val="24"/>
                <w:szCs w:val="24"/>
                <w:highlight w:val="none"/>
              </w:rPr>
              <w:t>合同价格</w:t>
            </w:r>
          </w:p>
        </w:tc>
        <w:tc>
          <w:tcPr>
            <w:tcW w:w="1240" w:type="dxa"/>
            <w:vAlign w:val="center"/>
          </w:tcPr>
          <w:p w14:paraId="1822E718">
            <w:pPr>
              <w:spacing w:line="360" w:lineRule="auto"/>
              <w:rPr>
                <w:rFonts w:ascii="仿宋" w:hAnsi="仿宋"/>
                <w:sz w:val="24"/>
                <w:szCs w:val="24"/>
                <w:highlight w:val="none"/>
              </w:rPr>
            </w:pPr>
            <w:r>
              <w:rPr>
                <w:rFonts w:hint="eastAsia" w:ascii="仿宋" w:hAnsi="仿宋"/>
                <w:sz w:val="24"/>
                <w:szCs w:val="24"/>
                <w:highlight w:val="none"/>
              </w:rPr>
              <w:t>服务是否完成</w:t>
            </w:r>
          </w:p>
        </w:tc>
        <w:tc>
          <w:tcPr>
            <w:tcW w:w="1207" w:type="dxa"/>
            <w:vAlign w:val="center"/>
          </w:tcPr>
          <w:p w14:paraId="30931E04">
            <w:pPr>
              <w:spacing w:line="360" w:lineRule="auto"/>
              <w:rPr>
                <w:rFonts w:ascii="仿宋" w:hAnsi="仿宋"/>
                <w:sz w:val="24"/>
                <w:szCs w:val="24"/>
                <w:highlight w:val="none"/>
              </w:rPr>
            </w:pPr>
            <w:r>
              <w:rPr>
                <w:rFonts w:hint="eastAsia" w:ascii="仿宋" w:hAnsi="仿宋"/>
                <w:sz w:val="24"/>
                <w:szCs w:val="24"/>
                <w:highlight w:val="none"/>
              </w:rPr>
              <w:t>项目负责人</w:t>
            </w:r>
          </w:p>
        </w:tc>
        <w:tc>
          <w:tcPr>
            <w:tcW w:w="3035" w:type="dxa"/>
            <w:vAlign w:val="center"/>
          </w:tcPr>
          <w:p w14:paraId="01D32D52">
            <w:pPr>
              <w:spacing w:line="360" w:lineRule="auto"/>
              <w:rPr>
                <w:rFonts w:ascii="仿宋" w:hAnsi="仿宋"/>
                <w:sz w:val="24"/>
                <w:szCs w:val="24"/>
                <w:highlight w:val="none"/>
              </w:rPr>
            </w:pPr>
            <w:r>
              <w:rPr>
                <w:rFonts w:hint="eastAsia" w:ascii="仿宋" w:hAnsi="仿宋"/>
                <w:sz w:val="24"/>
                <w:szCs w:val="24"/>
                <w:highlight w:val="none"/>
              </w:rPr>
              <w:t>项目概况及供应商履约情况</w:t>
            </w:r>
          </w:p>
        </w:tc>
      </w:tr>
      <w:tr w14:paraId="280F7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604" w:type="dxa"/>
            <w:vAlign w:val="center"/>
          </w:tcPr>
          <w:p w14:paraId="7178AF98">
            <w:pPr>
              <w:spacing w:line="360" w:lineRule="auto"/>
              <w:rPr>
                <w:rFonts w:ascii="仿宋" w:hAnsi="仿宋"/>
                <w:sz w:val="24"/>
                <w:szCs w:val="24"/>
                <w:highlight w:val="none"/>
              </w:rPr>
            </w:pPr>
            <w:r>
              <w:rPr>
                <w:rFonts w:hint="eastAsia" w:ascii="仿宋" w:hAnsi="仿宋"/>
                <w:sz w:val="24"/>
                <w:szCs w:val="24"/>
                <w:highlight w:val="none"/>
              </w:rPr>
              <w:t>１</w:t>
            </w:r>
          </w:p>
        </w:tc>
        <w:tc>
          <w:tcPr>
            <w:tcW w:w="2268" w:type="dxa"/>
            <w:vAlign w:val="center"/>
          </w:tcPr>
          <w:p w14:paraId="766A4236">
            <w:pPr>
              <w:spacing w:line="360" w:lineRule="auto"/>
              <w:rPr>
                <w:rFonts w:ascii="仿宋" w:hAnsi="仿宋"/>
                <w:sz w:val="24"/>
                <w:szCs w:val="24"/>
                <w:highlight w:val="none"/>
              </w:rPr>
            </w:pPr>
          </w:p>
        </w:tc>
        <w:tc>
          <w:tcPr>
            <w:tcW w:w="1974" w:type="dxa"/>
            <w:vAlign w:val="center"/>
          </w:tcPr>
          <w:p w14:paraId="013133DB">
            <w:pPr>
              <w:spacing w:line="360" w:lineRule="auto"/>
              <w:rPr>
                <w:rFonts w:ascii="仿宋" w:hAnsi="仿宋"/>
                <w:sz w:val="24"/>
                <w:szCs w:val="24"/>
                <w:highlight w:val="none"/>
              </w:rPr>
            </w:pPr>
          </w:p>
        </w:tc>
        <w:tc>
          <w:tcPr>
            <w:tcW w:w="2072" w:type="dxa"/>
            <w:vAlign w:val="center"/>
          </w:tcPr>
          <w:p w14:paraId="79244C66">
            <w:pPr>
              <w:spacing w:line="360" w:lineRule="auto"/>
              <w:rPr>
                <w:rFonts w:ascii="仿宋" w:hAnsi="仿宋"/>
                <w:sz w:val="24"/>
                <w:szCs w:val="24"/>
                <w:highlight w:val="none"/>
              </w:rPr>
            </w:pPr>
          </w:p>
        </w:tc>
        <w:tc>
          <w:tcPr>
            <w:tcW w:w="1615" w:type="dxa"/>
            <w:vAlign w:val="center"/>
          </w:tcPr>
          <w:p w14:paraId="0E98554E">
            <w:pPr>
              <w:spacing w:line="360" w:lineRule="auto"/>
              <w:rPr>
                <w:rFonts w:ascii="仿宋" w:hAnsi="仿宋"/>
                <w:sz w:val="24"/>
                <w:szCs w:val="24"/>
                <w:highlight w:val="none"/>
              </w:rPr>
            </w:pPr>
          </w:p>
        </w:tc>
        <w:tc>
          <w:tcPr>
            <w:tcW w:w="1240" w:type="dxa"/>
            <w:vAlign w:val="center"/>
          </w:tcPr>
          <w:p w14:paraId="762BEF03">
            <w:pPr>
              <w:spacing w:line="360" w:lineRule="auto"/>
              <w:rPr>
                <w:rFonts w:ascii="仿宋" w:hAnsi="仿宋"/>
                <w:sz w:val="24"/>
                <w:szCs w:val="24"/>
                <w:highlight w:val="none"/>
              </w:rPr>
            </w:pPr>
          </w:p>
        </w:tc>
        <w:tc>
          <w:tcPr>
            <w:tcW w:w="1207" w:type="dxa"/>
            <w:vAlign w:val="center"/>
          </w:tcPr>
          <w:p w14:paraId="7845CD56">
            <w:pPr>
              <w:spacing w:line="360" w:lineRule="auto"/>
              <w:rPr>
                <w:rFonts w:ascii="仿宋" w:hAnsi="仿宋"/>
                <w:sz w:val="24"/>
                <w:szCs w:val="24"/>
                <w:highlight w:val="none"/>
              </w:rPr>
            </w:pPr>
          </w:p>
        </w:tc>
        <w:tc>
          <w:tcPr>
            <w:tcW w:w="3035" w:type="dxa"/>
            <w:vAlign w:val="center"/>
          </w:tcPr>
          <w:p w14:paraId="2051DBB9">
            <w:pPr>
              <w:spacing w:line="360" w:lineRule="auto"/>
              <w:rPr>
                <w:rFonts w:ascii="仿宋" w:hAnsi="仿宋"/>
                <w:sz w:val="24"/>
                <w:szCs w:val="24"/>
                <w:highlight w:val="none"/>
              </w:rPr>
            </w:pPr>
          </w:p>
        </w:tc>
      </w:tr>
      <w:tr w14:paraId="451F0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604" w:type="dxa"/>
            <w:vAlign w:val="center"/>
          </w:tcPr>
          <w:p w14:paraId="3BE3CF95">
            <w:pPr>
              <w:spacing w:line="360" w:lineRule="auto"/>
              <w:rPr>
                <w:rFonts w:ascii="仿宋" w:hAnsi="仿宋"/>
                <w:sz w:val="24"/>
                <w:szCs w:val="24"/>
                <w:highlight w:val="none"/>
              </w:rPr>
            </w:pPr>
            <w:r>
              <w:rPr>
                <w:rFonts w:hint="eastAsia" w:ascii="仿宋" w:hAnsi="仿宋"/>
                <w:sz w:val="24"/>
                <w:szCs w:val="24"/>
                <w:highlight w:val="none"/>
              </w:rPr>
              <w:t>２</w:t>
            </w:r>
          </w:p>
        </w:tc>
        <w:tc>
          <w:tcPr>
            <w:tcW w:w="2268" w:type="dxa"/>
            <w:vAlign w:val="center"/>
          </w:tcPr>
          <w:p w14:paraId="402BE5A7">
            <w:pPr>
              <w:spacing w:line="360" w:lineRule="auto"/>
              <w:rPr>
                <w:rFonts w:ascii="仿宋" w:hAnsi="仿宋"/>
                <w:sz w:val="24"/>
                <w:szCs w:val="24"/>
                <w:highlight w:val="none"/>
              </w:rPr>
            </w:pPr>
          </w:p>
        </w:tc>
        <w:tc>
          <w:tcPr>
            <w:tcW w:w="1974" w:type="dxa"/>
            <w:vAlign w:val="center"/>
          </w:tcPr>
          <w:p w14:paraId="46254906">
            <w:pPr>
              <w:spacing w:line="360" w:lineRule="auto"/>
              <w:rPr>
                <w:rFonts w:ascii="仿宋" w:hAnsi="仿宋"/>
                <w:sz w:val="24"/>
                <w:szCs w:val="24"/>
                <w:highlight w:val="none"/>
              </w:rPr>
            </w:pPr>
          </w:p>
        </w:tc>
        <w:tc>
          <w:tcPr>
            <w:tcW w:w="2072" w:type="dxa"/>
            <w:vAlign w:val="center"/>
          </w:tcPr>
          <w:p w14:paraId="4484315A">
            <w:pPr>
              <w:spacing w:line="360" w:lineRule="auto"/>
              <w:rPr>
                <w:rFonts w:ascii="仿宋" w:hAnsi="仿宋"/>
                <w:sz w:val="24"/>
                <w:szCs w:val="24"/>
                <w:highlight w:val="none"/>
              </w:rPr>
            </w:pPr>
          </w:p>
        </w:tc>
        <w:tc>
          <w:tcPr>
            <w:tcW w:w="1615" w:type="dxa"/>
            <w:vAlign w:val="center"/>
          </w:tcPr>
          <w:p w14:paraId="2D7D6471">
            <w:pPr>
              <w:spacing w:line="360" w:lineRule="auto"/>
              <w:rPr>
                <w:rFonts w:ascii="仿宋" w:hAnsi="仿宋"/>
                <w:sz w:val="24"/>
                <w:szCs w:val="24"/>
                <w:highlight w:val="none"/>
              </w:rPr>
            </w:pPr>
          </w:p>
        </w:tc>
        <w:tc>
          <w:tcPr>
            <w:tcW w:w="1240" w:type="dxa"/>
            <w:vAlign w:val="center"/>
          </w:tcPr>
          <w:p w14:paraId="234E8B55">
            <w:pPr>
              <w:spacing w:line="360" w:lineRule="auto"/>
              <w:rPr>
                <w:rFonts w:ascii="仿宋" w:hAnsi="仿宋"/>
                <w:sz w:val="24"/>
                <w:szCs w:val="24"/>
                <w:highlight w:val="none"/>
              </w:rPr>
            </w:pPr>
          </w:p>
        </w:tc>
        <w:tc>
          <w:tcPr>
            <w:tcW w:w="1207" w:type="dxa"/>
            <w:vAlign w:val="center"/>
          </w:tcPr>
          <w:p w14:paraId="78F9D926">
            <w:pPr>
              <w:spacing w:line="360" w:lineRule="auto"/>
              <w:rPr>
                <w:rFonts w:ascii="仿宋" w:hAnsi="仿宋"/>
                <w:sz w:val="24"/>
                <w:szCs w:val="24"/>
                <w:highlight w:val="none"/>
              </w:rPr>
            </w:pPr>
          </w:p>
        </w:tc>
        <w:tc>
          <w:tcPr>
            <w:tcW w:w="3035" w:type="dxa"/>
            <w:vAlign w:val="center"/>
          </w:tcPr>
          <w:p w14:paraId="724E9193">
            <w:pPr>
              <w:spacing w:line="360" w:lineRule="auto"/>
              <w:rPr>
                <w:rFonts w:ascii="仿宋" w:hAnsi="仿宋"/>
                <w:sz w:val="24"/>
                <w:szCs w:val="24"/>
                <w:highlight w:val="none"/>
              </w:rPr>
            </w:pPr>
          </w:p>
        </w:tc>
      </w:tr>
      <w:tr w14:paraId="7585E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604" w:type="dxa"/>
            <w:vAlign w:val="center"/>
          </w:tcPr>
          <w:p w14:paraId="10D85140">
            <w:pPr>
              <w:spacing w:line="360" w:lineRule="auto"/>
              <w:rPr>
                <w:rFonts w:ascii="仿宋" w:hAnsi="仿宋"/>
                <w:sz w:val="24"/>
                <w:szCs w:val="24"/>
                <w:highlight w:val="none"/>
              </w:rPr>
            </w:pPr>
            <w:r>
              <w:rPr>
                <w:rFonts w:hint="eastAsia" w:ascii="仿宋" w:hAnsi="仿宋"/>
                <w:sz w:val="24"/>
                <w:szCs w:val="24"/>
                <w:highlight w:val="none"/>
              </w:rPr>
              <w:t>３</w:t>
            </w:r>
          </w:p>
        </w:tc>
        <w:tc>
          <w:tcPr>
            <w:tcW w:w="2268" w:type="dxa"/>
            <w:vAlign w:val="center"/>
          </w:tcPr>
          <w:p w14:paraId="400FA73D">
            <w:pPr>
              <w:spacing w:line="360" w:lineRule="auto"/>
              <w:rPr>
                <w:rFonts w:ascii="仿宋" w:hAnsi="仿宋"/>
                <w:sz w:val="24"/>
                <w:szCs w:val="24"/>
                <w:highlight w:val="none"/>
              </w:rPr>
            </w:pPr>
          </w:p>
        </w:tc>
        <w:tc>
          <w:tcPr>
            <w:tcW w:w="1974" w:type="dxa"/>
            <w:vAlign w:val="center"/>
          </w:tcPr>
          <w:p w14:paraId="215FAF42">
            <w:pPr>
              <w:spacing w:line="360" w:lineRule="auto"/>
              <w:rPr>
                <w:rFonts w:ascii="仿宋" w:hAnsi="仿宋"/>
                <w:sz w:val="24"/>
                <w:szCs w:val="24"/>
                <w:highlight w:val="none"/>
              </w:rPr>
            </w:pPr>
          </w:p>
        </w:tc>
        <w:tc>
          <w:tcPr>
            <w:tcW w:w="2072" w:type="dxa"/>
            <w:vAlign w:val="center"/>
          </w:tcPr>
          <w:p w14:paraId="7D4DDCB1">
            <w:pPr>
              <w:spacing w:line="360" w:lineRule="auto"/>
              <w:rPr>
                <w:rFonts w:ascii="仿宋" w:hAnsi="仿宋"/>
                <w:sz w:val="24"/>
                <w:szCs w:val="24"/>
                <w:highlight w:val="none"/>
              </w:rPr>
            </w:pPr>
          </w:p>
        </w:tc>
        <w:tc>
          <w:tcPr>
            <w:tcW w:w="1615" w:type="dxa"/>
            <w:vAlign w:val="center"/>
          </w:tcPr>
          <w:p w14:paraId="7E33862E">
            <w:pPr>
              <w:spacing w:line="360" w:lineRule="auto"/>
              <w:rPr>
                <w:rFonts w:ascii="仿宋" w:hAnsi="仿宋"/>
                <w:sz w:val="24"/>
                <w:szCs w:val="24"/>
                <w:highlight w:val="none"/>
              </w:rPr>
            </w:pPr>
          </w:p>
        </w:tc>
        <w:tc>
          <w:tcPr>
            <w:tcW w:w="1240" w:type="dxa"/>
            <w:vAlign w:val="center"/>
          </w:tcPr>
          <w:p w14:paraId="7FF679A1">
            <w:pPr>
              <w:spacing w:line="360" w:lineRule="auto"/>
              <w:rPr>
                <w:rFonts w:ascii="仿宋" w:hAnsi="仿宋"/>
                <w:sz w:val="24"/>
                <w:szCs w:val="24"/>
                <w:highlight w:val="none"/>
              </w:rPr>
            </w:pPr>
          </w:p>
        </w:tc>
        <w:tc>
          <w:tcPr>
            <w:tcW w:w="1207" w:type="dxa"/>
            <w:vAlign w:val="center"/>
          </w:tcPr>
          <w:p w14:paraId="566FCDDB">
            <w:pPr>
              <w:spacing w:line="360" w:lineRule="auto"/>
              <w:rPr>
                <w:rFonts w:ascii="仿宋" w:hAnsi="仿宋"/>
                <w:sz w:val="24"/>
                <w:szCs w:val="24"/>
                <w:highlight w:val="none"/>
              </w:rPr>
            </w:pPr>
          </w:p>
        </w:tc>
        <w:tc>
          <w:tcPr>
            <w:tcW w:w="3035" w:type="dxa"/>
            <w:vAlign w:val="center"/>
          </w:tcPr>
          <w:p w14:paraId="56182CC5">
            <w:pPr>
              <w:spacing w:line="360" w:lineRule="auto"/>
              <w:rPr>
                <w:rFonts w:ascii="仿宋" w:hAnsi="仿宋"/>
                <w:sz w:val="24"/>
                <w:szCs w:val="24"/>
                <w:highlight w:val="none"/>
              </w:rPr>
            </w:pPr>
          </w:p>
        </w:tc>
      </w:tr>
    </w:tbl>
    <w:p w14:paraId="58210ADC">
      <w:pPr>
        <w:spacing w:line="360" w:lineRule="auto"/>
        <w:rPr>
          <w:rFonts w:ascii="仿宋" w:hAnsi="仿宋"/>
          <w:sz w:val="24"/>
          <w:szCs w:val="24"/>
          <w:highlight w:val="none"/>
        </w:rPr>
      </w:pPr>
      <w:r>
        <w:rPr>
          <w:rFonts w:hint="eastAsia" w:ascii="仿宋" w:hAnsi="仿宋"/>
          <w:sz w:val="24"/>
          <w:szCs w:val="24"/>
          <w:highlight w:val="none"/>
        </w:rPr>
        <w:t>　　注：供应商应根据供应商须知前附表第3.5（4）项的要求在本表后附相关证明材料。</w:t>
      </w:r>
    </w:p>
    <w:p w14:paraId="18E1A1E6">
      <w:pPr>
        <w:spacing w:line="360" w:lineRule="auto"/>
        <w:rPr>
          <w:rFonts w:ascii="仿宋" w:hAnsi="仿宋"/>
          <w:sz w:val="24"/>
          <w:szCs w:val="24"/>
          <w:highlight w:val="none"/>
        </w:rPr>
        <w:sectPr>
          <w:pgSz w:w="16838" w:h="11906" w:orient="landscape"/>
          <w:pgMar w:top="1800" w:right="1440" w:bottom="1800" w:left="1440" w:header="851" w:footer="992" w:gutter="0"/>
          <w:cols w:space="425" w:num="1"/>
          <w:docGrid w:type="lines" w:linePitch="312" w:charSpace="0"/>
        </w:sectPr>
      </w:pPr>
    </w:p>
    <w:p w14:paraId="03EF0944">
      <w:pPr>
        <w:spacing w:line="360" w:lineRule="auto"/>
        <w:rPr>
          <w:rFonts w:ascii="仿宋" w:hAnsi="仿宋"/>
          <w:sz w:val="24"/>
          <w:szCs w:val="24"/>
          <w:highlight w:val="none"/>
        </w:rPr>
      </w:pPr>
      <w:r>
        <w:rPr>
          <w:rFonts w:hint="eastAsia" w:ascii="仿宋" w:hAnsi="仿宋"/>
          <w:sz w:val="24"/>
          <w:szCs w:val="24"/>
          <w:highlight w:val="none"/>
        </w:rPr>
        <w:t>附：证明材料</w:t>
      </w:r>
    </w:p>
    <w:p w14:paraId="5ED8E176">
      <w:pPr>
        <w:spacing w:line="360" w:lineRule="auto"/>
        <w:rPr>
          <w:rFonts w:ascii="仿宋" w:hAnsi="仿宋"/>
          <w:sz w:val="24"/>
          <w:szCs w:val="24"/>
          <w:highlight w:val="none"/>
        </w:rPr>
      </w:pPr>
      <w:r>
        <w:rPr>
          <w:rFonts w:hint="eastAsia" w:ascii="仿宋" w:hAnsi="仿宋"/>
          <w:sz w:val="24"/>
          <w:szCs w:val="24"/>
          <w:highlight w:val="none"/>
        </w:rPr>
        <w:br w:type="page"/>
      </w:r>
    </w:p>
    <w:p w14:paraId="50CC8D4D">
      <w:pPr>
        <w:spacing w:line="360" w:lineRule="auto"/>
        <w:jc w:val="center"/>
        <w:rPr>
          <w:rFonts w:ascii="仿宋" w:hAnsi="仿宋" w:cs="黑体"/>
          <w:sz w:val="24"/>
          <w:szCs w:val="24"/>
          <w:highlight w:val="none"/>
        </w:rPr>
      </w:pPr>
      <w:r>
        <w:rPr>
          <w:rFonts w:hint="eastAsia" w:ascii="仿宋" w:hAnsi="仿宋" w:cs="黑体"/>
          <w:sz w:val="24"/>
          <w:szCs w:val="24"/>
          <w:highlight w:val="none"/>
        </w:rPr>
        <w:t>（四）拟委任的主要人员汇总表</w:t>
      </w:r>
    </w:p>
    <w:p w14:paraId="5FAE8B1D">
      <w:pPr>
        <w:spacing w:line="360" w:lineRule="auto"/>
        <w:rPr>
          <w:rFonts w:ascii="仿宋" w:hAnsi="仿宋"/>
          <w:sz w:val="24"/>
          <w:szCs w:val="24"/>
          <w:highlight w:val="none"/>
        </w:rPr>
      </w:pPr>
    </w:p>
    <w:tbl>
      <w:tblPr>
        <w:tblStyle w:val="8"/>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4"/>
        <w:gridCol w:w="1186"/>
        <w:gridCol w:w="1140"/>
        <w:gridCol w:w="2258"/>
        <w:gridCol w:w="1387"/>
        <w:gridCol w:w="735"/>
        <w:gridCol w:w="1310"/>
      </w:tblGrid>
      <w:tr w14:paraId="1E6E8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04" w:type="dxa"/>
            <w:vMerge w:val="restart"/>
            <w:vAlign w:val="center"/>
          </w:tcPr>
          <w:p w14:paraId="35B1E514">
            <w:pPr>
              <w:spacing w:line="360" w:lineRule="auto"/>
              <w:jc w:val="center"/>
              <w:rPr>
                <w:rFonts w:ascii="仿宋" w:hAnsi="仿宋"/>
                <w:sz w:val="24"/>
                <w:szCs w:val="24"/>
                <w:highlight w:val="none"/>
              </w:rPr>
            </w:pPr>
            <w:r>
              <w:rPr>
                <w:rFonts w:hint="eastAsia" w:ascii="仿宋" w:hAnsi="仿宋"/>
                <w:sz w:val="24"/>
                <w:szCs w:val="24"/>
                <w:highlight w:val="none"/>
              </w:rPr>
              <w:t>序号</w:t>
            </w:r>
          </w:p>
        </w:tc>
        <w:tc>
          <w:tcPr>
            <w:tcW w:w="1186" w:type="dxa"/>
            <w:vMerge w:val="restart"/>
            <w:vAlign w:val="center"/>
          </w:tcPr>
          <w:p w14:paraId="67C934AD">
            <w:pPr>
              <w:spacing w:line="360" w:lineRule="auto"/>
              <w:jc w:val="center"/>
              <w:rPr>
                <w:rFonts w:ascii="仿宋" w:hAnsi="仿宋"/>
                <w:sz w:val="24"/>
                <w:szCs w:val="24"/>
                <w:highlight w:val="none"/>
              </w:rPr>
            </w:pPr>
            <w:r>
              <w:rPr>
                <w:rFonts w:hint="eastAsia" w:ascii="仿宋" w:hAnsi="仿宋"/>
                <w:sz w:val="24"/>
                <w:szCs w:val="24"/>
                <w:highlight w:val="none"/>
              </w:rPr>
              <w:t>本项目任职</w:t>
            </w:r>
          </w:p>
        </w:tc>
        <w:tc>
          <w:tcPr>
            <w:tcW w:w="1140" w:type="dxa"/>
            <w:vMerge w:val="restart"/>
            <w:vAlign w:val="center"/>
          </w:tcPr>
          <w:p w14:paraId="0E40CB9C">
            <w:pPr>
              <w:spacing w:line="360" w:lineRule="auto"/>
              <w:jc w:val="center"/>
              <w:rPr>
                <w:rFonts w:ascii="仿宋" w:hAnsi="仿宋"/>
                <w:sz w:val="24"/>
                <w:szCs w:val="24"/>
                <w:highlight w:val="none"/>
              </w:rPr>
            </w:pPr>
            <w:r>
              <w:rPr>
                <w:rFonts w:hint="eastAsia" w:ascii="仿宋" w:hAnsi="仿宋"/>
                <w:sz w:val="24"/>
                <w:szCs w:val="24"/>
                <w:highlight w:val="none"/>
              </w:rPr>
              <w:t>姓名</w:t>
            </w:r>
          </w:p>
        </w:tc>
        <w:tc>
          <w:tcPr>
            <w:tcW w:w="2258" w:type="dxa"/>
            <w:vMerge w:val="restart"/>
            <w:vAlign w:val="center"/>
          </w:tcPr>
          <w:p w14:paraId="21ADC715">
            <w:pPr>
              <w:spacing w:line="360" w:lineRule="auto"/>
              <w:jc w:val="center"/>
              <w:rPr>
                <w:rFonts w:ascii="仿宋" w:hAnsi="仿宋"/>
                <w:sz w:val="24"/>
                <w:szCs w:val="24"/>
                <w:highlight w:val="none"/>
              </w:rPr>
            </w:pPr>
            <w:r>
              <w:rPr>
                <w:rFonts w:hint="eastAsia" w:ascii="仿宋" w:hAnsi="仿宋"/>
                <w:sz w:val="24"/>
                <w:szCs w:val="24"/>
                <w:highlight w:val="none"/>
              </w:rPr>
              <w:t>职称及专业</w:t>
            </w:r>
          </w:p>
        </w:tc>
        <w:tc>
          <w:tcPr>
            <w:tcW w:w="3432" w:type="dxa"/>
            <w:gridSpan w:val="3"/>
            <w:vAlign w:val="center"/>
          </w:tcPr>
          <w:p w14:paraId="246B6975">
            <w:pPr>
              <w:spacing w:line="360" w:lineRule="auto"/>
              <w:jc w:val="center"/>
              <w:rPr>
                <w:rFonts w:ascii="仿宋" w:hAnsi="仿宋"/>
                <w:sz w:val="24"/>
                <w:szCs w:val="24"/>
                <w:highlight w:val="none"/>
              </w:rPr>
            </w:pPr>
            <w:r>
              <w:rPr>
                <w:rFonts w:hint="eastAsia" w:ascii="仿宋" w:hAnsi="仿宋"/>
                <w:sz w:val="24"/>
                <w:szCs w:val="24"/>
                <w:highlight w:val="none"/>
              </w:rPr>
              <w:t>执业或职业资格证明</w:t>
            </w:r>
          </w:p>
        </w:tc>
      </w:tr>
      <w:tr w14:paraId="4EDE8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504" w:type="dxa"/>
            <w:vMerge w:val="continue"/>
            <w:vAlign w:val="center"/>
          </w:tcPr>
          <w:p w14:paraId="04B1C98A">
            <w:pPr>
              <w:spacing w:line="360" w:lineRule="auto"/>
              <w:jc w:val="center"/>
              <w:rPr>
                <w:rFonts w:ascii="仿宋" w:hAnsi="仿宋"/>
                <w:sz w:val="24"/>
                <w:szCs w:val="24"/>
                <w:highlight w:val="none"/>
              </w:rPr>
            </w:pPr>
          </w:p>
        </w:tc>
        <w:tc>
          <w:tcPr>
            <w:tcW w:w="1186" w:type="dxa"/>
            <w:vMerge w:val="continue"/>
            <w:vAlign w:val="center"/>
          </w:tcPr>
          <w:p w14:paraId="2CC9892F">
            <w:pPr>
              <w:spacing w:line="360" w:lineRule="auto"/>
              <w:jc w:val="center"/>
              <w:rPr>
                <w:rFonts w:ascii="仿宋" w:hAnsi="仿宋"/>
                <w:sz w:val="24"/>
                <w:szCs w:val="24"/>
                <w:highlight w:val="none"/>
              </w:rPr>
            </w:pPr>
          </w:p>
        </w:tc>
        <w:tc>
          <w:tcPr>
            <w:tcW w:w="1140" w:type="dxa"/>
            <w:vMerge w:val="continue"/>
            <w:vAlign w:val="center"/>
          </w:tcPr>
          <w:p w14:paraId="19B3DDE2">
            <w:pPr>
              <w:spacing w:line="360" w:lineRule="auto"/>
              <w:jc w:val="center"/>
              <w:rPr>
                <w:rFonts w:ascii="仿宋" w:hAnsi="仿宋"/>
                <w:sz w:val="24"/>
                <w:szCs w:val="24"/>
                <w:highlight w:val="none"/>
              </w:rPr>
            </w:pPr>
          </w:p>
        </w:tc>
        <w:tc>
          <w:tcPr>
            <w:tcW w:w="2258" w:type="dxa"/>
            <w:vMerge w:val="continue"/>
            <w:vAlign w:val="center"/>
          </w:tcPr>
          <w:p w14:paraId="6EADFA10">
            <w:pPr>
              <w:spacing w:line="360" w:lineRule="auto"/>
              <w:jc w:val="center"/>
              <w:rPr>
                <w:rFonts w:ascii="仿宋" w:hAnsi="仿宋"/>
                <w:sz w:val="24"/>
                <w:szCs w:val="24"/>
                <w:highlight w:val="none"/>
              </w:rPr>
            </w:pPr>
          </w:p>
        </w:tc>
        <w:tc>
          <w:tcPr>
            <w:tcW w:w="1387" w:type="dxa"/>
            <w:vAlign w:val="center"/>
          </w:tcPr>
          <w:p w14:paraId="34C75EFF">
            <w:pPr>
              <w:spacing w:line="360" w:lineRule="auto"/>
              <w:jc w:val="center"/>
              <w:rPr>
                <w:rFonts w:ascii="仿宋" w:hAnsi="仿宋"/>
                <w:sz w:val="24"/>
                <w:szCs w:val="24"/>
                <w:highlight w:val="none"/>
              </w:rPr>
            </w:pPr>
            <w:r>
              <w:rPr>
                <w:rFonts w:hint="eastAsia" w:ascii="仿宋" w:hAnsi="仿宋"/>
                <w:sz w:val="24"/>
                <w:szCs w:val="24"/>
                <w:highlight w:val="none"/>
              </w:rPr>
              <w:t>证书名称</w:t>
            </w:r>
          </w:p>
        </w:tc>
        <w:tc>
          <w:tcPr>
            <w:tcW w:w="735" w:type="dxa"/>
            <w:vAlign w:val="center"/>
          </w:tcPr>
          <w:p w14:paraId="5EEE2576">
            <w:pPr>
              <w:spacing w:line="360" w:lineRule="auto"/>
              <w:jc w:val="center"/>
              <w:rPr>
                <w:rFonts w:ascii="仿宋" w:hAnsi="仿宋"/>
                <w:sz w:val="24"/>
                <w:szCs w:val="24"/>
                <w:highlight w:val="none"/>
              </w:rPr>
            </w:pPr>
            <w:r>
              <w:rPr>
                <w:rFonts w:hint="eastAsia" w:ascii="仿宋" w:hAnsi="仿宋"/>
                <w:sz w:val="24"/>
                <w:szCs w:val="24"/>
                <w:highlight w:val="none"/>
              </w:rPr>
              <w:t>级别</w:t>
            </w:r>
          </w:p>
        </w:tc>
        <w:tc>
          <w:tcPr>
            <w:tcW w:w="1310" w:type="dxa"/>
            <w:vAlign w:val="center"/>
          </w:tcPr>
          <w:p w14:paraId="0B4B4C89">
            <w:pPr>
              <w:spacing w:line="360" w:lineRule="auto"/>
              <w:jc w:val="center"/>
              <w:rPr>
                <w:rFonts w:ascii="仿宋" w:hAnsi="仿宋"/>
                <w:sz w:val="24"/>
                <w:szCs w:val="24"/>
                <w:highlight w:val="none"/>
              </w:rPr>
            </w:pPr>
            <w:r>
              <w:rPr>
                <w:rFonts w:hint="eastAsia" w:ascii="仿宋" w:hAnsi="仿宋"/>
                <w:sz w:val="24"/>
                <w:szCs w:val="24"/>
                <w:highlight w:val="none"/>
              </w:rPr>
              <w:t>证号</w:t>
            </w:r>
          </w:p>
        </w:tc>
      </w:tr>
      <w:tr w14:paraId="4C79B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504" w:type="dxa"/>
            <w:vAlign w:val="center"/>
          </w:tcPr>
          <w:p w14:paraId="4177B526">
            <w:pPr>
              <w:spacing w:line="360" w:lineRule="auto"/>
              <w:rPr>
                <w:rFonts w:ascii="仿宋" w:hAnsi="仿宋"/>
                <w:sz w:val="24"/>
                <w:szCs w:val="24"/>
                <w:highlight w:val="none"/>
              </w:rPr>
            </w:pPr>
            <w:r>
              <w:rPr>
                <w:rFonts w:hint="eastAsia" w:ascii="仿宋" w:hAnsi="仿宋"/>
                <w:sz w:val="24"/>
                <w:szCs w:val="24"/>
                <w:highlight w:val="none"/>
              </w:rPr>
              <w:t>１</w:t>
            </w:r>
          </w:p>
        </w:tc>
        <w:tc>
          <w:tcPr>
            <w:tcW w:w="1186" w:type="dxa"/>
            <w:vAlign w:val="center"/>
          </w:tcPr>
          <w:p w14:paraId="2BFB67FD">
            <w:pPr>
              <w:spacing w:line="360" w:lineRule="auto"/>
              <w:rPr>
                <w:rFonts w:ascii="仿宋" w:hAnsi="仿宋"/>
                <w:sz w:val="24"/>
                <w:szCs w:val="24"/>
                <w:highlight w:val="none"/>
              </w:rPr>
            </w:pPr>
          </w:p>
        </w:tc>
        <w:tc>
          <w:tcPr>
            <w:tcW w:w="1140" w:type="dxa"/>
            <w:vAlign w:val="center"/>
          </w:tcPr>
          <w:p w14:paraId="3EF68585">
            <w:pPr>
              <w:spacing w:line="360" w:lineRule="auto"/>
              <w:rPr>
                <w:rFonts w:ascii="仿宋" w:hAnsi="仿宋"/>
                <w:sz w:val="24"/>
                <w:szCs w:val="24"/>
                <w:highlight w:val="none"/>
              </w:rPr>
            </w:pPr>
          </w:p>
        </w:tc>
        <w:tc>
          <w:tcPr>
            <w:tcW w:w="2258" w:type="dxa"/>
            <w:vAlign w:val="center"/>
          </w:tcPr>
          <w:p w14:paraId="1333796E">
            <w:pPr>
              <w:spacing w:line="360" w:lineRule="auto"/>
              <w:rPr>
                <w:rFonts w:ascii="仿宋" w:hAnsi="仿宋"/>
                <w:sz w:val="24"/>
                <w:szCs w:val="24"/>
                <w:highlight w:val="none"/>
              </w:rPr>
            </w:pPr>
          </w:p>
        </w:tc>
        <w:tc>
          <w:tcPr>
            <w:tcW w:w="1387" w:type="dxa"/>
            <w:vAlign w:val="center"/>
          </w:tcPr>
          <w:p w14:paraId="0FFCCD4D">
            <w:pPr>
              <w:spacing w:line="360" w:lineRule="auto"/>
              <w:rPr>
                <w:rFonts w:ascii="仿宋" w:hAnsi="仿宋"/>
                <w:sz w:val="24"/>
                <w:szCs w:val="24"/>
                <w:highlight w:val="none"/>
              </w:rPr>
            </w:pPr>
          </w:p>
        </w:tc>
        <w:tc>
          <w:tcPr>
            <w:tcW w:w="735" w:type="dxa"/>
            <w:vAlign w:val="center"/>
          </w:tcPr>
          <w:p w14:paraId="545B3DBF">
            <w:pPr>
              <w:spacing w:line="360" w:lineRule="auto"/>
              <w:rPr>
                <w:rFonts w:ascii="仿宋" w:hAnsi="仿宋"/>
                <w:sz w:val="24"/>
                <w:szCs w:val="24"/>
                <w:highlight w:val="none"/>
              </w:rPr>
            </w:pPr>
          </w:p>
        </w:tc>
        <w:tc>
          <w:tcPr>
            <w:tcW w:w="1310" w:type="dxa"/>
            <w:vAlign w:val="center"/>
          </w:tcPr>
          <w:p w14:paraId="02746977">
            <w:pPr>
              <w:spacing w:line="360" w:lineRule="auto"/>
              <w:rPr>
                <w:rFonts w:ascii="仿宋" w:hAnsi="仿宋"/>
                <w:sz w:val="24"/>
                <w:szCs w:val="24"/>
                <w:highlight w:val="none"/>
              </w:rPr>
            </w:pPr>
          </w:p>
        </w:tc>
      </w:tr>
      <w:tr w14:paraId="7894B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504" w:type="dxa"/>
            <w:vAlign w:val="center"/>
          </w:tcPr>
          <w:p w14:paraId="4B9A152E">
            <w:pPr>
              <w:spacing w:line="360" w:lineRule="auto"/>
              <w:rPr>
                <w:rFonts w:ascii="仿宋" w:hAnsi="仿宋"/>
                <w:sz w:val="24"/>
                <w:szCs w:val="24"/>
                <w:highlight w:val="none"/>
              </w:rPr>
            </w:pPr>
            <w:r>
              <w:rPr>
                <w:rFonts w:hint="eastAsia" w:ascii="仿宋" w:hAnsi="仿宋"/>
                <w:sz w:val="24"/>
                <w:szCs w:val="24"/>
                <w:highlight w:val="none"/>
              </w:rPr>
              <w:t>２</w:t>
            </w:r>
          </w:p>
        </w:tc>
        <w:tc>
          <w:tcPr>
            <w:tcW w:w="1186" w:type="dxa"/>
            <w:vAlign w:val="center"/>
          </w:tcPr>
          <w:p w14:paraId="3A66AACF">
            <w:pPr>
              <w:spacing w:line="360" w:lineRule="auto"/>
              <w:rPr>
                <w:rFonts w:ascii="仿宋" w:hAnsi="仿宋"/>
                <w:sz w:val="24"/>
                <w:szCs w:val="24"/>
                <w:highlight w:val="none"/>
              </w:rPr>
            </w:pPr>
          </w:p>
        </w:tc>
        <w:tc>
          <w:tcPr>
            <w:tcW w:w="1140" w:type="dxa"/>
            <w:vAlign w:val="center"/>
          </w:tcPr>
          <w:p w14:paraId="754C6666">
            <w:pPr>
              <w:spacing w:line="360" w:lineRule="auto"/>
              <w:rPr>
                <w:rFonts w:ascii="仿宋" w:hAnsi="仿宋"/>
                <w:sz w:val="24"/>
                <w:szCs w:val="24"/>
                <w:highlight w:val="none"/>
              </w:rPr>
            </w:pPr>
          </w:p>
        </w:tc>
        <w:tc>
          <w:tcPr>
            <w:tcW w:w="2258" w:type="dxa"/>
            <w:vAlign w:val="center"/>
          </w:tcPr>
          <w:p w14:paraId="78565134">
            <w:pPr>
              <w:spacing w:line="360" w:lineRule="auto"/>
              <w:rPr>
                <w:rFonts w:ascii="仿宋" w:hAnsi="仿宋"/>
                <w:sz w:val="24"/>
                <w:szCs w:val="24"/>
                <w:highlight w:val="none"/>
              </w:rPr>
            </w:pPr>
          </w:p>
        </w:tc>
        <w:tc>
          <w:tcPr>
            <w:tcW w:w="1387" w:type="dxa"/>
            <w:vAlign w:val="center"/>
          </w:tcPr>
          <w:p w14:paraId="4DDEB1EF">
            <w:pPr>
              <w:spacing w:line="360" w:lineRule="auto"/>
              <w:rPr>
                <w:rFonts w:ascii="仿宋" w:hAnsi="仿宋"/>
                <w:sz w:val="24"/>
                <w:szCs w:val="24"/>
                <w:highlight w:val="none"/>
              </w:rPr>
            </w:pPr>
          </w:p>
        </w:tc>
        <w:tc>
          <w:tcPr>
            <w:tcW w:w="735" w:type="dxa"/>
            <w:vAlign w:val="center"/>
          </w:tcPr>
          <w:p w14:paraId="459433E1">
            <w:pPr>
              <w:spacing w:line="360" w:lineRule="auto"/>
              <w:rPr>
                <w:rFonts w:ascii="仿宋" w:hAnsi="仿宋"/>
                <w:sz w:val="24"/>
                <w:szCs w:val="24"/>
                <w:highlight w:val="none"/>
              </w:rPr>
            </w:pPr>
          </w:p>
        </w:tc>
        <w:tc>
          <w:tcPr>
            <w:tcW w:w="1310" w:type="dxa"/>
            <w:vAlign w:val="center"/>
          </w:tcPr>
          <w:p w14:paraId="41CDD408">
            <w:pPr>
              <w:spacing w:line="360" w:lineRule="auto"/>
              <w:rPr>
                <w:rFonts w:ascii="仿宋" w:hAnsi="仿宋"/>
                <w:sz w:val="24"/>
                <w:szCs w:val="24"/>
                <w:highlight w:val="none"/>
              </w:rPr>
            </w:pPr>
          </w:p>
        </w:tc>
      </w:tr>
      <w:tr w14:paraId="49FB2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504" w:type="dxa"/>
            <w:vAlign w:val="center"/>
          </w:tcPr>
          <w:p w14:paraId="72D151E5">
            <w:pPr>
              <w:spacing w:line="360" w:lineRule="auto"/>
              <w:rPr>
                <w:rFonts w:ascii="仿宋" w:hAnsi="仿宋"/>
                <w:sz w:val="24"/>
                <w:szCs w:val="24"/>
                <w:highlight w:val="none"/>
              </w:rPr>
            </w:pPr>
            <w:r>
              <w:rPr>
                <w:rFonts w:hint="eastAsia" w:ascii="仿宋" w:hAnsi="仿宋"/>
                <w:sz w:val="24"/>
                <w:szCs w:val="24"/>
                <w:highlight w:val="none"/>
              </w:rPr>
              <w:t>３</w:t>
            </w:r>
          </w:p>
        </w:tc>
        <w:tc>
          <w:tcPr>
            <w:tcW w:w="1186" w:type="dxa"/>
            <w:vAlign w:val="center"/>
          </w:tcPr>
          <w:p w14:paraId="1C8769A8">
            <w:pPr>
              <w:spacing w:line="360" w:lineRule="auto"/>
              <w:rPr>
                <w:rFonts w:ascii="仿宋" w:hAnsi="仿宋"/>
                <w:sz w:val="24"/>
                <w:szCs w:val="24"/>
                <w:highlight w:val="none"/>
              </w:rPr>
            </w:pPr>
          </w:p>
        </w:tc>
        <w:tc>
          <w:tcPr>
            <w:tcW w:w="1140" w:type="dxa"/>
            <w:vAlign w:val="center"/>
          </w:tcPr>
          <w:p w14:paraId="462FBD7E">
            <w:pPr>
              <w:spacing w:line="360" w:lineRule="auto"/>
              <w:rPr>
                <w:rFonts w:ascii="仿宋" w:hAnsi="仿宋"/>
                <w:sz w:val="24"/>
                <w:szCs w:val="24"/>
                <w:highlight w:val="none"/>
              </w:rPr>
            </w:pPr>
          </w:p>
        </w:tc>
        <w:tc>
          <w:tcPr>
            <w:tcW w:w="2258" w:type="dxa"/>
            <w:vAlign w:val="center"/>
          </w:tcPr>
          <w:p w14:paraId="19395D0F">
            <w:pPr>
              <w:spacing w:line="360" w:lineRule="auto"/>
              <w:rPr>
                <w:rFonts w:ascii="仿宋" w:hAnsi="仿宋"/>
                <w:sz w:val="24"/>
                <w:szCs w:val="24"/>
                <w:highlight w:val="none"/>
              </w:rPr>
            </w:pPr>
          </w:p>
        </w:tc>
        <w:tc>
          <w:tcPr>
            <w:tcW w:w="1387" w:type="dxa"/>
            <w:vAlign w:val="center"/>
          </w:tcPr>
          <w:p w14:paraId="748B2CFF">
            <w:pPr>
              <w:spacing w:line="360" w:lineRule="auto"/>
              <w:rPr>
                <w:rFonts w:ascii="仿宋" w:hAnsi="仿宋"/>
                <w:sz w:val="24"/>
                <w:szCs w:val="24"/>
                <w:highlight w:val="none"/>
              </w:rPr>
            </w:pPr>
          </w:p>
        </w:tc>
        <w:tc>
          <w:tcPr>
            <w:tcW w:w="735" w:type="dxa"/>
            <w:vAlign w:val="center"/>
          </w:tcPr>
          <w:p w14:paraId="7544E81C">
            <w:pPr>
              <w:spacing w:line="360" w:lineRule="auto"/>
              <w:rPr>
                <w:rFonts w:ascii="仿宋" w:hAnsi="仿宋"/>
                <w:sz w:val="24"/>
                <w:szCs w:val="24"/>
                <w:highlight w:val="none"/>
              </w:rPr>
            </w:pPr>
          </w:p>
        </w:tc>
        <w:tc>
          <w:tcPr>
            <w:tcW w:w="1310" w:type="dxa"/>
            <w:vAlign w:val="center"/>
          </w:tcPr>
          <w:p w14:paraId="5432D55B">
            <w:pPr>
              <w:spacing w:line="360" w:lineRule="auto"/>
              <w:rPr>
                <w:rFonts w:ascii="仿宋" w:hAnsi="仿宋"/>
                <w:sz w:val="24"/>
                <w:szCs w:val="24"/>
                <w:highlight w:val="none"/>
              </w:rPr>
            </w:pPr>
          </w:p>
        </w:tc>
      </w:tr>
      <w:tr w14:paraId="3596D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504" w:type="dxa"/>
            <w:vAlign w:val="center"/>
          </w:tcPr>
          <w:p w14:paraId="5518B89C">
            <w:pPr>
              <w:spacing w:line="360" w:lineRule="auto"/>
              <w:rPr>
                <w:rFonts w:ascii="仿宋" w:hAnsi="仿宋"/>
                <w:sz w:val="24"/>
                <w:szCs w:val="24"/>
                <w:highlight w:val="none"/>
              </w:rPr>
            </w:pPr>
            <w:r>
              <w:rPr>
                <w:rFonts w:hint="eastAsia" w:ascii="仿宋" w:hAnsi="仿宋"/>
                <w:sz w:val="24"/>
                <w:szCs w:val="24"/>
                <w:highlight w:val="none"/>
              </w:rPr>
              <w:t>４</w:t>
            </w:r>
          </w:p>
        </w:tc>
        <w:tc>
          <w:tcPr>
            <w:tcW w:w="1186" w:type="dxa"/>
            <w:vAlign w:val="center"/>
          </w:tcPr>
          <w:p w14:paraId="143D7B8F">
            <w:pPr>
              <w:spacing w:line="360" w:lineRule="auto"/>
              <w:rPr>
                <w:rFonts w:ascii="仿宋" w:hAnsi="仿宋"/>
                <w:sz w:val="24"/>
                <w:szCs w:val="24"/>
                <w:highlight w:val="none"/>
              </w:rPr>
            </w:pPr>
          </w:p>
        </w:tc>
        <w:tc>
          <w:tcPr>
            <w:tcW w:w="1140" w:type="dxa"/>
            <w:vAlign w:val="center"/>
          </w:tcPr>
          <w:p w14:paraId="58CD2352">
            <w:pPr>
              <w:spacing w:line="360" w:lineRule="auto"/>
              <w:rPr>
                <w:rFonts w:ascii="仿宋" w:hAnsi="仿宋"/>
                <w:sz w:val="24"/>
                <w:szCs w:val="24"/>
                <w:highlight w:val="none"/>
              </w:rPr>
            </w:pPr>
          </w:p>
        </w:tc>
        <w:tc>
          <w:tcPr>
            <w:tcW w:w="2258" w:type="dxa"/>
            <w:vAlign w:val="center"/>
          </w:tcPr>
          <w:p w14:paraId="69B15F60">
            <w:pPr>
              <w:spacing w:line="360" w:lineRule="auto"/>
              <w:rPr>
                <w:rFonts w:ascii="仿宋" w:hAnsi="仿宋"/>
                <w:sz w:val="24"/>
                <w:szCs w:val="24"/>
                <w:highlight w:val="none"/>
              </w:rPr>
            </w:pPr>
          </w:p>
        </w:tc>
        <w:tc>
          <w:tcPr>
            <w:tcW w:w="1387" w:type="dxa"/>
            <w:vAlign w:val="center"/>
          </w:tcPr>
          <w:p w14:paraId="6D9B2372">
            <w:pPr>
              <w:spacing w:line="360" w:lineRule="auto"/>
              <w:rPr>
                <w:rFonts w:ascii="仿宋" w:hAnsi="仿宋"/>
                <w:sz w:val="24"/>
                <w:szCs w:val="24"/>
                <w:highlight w:val="none"/>
              </w:rPr>
            </w:pPr>
          </w:p>
        </w:tc>
        <w:tc>
          <w:tcPr>
            <w:tcW w:w="735" w:type="dxa"/>
            <w:vAlign w:val="center"/>
          </w:tcPr>
          <w:p w14:paraId="0A8DBBEC">
            <w:pPr>
              <w:spacing w:line="360" w:lineRule="auto"/>
              <w:rPr>
                <w:rFonts w:ascii="仿宋" w:hAnsi="仿宋"/>
                <w:sz w:val="24"/>
                <w:szCs w:val="24"/>
                <w:highlight w:val="none"/>
              </w:rPr>
            </w:pPr>
          </w:p>
        </w:tc>
        <w:tc>
          <w:tcPr>
            <w:tcW w:w="1310" w:type="dxa"/>
            <w:vAlign w:val="center"/>
          </w:tcPr>
          <w:p w14:paraId="63749544">
            <w:pPr>
              <w:spacing w:line="360" w:lineRule="auto"/>
              <w:rPr>
                <w:rFonts w:ascii="仿宋" w:hAnsi="仿宋"/>
                <w:sz w:val="24"/>
                <w:szCs w:val="24"/>
                <w:highlight w:val="none"/>
              </w:rPr>
            </w:pPr>
          </w:p>
        </w:tc>
      </w:tr>
      <w:tr w14:paraId="4AA1F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504" w:type="dxa"/>
            <w:vAlign w:val="center"/>
          </w:tcPr>
          <w:p w14:paraId="698A96E1">
            <w:pPr>
              <w:spacing w:line="360" w:lineRule="auto"/>
              <w:rPr>
                <w:rFonts w:ascii="仿宋" w:hAnsi="仿宋"/>
                <w:sz w:val="24"/>
                <w:szCs w:val="24"/>
                <w:highlight w:val="none"/>
              </w:rPr>
            </w:pPr>
          </w:p>
        </w:tc>
        <w:tc>
          <w:tcPr>
            <w:tcW w:w="1186" w:type="dxa"/>
            <w:vAlign w:val="center"/>
          </w:tcPr>
          <w:p w14:paraId="17C29B87">
            <w:pPr>
              <w:spacing w:line="360" w:lineRule="auto"/>
              <w:rPr>
                <w:rFonts w:ascii="仿宋" w:hAnsi="仿宋"/>
                <w:sz w:val="24"/>
                <w:szCs w:val="24"/>
                <w:highlight w:val="none"/>
              </w:rPr>
            </w:pPr>
          </w:p>
        </w:tc>
        <w:tc>
          <w:tcPr>
            <w:tcW w:w="1140" w:type="dxa"/>
            <w:vAlign w:val="center"/>
          </w:tcPr>
          <w:p w14:paraId="6D871848">
            <w:pPr>
              <w:spacing w:line="360" w:lineRule="auto"/>
              <w:rPr>
                <w:rFonts w:ascii="仿宋" w:hAnsi="仿宋"/>
                <w:sz w:val="24"/>
                <w:szCs w:val="24"/>
                <w:highlight w:val="none"/>
              </w:rPr>
            </w:pPr>
          </w:p>
        </w:tc>
        <w:tc>
          <w:tcPr>
            <w:tcW w:w="2258" w:type="dxa"/>
            <w:vAlign w:val="center"/>
          </w:tcPr>
          <w:p w14:paraId="4CEA0856">
            <w:pPr>
              <w:spacing w:line="360" w:lineRule="auto"/>
              <w:rPr>
                <w:rFonts w:ascii="仿宋" w:hAnsi="仿宋"/>
                <w:sz w:val="24"/>
                <w:szCs w:val="24"/>
                <w:highlight w:val="none"/>
              </w:rPr>
            </w:pPr>
          </w:p>
        </w:tc>
        <w:tc>
          <w:tcPr>
            <w:tcW w:w="1387" w:type="dxa"/>
            <w:vAlign w:val="center"/>
          </w:tcPr>
          <w:p w14:paraId="77ED47D8">
            <w:pPr>
              <w:spacing w:line="360" w:lineRule="auto"/>
              <w:rPr>
                <w:rFonts w:ascii="仿宋" w:hAnsi="仿宋"/>
                <w:sz w:val="24"/>
                <w:szCs w:val="24"/>
                <w:highlight w:val="none"/>
              </w:rPr>
            </w:pPr>
          </w:p>
        </w:tc>
        <w:tc>
          <w:tcPr>
            <w:tcW w:w="735" w:type="dxa"/>
            <w:vAlign w:val="center"/>
          </w:tcPr>
          <w:p w14:paraId="2EE455BF">
            <w:pPr>
              <w:spacing w:line="360" w:lineRule="auto"/>
              <w:rPr>
                <w:rFonts w:ascii="仿宋" w:hAnsi="仿宋"/>
                <w:sz w:val="24"/>
                <w:szCs w:val="24"/>
                <w:highlight w:val="none"/>
              </w:rPr>
            </w:pPr>
          </w:p>
        </w:tc>
        <w:tc>
          <w:tcPr>
            <w:tcW w:w="1310" w:type="dxa"/>
            <w:vAlign w:val="center"/>
          </w:tcPr>
          <w:p w14:paraId="3447D8A8">
            <w:pPr>
              <w:spacing w:line="360" w:lineRule="auto"/>
              <w:rPr>
                <w:rFonts w:ascii="仿宋" w:hAnsi="仿宋"/>
                <w:sz w:val="24"/>
                <w:szCs w:val="24"/>
                <w:highlight w:val="none"/>
              </w:rPr>
            </w:pPr>
          </w:p>
        </w:tc>
      </w:tr>
      <w:tr w14:paraId="10164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504" w:type="dxa"/>
            <w:vAlign w:val="center"/>
          </w:tcPr>
          <w:p w14:paraId="6B4EDD53">
            <w:pPr>
              <w:spacing w:line="360" w:lineRule="auto"/>
              <w:rPr>
                <w:rFonts w:ascii="仿宋" w:hAnsi="仿宋"/>
                <w:sz w:val="24"/>
                <w:szCs w:val="24"/>
                <w:highlight w:val="none"/>
              </w:rPr>
            </w:pPr>
          </w:p>
        </w:tc>
        <w:tc>
          <w:tcPr>
            <w:tcW w:w="1186" w:type="dxa"/>
            <w:vAlign w:val="center"/>
          </w:tcPr>
          <w:p w14:paraId="75EB6232">
            <w:pPr>
              <w:spacing w:line="360" w:lineRule="auto"/>
              <w:rPr>
                <w:rFonts w:ascii="仿宋" w:hAnsi="仿宋"/>
                <w:sz w:val="24"/>
                <w:szCs w:val="24"/>
                <w:highlight w:val="none"/>
              </w:rPr>
            </w:pPr>
          </w:p>
        </w:tc>
        <w:tc>
          <w:tcPr>
            <w:tcW w:w="1140" w:type="dxa"/>
            <w:vAlign w:val="center"/>
          </w:tcPr>
          <w:p w14:paraId="4279EFD3">
            <w:pPr>
              <w:spacing w:line="360" w:lineRule="auto"/>
              <w:rPr>
                <w:rFonts w:ascii="仿宋" w:hAnsi="仿宋"/>
                <w:sz w:val="24"/>
                <w:szCs w:val="24"/>
                <w:highlight w:val="none"/>
              </w:rPr>
            </w:pPr>
          </w:p>
        </w:tc>
        <w:tc>
          <w:tcPr>
            <w:tcW w:w="2258" w:type="dxa"/>
            <w:vAlign w:val="center"/>
          </w:tcPr>
          <w:p w14:paraId="297457A3">
            <w:pPr>
              <w:spacing w:line="360" w:lineRule="auto"/>
              <w:rPr>
                <w:rFonts w:ascii="仿宋" w:hAnsi="仿宋"/>
                <w:sz w:val="24"/>
                <w:szCs w:val="24"/>
                <w:highlight w:val="none"/>
              </w:rPr>
            </w:pPr>
          </w:p>
        </w:tc>
        <w:tc>
          <w:tcPr>
            <w:tcW w:w="1387" w:type="dxa"/>
            <w:vAlign w:val="center"/>
          </w:tcPr>
          <w:p w14:paraId="595BAF6E">
            <w:pPr>
              <w:spacing w:line="360" w:lineRule="auto"/>
              <w:rPr>
                <w:rFonts w:ascii="仿宋" w:hAnsi="仿宋"/>
                <w:sz w:val="24"/>
                <w:szCs w:val="24"/>
                <w:highlight w:val="none"/>
              </w:rPr>
            </w:pPr>
          </w:p>
        </w:tc>
        <w:tc>
          <w:tcPr>
            <w:tcW w:w="735" w:type="dxa"/>
            <w:vAlign w:val="center"/>
          </w:tcPr>
          <w:p w14:paraId="244662EB">
            <w:pPr>
              <w:spacing w:line="360" w:lineRule="auto"/>
              <w:rPr>
                <w:rFonts w:ascii="仿宋" w:hAnsi="仿宋"/>
                <w:sz w:val="24"/>
                <w:szCs w:val="24"/>
                <w:highlight w:val="none"/>
              </w:rPr>
            </w:pPr>
          </w:p>
        </w:tc>
        <w:tc>
          <w:tcPr>
            <w:tcW w:w="1310" w:type="dxa"/>
            <w:vAlign w:val="center"/>
          </w:tcPr>
          <w:p w14:paraId="6CDFC2FB">
            <w:pPr>
              <w:spacing w:line="360" w:lineRule="auto"/>
              <w:rPr>
                <w:rFonts w:ascii="仿宋" w:hAnsi="仿宋"/>
                <w:sz w:val="24"/>
                <w:szCs w:val="24"/>
                <w:highlight w:val="none"/>
              </w:rPr>
            </w:pPr>
          </w:p>
        </w:tc>
      </w:tr>
      <w:tr w14:paraId="133B5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504" w:type="dxa"/>
            <w:vAlign w:val="center"/>
          </w:tcPr>
          <w:p w14:paraId="40299573">
            <w:pPr>
              <w:spacing w:line="360" w:lineRule="auto"/>
              <w:rPr>
                <w:rFonts w:ascii="仿宋" w:hAnsi="仿宋"/>
                <w:sz w:val="24"/>
                <w:szCs w:val="24"/>
                <w:highlight w:val="none"/>
              </w:rPr>
            </w:pPr>
          </w:p>
        </w:tc>
        <w:tc>
          <w:tcPr>
            <w:tcW w:w="1186" w:type="dxa"/>
            <w:vAlign w:val="center"/>
          </w:tcPr>
          <w:p w14:paraId="211C6FC1">
            <w:pPr>
              <w:spacing w:line="360" w:lineRule="auto"/>
              <w:rPr>
                <w:rFonts w:ascii="仿宋" w:hAnsi="仿宋"/>
                <w:sz w:val="24"/>
                <w:szCs w:val="24"/>
                <w:highlight w:val="none"/>
              </w:rPr>
            </w:pPr>
          </w:p>
        </w:tc>
        <w:tc>
          <w:tcPr>
            <w:tcW w:w="1140" w:type="dxa"/>
            <w:vAlign w:val="center"/>
          </w:tcPr>
          <w:p w14:paraId="0AB9FD5A">
            <w:pPr>
              <w:spacing w:line="360" w:lineRule="auto"/>
              <w:rPr>
                <w:rFonts w:ascii="仿宋" w:hAnsi="仿宋"/>
                <w:sz w:val="24"/>
                <w:szCs w:val="24"/>
                <w:highlight w:val="none"/>
              </w:rPr>
            </w:pPr>
          </w:p>
        </w:tc>
        <w:tc>
          <w:tcPr>
            <w:tcW w:w="2258" w:type="dxa"/>
            <w:vAlign w:val="center"/>
          </w:tcPr>
          <w:p w14:paraId="722C6194">
            <w:pPr>
              <w:spacing w:line="360" w:lineRule="auto"/>
              <w:rPr>
                <w:rFonts w:ascii="仿宋" w:hAnsi="仿宋"/>
                <w:sz w:val="24"/>
                <w:szCs w:val="24"/>
                <w:highlight w:val="none"/>
              </w:rPr>
            </w:pPr>
          </w:p>
        </w:tc>
        <w:tc>
          <w:tcPr>
            <w:tcW w:w="1387" w:type="dxa"/>
            <w:vAlign w:val="center"/>
          </w:tcPr>
          <w:p w14:paraId="10210AC6">
            <w:pPr>
              <w:spacing w:line="360" w:lineRule="auto"/>
              <w:rPr>
                <w:rFonts w:ascii="仿宋" w:hAnsi="仿宋"/>
                <w:sz w:val="24"/>
                <w:szCs w:val="24"/>
                <w:highlight w:val="none"/>
              </w:rPr>
            </w:pPr>
          </w:p>
        </w:tc>
        <w:tc>
          <w:tcPr>
            <w:tcW w:w="735" w:type="dxa"/>
            <w:vAlign w:val="center"/>
          </w:tcPr>
          <w:p w14:paraId="41A7E5AF">
            <w:pPr>
              <w:spacing w:line="360" w:lineRule="auto"/>
              <w:rPr>
                <w:rFonts w:ascii="仿宋" w:hAnsi="仿宋"/>
                <w:sz w:val="24"/>
                <w:szCs w:val="24"/>
                <w:highlight w:val="none"/>
              </w:rPr>
            </w:pPr>
          </w:p>
        </w:tc>
        <w:tc>
          <w:tcPr>
            <w:tcW w:w="1310" w:type="dxa"/>
            <w:vAlign w:val="center"/>
          </w:tcPr>
          <w:p w14:paraId="5401790A">
            <w:pPr>
              <w:spacing w:line="360" w:lineRule="auto"/>
              <w:rPr>
                <w:rFonts w:ascii="仿宋" w:hAnsi="仿宋"/>
                <w:sz w:val="24"/>
                <w:szCs w:val="24"/>
                <w:highlight w:val="none"/>
              </w:rPr>
            </w:pPr>
          </w:p>
        </w:tc>
      </w:tr>
    </w:tbl>
    <w:p w14:paraId="69FD3C60">
      <w:pPr>
        <w:spacing w:line="360" w:lineRule="auto"/>
        <w:rPr>
          <w:rFonts w:ascii="仿宋" w:hAnsi="仿宋"/>
          <w:sz w:val="24"/>
          <w:szCs w:val="24"/>
          <w:highlight w:val="none"/>
        </w:rPr>
      </w:pPr>
      <w:r>
        <w:rPr>
          <w:rFonts w:hint="eastAsia" w:ascii="仿宋" w:hAnsi="仿宋"/>
          <w:sz w:val="24"/>
          <w:szCs w:val="24"/>
          <w:highlight w:val="none"/>
        </w:rPr>
        <w:t>注</w:t>
      </w:r>
      <w:r>
        <w:rPr>
          <w:rFonts w:ascii="仿宋" w:hAnsi="仿宋"/>
          <w:sz w:val="24"/>
          <w:szCs w:val="24"/>
          <w:highlight w:val="none"/>
        </w:rPr>
        <w:t>：</w:t>
      </w:r>
      <w:r>
        <w:rPr>
          <w:rFonts w:hint="eastAsia" w:ascii="仿宋" w:hAnsi="仿宋" w:cs="黑体"/>
          <w:sz w:val="24"/>
          <w:szCs w:val="24"/>
          <w:highlight w:val="none"/>
        </w:rPr>
        <w:t>主要人员包括项目</w:t>
      </w:r>
      <w:r>
        <w:rPr>
          <w:rFonts w:ascii="仿宋" w:hAnsi="仿宋" w:cs="黑体"/>
          <w:sz w:val="24"/>
          <w:szCs w:val="24"/>
          <w:highlight w:val="none"/>
        </w:rPr>
        <w:t>经理、主管、</w:t>
      </w:r>
      <w:r>
        <w:rPr>
          <w:rFonts w:hint="eastAsia" w:ascii="仿宋" w:hAnsi="仿宋" w:cs="黑体"/>
          <w:sz w:val="24"/>
          <w:szCs w:val="24"/>
          <w:highlight w:val="none"/>
        </w:rPr>
        <w:t>关键</w:t>
      </w:r>
      <w:r>
        <w:rPr>
          <w:rFonts w:ascii="仿宋" w:hAnsi="仿宋" w:cs="黑体"/>
          <w:sz w:val="24"/>
          <w:szCs w:val="24"/>
          <w:highlight w:val="none"/>
        </w:rPr>
        <w:t>岗位人员。</w:t>
      </w:r>
      <w:r>
        <w:rPr>
          <w:rFonts w:hint="eastAsia" w:ascii="仿宋" w:hAnsi="仿宋"/>
          <w:sz w:val="24"/>
          <w:szCs w:val="24"/>
          <w:highlight w:val="none"/>
        </w:rPr>
        <w:br w:type="page"/>
      </w:r>
    </w:p>
    <w:p w14:paraId="72BAEC61">
      <w:pPr>
        <w:spacing w:line="360" w:lineRule="auto"/>
        <w:jc w:val="left"/>
        <w:rPr>
          <w:rFonts w:ascii="仿宋" w:hAnsi="仿宋" w:cs="黑体"/>
          <w:sz w:val="24"/>
          <w:szCs w:val="24"/>
          <w:highlight w:val="none"/>
        </w:rPr>
      </w:pPr>
      <w:r>
        <w:rPr>
          <w:rFonts w:hint="eastAsia" w:ascii="仿宋" w:hAnsi="仿宋" w:cs="黑体"/>
          <w:sz w:val="24"/>
          <w:szCs w:val="24"/>
          <w:highlight w:val="none"/>
        </w:rPr>
        <w:t>附：证明材料</w:t>
      </w:r>
    </w:p>
    <w:p w14:paraId="080B3B67">
      <w:pPr>
        <w:spacing w:line="360" w:lineRule="auto"/>
        <w:rPr>
          <w:rFonts w:ascii="仿宋" w:hAnsi="仿宋"/>
          <w:sz w:val="24"/>
          <w:szCs w:val="24"/>
          <w:highlight w:val="none"/>
        </w:rPr>
      </w:pPr>
    </w:p>
    <w:p w14:paraId="31F2A321">
      <w:pPr>
        <w:spacing w:line="360" w:lineRule="auto"/>
        <w:rPr>
          <w:rFonts w:ascii="仿宋" w:hAnsi="仿宋"/>
          <w:sz w:val="24"/>
          <w:szCs w:val="24"/>
          <w:highlight w:val="none"/>
        </w:rPr>
      </w:pPr>
    </w:p>
    <w:p w14:paraId="4468F21E">
      <w:pPr>
        <w:spacing w:line="360" w:lineRule="auto"/>
        <w:rPr>
          <w:rFonts w:ascii="仿宋" w:hAnsi="仿宋"/>
          <w:sz w:val="24"/>
          <w:szCs w:val="24"/>
          <w:highlight w:val="none"/>
        </w:rPr>
      </w:pPr>
    </w:p>
    <w:p w14:paraId="2EBE1FAE">
      <w:pPr>
        <w:spacing w:line="360" w:lineRule="auto"/>
        <w:rPr>
          <w:rFonts w:ascii="仿宋" w:hAnsi="仿宋"/>
          <w:sz w:val="24"/>
          <w:szCs w:val="24"/>
          <w:highlight w:val="none"/>
        </w:rPr>
      </w:pPr>
      <w:r>
        <w:rPr>
          <w:rFonts w:hint="eastAsia" w:ascii="仿宋" w:hAnsi="仿宋"/>
          <w:sz w:val="24"/>
          <w:szCs w:val="24"/>
          <w:highlight w:val="none"/>
        </w:rPr>
        <w:t>　　注：供应商应根据注：供应商应根据供应商须知前附表第3.5（6）项的要求在本表后附相关证明材料。</w:t>
      </w:r>
    </w:p>
    <w:p w14:paraId="62A58A30">
      <w:pPr>
        <w:spacing w:line="360" w:lineRule="auto"/>
        <w:rPr>
          <w:rFonts w:ascii="仿宋" w:hAnsi="仿宋"/>
          <w:sz w:val="24"/>
          <w:szCs w:val="24"/>
          <w:highlight w:val="none"/>
        </w:rPr>
      </w:pPr>
    </w:p>
    <w:p w14:paraId="1E518677">
      <w:pPr>
        <w:spacing w:line="360" w:lineRule="auto"/>
        <w:rPr>
          <w:rFonts w:ascii="仿宋" w:hAnsi="仿宋"/>
          <w:sz w:val="24"/>
          <w:szCs w:val="24"/>
          <w:highlight w:val="none"/>
        </w:rPr>
      </w:pPr>
    </w:p>
    <w:p w14:paraId="40A793A0">
      <w:pPr>
        <w:spacing w:line="360" w:lineRule="auto"/>
        <w:rPr>
          <w:rFonts w:ascii="仿宋" w:hAnsi="仿宋"/>
          <w:sz w:val="24"/>
          <w:szCs w:val="24"/>
          <w:highlight w:val="none"/>
        </w:rPr>
      </w:pPr>
      <w:r>
        <w:rPr>
          <w:rFonts w:hint="eastAsia" w:ascii="仿宋" w:hAnsi="仿宋"/>
          <w:sz w:val="24"/>
          <w:szCs w:val="24"/>
          <w:highlight w:val="none"/>
        </w:rPr>
        <w:t>　</w:t>
      </w:r>
    </w:p>
    <w:p w14:paraId="18974E7E">
      <w:pPr>
        <w:spacing w:line="360" w:lineRule="auto"/>
        <w:rPr>
          <w:rFonts w:ascii="仿宋" w:hAnsi="仿宋"/>
          <w:sz w:val="24"/>
          <w:szCs w:val="24"/>
          <w:highlight w:val="none"/>
        </w:rPr>
      </w:pPr>
    </w:p>
    <w:p w14:paraId="5D712C81">
      <w:pPr>
        <w:spacing w:line="360" w:lineRule="auto"/>
        <w:rPr>
          <w:rFonts w:ascii="仿宋" w:hAnsi="仿宋"/>
          <w:sz w:val="24"/>
          <w:szCs w:val="24"/>
          <w:highlight w:val="none"/>
        </w:rPr>
      </w:pPr>
    </w:p>
    <w:p w14:paraId="7D45FE93">
      <w:pPr>
        <w:spacing w:line="360" w:lineRule="auto"/>
        <w:rPr>
          <w:rFonts w:ascii="仿宋" w:hAnsi="仿宋"/>
          <w:sz w:val="24"/>
          <w:szCs w:val="24"/>
          <w:highlight w:val="none"/>
        </w:rPr>
      </w:pPr>
    </w:p>
    <w:p w14:paraId="3422C7E7">
      <w:pPr>
        <w:spacing w:line="360" w:lineRule="auto"/>
        <w:rPr>
          <w:rFonts w:ascii="仿宋" w:hAnsi="仿宋"/>
          <w:sz w:val="24"/>
          <w:szCs w:val="24"/>
          <w:highlight w:val="none"/>
        </w:rPr>
      </w:pPr>
    </w:p>
    <w:p w14:paraId="199C6890">
      <w:pPr>
        <w:spacing w:line="360" w:lineRule="auto"/>
        <w:rPr>
          <w:rFonts w:ascii="仿宋" w:hAnsi="仿宋"/>
          <w:sz w:val="24"/>
          <w:szCs w:val="24"/>
          <w:highlight w:val="none"/>
        </w:rPr>
      </w:pPr>
    </w:p>
    <w:p w14:paraId="39FF3725">
      <w:pPr>
        <w:spacing w:line="360" w:lineRule="auto"/>
        <w:rPr>
          <w:rFonts w:ascii="仿宋" w:hAnsi="仿宋"/>
          <w:sz w:val="24"/>
          <w:szCs w:val="24"/>
          <w:highlight w:val="none"/>
        </w:rPr>
      </w:pPr>
    </w:p>
    <w:p w14:paraId="2A2A6712">
      <w:pPr>
        <w:spacing w:line="360" w:lineRule="auto"/>
        <w:rPr>
          <w:rFonts w:ascii="仿宋" w:hAnsi="仿宋"/>
          <w:sz w:val="24"/>
          <w:szCs w:val="24"/>
          <w:highlight w:val="none"/>
        </w:rPr>
      </w:pPr>
    </w:p>
    <w:p w14:paraId="00BC9777">
      <w:pPr>
        <w:spacing w:line="360" w:lineRule="auto"/>
        <w:rPr>
          <w:rFonts w:ascii="仿宋" w:hAnsi="仿宋"/>
          <w:sz w:val="24"/>
          <w:szCs w:val="24"/>
          <w:highlight w:val="none"/>
        </w:rPr>
      </w:pPr>
    </w:p>
    <w:p w14:paraId="53F41E05">
      <w:pPr>
        <w:spacing w:line="360" w:lineRule="auto"/>
        <w:rPr>
          <w:rFonts w:ascii="仿宋" w:hAnsi="仿宋"/>
          <w:sz w:val="24"/>
          <w:szCs w:val="24"/>
          <w:highlight w:val="none"/>
        </w:rPr>
      </w:pPr>
    </w:p>
    <w:p w14:paraId="7AB240CB">
      <w:pPr>
        <w:spacing w:line="360" w:lineRule="auto"/>
        <w:rPr>
          <w:rFonts w:ascii="仿宋" w:hAnsi="仿宋"/>
          <w:sz w:val="24"/>
          <w:szCs w:val="24"/>
          <w:highlight w:val="none"/>
        </w:rPr>
      </w:pPr>
    </w:p>
    <w:p w14:paraId="1C692B4E">
      <w:pPr>
        <w:spacing w:line="360" w:lineRule="auto"/>
        <w:rPr>
          <w:rFonts w:ascii="仿宋" w:hAnsi="仿宋"/>
          <w:sz w:val="24"/>
          <w:szCs w:val="24"/>
          <w:highlight w:val="none"/>
        </w:rPr>
      </w:pPr>
    </w:p>
    <w:p w14:paraId="19FD57E2">
      <w:pPr>
        <w:spacing w:line="360" w:lineRule="auto"/>
        <w:rPr>
          <w:rFonts w:ascii="仿宋" w:hAnsi="仿宋"/>
          <w:sz w:val="24"/>
          <w:szCs w:val="24"/>
          <w:highlight w:val="none"/>
        </w:rPr>
      </w:pPr>
    </w:p>
    <w:p w14:paraId="41BD38A6">
      <w:pPr>
        <w:spacing w:line="360" w:lineRule="auto"/>
        <w:rPr>
          <w:rFonts w:ascii="仿宋" w:hAnsi="仿宋"/>
          <w:sz w:val="24"/>
          <w:szCs w:val="24"/>
          <w:highlight w:val="none"/>
        </w:rPr>
      </w:pPr>
    </w:p>
    <w:p w14:paraId="29D30109">
      <w:pPr>
        <w:spacing w:line="360" w:lineRule="auto"/>
        <w:rPr>
          <w:rFonts w:ascii="仿宋" w:hAnsi="仿宋"/>
          <w:sz w:val="24"/>
          <w:szCs w:val="24"/>
          <w:highlight w:val="none"/>
        </w:rPr>
      </w:pPr>
    </w:p>
    <w:p w14:paraId="67DB37DA">
      <w:pPr>
        <w:spacing w:line="360" w:lineRule="auto"/>
        <w:rPr>
          <w:rFonts w:ascii="仿宋" w:hAnsi="仿宋"/>
          <w:sz w:val="24"/>
          <w:szCs w:val="24"/>
          <w:highlight w:val="none"/>
        </w:rPr>
      </w:pPr>
    </w:p>
    <w:p w14:paraId="29E335DD">
      <w:pPr>
        <w:spacing w:line="360" w:lineRule="auto"/>
        <w:rPr>
          <w:rFonts w:ascii="仿宋" w:hAnsi="仿宋"/>
          <w:sz w:val="24"/>
          <w:szCs w:val="24"/>
          <w:highlight w:val="none"/>
        </w:rPr>
      </w:pPr>
    </w:p>
    <w:p w14:paraId="771AD4D3">
      <w:pPr>
        <w:spacing w:line="360" w:lineRule="auto"/>
        <w:rPr>
          <w:rFonts w:ascii="仿宋" w:hAnsi="仿宋"/>
          <w:sz w:val="24"/>
          <w:szCs w:val="24"/>
          <w:highlight w:val="none"/>
        </w:rPr>
      </w:pPr>
    </w:p>
    <w:p w14:paraId="4A7CD389">
      <w:pPr>
        <w:spacing w:line="360" w:lineRule="auto"/>
        <w:rPr>
          <w:rFonts w:ascii="仿宋" w:hAnsi="仿宋"/>
          <w:sz w:val="24"/>
          <w:szCs w:val="24"/>
          <w:highlight w:val="none"/>
        </w:rPr>
      </w:pPr>
    </w:p>
    <w:p w14:paraId="7CC08B57">
      <w:pPr>
        <w:spacing w:line="360" w:lineRule="auto"/>
        <w:rPr>
          <w:rFonts w:ascii="仿宋" w:hAnsi="仿宋"/>
          <w:sz w:val="24"/>
          <w:szCs w:val="24"/>
          <w:highlight w:val="none"/>
        </w:rPr>
      </w:pPr>
    </w:p>
    <w:p w14:paraId="1D0B9E3F">
      <w:pPr>
        <w:spacing w:line="360" w:lineRule="auto"/>
        <w:rPr>
          <w:rFonts w:ascii="仿宋" w:hAnsi="仿宋"/>
          <w:sz w:val="24"/>
          <w:szCs w:val="24"/>
          <w:highlight w:val="none"/>
        </w:rPr>
      </w:pPr>
    </w:p>
    <w:p w14:paraId="64F079E5">
      <w:pPr>
        <w:spacing w:line="360" w:lineRule="auto"/>
        <w:jc w:val="center"/>
        <w:rPr>
          <w:rFonts w:ascii="仿宋" w:hAnsi="仿宋" w:cs="黑体"/>
          <w:sz w:val="24"/>
          <w:szCs w:val="24"/>
          <w:highlight w:val="none"/>
        </w:rPr>
      </w:pPr>
      <w:r>
        <w:rPr>
          <w:rFonts w:hint="eastAsia" w:ascii="仿宋" w:hAnsi="仿宋" w:cs="黑体"/>
          <w:sz w:val="24"/>
          <w:szCs w:val="24"/>
          <w:highlight w:val="none"/>
        </w:rPr>
        <w:t>（五）人员计划配置表</w:t>
      </w:r>
    </w:p>
    <w:p w14:paraId="78813515">
      <w:pPr>
        <w:spacing w:line="360" w:lineRule="auto"/>
        <w:jc w:val="center"/>
        <w:rPr>
          <w:rFonts w:ascii="仿宋" w:hAnsi="仿宋"/>
          <w:sz w:val="24"/>
          <w:szCs w:val="24"/>
          <w:highlight w:val="none"/>
        </w:rPr>
      </w:pPr>
      <w:r>
        <w:rPr>
          <w:rFonts w:hint="eastAsia" w:ascii="仿宋" w:hAnsi="仿宋"/>
          <w:sz w:val="24"/>
          <w:szCs w:val="24"/>
          <w:highlight w:val="none"/>
        </w:rPr>
        <w:t>（关键</w:t>
      </w:r>
      <w:r>
        <w:rPr>
          <w:rFonts w:ascii="仿宋" w:hAnsi="仿宋"/>
          <w:sz w:val="24"/>
          <w:szCs w:val="24"/>
          <w:highlight w:val="none"/>
        </w:rPr>
        <w:t>岗位</w:t>
      </w:r>
      <w:r>
        <w:rPr>
          <w:rFonts w:hint="eastAsia" w:ascii="仿宋" w:hAnsi="仿宋"/>
          <w:sz w:val="24"/>
          <w:szCs w:val="24"/>
          <w:highlight w:val="none"/>
        </w:rPr>
        <w:t>不低于</w:t>
      </w:r>
      <w:r>
        <w:rPr>
          <w:rFonts w:ascii="仿宋" w:hAnsi="仿宋"/>
          <w:sz w:val="24"/>
          <w:szCs w:val="24"/>
          <w:highlight w:val="none"/>
        </w:rPr>
        <w:t>采购</w:t>
      </w:r>
      <w:r>
        <w:rPr>
          <w:rFonts w:hint="eastAsia" w:ascii="仿宋" w:hAnsi="仿宋"/>
          <w:sz w:val="24"/>
          <w:szCs w:val="24"/>
          <w:highlight w:val="none"/>
        </w:rPr>
        <w:t>需求</w:t>
      </w:r>
      <w:r>
        <w:rPr>
          <w:rFonts w:ascii="仿宋" w:hAnsi="仿宋"/>
          <w:sz w:val="24"/>
          <w:szCs w:val="24"/>
          <w:highlight w:val="none"/>
        </w:rPr>
        <w:t>要求</w:t>
      </w:r>
      <w:r>
        <w:rPr>
          <w:rFonts w:hint="eastAsia" w:ascii="仿宋" w:hAnsi="仿宋"/>
          <w:sz w:val="24"/>
          <w:szCs w:val="24"/>
          <w:highlight w:val="none"/>
        </w:rPr>
        <w:t>）</w:t>
      </w:r>
    </w:p>
    <w:p w14:paraId="00374F79">
      <w:pPr>
        <w:spacing w:line="360" w:lineRule="auto"/>
        <w:rPr>
          <w:rFonts w:ascii="仿宋" w:hAnsi="仿宋"/>
          <w:sz w:val="24"/>
          <w:szCs w:val="24"/>
          <w:highlight w:val="none"/>
        </w:rPr>
      </w:pPr>
    </w:p>
    <w:p w14:paraId="6346BDAD">
      <w:pPr>
        <w:spacing w:line="360" w:lineRule="auto"/>
        <w:rPr>
          <w:rFonts w:ascii="仿宋" w:hAnsi="仿宋"/>
          <w:sz w:val="24"/>
          <w:szCs w:val="24"/>
          <w:highlight w:val="none"/>
        </w:rPr>
      </w:pPr>
    </w:p>
    <w:p w14:paraId="68B1A4BD">
      <w:pPr>
        <w:spacing w:line="360" w:lineRule="auto"/>
        <w:rPr>
          <w:rFonts w:ascii="仿宋" w:hAnsi="仿宋"/>
          <w:sz w:val="24"/>
          <w:szCs w:val="24"/>
          <w:highlight w:val="none"/>
        </w:rPr>
      </w:pPr>
    </w:p>
    <w:p w14:paraId="4BB799D6">
      <w:pPr>
        <w:spacing w:line="360" w:lineRule="auto"/>
        <w:rPr>
          <w:rFonts w:ascii="仿宋" w:hAnsi="仿宋"/>
          <w:sz w:val="24"/>
          <w:szCs w:val="24"/>
          <w:highlight w:val="none"/>
        </w:rPr>
      </w:pPr>
    </w:p>
    <w:p w14:paraId="49DD6F0A">
      <w:pPr>
        <w:spacing w:line="360" w:lineRule="auto"/>
        <w:rPr>
          <w:rFonts w:ascii="仿宋" w:hAnsi="仿宋"/>
          <w:sz w:val="24"/>
          <w:szCs w:val="24"/>
          <w:highlight w:val="none"/>
        </w:rPr>
      </w:pPr>
    </w:p>
    <w:p w14:paraId="5AC4F65A">
      <w:pPr>
        <w:spacing w:line="360" w:lineRule="auto"/>
        <w:rPr>
          <w:rFonts w:ascii="仿宋" w:hAnsi="仿宋"/>
          <w:sz w:val="24"/>
          <w:szCs w:val="24"/>
          <w:highlight w:val="none"/>
        </w:rPr>
      </w:pPr>
    </w:p>
    <w:p w14:paraId="1806D76C">
      <w:pPr>
        <w:spacing w:line="360" w:lineRule="auto"/>
        <w:rPr>
          <w:rFonts w:ascii="仿宋" w:hAnsi="仿宋"/>
          <w:sz w:val="24"/>
          <w:szCs w:val="24"/>
          <w:highlight w:val="none"/>
        </w:rPr>
      </w:pPr>
    </w:p>
    <w:p w14:paraId="13A1E5E4">
      <w:pPr>
        <w:spacing w:line="360" w:lineRule="auto"/>
        <w:rPr>
          <w:rFonts w:ascii="仿宋" w:hAnsi="仿宋"/>
          <w:sz w:val="24"/>
          <w:szCs w:val="24"/>
          <w:highlight w:val="none"/>
        </w:rPr>
      </w:pPr>
    </w:p>
    <w:p w14:paraId="3EF58A55">
      <w:pPr>
        <w:spacing w:line="360" w:lineRule="auto"/>
        <w:rPr>
          <w:rFonts w:ascii="仿宋" w:hAnsi="仿宋"/>
          <w:sz w:val="24"/>
          <w:szCs w:val="24"/>
          <w:highlight w:val="none"/>
        </w:rPr>
      </w:pPr>
    </w:p>
    <w:p w14:paraId="68BCDB09">
      <w:pPr>
        <w:spacing w:line="360" w:lineRule="auto"/>
        <w:rPr>
          <w:rFonts w:ascii="仿宋" w:hAnsi="仿宋"/>
          <w:sz w:val="24"/>
          <w:szCs w:val="24"/>
          <w:highlight w:val="none"/>
        </w:rPr>
      </w:pPr>
    </w:p>
    <w:p w14:paraId="1BBC6716">
      <w:pPr>
        <w:spacing w:line="360" w:lineRule="auto"/>
        <w:rPr>
          <w:rFonts w:ascii="仿宋" w:hAnsi="仿宋"/>
          <w:sz w:val="24"/>
          <w:szCs w:val="24"/>
          <w:highlight w:val="none"/>
        </w:rPr>
      </w:pPr>
    </w:p>
    <w:p w14:paraId="083909D6">
      <w:pPr>
        <w:spacing w:line="360" w:lineRule="auto"/>
        <w:rPr>
          <w:rFonts w:ascii="仿宋" w:hAnsi="仿宋"/>
          <w:sz w:val="24"/>
          <w:szCs w:val="24"/>
          <w:highlight w:val="none"/>
        </w:rPr>
      </w:pPr>
    </w:p>
    <w:p w14:paraId="69C13875">
      <w:pPr>
        <w:spacing w:line="360" w:lineRule="auto"/>
        <w:rPr>
          <w:rFonts w:ascii="仿宋" w:hAnsi="仿宋"/>
          <w:sz w:val="24"/>
          <w:szCs w:val="24"/>
          <w:highlight w:val="none"/>
        </w:rPr>
      </w:pPr>
    </w:p>
    <w:p w14:paraId="7334A02B">
      <w:pPr>
        <w:spacing w:line="360" w:lineRule="auto"/>
        <w:rPr>
          <w:rFonts w:ascii="仿宋" w:hAnsi="仿宋"/>
          <w:sz w:val="24"/>
          <w:szCs w:val="24"/>
          <w:highlight w:val="none"/>
        </w:rPr>
      </w:pPr>
    </w:p>
    <w:p w14:paraId="7E0D5017">
      <w:pPr>
        <w:spacing w:line="360" w:lineRule="auto"/>
        <w:rPr>
          <w:rFonts w:ascii="仿宋" w:hAnsi="仿宋"/>
          <w:sz w:val="24"/>
          <w:szCs w:val="24"/>
          <w:highlight w:val="none"/>
        </w:rPr>
      </w:pPr>
    </w:p>
    <w:p w14:paraId="5F268747">
      <w:pPr>
        <w:spacing w:line="360" w:lineRule="auto"/>
        <w:rPr>
          <w:rFonts w:ascii="仿宋" w:hAnsi="仿宋"/>
          <w:sz w:val="24"/>
          <w:szCs w:val="24"/>
          <w:highlight w:val="none"/>
        </w:rPr>
      </w:pPr>
    </w:p>
    <w:p w14:paraId="4F18212B">
      <w:pPr>
        <w:spacing w:line="360" w:lineRule="auto"/>
        <w:rPr>
          <w:rFonts w:ascii="仿宋" w:hAnsi="仿宋"/>
          <w:sz w:val="24"/>
          <w:szCs w:val="24"/>
          <w:highlight w:val="none"/>
        </w:rPr>
      </w:pPr>
    </w:p>
    <w:p w14:paraId="5A96E5C0">
      <w:pPr>
        <w:spacing w:line="360" w:lineRule="auto"/>
        <w:rPr>
          <w:rFonts w:ascii="仿宋" w:hAnsi="仿宋"/>
          <w:sz w:val="24"/>
          <w:szCs w:val="24"/>
          <w:highlight w:val="none"/>
        </w:rPr>
      </w:pPr>
    </w:p>
    <w:p w14:paraId="09F0FC53">
      <w:pPr>
        <w:spacing w:line="360" w:lineRule="auto"/>
        <w:rPr>
          <w:rFonts w:ascii="仿宋" w:hAnsi="仿宋"/>
          <w:sz w:val="24"/>
          <w:szCs w:val="24"/>
          <w:highlight w:val="none"/>
        </w:rPr>
      </w:pPr>
    </w:p>
    <w:p w14:paraId="69C35048">
      <w:pPr>
        <w:spacing w:line="360" w:lineRule="auto"/>
        <w:rPr>
          <w:rFonts w:ascii="仿宋" w:hAnsi="仿宋"/>
          <w:sz w:val="24"/>
          <w:szCs w:val="24"/>
          <w:highlight w:val="none"/>
        </w:rPr>
      </w:pPr>
    </w:p>
    <w:p w14:paraId="62B2804E">
      <w:pPr>
        <w:spacing w:line="360" w:lineRule="auto"/>
        <w:rPr>
          <w:rFonts w:ascii="仿宋" w:hAnsi="仿宋"/>
          <w:sz w:val="24"/>
          <w:szCs w:val="24"/>
          <w:highlight w:val="none"/>
        </w:rPr>
      </w:pPr>
    </w:p>
    <w:p w14:paraId="61284F1A">
      <w:pPr>
        <w:spacing w:line="360" w:lineRule="auto"/>
        <w:rPr>
          <w:rFonts w:ascii="仿宋" w:hAnsi="仿宋"/>
          <w:sz w:val="24"/>
          <w:szCs w:val="24"/>
          <w:highlight w:val="none"/>
        </w:rPr>
      </w:pPr>
    </w:p>
    <w:p w14:paraId="68692D39">
      <w:pPr>
        <w:spacing w:line="360" w:lineRule="auto"/>
        <w:rPr>
          <w:rFonts w:ascii="仿宋" w:hAnsi="仿宋"/>
          <w:sz w:val="24"/>
          <w:szCs w:val="24"/>
          <w:highlight w:val="none"/>
        </w:rPr>
      </w:pPr>
    </w:p>
    <w:p w14:paraId="7795160F">
      <w:pPr>
        <w:spacing w:line="360" w:lineRule="auto"/>
        <w:rPr>
          <w:rFonts w:ascii="仿宋" w:hAnsi="仿宋"/>
          <w:sz w:val="24"/>
          <w:szCs w:val="24"/>
          <w:highlight w:val="none"/>
        </w:rPr>
      </w:pPr>
    </w:p>
    <w:p w14:paraId="1286DF25">
      <w:pPr>
        <w:spacing w:line="360" w:lineRule="auto"/>
        <w:rPr>
          <w:rFonts w:ascii="仿宋" w:hAnsi="仿宋"/>
          <w:sz w:val="24"/>
          <w:szCs w:val="24"/>
          <w:highlight w:val="none"/>
        </w:rPr>
      </w:pPr>
    </w:p>
    <w:p w14:paraId="267B3B50">
      <w:pPr>
        <w:spacing w:line="360" w:lineRule="auto"/>
        <w:rPr>
          <w:rFonts w:ascii="仿宋" w:hAnsi="仿宋"/>
          <w:sz w:val="24"/>
          <w:szCs w:val="24"/>
          <w:highlight w:val="none"/>
        </w:rPr>
      </w:pPr>
    </w:p>
    <w:p w14:paraId="7F98FAC3">
      <w:pPr>
        <w:pStyle w:val="15"/>
        <w:spacing w:before="0" w:after="0"/>
        <w:jc w:val="center"/>
        <w:rPr>
          <w:rFonts w:ascii="仿宋" w:hAnsi="仿宋" w:eastAsia="仿宋"/>
          <w:b/>
          <w:bCs/>
          <w:highlight w:val="none"/>
        </w:rPr>
      </w:pPr>
      <w:r>
        <w:rPr>
          <w:rFonts w:hint="eastAsia" w:ascii="仿宋" w:hAnsi="仿宋" w:eastAsia="仿宋"/>
          <w:b/>
          <w:bCs/>
          <w:highlight w:val="none"/>
        </w:rPr>
        <w:t>八、响应方案</w:t>
      </w:r>
    </w:p>
    <w:p w14:paraId="700D03EB">
      <w:pPr>
        <w:spacing w:line="360" w:lineRule="auto"/>
        <w:rPr>
          <w:rFonts w:ascii="仿宋" w:hAnsi="仿宋"/>
          <w:sz w:val="24"/>
          <w:szCs w:val="24"/>
          <w:highlight w:val="none"/>
        </w:rPr>
      </w:pPr>
      <w:r>
        <w:rPr>
          <w:rFonts w:hint="eastAsia" w:ascii="仿宋" w:hAnsi="仿宋"/>
          <w:sz w:val="24"/>
          <w:szCs w:val="24"/>
          <w:highlight w:val="none"/>
        </w:rPr>
        <w:t>　　响应方案一般包括（但不限于）下列内容：</w:t>
      </w:r>
    </w:p>
    <w:p w14:paraId="7AC52644">
      <w:pPr>
        <w:spacing w:line="360" w:lineRule="auto"/>
        <w:rPr>
          <w:rFonts w:ascii="仿宋" w:hAnsi="仿宋"/>
          <w:sz w:val="24"/>
          <w:szCs w:val="24"/>
          <w:highlight w:val="none"/>
        </w:rPr>
      </w:pPr>
      <w:r>
        <w:rPr>
          <w:rFonts w:hint="eastAsia" w:ascii="仿宋" w:hAnsi="仿宋"/>
          <w:sz w:val="24"/>
          <w:szCs w:val="24"/>
          <w:highlight w:val="none"/>
        </w:rPr>
        <w:t>　　（1）整体服务方案；</w:t>
      </w:r>
    </w:p>
    <w:p w14:paraId="55980C53">
      <w:pPr>
        <w:spacing w:line="360" w:lineRule="auto"/>
        <w:rPr>
          <w:rFonts w:ascii="仿宋" w:hAnsi="仿宋"/>
          <w:sz w:val="24"/>
          <w:szCs w:val="24"/>
          <w:highlight w:val="none"/>
        </w:rPr>
      </w:pPr>
      <w:r>
        <w:rPr>
          <w:rFonts w:hint="eastAsia" w:ascii="仿宋" w:hAnsi="仿宋"/>
          <w:sz w:val="24"/>
          <w:szCs w:val="24"/>
          <w:highlight w:val="none"/>
        </w:rPr>
        <w:t>　　（2）人员配备、管理、培训方案；</w:t>
      </w:r>
    </w:p>
    <w:p w14:paraId="60CD4721">
      <w:pPr>
        <w:spacing w:line="360" w:lineRule="auto"/>
        <w:rPr>
          <w:rFonts w:ascii="仿宋" w:hAnsi="仿宋"/>
          <w:sz w:val="24"/>
          <w:szCs w:val="24"/>
          <w:highlight w:val="none"/>
        </w:rPr>
      </w:pPr>
      <w:r>
        <w:rPr>
          <w:rFonts w:hint="eastAsia" w:ascii="仿宋" w:hAnsi="仿宋"/>
          <w:sz w:val="24"/>
          <w:szCs w:val="24"/>
          <w:highlight w:val="none"/>
        </w:rPr>
        <w:t>　　（3）工程维修实施方案；</w:t>
      </w:r>
    </w:p>
    <w:p w14:paraId="078B9112">
      <w:pPr>
        <w:spacing w:line="360" w:lineRule="auto"/>
        <w:rPr>
          <w:rFonts w:ascii="仿宋" w:hAnsi="仿宋"/>
          <w:sz w:val="24"/>
          <w:szCs w:val="24"/>
          <w:highlight w:val="none"/>
        </w:rPr>
      </w:pPr>
      <w:r>
        <w:rPr>
          <w:rFonts w:hint="eastAsia" w:ascii="仿宋" w:hAnsi="仿宋"/>
          <w:sz w:val="24"/>
          <w:szCs w:val="24"/>
          <w:highlight w:val="none"/>
        </w:rPr>
        <w:t>　　（4）保洁服务方案；</w:t>
      </w:r>
    </w:p>
    <w:p w14:paraId="4592DC81">
      <w:pPr>
        <w:spacing w:line="360" w:lineRule="auto"/>
        <w:rPr>
          <w:rFonts w:ascii="仿宋" w:hAnsi="仿宋"/>
          <w:sz w:val="24"/>
          <w:szCs w:val="24"/>
          <w:highlight w:val="none"/>
        </w:rPr>
      </w:pPr>
      <w:r>
        <w:rPr>
          <w:rFonts w:hint="eastAsia" w:ascii="仿宋" w:hAnsi="仿宋"/>
          <w:sz w:val="24"/>
          <w:szCs w:val="24"/>
          <w:highlight w:val="none"/>
        </w:rPr>
        <w:t>　　（5）秩序安全管理方案；</w:t>
      </w:r>
    </w:p>
    <w:p w14:paraId="08EC6B96">
      <w:pPr>
        <w:spacing w:line="360" w:lineRule="auto"/>
        <w:rPr>
          <w:rFonts w:ascii="仿宋" w:hAnsi="仿宋"/>
          <w:sz w:val="24"/>
          <w:szCs w:val="24"/>
          <w:highlight w:val="none"/>
        </w:rPr>
      </w:pPr>
      <w:r>
        <w:rPr>
          <w:rFonts w:hint="eastAsia" w:ascii="仿宋" w:hAnsi="仿宋"/>
          <w:sz w:val="24"/>
          <w:szCs w:val="24"/>
          <w:highlight w:val="none"/>
        </w:rPr>
        <w:t>　　（6）节能降耗管理方案；</w:t>
      </w:r>
    </w:p>
    <w:p w14:paraId="3EFBAD86">
      <w:pPr>
        <w:spacing w:line="360" w:lineRule="auto"/>
        <w:rPr>
          <w:rFonts w:ascii="仿宋" w:hAnsi="仿宋"/>
          <w:sz w:val="24"/>
          <w:szCs w:val="24"/>
          <w:highlight w:val="none"/>
        </w:rPr>
      </w:pPr>
      <w:r>
        <w:rPr>
          <w:rFonts w:hint="eastAsia" w:ascii="仿宋" w:hAnsi="仿宋"/>
          <w:sz w:val="24"/>
          <w:szCs w:val="24"/>
          <w:highlight w:val="none"/>
        </w:rPr>
        <w:t>　　（7）运营管理方案；</w:t>
      </w:r>
    </w:p>
    <w:p w14:paraId="4DABCE06">
      <w:pPr>
        <w:spacing w:line="360" w:lineRule="auto"/>
        <w:rPr>
          <w:rFonts w:ascii="仿宋" w:hAnsi="仿宋"/>
          <w:sz w:val="24"/>
          <w:szCs w:val="24"/>
          <w:highlight w:val="none"/>
        </w:rPr>
      </w:pPr>
      <w:r>
        <w:rPr>
          <w:rFonts w:hint="eastAsia" w:ascii="仿宋" w:hAnsi="仿宋"/>
          <w:sz w:val="24"/>
          <w:szCs w:val="24"/>
          <w:highlight w:val="none"/>
        </w:rPr>
        <w:t>　　（8）突发事件及应急处理预案；</w:t>
      </w:r>
    </w:p>
    <w:p w14:paraId="347E8F1C">
      <w:pPr>
        <w:spacing w:line="360" w:lineRule="auto"/>
        <w:ind w:firstLine="480" w:firstLineChars="200"/>
        <w:rPr>
          <w:rFonts w:ascii="仿宋" w:hAnsi="仿宋"/>
          <w:sz w:val="24"/>
          <w:szCs w:val="24"/>
          <w:highlight w:val="none"/>
        </w:rPr>
      </w:pPr>
      <w:r>
        <w:rPr>
          <w:rFonts w:hint="eastAsia" w:ascii="仿宋" w:hAnsi="仿宋"/>
          <w:sz w:val="24"/>
          <w:szCs w:val="24"/>
          <w:highlight w:val="none"/>
        </w:rPr>
        <w:t>（9）合理化建议。</w:t>
      </w:r>
    </w:p>
    <w:p w14:paraId="51BF87AC">
      <w:pPr>
        <w:spacing w:line="360" w:lineRule="auto"/>
        <w:rPr>
          <w:rFonts w:ascii="仿宋" w:hAnsi="仿宋"/>
          <w:sz w:val="24"/>
          <w:szCs w:val="24"/>
          <w:highlight w:val="none"/>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Segoe UI Symbol">
    <w:panose1 w:val="020B0502040204020203"/>
    <w:charset w:val="00"/>
    <w:family w:val="swiss"/>
    <w:pitch w:val="default"/>
    <w:sig w:usb0="8000006F" w:usb1="1200FBEF" w:usb2="0064C000" w:usb3="00000002"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0B2"/>
    <w:rsid w:val="000273B1"/>
    <w:rsid w:val="00041061"/>
    <w:rsid w:val="00047BF6"/>
    <w:rsid w:val="00064BF4"/>
    <w:rsid w:val="000802F1"/>
    <w:rsid w:val="00096181"/>
    <w:rsid w:val="000D217B"/>
    <w:rsid w:val="000F1D72"/>
    <w:rsid w:val="00100006"/>
    <w:rsid w:val="00110947"/>
    <w:rsid w:val="00121E76"/>
    <w:rsid w:val="00135BF1"/>
    <w:rsid w:val="001F26EB"/>
    <w:rsid w:val="001F3767"/>
    <w:rsid w:val="001F6E96"/>
    <w:rsid w:val="00213800"/>
    <w:rsid w:val="00230C5D"/>
    <w:rsid w:val="00242AA8"/>
    <w:rsid w:val="00252DDC"/>
    <w:rsid w:val="0027319D"/>
    <w:rsid w:val="002A37EA"/>
    <w:rsid w:val="002A38E0"/>
    <w:rsid w:val="002C332A"/>
    <w:rsid w:val="002C6789"/>
    <w:rsid w:val="002C6977"/>
    <w:rsid w:val="002D3046"/>
    <w:rsid w:val="002F4886"/>
    <w:rsid w:val="003076C3"/>
    <w:rsid w:val="00341E46"/>
    <w:rsid w:val="00361E30"/>
    <w:rsid w:val="003676E0"/>
    <w:rsid w:val="003910CE"/>
    <w:rsid w:val="003C49BD"/>
    <w:rsid w:val="003E7990"/>
    <w:rsid w:val="00415648"/>
    <w:rsid w:val="0042601D"/>
    <w:rsid w:val="00434F97"/>
    <w:rsid w:val="004446AF"/>
    <w:rsid w:val="00491E81"/>
    <w:rsid w:val="004B08EA"/>
    <w:rsid w:val="004C37A2"/>
    <w:rsid w:val="00515223"/>
    <w:rsid w:val="00562DD7"/>
    <w:rsid w:val="005E3C27"/>
    <w:rsid w:val="005F3888"/>
    <w:rsid w:val="00601531"/>
    <w:rsid w:val="006018B5"/>
    <w:rsid w:val="00657975"/>
    <w:rsid w:val="00666FD6"/>
    <w:rsid w:val="0067460A"/>
    <w:rsid w:val="00682C20"/>
    <w:rsid w:val="006947CD"/>
    <w:rsid w:val="006A0111"/>
    <w:rsid w:val="006E374A"/>
    <w:rsid w:val="007C168F"/>
    <w:rsid w:val="00811259"/>
    <w:rsid w:val="008256D3"/>
    <w:rsid w:val="008D1850"/>
    <w:rsid w:val="008F45DD"/>
    <w:rsid w:val="009D154A"/>
    <w:rsid w:val="009F11F5"/>
    <w:rsid w:val="00A4121E"/>
    <w:rsid w:val="00A70213"/>
    <w:rsid w:val="00A70991"/>
    <w:rsid w:val="00AE2E4D"/>
    <w:rsid w:val="00B2124F"/>
    <w:rsid w:val="00B350B2"/>
    <w:rsid w:val="00B5054C"/>
    <w:rsid w:val="00B53231"/>
    <w:rsid w:val="00B66D13"/>
    <w:rsid w:val="00BA307E"/>
    <w:rsid w:val="00C1537C"/>
    <w:rsid w:val="00C22516"/>
    <w:rsid w:val="00C22A00"/>
    <w:rsid w:val="00C67934"/>
    <w:rsid w:val="00CA6F69"/>
    <w:rsid w:val="00D53EB1"/>
    <w:rsid w:val="00D74E5B"/>
    <w:rsid w:val="00D75AA9"/>
    <w:rsid w:val="00DE6CDC"/>
    <w:rsid w:val="00E41DA3"/>
    <w:rsid w:val="00E53020"/>
    <w:rsid w:val="00E92454"/>
    <w:rsid w:val="00EA10CC"/>
    <w:rsid w:val="00EC3B69"/>
    <w:rsid w:val="00EC6577"/>
    <w:rsid w:val="00EC7489"/>
    <w:rsid w:val="00EF0C15"/>
    <w:rsid w:val="00F530D8"/>
    <w:rsid w:val="00F66A58"/>
    <w:rsid w:val="00FB6197"/>
    <w:rsid w:val="00FE7112"/>
    <w:rsid w:val="063E2BE2"/>
    <w:rsid w:val="07097292"/>
    <w:rsid w:val="07FE40B5"/>
    <w:rsid w:val="090148B8"/>
    <w:rsid w:val="0D676AC1"/>
    <w:rsid w:val="145E1D97"/>
    <w:rsid w:val="14AE3725"/>
    <w:rsid w:val="1CD337C4"/>
    <w:rsid w:val="25D162A9"/>
    <w:rsid w:val="29121B7F"/>
    <w:rsid w:val="29856B07"/>
    <w:rsid w:val="29A91E30"/>
    <w:rsid w:val="3199554C"/>
    <w:rsid w:val="35917FF0"/>
    <w:rsid w:val="36C33AB3"/>
    <w:rsid w:val="37426C9C"/>
    <w:rsid w:val="391A2AB5"/>
    <w:rsid w:val="420239C2"/>
    <w:rsid w:val="46F862D9"/>
    <w:rsid w:val="4DBD2B93"/>
    <w:rsid w:val="50DD4759"/>
    <w:rsid w:val="5266446F"/>
    <w:rsid w:val="561441ED"/>
    <w:rsid w:val="57637240"/>
    <w:rsid w:val="5BDD21AF"/>
    <w:rsid w:val="6FD9746C"/>
    <w:rsid w:val="714366FE"/>
    <w:rsid w:val="723C0C17"/>
    <w:rsid w:val="723F2930"/>
    <w:rsid w:val="72B644CD"/>
    <w:rsid w:val="75DF294E"/>
    <w:rsid w:val="7605288F"/>
    <w:rsid w:val="7A5155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 w:cs="仿宋"/>
      <w:sz w:val="32"/>
      <w:szCs w:val="32"/>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9"/>
    <w:semiHidden/>
    <w:unhideWhenUsed/>
    <w:qFormat/>
    <w:uiPriority w:val="0"/>
    <w:pPr>
      <w:keepNext/>
      <w:keepLines/>
      <w:spacing w:before="260" w:after="260" w:line="416" w:lineRule="auto"/>
      <w:outlineLvl w:val="1"/>
    </w:pPr>
    <w:rPr>
      <w:rFonts w:asciiTheme="majorHAnsi" w:hAnsiTheme="majorHAnsi" w:eastAsiaTheme="majorEastAsia" w:cstheme="majorBidi"/>
      <w:b/>
      <w:bCs/>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Body Text"/>
    <w:basedOn w:val="1"/>
    <w:qFormat/>
    <w:uiPriority w:val="0"/>
    <w:pPr>
      <w:adjustRightInd w:val="0"/>
      <w:snapToGrid w:val="0"/>
      <w:spacing w:line="360" w:lineRule="atLeast"/>
      <w:textAlignment w:val="baseline"/>
    </w:pPr>
    <w:rPr>
      <w:rFonts w:ascii="Times New Roman" w:hAnsi="Times New Roman" w:eastAsia="宋体" w:cs="Times New Roman"/>
      <w:snapToGrid w:val="0"/>
      <w:sz w:val="28"/>
      <w:szCs w:val="2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 w:type="paragraph" w:customStyle="1" w:styleId="11">
    <w:name w:val="Table Text"/>
    <w:basedOn w:val="1"/>
    <w:semiHidden/>
    <w:qFormat/>
    <w:uiPriority w:val="0"/>
    <w:rPr>
      <w:rFonts w:ascii="微软雅黑" w:hAnsi="微软雅黑" w:eastAsia="微软雅黑" w:cs="微软雅黑"/>
      <w:sz w:val="17"/>
      <w:szCs w:val="17"/>
      <w:lang w:eastAsia="en-US"/>
    </w:rPr>
  </w:style>
  <w:style w:type="character" w:customStyle="1" w:styleId="12">
    <w:name w:val="页眉 字符"/>
    <w:basedOn w:val="9"/>
    <w:link w:val="6"/>
    <w:uiPriority w:val="0"/>
    <w:rPr>
      <w:rFonts w:ascii="Calibri" w:hAnsi="Calibri" w:eastAsia="仿宋" w:cs="仿宋"/>
      <w:sz w:val="18"/>
      <w:szCs w:val="18"/>
    </w:rPr>
  </w:style>
  <w:style w:type="character" w:customStyle="1" w:styleId="13">
    <w:name w:val="页脚 字符"/>
    <w:basedOn w:val="9"/>
    <w:link w:val="5"/>
    <w:uiPriority w:val="0"/>
    <w:rPr>
      <w:rFonts w:ascii="Calibri" w:hAnsi="Calibri" w:eastAsia="仿宋" w:cs="仿宋"/>
      <w:sz w:val="18"/>
      <w:szCs w:val="18"/>
    </w:rPr>
  </w:style>
  <w:style w:type="paragraph" w:customStyle="1" w:styleId="14">
    <w:name w:val="标题1"/>
    <w:basedOn w:val="2"/>
    <w:link w:val="17"/>
    <w:qFormat/>
    <w:uiPriority w:val="0"/>
    <w:pPr>
      <w:spacing w:line="360" w:lineRule="auto"/>
      <w:jc w:val="center"/>
    </w:pPr>
    <w:rPr>
      <w:rFonts w:ascii="黑体" w:hAnsi="黑体" w:eastAsia="黑体" w:cs="黑体"/>
      <w:sz w:val="24"/>
      <w:szCs w:val="24"/>
    </w:rPr>
  </w:style>
  <w:style w:type="paragraph" w:customStyle="1" w:styleId="15">
    <w:name w:val="样式1"/>
    <w:basedOn w:val="3"/>
    <w:link w:val="20"/>
    <w:qFormat/>
    <w:uiPriority w:val="0"/>
    <w:pPr>
      <w:spacing w:line="360" w:lineRule="auto"/>
    </w:pPr>
    <w:rPr>
      <w:b w:val="0"/>
      <w:bCs w:val="0"/>
      <w:sz w:val="24"/>
      <w:szCs w:val="24"/>
    </w:rPr>
  </w:style>
  <w:style w:type="character" w:customStyle="1" w:styleId="16">
    <w:name w:val="标题 1 字符"/>
    <w:basedOn w:val="9"/>
    <w:link w:val="2"/>
    <w:qFormat/>
    <w:uiPriority w:val="0"/>
    <w:rPr>
      <w:rFonts w:ascii="Calibri" w:hAnsi="Calibri" w:eastAsia="仿宋" w:cs="仿宋"/>
      <w:b/>
      <w:bCs/>
      <w:kern w:val="44"/>
      <w:sz w:val="44"/>
      <w:szCs w:val="44"/>
    </w:rPr>
  </w:style>
  <w:style w:type="character" w:customStyle="1" w:styleId="17">
    <w:name w:val="标题1 字符"/>
    <w:basedOn w:val="16"/>
    <w:link w:val="14"/>
    <w:qFormat/>
    <w:uiPriority w:val="0"/>
    <w:rPr>
      <w:rFonts w:ascii="黑体" w:hAnsi="黑体" w:eastAsia="黑体" w:cs="黑体"/>
      <w:kern w:val="44"/>
      <w:sz w:val="24"/>
      <w:szCs w:val="24"/>
    </w:rPr>
  </w:style>
  <w:style w:type="paragraph" w:styleId="18">
    <w:name w:val="List Paragraph"/>
    <w:basedOn w:val="1"/>
    <w:qFormat/>
    <w:uiPriority w:val="99"/>
    <w:pPr>
      <w:ind w:firstLine="420" w:firstLineChars="200"/>
    </w:pPr>
  </w:style>
  <w:style w:type="character" w:customStyle="1" w:styleId="19">
    <w:name w:val="标题 2 字符"/>
    <w:basedOn w:val="9"/>
    <w:link w:val="3"/>
    <w:semiHidden/>
    <w:qFormat/>
    <w:uiPriority w:val="0"/>
    <w:rPr>
      <w:rFonts w:asciiTheme="majorHAnsi" w:hAnsiTheme="majorHAnsi" w:eastAsiaTheme="majorEastAsia" w:cstheme="majorBidi"/>
      <w:b/>
      <w:bCs/>
      <w:sz w:val="32"/>
      <w:szCs w:val="32"/>
    </w:rPr>
  </w:style>
  <w:style w:type="character" w:customStyle="1" w:styleId="20">
    <w:name w:val="样式1 字符"/>
    <w:basedOn w:val="19"/>
    <w:link w:val="15"/>
    <w:uiPriority w:val="0"/>
    <w:rPr>
      <w:rFonts w:asciiTheme="majorHAnsi" w:hAnsiTheme="majorHAnsi" w:eastAsiaTheme="majorEastAsia" w:cstheme="majorBidi"/>
      <w:b w:val="0"/>
      <w:bCs w:val="0"/>
      <w:sz w:val="24"/>
      <w:szCs w:val="24"/>
    </w:rPr>
  </w:style>
  <w:style w:type="table" w:customStyle="1" w:styleId="21">
    <w:name w:val="Table Normal"/>
    <w:semiHidden/>
    <w:unhideWhenUsed/>
    <w:qFormat/>
    <w:uiPriority w:val="0"/>
    <w:rPr>
      <w:rFonts w:asciiTheme="minorHAnsi" w:hAnsiTheme="minorHAnsi" w:eastAsiaTheme="minorEastAsia" w:cstheme="minorBidi"/>
    </w:rPr>
    <w:tblPr>
      <w:tblCellMar>
        <w:top w:w="0" w:type="dxa"/>
        <w:left w:w="0" w:type="dxa"/>
        <w:bottom w:w="0" w:type="dxa"/>
        <w:right w:w="0" w:type="dxa"/>
      </w:tblCellMar>
    </w:tblPr>
  </w:style>
  <w:style w:type="table" w:customStyle="1" w:styleId="22">
    <w:name w:val="Table Normal1"/>
    <w:semiHidden/>
    <w:unhideWhenUsed/>
    <w:qFormat/>
    <w:uiPriority w:val="0"/>
    <w:rPr>
      <w:rFonts w:asciiTheme="minorHAnsi" w:hAnsiTheme="minorHAnsi" w:eastAsiaTheme="minorEastAsia" w:cstheme="minorBidi"/>
    </w:rPr>
    <w:tblPr>
      <w:tblCellMar>
        <w:top w:w="0" w:type="dxa"/>
        <w:left w:w="0" w:type="dxa"/>
        <w:bottom w:w="0" w:type="dxa"/>
        <w:right w:w="0" w:type="dxa"/>
      </w:tblCellMar>
    </w:tblPr>
  </w:style>
  <w:style w:type="table" w:customStyle="1" w:styleId="23">
    <w:name w:val="Table Normal2"/>
    <w:semiHidden/>
    <w:unhideWhenUsed/>
    <w:qFormat/>
    <w:uiPriority w:val="0"/>
    <w:rPr>
      <w:rFonts w:asciiTheme="minorHAnsi" w:hAnsiTheme="minorHAnsi" w:eastAsiaTheme="minorEastAsia" w:cstheme="minorBidi"/>
    </w:rPr>
    <w:tblPr>
      <w:tblCellMar>
        <w:top w:w="0" w:type="dxa"/>
        <w:left w:w="0" w:type="dxa"/>
        <w:bottom w:w="0" w:type="dxa"/>
        <w:right w:w="0" w:type="dxa"/>
      </w:tblCellMar>
    </w:tblPr>
  </w:style>
  <w:style w:type="table" w:customStyle="1" w:styleId="24">
    <w:name w:val="Table Normal3"/>
    <w:semiHidden/>
    <w:unhideWhenUsed/>
    <w:qFormat/>
    <w:uiPriority w:val="0"/>
    <w:rPr>
      <w:rFonts w:asciiTheme="minorHAnsi" w:hAnsiTheme="minorHAnsi" w:eastAsiaTheme="minorEastAsia" w:cstheme="minorBidi"/>
    </w:rPr>
    <w:tblPr>
      <w:tblCellMar>
        <w:top w:w="0" w:type="dxa"/>
        <w:left w:w="0" w:type="dxa"/>
        <w:bottom w:w="0" w:type="dxa"/>
        <w:right w:w="0" w:type="dxa"/>
      </w:tblCellMar>
    </w:tblPr>
  </w:style>
  <w:style w:type="table" w:customStyle="1" w:styleId="25">
    <w:name w:val="网格型1"/>
    <w:basedOn w:val="7"/>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
    <w:name w:val="网格型2"/>
    <w:basedOn w:val="7"/>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
    <w:name w:val="网格型3"/>
    <w:basedOn w:val="7"/>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
    <w:name w:val="网格型4"/>
    <w:basedOn w:val="7"/>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67</Pages>
  <Words>3062</Words>
  <Characters>3313</Characters>
  <Lines>227</Lines>
  <Paragraphs>63</Paragraphs>
  <TotalTime>272</TotalTime>
  <ScaleCrop>false</ScaleCrop>
  <LinksUpToDate>false</LinksUpToDate>
  <CharactersWithSpaces>3692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2026-04-20T00:57:00Z</dcterms:created>
  <dc:creator>huangyan</dc:creator>
  <cp:lastModifiedBy>Ethan</cp:lastModifiedBy>
  <dcterms:modified xsi:type="dcterms:W3CDTF">2026-05-13T12:33:43Z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E42AD3DDA44F4D48A2CC15193C518756</vt:lpwstr>
  </property>
  <property fmtid="{D5CDD505-2E9C-101B-9397-08002B2CF9AE}" pid="4" name="KSOTemplateDocerSaveRecord">
    <vt:lpwstr>eyJoZGlkIjoiZDVhYzU5MjliNjMyZGVmNWVkYmViZmFjNGMzZjVmZjMiLCJ1c2VySWQiOiI1NjIzMjM3OTMifQ==</vt:lpwstr>
  </property>
</Properties>
</file>